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A5D0C73" w14:textId="77777777" w:rsidR="004635D2" w:rsidRDefault="004635D2">
      <w:pPr>
        <w:spacing w:line="276" w:lineRule="auto"/>
        <w:jc w:val="right"/>
        <w:rPr>
          <w:i/>
        </w:rPr>
      </w:pPr>
    </w:p>
    <w:p w14:paraId="4EB3664D" w14:textId="77777777" w:rsidR="004635D2" w:rsidRDefault="005361EF">
      <w:pPr>
        <w:spacing w:line="276" w:lineRule="auto"/>
        <w:jc w:val="center"/>
        <w:rPr>
          <w:b/>
        </w:rPr>
      </w:pPr>
      <w:r>
        <w:rPr>
          <w:b/>
        </w:rPr>
        <w:t>Ley [...] del año 2021</w:t>
      </w:r>
    </w:p>
    <w:p w14:paraId="53687F99" w14:textId="77777777" w:rsidR="004635D2" w:rsidRDefault="004635D2">
      <w:pPr>
        <w:spacing w:line="276" w:lineRule="auto"/>
        <w:jc w:val="center"/>
        <w:rPr>
          <w:b/>
        </w:rPr>
      </w:pPr>
    </w:p>
    <w:p w14:paraId="6AF3F270" w14:textId="77777777" w:rsidR="004635D2" w:rsidRDefault="005361EF">
      <w:pPr>
        <w:spacing w:line="276" w:lineRule="auto"/>
        <w:jc w:val="center"/>
        <w:rPr>
          <w:b/>
          <w:bCs/>
          <w:iCs/>
          <w:szCs w:val="28"/>
        </w:rPr>
      </w:pPr>
      <w:r>
        <w:rPr>
          <w:b/>
        </w:rPr>
        <w:t>por la que se modifican varias leyes relativas a la sanidad, el seguro de asistencia sanitaria y lasa cuestiones farmacéuticas</w:t>
      </w:r>
    </w:p>
    <w:p w14:paraId="2BA89512" w14:textId="77777777" w:rsidR="004635D2" w:rsidRDefault="004635D2">
      <w:pPr>
        <w:spacing w:line="276" w:lineRule="auto"/>
        <w:jc w:val="center"/>
        <w:rPr>
          <w:b/>
        </w:rPr>
      </w:pPr>
    </w:p>
    <w:p w14:paraId="7D6B9A0B" w14:textId="77777777" w:rsidR="004635D2" w:rsidRDefault="004635D2">
      <w:pPr>
        <w:spacing w:line="276" w:lineRule="auto"/>
        <w:jc w:val="both"/>
        <w:rPr>
          <w:rFonts w:eastAsiaTheme="minorHAnsi"/>
          <w:color w:val="000000" w:themeColor="text1"/>
          <w:lang w:eastAsia="en-US"/>
        </w:rPr>
      </w:pPr>
    </w:p>
    <w:p w14:paraId="24019547" w14:textId="77777777" w:rsidR="004635D2" w:rsidRDefault="004635D2">
      <w:pPr>
        <w:pStyle w:val="wordsection1"/>
        <w:spacing w:beforeAutospacing="0" w:afterAutospacing="0" w:line="276" w:lineRule="auto"/>
        <w:jc w:val="both"/>
      </w:pPr>
    </w:p>
    <w:p w14:paraId="6BC8933E" w14:textId="77777777" w:rsidR="004635D2" w:rsidRDefault="005361EF">
      <w:pPr>
        <w:spacing w:line="276" w:lineRule="auto"/>
        <w:jc w:val="center"/>
        <w:rPr>
          <w:rFonts w:eastAsia="Calibri"/>
          <w:b/>
          <w:bCs/>
          <w:iCs/>
        </w:rPr>
      </w:pPr>
      <w:r>
        <w:rPr>
          <w:b/>
          <w:color w:val="000000"/>
        </w:rPr>
        <w:t xml:space="preserve">5. </w:t>
      </w:r>
      <w:r>
        <w:rPr>
          <w:b/>
        </w:rPr>
        <w:t>Relativa a la protección de los no fumadores y al consumo de los productos del tabaco,</w:t>
      </w:r>
    </w:p>
    <w:p w14:paraId="08C5922F" w14:textId="77777777" w:rsidR="004635D2" w:rsidRDefault="005361EF">
      <w:pPr>
        <w:spacing w:line="276" w:lineRule="auto"/>
        <w:jc w:val="center"/>
        <w:rPr>
          <w:rFonts w:eastAsia="Calibri"/>
          <w:b/>
          <w:bCs/>
          <w:iCs/>
        </w:rPr>
      </w:pPr>
      <w:r>
        <w:rPr>
          <w:b/>
        </w:rPr>
        <w:t>y modificación del reglamento de venta de la Ley XLII del año 1999.</w:t>
      </w:r>
    </w:p>
    <w:p w14:paraId="1E85D4D7" w14:textId="77777777" w:rsidR="004635D2" w:rsidRDefault="004635D2">
      <w:pPr>
        <w:spacing w:line="276" w:lineRule="auto"/>
        <w:jc w:val="both"/>
        <w:rPr>
          <w:rFonts w:eastAsia="Calibri"/>
        </w:rPr>
      </w:pPr>
    </w:p>
    <w:p w14:paraId="0F4305B0" w14:textId="77777777" w:rsidR="004635D2" w:rsidRDefault="005361EF">
      <w:pPr>
        <w:spacing w:line="276" w:lineRule="auto"/>
        <w:jc w:val="center"/>
        <w:rPr>
          <w:rFonts w:eastAsia="Calibri"/>
          <w:b/>
        </w:rPr>
      </w:pPr>
      <w:r>
        <w:rPr>
          <w:b/>
        </w:rPr>
        <w:t>39. §</w:t>
      </w:r>
    </w:p>
    <w:p w14:paraId="193DF2A7" w14:textId="77777777" w:rsidR="004635D2" w:rsidRDefault="004635D2">
      <w:pPr>
        <w:jc w:val="both"/>
        <w:rPr>
          <w:rFonts w:eastAsia="Calibri"/>
        </w:rPr>
      </w:pPr>
    </w:p>
    <w:p w14:paraId="7892AF9B" w14:textId="77777777" w:rsidR="004635D2" w:rsidRDefault="005361EF">
      <w:pPr>
        <w:jc w:val="both"/>
        <w:rPr>
          <w:rFonts w:eastAsia="Calibri"/>
        </w:rPr>
      </w:pPr>
      <w:r>
        <w:t>Ley XLII del año 1999 relativa a la protección de los no fumadores y al consumo y la venta de los productos del tabaco (en lo sucesivo denominada: Nvt.) (Ley de protección de los no fumadores) 1. La sección (</w:t>
      </w:r>
      <w:r>
        <w:rPr>
          <w:i/>
          <w:iCs/>
        </w:rPr>
        <w:t>x</w:t>
      </w:r>
      <w:r>
        <w:t>) se sustituye por el texto siguiente:</w:t>
      </w:r>
    </w:p>
    <w:p w14:paraId="2E67BD54" w14:textId="77777777" w:rsidR="004635D2" w:rsidRDefault="004635D2">
      <w:pPr>
        <w:jc w:val="both"/>
        <w:rPr>
          <w:rFonts w:eastAsia="Calibri"/>
        </w:rPr>
      </w:pPr>
    </w:p>
    <w:p w14:paraId="5CD70845" w14:textId="77777777" w:rsidR="004635D2" w:rsidRDefault="005361EF">
      <w:pPr>
        <w:jc w:val="both"/>
        <w:rPr>
          <w:rFonts w:eastAsia="Calibri"/>
          <w:i/>
        </w:rPr>
      </w:pPr>
      <w:r>
        <w:rPr>
          <w:i/>
        </w:rPr>
        <w:t>(A efectos de la presente Ley)</w:t>
      </w:r>
    </w:p>
    <w:p w14:paraId="40652738" w14:textId="77777777" w:rsidR="004635D2" w:rsidRDefault="004635D2">
      <w:pPr>
        <w:jc w:val="both"/>
        <w:rPr>
          <w:rFonts w:eastAsia="Calibri"/>
          <w:i/>
        </w:rPr>
      </w:pPr>
    </w:p>
    <w:p w14:paraId="039E5542" w14:textId="77777777" w:rsidR="004635D2" w:rsidRDefault="005361EF">
      <w:pPr>
        <w:jc w:val="both"/>
        <w:rPr>
          <w:rFonts w:eastAsia="Calibri"/>
        </w:rPr>
      </w:pPr>
      <w:r>
        <w:rPr>
          <w:i/>
          <w:iCs/>
        </w:rPr>
        <w:t>(‘x) número de identificación del cigarrillo electrónico:</w:t>
      </w:r>
      <w:r>
        <w:t xml:space="preserve"> para las notificaciones de los cigarrillos electrónicos y envases de recarga con el formato común definido en la Decisión de Ejecución (UE) 2015/2183 de la Comisión, de 24 de noviembre de 2015, que se ha declarado en la entrada general de datos, este es el número de identificación del producto;’;</w:t>
      </w:r>
    </w:p>
    <w:p w14:paraId="6C396425" w14:textId="77777777" w:rsidR="004635D2" w:rsidRDefault="004635D2">
      <w:pPr>
        <w:jc w:val="both"/>
        <w:rPr>
          <w:rFonts w:eastAsia="Calibri"/>
        </w:rPr>
      </w:pPr>
    </w:p>
    <w:p w14:paraId="70C3CEDB" w14:textId="77777777" w:rsidR="004635D2" w:rsidRDefault="005361EF">
      <w:pPr>
        <w:jc w:val="center"/>
        <w:rPr>
          <w:rFonts w:eastAsia="Calibri"/>
          <w:b/>
        </w:rPr>
      </w:pPr>
      <w:r>
        <w:rPr>
          <w:b/>
        </w:rPr>
        <w:t>40. §</w:t>
      </w:r>
    </w:p>
    <w:p w14:paraId="22E3ABA9" w14:textId="77777777" w:rsidR="004635D2" w:rsidRDefault="004635D2">
      <w:pPr>
        <w:jc w:val="center"/>
        <w:rPr>
          <w:rFonts w:eastAsia="Calibri"/>
          <w:b/>
        </w:rPr>
      </w:pPr>
    </w:p>
    <w:p w14:paraId="133D2EDD" w14:textId="77777777" w:rsidR="004635D2" w:rsidRDefault="005361EF">
      <w:pPr>
        <w:jc w:val="both"/>
        <w:rPr>
          <w:rFonts w:eastAsia="Calibri"/>
        </w:rPr>
      </w:pPr>
      <w:r>
        <w:t>En la Ley de protección de los no fumadores se añade el siguiente artículo 2/B a dicha sección:</w:t>
      </w:r>
    </w:p>
    <w:p w14:paraId="2D3B9E2A" w14:textId="77777777" w:rsidR="004635D2" w:rsidRDefault="004635D2">
      <w:pPr>
        <w:jc w:val="both"/>
        <w:rPr>
          <w:rFonts w:eastAsia="Calibri"/>
        </w:rPr>
      </w:pPr>
    </w:p>
    <w:p w14:paraId="632F8ED7" w14:textId="473ABCE1" w:rsidR="004635D2" w:rsidRDefault="009B2DAB">
      <w:pPr>
        <w:jc w:val="both"/>
        <w:rPr>
          <w:rFonts w:eastAsia="Calibri"/>
        </w:rPr>
      </w:pPr>
      <w:r>
        <w:t>‘</w:t>
      </w:r>
      <w:r w:rsidR="005361EF">
        <w:t>2/B. Sección Se prohíbe el consumo de productos de sustitución del tabaco que contengan nicotina en centros educativos públicos, así como en centros dedicados a la atención infantil y protección de menores.’</w:t>
      </w:r>
    </w:p>
    <w:p w14:paraId="3287C94A" w14:textId="77777777" w:rsidR="004635D2" w:rsidRDefault="004635D2">
      <w:pPr>
        <w:jc w:val="both"/>
        <w:rPr>
          <w:rFonts w:eastAsia="Calibri"/>
        </w:rPr>
      </w:pPr>
    </w:p>
    <w:p w14:paraId="1E41E70A" w14:textId="77777777" w:rsidR="004635D2" w:rsidRDefault="005361EF">
      <w:pPr>
        <w:jc w:val="center"/>
        <w:rPr>
          <w:rFonts w:eastAsia="Calibri"/>
          <w:b/>
        </w:rPr>
      </w:pPr>
      <w:r>
        <w:rPr>
          <w:b/>
        </w:rPr>
        <w:t>41. §</w:t>
      </w:r>
    </w:p>
    <w:p w14:paraId="6149253A" w14:textId="77777777" w:rsidR="004635D2" w:rsidRDefault="004635D2">
      <w:pPr>
        <w:jc w:val="both"/>
        <w:rPr>
          <w:rFonts w:eastAsia="Calibri"/>
        </w:rPr>
      </w:pPr>
    </w:p>
    <w:p w14:paraId="4E25FD8F" w14:textId="77777777" w:rsidR="004635D2" w:rsidRDefault="005361EF">
      <w:pPr>
        <w:jc w:val="both"/>
        <w:rPr>
          <w:rFonts w:eastAsia="Calibri"/>
        </w:rPr>
      </w:pPr>
      <w:r>
        <w:t>En la Nvt: Artículo 7/D. La sección se sustituirá por el texto siguiente:</w:t>
      </w:r>
    </w:p>
    <w:p w14:paraId="227D2879" w14:textId="77777777" w:rsidR="004635D2" w:rsidRDefault="004635D2">
      <w:pPr>
        <w:jc w:val="both"/>
        <w:rPr>
          <w:rFonts w:eastAsia="Calibri"/>
        </w:rPr>
      </w:pPr>
    </w:p>
    <w:p w14:paraId="36867569" w14:textId="77777777" w:rsidR="004635D2" w:rsidRDefault="005361EF">
      <w:pPr>
        <w:ind w:left="34"/>
        <w:jc w:val="both"/>
        <w:rPr>
          <w:rFonts w:eastAsia="Calibri"/>
        </w:rPr>
      </w:pPr>
      <w:r>
        <w:t>‘7/D. Sección (1) Los fabricantes e importadores de cigarrillos electrónicos y envases de recarga o sus distribuidores en Hungría deberán presentar ante la administración de la salud pública una notificación seis meses antes de comercializar cualquier producto que pretendan poner en el mercado.</w:t>
      </w:r>
    </w:p>
    <w:p w14:paraId="5F53139C" w14:textId="77777777" w:rsidR="004635D2" w:rsidRDefault="004635D2">
      <w:pPr>
        <w:ind w:left="34"/>
        <w:jc w:val="both"/>
        <w:rPr>
          <w:rFonts w:eastAsia="Calibri"/>
        </w:rPr>
      </w:pPr>
    </w:p>
    <w:p w14:paraId="1124390B" w14:textId="77777777" w:rsidR="004635D2" w:rsidRDefault="005361EF">
      <w:pPr>
        <w:ind w:left="34"/>
        <w:jc w:val="both"/>
        <w:rPr>
          <w:rFonts w:eastAsia="Calibri"/>
        </w:rPr>
      </w:pPr>
      <w:r>
        <w:t>(2) La notificación de conformidad con el apartado (1) se presentará electrónicamente y deberán especificar los datos especificados en el Decreto del Gobierno emitido en virtud de la autorización de la presente Ley.</w:t>
      </w:r>
    </w:p>
    <w:p w14:paraId="35AD07A8" w14:textId="77777777" w:rsidR="004635D2" w:rsidRDefault="004635D2">
      <w:pPr>
        <w:ind w:left="34"/>
        <w:jc w:val="both"/>
        <w:rPr>
          <w:rFonts w:eastAsia="Calibri"/>
        </w:rPr>
      </w:pPr>
    </w:p>
    <w:p w14:paraId="4A0B7566" w14:textId="77777777" w:rsidR="004635D2" w:rsidRDefault="005361EF">
      <w:pPr>
        <w:ind w:left="34"/>
        <w:jc w:val="both"/>
        <w:rPr>
          <w:rFonts w:eastAsia="Calibri"/>
        </w:rPr>
      </w:pPr>
      <w:r>
        <w:t>(3) De conformidad con el apartado (1), se notificará a la administración de salud pública lo indicado a continuación</w:t>
      </w:r>
    </w:p>
    <w:p w14:paraId="34A39AD4" w14:textId="77777777" w:rsidR="004635D2" w:rsidRDefault="004635D2">
      <w:pPr>
        <w:ind w:left="34"/>
        <w:jc w:val="both"/>
        <w:rPr>
          <w:rFonts w:eastAsia="Calibri"/>
        </w:rPr>
      </w:pPr>
    </w:p>
    <w:p w14:paraId="03778984" w14:textId="77777777" w:rsidR="004635D2" w:rsidRDefault="005361EF">
      <w:pPr>
        <w:ind w:left="34"/>
        <w:jc w:val="both"/>
        <w:rPr>
          <w:rFonts w:eastAsia="Calibri"/>
        </w:rPr>
      </w:pPr>
      <w:r>
        <w:lastRenderedPageBreak/>
        <w:t>a) cualquier modificación relativa a los cigarrillos electrónicos o envases de recarga que afecte a las características técnicas del producto tal como se definen en la presente Ley o en el Decreto del Gobierno emitido en virtud de la presente Ley, y</w:t>
      </w:r>
    </w:p>
    <w:p w14:paraId="1BE33FE8" w14:textId="77777777" w:rsidR="004635D2" w:rsidRDefault="005361EF">
      <w:pPr>
        <w:ind w:left="34"/>
        <w:jc w:val="both"/>
        <w:rPr>
          <w:rFonts w:eastAsia="Calibri"/>
        </w:rPr>
      </w:pPr>
      <w:r>
        <w:t>b) cualquier cambio en la identidad y los datos de contacto del fabricante, importador o distribuidor de cigarrillos electrónicos o envases de recarga en Hungría.</w:t>
      </w:r>
    </w:p>
    <w:p w14:paraId="78176E89" w14:textId="77777777" w:rsidR="004635D2" w:rsidRDefault="004635D2">
      <w:pPr>
        <w:ind w:left="34"/>
        <w:jc w:val="both"/>
        <w:rPr>
          <w:rFonts w:eastAsia="Calibri"/>
        </w:rPr>
      </w:pPr>
    </w:p>
    <w:p w14:paraId="35F87402" w14:textId="77777777" w:rsidR="004635D2" w:rsidRDefault="005361EF">
      <w:pPr>
        <w:ind w:left="34"/>
        <w:jc w:val="both"/>
        <w:rPr>
          <w:rFonts w:eastAsia="Calibri"/>
        </w:rPr>
      </w:pPr>
      <w:r>
        <w:t>(4) La administración de salud pública llevará un registro de los productos descritos en el apartado (1), que incluirá:</w:t>
      </w:r>
    </w:p>
    <w:p w14:paraId="17873C7B" w14:textId="77777777" w:rsidR="004635D2" w:rsidRDefault="005361EF">
      <w:pPr>
        <w:ind w:left="34"/>
        <w:jc w:val="both"/>
        <w:rPr>
          <w:rFonts w:eastAsia="Calibri"/>
        </w:rPr>
      </w:pPr>
      <w:r>
        <w:t>a) el nombre del notificante, del fabricante o el importador, o del distribuidor en Hungría,</w:t>
      </w:r>
    </w:p>
    <w:p w14:paraId="3A2806A9" w14:textId="77777777" w:rsidR="004635D2" w:rsidRDefault="005361EF">
      <w:pPr>
        <w:ind w:left="34"/>
        <w:jc w:val="both"/>
        <w:rPr>
          <w:rFonts w:eastAsia="Calibri"/>
        </w:rPr>
      </w:pPr>
      <w:r>
        <w:t>b) el número de identificación del cigarrillo electrónico,</w:t>
      </w:r>
    </w:p>
    <w:p w14:paraId="2C946247" w14:textId="77777777" w:rsidR="004635D2" w:rsidRDefault="005361EF">
      <w:pPr>
        <w:ind w:left="34"/>
        <w:jc w:val="both"/>
        <w:rPr>
          <w:rFonts w:eastAsia="Calibri"/>
        </w:rPr>
      </w:pPr>
      <w:r>
        <w:t>c) la marca y el nombre del subtipo,</w:t>
      </w:r>
    </w:p>
    <w:p w14:paraId="538B1250" w14:textId="77777777" w:rsidR="004635D2" w:rsidRDefault="005361EF">
      <w:pPr>
        <w:ind w:left="34"/>
        <w:jc w:val="both"/>
        <w:rPr>
          <w:rFonts w:eastAsia="Calibri"/>
        </w:rPr>
      </w:pPr>
      <w:r>
        <w:t>d) el tipo de producto,</w:t>
      </w:r>
    </w:p>
    <w:p w14:paraId="194A5CB5" w14:textId="77777777" w:rsidR="004635D2" w:rsidRDefault="005361EF">
      <w:pPr>
        <w:ind w:left="34"/>
        <w:jc w:val="both"/>
        <w:rPr>
          <w:rFonts w:eastAsia="Calibri"/>
        </w:rPr>
      </w:pPr>
      <w:r>
        <w:t>e) el número de serie del certificado expedido en el momento de la presentación,</w:t>
      </w:r>
    </w:p>
    <w:p w14:paraId="54D356D5" w14:textId="77777777" w:rsidR="004635D2" w:rsidRDefault="005361EF">
      <w:pPr>
        <w:ind w:left="34"/>
        <w:jc w:val="both"/>
        <w:rPr>
          <w:rFonts w:eastAsia="Calibri"/>
        </w:rPr>
      </w:pPr>
      <w:r>
        <w:t>f) el primer día de la posible comercialización del producto calculado de conformidad con el apartado (1).</w:t>
      </w:r>
    </w:p>
    <w:p w14:paraId="4AB7035E" w14:textId="77777777" w:rsidR="004635D2" w:rsidRDefault="004635D2">
      <w:pPr>
        <w:ind w:left="34"/>
        <w:jc w:val="both"/>
        <w:rPr>
          <w:rFonts w:eastAsia="Calibri"/>
        </w:rPr>
      </w:pPr>
    </w:p>
    <w:p w14:paraId="6A090CC1" w14:textId="77777777" w:rsidR="004635D2" w:rsidRDefault="005361EF">
      <w:pPr>
        <w:ind w:left="34"/>
        <w:jc w:val="both"/>
        <w:rPr>
          <w:rFonts w:eastAsia="Calibri"/>
        </w:rPr>
      </w:pPr>
      <w:r>
        <w:t>(5) La retirada del mercado y la recompra de los productos objeto de la prohibición de comercialización sobre las existencias del minorista de tabaco serán facilitadas por el fabricante, importador y distribuidor en Hungría’.</w:t>
      </w:r>
    </w:p>
    <w:p w14:paraId="783B3F9F" w14:textId="77777777" w:rsidR="004635D2" w:rsidRDefault="004635D2">
      <w:pPr>
        <w:rPr>
          <w:rFonts w:eastAsia="Calibri"/>
          <w:b/>
        </w:rPr>
      </w:pPr>
    </w:p>
    <w:p w14:paraId="1404AC1A" w14:textId="77777777" w:rsidR="004635D2" w:rsidRDefault="005361EF">
      <w:pPr>
        <w:jc w:val="center"/>
        <w:rPr>
          <w:rFonts w:eastAsia="Calibri"/>
          <w:b/>
        </w:rPr>
      </w:pPr>
      <w:r>
        <w:rPr>
          <w:b/>
        </w:rPr>
        <w:t>42. §</w:t>
      </w:r>
    </w:p>
    <w:p w14:paraId="124B264F" w14:textId="77777777" w:rsidR="004635D2" w:rsidRDefault="004635D2">
      <w:pPr>
        <w:rPr>
          <w:rFonts w:eastAsia="Calibri"/>
          <w:i/>
        </w:rPr>
      </w:pPr>
    </w:p>
    <w:p w14:paraId="68095567" w14:textId="77777777" w:rsidR="004635D2" w:rsidRDefault="005361EF">
      <w:pPr>
        <w:jc w:val="both"/>
        <w:rPr>
          <w:rFonts w:eastAsia="Calibri"/>
        </w:rPr>
      </w:pPr>
      <w:r>
        <w:t>En la Nvt: La sección del artículo 7/I se sustituye por el texto siguiente:</w:t>
      </w:r>
    </w:p>
    <w:p w14:paraId="491E2CCE" w14:textId="77777777" w:rsidR="004635D2" w:rsidRDefault="004635D2">
      <w:pPr>
        <w:jc w:val="both"/>
        <w:rPr>
          <w:rFonts w:eastAsia="Calibri"/>
        </w:rPr>
      </w:pPr>
    </w:p>
    <w:p w14:paraId="25A9B341" w14:textId="40567AAC" w:rsidR="004635D2" w:rsidRDefault="009B2DAB">
      <w:pPr>
        <w:jc w:val="both"/>
        <w:rPr>
          <w:rFonts w:eastAsia="Calibri"/>
        </w:rPr>
      </w:pPr>
      <w:r>
        <w:t>‘</w:t>
      </w:r>
      <w:r w:rsidR="005361EF">
        <w:t>La sección del artículo 7/I Las disposiciones del presente capítulo se aplicarán también a los envases de recarga sin nicotina y a los dispositivos electrónicos que simulan el consumo de tabaco’.</w:t>
      </w:r>
    </w:p>
    <w:p w14:paraId="7A4E84F9" w14:textId="77777777" w:rsidR="004635D2" w:rsidRDefault="004635D2">
      <w:pPr>
        <w:jc w:val="center"/>
        <w:rPr>
          <w:rFonts w:eastAsia="Calibri"/>
          <w:b/>
        </w:rPr>
      </w:pPr>
    </w:p>
    <w:p w14:paraId="315045C9" w14:textId="77777777" w:rsidR="004635D2" w:rsidRDefault="005361EF">
      <w:pPr>
        <w:jc w:val="center"/>
        <w:rPr>
          <w:rFonts w:eastAsia="Calibri"/>
          <w:b/>
        </w:rPr>
      </w:pPr>
      <w:r>
        <w:rPr>
          <w:b/>
        </w:rPr>
        <w:t>43. §</w:t>
      </w:r>
    </w:p>
    <w:p w14:paraId="6F91F746" w14:textId="77777777" w:rsidR="004635D2" w:rsidRDefault="004635D2">
      <w:pPr>
        <w:jc w:val="both"/>
        <w:rPr>
          <w:rFonts w:eastAsia="Calibri"/>
          <w:b/>
          <w:bCs/>
        </w:rPr>
      </w:pPr>
    </w:p>
    <w:p w14:paraId="4DC82EAB" w14:textId="77777777" w:rsidR="004635D2" w:rsidRDefault="005361EF">
      <w:pPr>
        <w:jc w:val="both"/>
        <w:rPr>
          <w:rFonts w:eastAsia="Calibri"/>
        </w:rPr>
      </w:pPr>
      <w:r>
        <w:t>Antes del sub-epígrafe «Disposiciones finales» de la Ley de protección de los no fumadores, se añade a la sección el artículo 7/M siguiente:</w:t>
      </w:r>
    </w:p>
    <w:p w14:paraId="13B321E0" w14:textId="77777777" w:rsidR="004635D2" w:rsidRDefault="004635D2">
      <w:pPr>
        <w:jc w:val="both"/>
        <w:rPr>
          <w:rFonts w:eastAsia="Calibri"/>
        </w:rPr>
      </w:pPr>
    </w:p>
    <w:p w14:paraId="5A275A5A" w14:textId="77777777" w:rsidR="004635D2" w:rsidRDefault="005361EF">
      <w:pPr>
        <w:jc w:val="center"/>
        <w:rPr>
          <w:rFonts w:eastAsia="Calibri"/>
        </w:rPr>
      </w:pPr>
      <w:r>
        <w:t>‘Reglas para productos de sustitución del consumo de tabaco que contengan nicotina</w:t>
      </w:r>
    </w:p>
    <w:p w14:paraId="32C20F94" w14:textId="77777777" w:rsidR="004635D2" w:rsidRDefault="004635D2">
      <w:pPr>
        <w:jc w:val="both"/>
        <w:rPr>
          <w:rFonts w:eastAsia="Calibri"/>
        </w:rPr>
      </w:pPr>
    </w:p>
    <w:p w14:paraId="59DC7549" w14:textId="77777777" w:rsidR="004635D2" w:rsidRDefault="005361EF">
      <w:pPr>
        <w:jc w:val="both"/>
        <w:rPr>
          <w:rFonts w:eastAsia="Calibri"/>
        </w:rPr>
      </w:pPr>
      <w:r>
        <w:t>7/M.  Secciones 7/C-7/G para los productos de sustitución del consumo de tabaco que contengan nicotina’.  Sección, se aplicarán las disposiciones</w:t>
      </w:r>
    </w:p>
    <w:p w14:paraId="798C4729" w14:textId="77777777" w:rsidR="004635D2" w:rsidRDefault="004635D2">
      <w:pPr>
        <w:jc w:val="both"/>
        <w:rPr>
          <w:rFonts w:eastAsia="Calibri"/>
        </w:rPr>
      </w:pPr>
    </w:p>
    <w:p w14:paraId="1592E157" w14:textId="77777777" w:rsidR="004635D2" w:rsidRDefault="005361EF">
      <w:pPr>
        <w:jc w:val="center"/>
        <w:rPr>
          <w:rFonts w:eastAsia="Calibri"/>
          <w:b/>
        </w:rPr>
      </w:pPr>
      <w:r>
        <w:rPr>
          <w:b/>
        </w:rPr>
        <w:t>44. §</w:t>
      </w:r>
      <w:r>
        <w:t xml:space="preserve"> </w:t>
      </w:r>
    </w:p>
    <w:p w14:paraId="3EDB7A62" w14:textId="77777777" w:rsidR="004635D2" w:rsidRDefault="004635D2">
      <w:pPr>
        <w:jc w:val="both"/>
        <w:rPr>
          <w:rFonts w:eastAsia="Calibri"/>
          <w:i/>
        </w:rPr>
      </w:pPr>
    </w:p>
    <w:p w14:paraId="04F2C8CA" w14:textId="77777777" w:rsidR="004635D2" w:rsidRDefault="005361EF">
      <w:pPr>
        <w:jc w:val="both"/>
        <w:rPr>
          <w:rFonts w:eastAsia="Calibri"/>
        </w:rPr>
      </w:pPr>
      <w:r>
        <w:t>En la Nvt: 8. El artículo (5)</w:t>
      </w:r>
      <w:r>
        <w:rPr>
          <w:i/>
          <w:iCs/>
        </w:rPr>
        <w:t>(a)</w:t>
      </w:r>
      <w:r>
        <w:t xml:space="preserve"> se sustituye por el texto siguiente:</w:t>
      </w:r>
    </w:p>
    <w:p w14:paraId="710D8FEC" w14:textId="77777777" w:rsidR="004635D2" w:rsidRDefault="004635D2">
      <w:pPr>
        <w:jc w:val="both"/>
        <w:rPr>
          <w:rFonts w:eastAsia="Calibri"/>
        </w:rPr>
      </w:pPr>
    </w:p>
    <w:p w14:paraId="305746D3" w14:textId="77777777" w:rsidR="004635D2" w:rsidRDefault="005361EF">
      <w:pPr>
        <w:jc w:val="both"/>
        <w:rPr>
          <w:rFonts w:eastAsia="Calibri"/>
          <w:i/>
        </w:rPr>
      </w:pPr>
      <w:r>
        <w:rPr>
          <w:i/>
        </w:rPr>
        <w:t>(</w:t>
      </w:r>
      <w:r>
        <w:rPr>
          <w:i/>
          <w:shd w:val="clear" w:color="auto" w:fill="FFFFFF"/>
        </w:rPr>
        <w:t>Por la presente, el Gobierno estará autorizado a estipular, por decreto, normas detalladas sobre lo indicado a continuación:)</w:t>
      </w:r>
    </w:p>
    <w:p w14:paraId="1F44CA52" w14:textId="77777777" w:rsidR="004635D2" w:rsidRDefault="004635D2">
      <w:pPr>
        <w:jc w:val="both"/>
        <w:rPr>
          <w:rFonts w:eastAsia="Calibri"/>
        </w:rPr>
      </w:pPr>
    </w:p>
    <w:p w14:paraId="2D127213" w14:textId="1615891C" w:rsidR="004635D2" w:rsidRDefault="005361EF">
      <w:pPr>
        <w:jc w:val="both"/>
      </w:pPr>
      <w:r>
        <w:t>«</w:t>
      </w:r>
      <w:r>
        <w:rPr>
          <w:i/>
          <w:iCs/>
        </w:rPr>
        <w:t>(a)</w:t>
      </w:r>
      <w:r>
        <w:t xml:space="preserve"> las</w:t>
      </w:r>
      <w:r>
        <w:rPr>
          <w:shd w:val="clear" w:color="auto" w:fill="FFFFFF"/>
        </w:rPr>
        <w:t xml:space="preserve"> advertencias combinadas, las advertencias sanitarias y las normas detalladas para su aplicación, las unidades de envasado de los productos del tabaco y los cigarrillos electrónicos, los envases de recarga, los dispositivos electrónicos que simulan el consumo de tabaco, los envases de recarga sin nicotina y</w:t>
      </w:r>
      <w:r>
        <w:t xml:space="preserve"> los productos de sustitución del consumo de tabaco que contengan nicotina,</w:t>
      </w:r>
      <w:r w:rsidR="009B2DAB">
        <w:t xml:space="preserve"> </w:t>
      </w:r>
      <w:r>
        <w:rPr>
          <w:shd w:val="clear" w:color="auto" w:fill="FFFFFF"/>
        </w:rPr>
        <w:t>las normas detalladas para las unidades de envasado y las condiciones para las restricciones en el consumo de tabaco, y el contenido y la forma de los signos y las etiquetas designados para las limitaciones en el consumo de tabaco y los lugares para ello, así como el uso de cigarrillos electrónicos, dispositivos electrónicos que simulan el consumo de tabaco,</w:t>
      </w:r>
      <w:r w:rsidR="009B2DAB">
        <w:rPr>
          <w:shd w:val="clear" w:color="auto" w:fill="FFFFFF"/>
        </w:rPr>
        <w:t xml:space="preserve"> </w:t>
      </w:r>
      <w:r>
        <w:t xml:space="preserve">los productos de </w:t>
      </w:r>
      <w:r>
        <w:lastRenderedPageBreak/>
        <w:t>sustitución del consumo de tabaco que contengan nicotina</w:t>
      </w:r>
      <w:r>
        <w:rPr>
          <w:shd w:val="clear" w:color="auto" w:fill="FFFFFF"/>
        </w:rPr>
        <w:t>, además de otras condiciones de la fabricación, la distribución y el control de los productos del tabaco, cigarrillos electrónicos, envases de recarga, dispositivos electrónicos que simulan el consumo de tabaco, envases de recarga sin nicotina y productos de sustitución del consumo de tabaco que contengan nicotina, que no estén dentro del alcance de la Ley de impuestos especiales.</w:t>
      </w:r>
    </w:p>
    <w:p w14:paraId="37AF04EA" w14:textId="77777777" w:rsidR="004635D2" w:rsidRDefault="004635D2">
      <w:pPr>
        <w:ind w:left="34"/>
        <w:jc w:val="both"/>
        <w:rPr>
          <w:rFonts w:eastAsia="Calibri"/>
        </w:rPr>
      </w:pPr>
    </w:p>
    <w:p w14:paraId="505C5FD2" w14:textId="77777777" w:rsidR="004635D2" w:rsidRDefault="005361EF">
      <w:pPr>
        <w:jc w:val="center"/>
        <w:rPr>
          <w:rFonts w:eastAsia="Calibri"/>
          <w:b/>
        </w:rPr>
      </w:pPr>
      <w:r>
        <w:rPr>
          <w:b/>
        </w:rPr>
        <w:t>45. §</w:t>
      </w:r>
    </w:p>
    <w:p w14:paraId="02D4DAD4" w14:textId="77777777" w:rsidR="004635D2" w:rsidRDefault="004635D2">
      <w:pPr>
        <w:jc w:val="both"/>
        <w:rPr>
          <w:rFonts w:eastAsia="Calibri"/>
        </w:rPr>
      </w:pPr>
    </w:p>
    <w:p w14:paraId="3ADB9AD5" w14:textId="77777777" w:rsidR="004635D2" w:rsidRDefault="005361EF">
      <w:pPr>
        <w:jc w:val="both"/>
        <w:rPr>
          <w:rFonts w:eastAsia="Calibri"/>
        </w:rPr>
      </w:pPr>
      <w:r>
        <w:t xml:space="preserve"> En la Nvt: </w:t>
      </w:r>
    </w:p>
    <w:p w14:paraId="15CFB07B" w14:textId="77777777" w:rsidR="004635D2" w:rsidRDefault="005361EF">
      <w:pPr>
        <w:widowControl w:val="0"/>
      </w:pPr>
      <w:r>
        <w:t>a) En la sección (1) del Decreto: En el párrafo (r) los términos ‘que contengan nicotina’ se sustituyen por la frase ‘que contengan cualquier forma de nicotina’,</w:t>
      </w:r>
    </w:p>
    <w:p w14:paraId="5BB213A8" w14:textId="77777777" w:rsidR="004635D2" w:rsidRDefault="005361EF">
      <w:pPr>
        <w:widowControl w:val="0"/>
      </w:pPr>
      <w:r>
        <w:t>b) En la sección (1), en el artículo o artículos, el término ‘sin nicotina’ se sustituye por la frase ‘exclusivamente sin nicotina’,</w:t>
      </w:r>
    </w:p>
    <w:p w14:paraId="59A8FDFB" w14:textId="77777777" w:rsidR="004635D2" w:rsidRDefault="005361EF">
      <w:pPr>
        <w:widowControl w:val="0"/>
      </w:pPr>
      <w:r>
        <w:t>c) En la sección 8, el párrafo (3) con el texto ‘Ley CIII del año 1997 relativa a las normas especiales para la comercialización de productos sujetos a impuestos especiales’ se sustituye por el texto ‘Ley LXVIII de 2016 relativa a los impuestos especiales’,</w:t>
      </w:r>
    </w:p>
    <w:p w14:paraId="432459E1" w14:textId="77777777" w:rsidR="004635D2" w:rsidRDefault="005361EF">
      <w:pPr>
        <w:widowControl w:val="0"/>
      </w:pPr>
      <w:r>
        <w:t>d) En la sección 8, artículo (4c), párrafo (a), los términos ‘envases de recarga y fumar’ se sustituyen por los términos ‘envases de recarga, envases de recarga sin nicotina, productos de sustitución para el consumo de tabaco que contengan las palabras nicotina y fumar’</w:t>
      </w:r>
    </w:p>
    <w:p w14:paraId="6498E274" w14:textId="77777777" w:rsidR="004635D2" w:rsidRDefault="005361EF">
      <w:pPr>
        <w:jc w:val="both"/>
        <w:rPr>
          <w:rFonts w:eastAsia="Calibri"/>
        </w:rPr>
      </w:pPr>
      <w:r>
        <w:t xml:space="preserve">. </w:t>
      </w:r>
    </w:p>
    <w:p w14:paraId="5834748D" w14:textId="77777777" w:rsidR="004635D2" w:rsidRDefault="004635D2">
      <w:pPr>
        <w:jc w:val="center"/>
        <w:rPr>
          <w:rFonts w:eastAsia="Calibri"/>
          <w:b/>
        </w:rPr>
      </w:pPr>
    </w:p>
    <w:p w14:paraId="6F681B17" w14:textId="77777777" w:rsidR="004635D2" w:rsidRDefault="005361EF">
      <w:pPr>
        <w:jc w:val="center"/>
        <w:rPr>
          <w:rFonts w:eastAsia="Calibri"/>
          <w:b/>
        </w:rPr>
      </w:pPr>
      <w:r>
        <w:rPr>
          <w:b/>
        </w:rPr>
        <w:t>46. §</w:t>
      </w:r>
    </w:p>
    <w:p w14:paraId="07E42158" w14:textId="77777777" w:rsidR="004635D2" w:rsidRDefault="004635D2">
      <w:pPr>
        <w:rPr>
          <w:rFonts w:eastAsia="Calibri"/>
        </w:rPr>
      </w:pPr>
    </w:p>
    <w:p w14:paraId="55DFD44E" w14:textId="77777777" w:rsidR="004635D2" w:rsidRDefault="005361EF">
      <w:pPr>
        <w:rPr>
          <w:rFonts w:eastAsia="Calibri"/>
        </w:rPr>
      </w:pPr>
      <w:r>
        <w:t>Quedan derogados los siguientes artículos de la Nvt. (Ley de protección de los no fumadores):</w:t>
      </w:r>
    </w:p>
    <w:p w14:paraId="06E09C0A" w14:textId="77777777" w:rsidR="004635D2" w:rsidRDefault="005361EF">
      <w:pPr>
        <w:rPr>
          <w:rFonts w:eastAsia="Calibri"/>
        </w:rPr>
      </w:pPr>
      <w:r>
        <w:t>a) 7/K-7/L. Sección a</w:t>
      </w:r>
    </w:p>
    <w:p w14:paraId="71CEEE17" w14:textId="77777777" w:rsidR="004635D2" w:rsidRDefault="005361EF">
      <w:pPr>
        <w:rPr>
          <w:rFonts w:eastAsia="Calibri"/>
        </w:rPr>
      </w:pPr>
      <w:r>
        <w:t>b) en la sección 8, artículo (2),</w:t>
      </w:r>
    </w:p>
    <w:p w14:paraId="2A90ECFB" w14:textId="77777777" w:rsidR="004635D2" w:rsidRDefault="005361EF">
      <w:pPr>
        <w:rPr>
          <w:rFonts w:eastAsia="Calibri"/>
        </w:rPr>
      </w:pPr>
      <w:r>
        <w:t>c) en la sección 8, párrafo (4d) y</w:t>
      </w:r>
    </w:p>
    <w:p w14:paraId="14E02025" w14:textId="77777777" w:rsidR="004635D2" w:rsidRDefault="005361EF">
      <w:pPr>
        <w:spacing w:line="276" w:lineRule="auto"/>
        <w:jc w:val="both"/>
        <w:rPr>
          <w:rFonts w:eastAsia="Calibri"/>
        </w:rPr>
      </w:pPr>
      <w:r>
        <w:t xml:space="preserve">d) en la sección 8, artículo (5) párrafo </w:t>
      </w:r>
      <w:r>
        <w:rPr>
          <w:i/>
          <w:iCs/>
        </w:rPr>
        <w:t>(k)</w:t>
      </w:r>
      <w:r>
        <w:t>.</w:t>
      </w:r>
    </w:p>
    <w:sectPr w:rsidR="004635D2">
      <w:headerReference w:type="default" r:id="rId11"/>
      <w:footerReference w:type="default" r:id="rId12"/>
      <w:headerReference w:type="first" r:id="rId13"/>
      <w:pgSz w:w="11906" w:h="16838"/>
      <w:pgMar w:top="1134" w:right="1134" w:bottom="1134" w:left="1134" w:header="708" w:footer="708" w:gutter="0"/>
      <w:cols w:space="708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8F3DC33" w14:textId="77777777" w:rsidR="00155D33" w:rsidRDefault="00155D33">
      <w:r>
        <w:separator/>
      </w:r>
    </w:p>
  </w:endnote>
  <w:endnote w:type="continuationSeparator" w:id="0">
    <w:p w14:paraId="2D9812B0" w14:textId="77777777" w:rsidR="00155D33" w:rsidRDefault="00155D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iberation Serif">
    <w:charset w:val="EE"/>
    <w:family w:val="roman"/>
    <w:pitch w:val="variable"/>
    <w:sig w:usb0="E0000AFF" w:usb1="500078FF" w:usb2="00000021" w:usb3="00000000" w:csb0="000001BF" w:csb1="00000000"/>
  </w:font>
  <w:font w:name="Droid Sans Fallback">
    <w:panose1 w:val="00000000000000000000"/>
    <w:charset w:val="00"/>
    <w:family w:val="roman"/>
    <w:notTrueType/>
    <w:pitch w:val="default"/>
  </w:font>
  <w:font w:name="FreeSans">
    <w:panose1 w:val="00000000000000000000"/>
    <w:charset w:val="00"/>
    <w:family w:val="roman"/>
    <w:notTrueType/>
    <w:pitch w:val="default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746477976"/>
      <w:docPartObj>
        <w:docPartGallery w:val="Page Numbers (Bottom of Page)"/>
        <w:docPartUnique/>
      </w:docPartObj>
    </w:sdtPr>
    <w:sdtEndPr/>
    <w:sdtContent>
      <w:p w14:paraId="68A2DBC5" w14:textId="77777777" w:rsidR="004635D2" w:rsidRDefault="005361EF">
        <w:pPr>
          <w:pStyle w:val="Footer"/>
          <w:jc w:val="right"/>
          <w:rPr>
            <w:sz w:val="20"/>
            <w:szCs w:val="20"/>
          </w:rPr>
        </w:pPr>
        <w:r>
          <w:rPr>
            <w:sz w:val="20"/>
          </w:rPr>
          <w:fldChar w:fldCharType="begin"/>
        </w:r>
        <w:r>
          <w:rPr>
            <w:sz w:val="20"/>
          </w:rPr>
          <w:instrText>PAGE</w:instrText>
        </w:r>
        <w:r>
          <w:rPr>
            <w:sz w:val="20"/>
          </w:rPr>
          <w:fldChar w:fldCharType="separate"/>
        </w:r>
        <w:r w:rsidR="005C4D1A">
          <w:rPr>
            <w:sz w:val="20"/>
          </w:rPr>
          <w:t>2</w:t>
        </w:r>
        <w:r>
          <w:rPr>
            <w:sz w:val="20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50D3C3A" w14:textId="77777777" w:rsidR="00155D33" w:rsidRDefault="00155D33">
      <w:r>
        <w:separator/>
      </w:r>
    </w:p>
  </w:footnote>
  <w:footnote w:type="continuationSeparator" w:id="0">
    <w:p w14:paraId="43BF0ADF" w14:textId="77777777" w:rsidR="00155D33" w:rsidRDefault="00155D3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85C46F4" w14:textId="77777777" w:rsidR="004635D2" w:rsidRDefault="005361EF">
    <w:pPr>
      <w:pStyle w:val="Header"/>
      <w:jc w:val="center"/>
      <w:rPr>
        <w:sz w:val="20"/>
      </w:rPr>
    </w:pPr>
    <w:r>
      <w:rPr>
        <w:sz w:val="20"/>
      </w:rPr>
      <w:t>El Gobierno no ha debatido esta propuesta y, por tanto, no puede considerarse como la posición oficial del Gobierno.</w:t>
    </w:r>
  </w:p>
  <w:p w14:paraId="071AF9C0" w14:textId="77777777" w:rsidR="004635D2" w:rsidRDefault="004635D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17A6028" w14:textId="77777777" w:rsidR="004635D2" w:rsidRDefault="004635D2">
    <w:pPr>
      <w:pStyle w:val="Header"/>
      <w:jc w:val="center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7C290A09"/>
    <w:multiLevelType w:val="multilevel"/>
    <w:tmpl w:val="4164F202"/>
    <w:lvl w:ilvl="0">
      <w:start w:val="1"/>
      <w:numFmt w:val="decimal"/>
      <w:pStyle w:val="Heading1"/>
      <w:lvlText w:val="%1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1">
      <w:start w:val="1"/>
      <w:numFmt w:val="decimal"/>
      <w:pStyle w:val="Heading2"/>
      <w:lvlText w:val="%1.%2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decimal"/>
      <w:pStyle w:val="Heading3"/>
      <w:lvlText w:val="%1.%2.%3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decimal"/>
      <w:pStyle w:val="Heading4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decimal"/>
      <w:pStyle w:val="Heading5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decimal"/>
      <w:pStyle w:val="Heading6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decimal"/>
      <w:pStyle w:val="Heading7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decimal"/>
      <w:pStyle w:val="Heading8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pStyle w:val="Heading9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0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635D2"/>
    <w:rsid w:val="00155D33"/>
    <w:rsid w:val="004635D2"/>
    <w:rsid w:val="005361EF"/>
    <w:rsid w:val="005C4D1A"/>
    <w:rsid w:val="009B2D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85ECF0"/>
  <w15:docId w15:val="{3FF1EA61-B5B1-4917-96C4-90C42A63E9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34423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Heading1">
    <w:name w:val="heading 1"/>
    <w:basedOn w:val="Normal"/>
    <w:next w:val="Normal"/>
    <w:link w:val="Heading1Char"/>
    <w:qFormat/>
    <w:rsid w:val="00A365D9"/>
    <w:pPr>
      <w:keepNext/>
      <w:numPr>
        <w:numId w:val="1"/>
      </w:numPr>
      <w:spacing w:before="240" w:after="60"/>
      <w:jc w:val="center"/>
      <w:outlineLvl w:val="0"/>
    </w:pPr>
    <w:rPr>
      <w:rFonts w:ascii="Arial" w:hAnsi="Arial"/>
      <w:b/>
      <w:bCs/>
      <w:kern w:val="2"/>
      <w:sz w:val="32"/>
      <w:szCs w:val="32"/>
      <w:u w:val="single"/>
    </w:rPr>
  </w:style>
  <w:style w:type="paragraph" w:styleId="Heading2">
    <w:name w:val="heading 2"/>
    <w:basedOn w:val="Normal"/>
    <w:next w:val="Normal"/>
    <w:link w:val="Heading2Char"/>
    <w:qFormat/>
    <w:rsid w:val="00A365D9"/>
    <w:pPr>
      <w:keepNext/>
      <w:numPr>
        <w:ilvl w:val="1"/>
        <w:numId w:val="1"/>
      </w:numPr>
      <w:spacing w:before="240" w:after="60"/>
      <w:outlineLvl w:val="1"/>
    </w:pPr>
    <w:rPr>
      <w:rFonts w:ascii="Arial" w:hAnsi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qFormat/>
    <w:rsid w:val="00A365D9"/>
    <w:pPr>
      <w:keepNext/>
      <w:numPr>
        <w:ilvl w:val="2"/>
        <w:numId w:val="1"/>
      </w:numPr>
      <w:spacing w:before="240" w:after="60"/>
      <w:outlineLvl w:val="2"/>
    </w:pPr>
    <w:rPr>
      <w:b/>
      <w:bCs/>
      <w:sz w:val="28"/>
      <w:szCs w:val="26"/>
    </w:rPr>
  </w:style>
  <w:style w:type="paragraph" w:styleId="Heading4">
    <w:name w:val="heading 4"/>
    <w:basedOn w:val="Normal"/>
    <w:next w:val="Normal"/>
    <w:link w:val="Heading4Char"/>
    <w:qFormat/>
    <w:rsid w:val="00A365D9"/>
    <w:pPr>
      <w:keepNext/>
      <w:numPr>
        <w:ilvl w:val="3"/>
        <w:numId w:val="1"/>
      </w:numPr>
      <w:tabs>
        <w:tab w:val="left" w:pos="5387"/>
      </w:tabs>
      <w:outlineLvl w:val="3"/>
    </w:pPr>
    <w:rPr>
      <w:bCs/>
      <w:sz w:val="28"/>
      <w:szCs w:val="20"/>
    </w:rPr>
  </w:style>
  <w:style w:type="paragraph" w:styleId="Heading5">
    <w:name w:val="heading 5"/>
    <w:basedOn w:val="Normal"/>
    <w:next w:val="Normal"/>
    <w:link w:val="Heading5Char"/>
    <w:qFormat/>
    <w:rsid w:val="00A365D9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A365D9"/>
    <w:pPr>
      <w:numPr>
        <w:ilvl w:val="5"/>
        <w:numId w:val="1"/>
      </w:numPr>
      <w:spacing w:before="240" w:after="60"/>
      <w:outlineLvl w:val="5"/>
    </w:pPr>
    <w:rPr>
      <w:b/>
      <w:bCs/>
      <w:sz w:val="20"/>
      <w:szCs w:val="20"/>
    </w:rPr>
  </w:style>
  <w:style w:type="paragraph" w:styleId="Heading7">
    <w:name w:val="heading 7"/>
    <w:basedOn w:val="Normal"/>
    <w:next w:val="Normal"/>
    <w:link w:val="Heading7Char"/>
    <w:qFormat/>
    <w:rsid w:val="00A365D9"/>
    <w:pPr>
      <w:keepNext/>
      <w:numPr>
        <w:ilvl w:val="6"/>
        <w:numId w:val="1"/>
      </w:numPr>
      <w:ind w:right="-288" w:firstLine="0"/>
      <w:outlineLvl w:val="6"/>
    </w:pPr>
    <w:rPr>
      <w:sz w:val="28"/>
    </w:rPr>
  </w:style>
  <w:style w:type="paragraph" w:styleId="Heading8">
    <w:name w:val="heading 8"/>
    <w:basedOn w:val="Normal"/>
    <w:next w:val="Normal"/>
    <w:link w:val="Heading8Char"/>
    <w:qFormat/>
    <w:rsid w:val="00A365D9"/>
    <w:pPr>
      <w:numPr>
        <w:ilvl w:val="7"/>
        <w:numId w:val="1"/>
      </w:numPr>
      <w:spacing w:before="240" w:after="60"/>
      <w:outlineLvl w:val="7"/>
    </w:pPr>
    <w:rPr>
      <w:i/>
      <w:iCs/>
    </w:rPr>
  </w:style>
  <w:style w:type="paragraph" w:styleId="Heading9">
    <w:name w:val="heading 9"/>
    <w:basedOn w:val="Normal"/>
    <w:next w:val="Normal"/>
    <w:link w:val="Heading9Char"/>
    <w:qFormat/>
    <w:rsid w:val="00A365D9"/>
    <w:pPr>
      <w:numPr>
        <w:ilvl w:val="8"/>
        <w:numId w:val="1"/>
      </w:numPr>
      <w:spacing w:before="240" w:after="60"/>
      <w:outlineLvl w:val="8"/>
    </w:pPr>
    <w:rPr>
      <w:rFonts w:ascii="Arial" w:hAnsi="Arial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qFormat/>
    <w:rsid w:val="00A365D9"/>
    <w:rPr>
      <w:rFonts w:ascii="Arial" w:eastAsia="Times New Roman" w:hAnsi="Arial" w:cs="Times New Roman"/>
      <w:b/>
      <w:bCs/>
      <w:kern w:val="2"/>
      <w:sz w:val="32"/>
      <w:szCs w:val="32"/>
      <w:u w:val="single"/>
      <w:lang w:eastAsia="hu-HU"/>
    </w:rPr>
  </w:style>
  <w:style w:type="character" w:customStyle="1" w:styleId="Heading2Char">
    <w:name w:val="Heading 2 Char"/>
    <w:basedOn w:val="DefaultParagraphFont"/>
    <w:link w:val="Heading2"/>
    <w:uiPriority w:val="9"/>
    <w:qFormat/>
    <w:rsid w:val="00A365D9"/>
    <w:rPr>
      <w:rFonts w:ascii="Arial" w:eastAsia="Times New Roman" w:hAnsi="Arial" w:cs="Times New Roman"/>
      <w:b/>
      <w:bCs/>
      <w:i/>
      <w:iCs/>
      <w:sz w:val="28"/>
      <w:szCs w:val="28"/>
      <w:lang w:eastAsia="hu-HU"/>
    </w:rPr>
  </w:style>
  <w:style w:type="character" w:customStyle="1" w:styleId="Heading3Char">
    <w:name w:val="Heading 3 Char"/>
    <w:basedOn w:val="DefaultParagraphFont"/>
    <w:link w:val="Heading3"/>
    <w:qFormat/>
    <w:rsid w:val="00A365D9"/>
    <w:rPr>
      <w:rFonts w:ascii="Times New Roman" w:eastAsia="Times New Roman" w:hAnsi="Times New Roman" w:cs="Times New Roman"/>
      <w:b/>
      <w:bCs/>
      <w:sz w:val="28"/>
      <w:szCs w:val="26"/>
      <w:lang w:eastAsia="hu-HU"/>
    </w:rPr>
  </w:style>
  <w:style w:type="character" w:customStyle="1" w:styleId="Heading4Char">
    <w:name w:val="Heading 4 Char"/>
    <w:basedOn w:val="DefaultParagraphFont"/>
    <w:link w:val="Heading4"/>
    <w:qFormat/>
    <w:rsid w:val="00A365D9"/>
    <w:rPr>
      <w:rFonts w:ascii="Times New Roman" w:eastAsia="Times New Roman" w:hAnsi="Times New Roman" w:cs="Times New Roman"/>
      <w:bCs/>
      <w:sz w:val="28"/>
      <w:szCs w:val="20"/>
      <w:lang w:eastAsia="hu-HU"/>
    </w:rPr>
  </w:style>
  <w:style w:type="character" w:customStyle="1" w:styleId="Heading5Char">
    <w:name w:val="Heading 5 Char"/>
    <w:basedOn w:val="DefaultParagraphFont"/>
    <w:link w:val="Heading5"/>
    <w:qFormat/>
    <w:rsid w:val="00A365D9"/>
    <w:rPr>
      <w:rFonts w:ascii="Times New Roman" w:eastAsia="Times New Roman" w:hAnsi="Times New Roman" w:cs="Times New Roman"/>
      <w:b/>
      <w:bCs/>
      <w:i/>
      <w:iCs/>
      <w:sz w:val="26"/>
      <w:szCs w:val="26"/>
      <w:lang w:eastAsia="hu-HU"/>
    </w:rPr>
  </w:style>
  <w:style w:type="character" w:customStyle="1" w:styleId="Heading6Char">
    <w:name w:val="Heading 6 Char"/>
    <w:basedOn w:val="DefaultParagraphFont"/>
    <w:link w:val="Heading6"/>
    <w:qFormat/>
    <w:rsid w:val="00A365D9"/>
    <w:rPr>
      <w:rFonts w:ascii="Times New Roman" w:eastAsia="Times New Roman" w:hAnsi="Times New Roman" w:cs="Times New Roman"/>
      <w:b/>
      <w:bCs/>
      <w:sz w:val="20"/>
      <w:szCs w:val="20"/>
      <w:lang w:eastAsia="hu-HU"/>
    </w:rPr>
  </w:style>
  <w:style w:type="character" w:customStyle="1" w:styleId="Heading7Char">
    <w:name w:val="Heading 7 Char"/>
    <w:basedOn w:val="DefaultParagraphFont"/>
    <w:link w:val="Heading7"/>
    <w:qFormat/>
    <w:rsid w:val="00A365D9"/>
    <w:rPr>
      <w:rFonts w:ascii="Times New Roman" w:eastAsia="Times New Roman" w:hAnsi="Times New Roman" w:cs="Times New Roman"/>
      <w:sz w:val="28"/>
      <w:szCs w:val="24"/>
      <w:lang w:eastAsia="hu-HU"/>
    </w:rPr>
  </w:style>
  <w:style w:type="character" w:customStyle="1" w:styleId="Heading8Char">
    <w:name w:val="Heading 8 Char"/>
    <w:basedOn w:val="DefaultParagraphFont"/>
    <w:link w:val="Heading8"/>
    <w:qFormat/>
    <w:rsid w:val="00A365D9"/>
    <w:rPr>
      <w:rFonts w:ascii="Times New Roman" w:eastAsia="Times New Roman" w:hAnsi="Times New Roman" w:cs="Times New Roman"/>
      <w:i/>
      <w:iCs/>
      <w:sz w:val="24"/>
      <w:szCs w:val="24"/>
      <w:lang w:eastAsia="hu-HU"/>
    </w:rPr>
  </w:style>
  <w:style w:type="character" w:customStyle="1" w:styleId="Heading9Char">
    <w:name w:val="Heading 9 Char"/>
    <w:basedOn w:val="DefaultParagraphFont"/>
    <w:link w:val="Heading9"/>
    <w:qFormat/>
    <w:rsid w:val="00A365D9"/>
    <w:rPr>
      <w:rFonts w:ascii="Arial" w:eastAsia="Times New Roman" w:hAnsi="Arial" w:cs="Times New Roman"/>
      <w:sz w:val="20"/>
      <w:szCs w:val="20"/>
      <w:lang w:eastAsia="hu-HU"/>
    </w:rPr>
  </w:style>
  <w:style w:type="character" w:customStyle="1" w:styleId="ListParagraphChar">
    <w:name w:val="List Paragraph Char"/>
    <w:link w:val="ListParagraph"/>
    <w:uiPriority w:val="34"/>
    <w:qFormat/>
    <w:locked/>
    <w:rsid w:val="00A365D9"/>
    <w:rPr>
      <w:rFonts w:ascii="Calibri" w:eastAsia="Calibri" w:hAnsi="Calibri" w:cs="Times New Roman"/>
    </w:rPr>
  </w:style>
  <w:style w:type="character" w:customStyle="1" w:styleId="Internet-hivatkozs">
    <w:name w:val="Internet-hivatkozás"/>
    <w:uiPriority w:val="99"/>
    <w:rsid w:val="00A365D9"/>
    <w:rPr>
      <w:color w:val="0000FF"/>
      <w:u w:val="single"/>
    </w:rPr>
  </w:style>
  <w:style w:type="character" w:customStyle="1" w:styleId="PlainTextChar">
    <w:name w:val="Plain Text Char"/>
    <w:basedOn w:val="DefaultParagraphFont"/>
    <w:link w:val="PlainText"/>
    <w:uiPriority w:val="99"/>
    <w:qFormat/>
    <w:rsid w:val="00A365D9"/>
    <w:rPr>
      <w:rFonts w:ascii="Courier New" w:eastAsia="Times New Roman" w:hAnsi="Courier New" w:cs="Courier New"/>
      <w:sz w:val="20"/>
      <w:szCs w:val="20"/>
      <w:lang w:eastAsia="hu-HU"/>
    </w:rPr>
  </w:style>
  <w:style w:type="character" w:customStyle="1" w:styleId="Hangslyozs">
    <w:name w:val="Hangsúlyozás"/>
    <w:basedOn w:val="DefaultParagraphFont"/>
    <w:uiPriority w:val="20"/>
    <w:qFormat/>
    <w:rsid w:val="004D00A7"/>
    <w:rPr>
      <w:i/>
      <w:iCs/>
    </w:rPr>
  </w:style>
  <w:style w:type="character" w:styleId="CommentReference">
    <w:name w:val="annotation reference"/>
    <w:basedOn w:val="DefaultParagraphFont"/>
    <w:uiPriority w:val="99"/>
    <w:semiHidden/>
    <w:qFormat/>
    <w:rsid w:val="00B70AA7"/>
    <w:rPr>
      <w:sz w:val="16"/>
      <w:szCs w:val="16"/>
    </w:rPr>
  </w:style>
  <w:style w:type="character" w:customStyle="1" w:styleId="CommentTextChar">
    <w:name w:val="Comment Text Char"/>
    <w:basedOn w:val="DefaultParagraphFont"/>
    <w:link w:val="CommentText"/>
    <w:uiPriority w:val="99"/>
    <w:qFormat/>
    <w:rsid w:val="00B70AA7"/>
    <w:rPr>
      <w:rFonts w:ascii="Bookman Old Style" w:eastAsia="Times New Roman" w:hAnsi="Bookman Old Style" w:cs="Bookman Old Style"/>
      <w:sz w:val="20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sid w:val="00B70AA7"/>
    <w:rPr>
      <w:rFonts w:ascii="Tahoma" w:eastAsia="Times New Roman" w:hAnsi="Tahoma" w:cs="Tahoma"/>
      <w:sz w:val="16"/>
      <w:szCs w:val="16"/>
      <w:lang w:eastAsia="hu-HU"/>
    </w:rPr>
  </w:style>
  <w:style w:type="character" w:customStyle="1" w:styleId="lfejChar">
    <w:name w:val="Élőfej Char"/>
    <w:basedOn w:val="DefaultParagraphFont"/>
    <w:uiPriority w:val="99"/>
    <w:qFormat/>
    <w:rsid w:val="00445B60"/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customStyle="1" w:styleId="llbChar">
    <w:name w:val="Élőláb Char"/>
    <w:basedOn w:val="DefaultParagraphFont"/>
    <w:uiPriority w:val="99"/>
    <w:qFormat/>
    <w:rsid w:val="00445B60"/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qFormat/>
    <w:rsid w:val="0026132E"/>
    <w:rPr>
      <w:rFonts w:ascii="Times New Roman" w:eastAsia="Times New Roman" w:hAnsi="Times New Roman" w:cs="Times New Roman"/>
      <w:b/>
      <w:bCs/>
      <w:sz w:val="20"/>
      <w:szCs w:val="20"/>
      <w:lang w:eastAsia="hu-HU"/>
    </w:rPr>
  </w:style>
  <w:style w:type="character" w:customStyle="1" w:styleId="BodyTextIndentChar">
    <w:name w:val="Body Text Indent Char"/>
    <w:basedOn w:val="DefaultParagraphFont"/>
    <w:link w:val="BodyTextIndent"/>
    <w:qFormat/>
    <w:rsid w:val="00045E9D"/>
    <w:rPr>
      <w:rFonts w:ascii="Times New Roman" w:eastAsia="Times New Roman" w:hAnsi="Times New Roman" w:cs="Times New Roman"/>
      <w:sz w:val="28"/>
      <w:szCs w:val="20"/>
      <w:lang w:eastAsia="hu-HU"/>
    </w:rPr>
  </w:style>
  <w:style w:type="character" w:styleId="Strong">
    <w:name w:val="Strong"/>
    <w:uiPriority w:val="22"/>
    <w:qFormat/>
    <w:rsid w:val="00045E9D"/>
    <w:rPr>
      <w:b/>
      <w:bCs/>
    </w:rPr>
  </w:style>
  <w:style w:type="character" w:customStyle="1" w:styleId="BodyText2Char">
    <w:name w:val="Body Text 2 Char"/>
    <w:basedOn w:val="DefaultParagraphFont"/>
    <w:link w:val="BodyText2"/>
    <w:uiPriority w:val="99"/>
    <w:semiHidden/>
    <w:qFormat/>
    <w:rsid w:val="00F26B04"/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customStyle="1" w:styleId="Bekezdsalapbettpusa1">
    <w:name w:val="Bekezdés alapbetűtípusa1"/>
    <w:qFormat/>
    <w:rsid w:val="00CB2C44"/>
  </w:style>
  <w:style w:type="character" w:customStyle="1" w:styleId="Sorszmozs">
    <w:name w:val="Sorszámozás"/>
  </w:style>
  <w:style w:type="paragraph" w:customStyle="1" w:styleId="Cmsor">
    <w:name w:val="Címsor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Trgymutat">
    <w:name w:val="Tárgymutató"/>
    <w:basedOn w:val="Normal"/>
    <w:qFormat/>
    <w:pPr>
      <w:suppressLineNumbers/>
    </w:pPr>
    <w:rPr>
      <w:rFonts w:cs="Arial"/>
    </w:rPr>
  </w:style>
  <w:style w:type="paragraph" w:customStyle="1" w:styleId="Iktatszm">
    <w:name w:val="Iktatószám"/>
    <w:basedOn w:val="Normal"/>
    <w:uiPriority w:val="99"/>
    <w:qFormat/>
    <w:rsid w:val="00A365D9"/>
    <w:pPr>
      <w:jc w:val="center"/>
    </w:pPr>
    <w:rPr>
      <w:b/>
      <w:caps/>
    </w:rPr>
  </w:style>
  <w:style w:type="paragraph" w:styleId="ListParagraph">
    <w:name w:val="List Paragraph"/>
    <w:basedOn w:val="Normal"/>
    <w:link w:val="ListParagraphChar"/>
    <w:uiPriority w:val="34"/>
    <w:qFormat/>
    <w:rsid w:val="00A365D9"/>
    <w:pPr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PlainText">
    <w:name w:val="Plain Text"/>
    <w:basedOn w:val="Normal"/>
    <w:link w:val="PlainTextChar"/>
    <w:uiPriority w:val="99"/>
    <w:qFormat/>
    <w:rsid w:val="00A365D9"/>
    <w:rPr>
      <w:rFonts w:ascii="Courier New" w:hAnsi="Courier New" w:cs="Courier New"/>
      <w:sz w:val="20"/>
      <w:szCs w:val="20"/>
    </w:rPr>
  </w:style>
  <w:style w:type="paragraph" w:styleId="CommentText">
    <w:name w:val="annotation text"/>
    <w:basedOn w:val="Normal"/>
    <w:link w:val="CommentTextChar"/>
    <w:uiPriority w:val="99"/>
    <w:qFormat/>
    <w:rsid w:val="00B70AA7"/>
    <w:rPr>
      <w:rFonts w:ascii="Bookman Old Style" w:hAnsi="Bookman Old Style" w:cs="Bookman Old Style"/>
      <w:sz w:val="20"/>
      <w:szCs w:val="20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B70AA7"/>
    <w:rPr>
      <w:rFonts w:ascii="Tahoma" w:hAnsi="Tahoma" w:cs="Tahoma"/>
      <w:sz w:val="16"/>
      <w:szCs w:val="16"/>
    </w:rPr>
  </w:style>
  <w:style w:type="paragraph" w:customStyle="1" w:styleId="lfejsllb">
    <w:name w:val="Élőfej és élőláb"/>
    <w:basedOn w:val="Normal"/>
    <w:qFormat/>
  </w:style>
  <w:style w:type="paragraph" w:styleId="Header">
    <w:name w:val="header"/>
    <w:basedOn w:val="Normal"/>
    <w:uiPriority w:val="99"/>
    <w:unhideWhenUsed/>
    <w:rsid w:val="00445B60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uiPriority w:val="99"/>
    <w:unhideWhenUsed/>
    <w:rsid w:val="00445B60"/>
    <w:pPr>
      <w:tabs>
        <w:tab w:val="center" w:pos="4536"/>
        <w:tab w:val="right" w:pos="9072"/>
      </w:tabs>
    </w:pPr>
  </w:style>
  <w:style w:type="paragraph" w:styleId="Revision">
    <w:name w:val="Revision"/>
    <w:uiPriority w:val="99"/>
    <w:semiHidden/>
    <w:qFormat/>
    <w:rsid w:val="00445B60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NormalWeb">
    <w:name w:val="Normal (Web)"/>
    <w:basedOn w:val="Normal"/>
    <w:uiPriority w:val="99"/>
    <w:qFormat/>
    <w:rsid w:val="006851EB"/>
    <w:pPr>
      <w:spacing w:beforeAutospacing="1" w:afterAutospacing="1"/>
    </w:p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qFormat/>
    <w:rsid w:val="0026132E"/>
    <w:rPr>
      <w:rFonts w:ascii="Times New Roman" w:hAnsi="Times New Roman" w:cs="Times New Roman"/>
      <w:b/>
      <w:bCs/>
      <w:lang w:eastAsia="hu-HU"/>
    </w:rPr>
  </w:style>
  <w:style w:type="paragraph" w:styleId="BodyTextIndent">
    <w:name w:val="Body Text Indent"/>
    <w:basedOn w:val="Normal"/>
    <w:link w:val="BodyTextIndentChar"/>
    <w:rsid w:val="00045E9D"/>
    <w:pPr>
      <w:ind w:firstLine="567"/>
      <w:jc w:val="both"/>
    </w:pPr>
    <w:rPr>
      <w:sz w:val="28"/>
      <w:szCs w:val="20"/>
    </w:rPr>
  </w:style>
  <w:style w:type="paragraph" w:customStyle="1" w:styleId="cf0">
    <w:name w:val="cf0"/>
    <w:basedOn w:val="Normal"/>
    <w:qFormat/>
    <w:rsid w:val="008927D4"/>
    <w:pPr>
      <w:spacing w:beforeAutospacing="1" w:afterAutospacing="1"/>
    </w:pPr>
  </w:style>
  <w:style w:type="paragraph" w:customStyle="1" w:styleId="TextBody">
    <w:name w:val="Text Body"/>
    <w:basedOn w:val="Normal"/>
    <w:uiPriority w:val="99"/>
    <w:qFormat/>
    <w:rsid w:val="00286C00"/>
    <w:pPr>
      <w:widowControl w:val="0"/>
      <w:spacing w:after="140" w:line="288" w:lineRule="auto"/>
    </w:pPr>
    <w:rPr>
      <w:rFonts w:ascii="Liberation Serif" w:eastAsia="Droid Sans Fallback" w:hAnsi="Liberation Serif" w:cs="FreeSans"/>
      <w:lang w:eastAsia="zh-CN" w:bidi="hi-IN"/>
    </w:rPr>
  </w:style>
  <w:style w:type="paragraph" w:customStyle="1" w:styleId="Default">
    <w:name w:val="Default"/>
    <w:qFormat/>
    <w:rsid w:val="00B07BA6"/>
    <w:rPr>
      <w:rFonts w:ascii="Times New Roman" w:eastAsia="Times New Roman" w:hAnsi="Times New Roman" w:cs="Times New Roman"/>
      <w:color w:val="000000"/>
      <w:sz w:val="24"/>
      <w:szCs w:val="24"/>
      <w:lang w:eastAsia="hu-HU"/>
    </w:rPr>
  </w:style>
  <w:style w:type="paragraph" w:styleId="BodyText2">
    <w:name w:val="Body Text 2"/>
    <w:basedOn w:val="Normal"/>
    <w:link w:val="BodyText2Char"/>
    <w:uiPriority w:val="99"/>
    <w:semiHidden/>
    <w:unhideWhenUsed/>
    <w:qFormat/>
    <w:rsid w:val="00F26B04"/>
    <w:pPr>
      <w:spacing w:after="120" w:line="480" w:lineRule="auto"/>
    </w:pPr>
  </w:style>
  <w:style w:type="paragraph" w:customStyle="1" w:styleId="wordsection1">
    <w:name w:val="wordsection1"/>
    <w:basedOn w:val="Normal"/>
    <w:uiPriority w:val="99"/>
    <w:qFormat/>
    <w:rsid w:val="002C2472"/>
    <w:pPr>
      <w:spacing w:beforeAutospacing="1" w:afterAutospacing="1"/>
    </w:pPr>
    <w:rPr>
      <w:rFonts w:eastAsiaTheme="minorHAnsi"/>
    </w:rPr>
  </w:style>
  <w:style w:type="paragraph" w:customStyle="1" w:styleId="Standard">
    <w:name w:val="Standard"/>
    <w:qFormat/>
    <w:rsid w:val="00CB2C44"/>
    <w:pPr>
      <w:spacing w:after="160" w:line="252" w:lineRule="auto"/>
      <w:textAlignment w:val="baseline"/>
    </w:pPr>
    <w:rPr>
      <w:rFonts w:eastAsia="SimSun" w:cs="F"/>
      <w:kern w:val="2"/>
      <w:lang w:eastAsia="hu-HU"/>
    </w:rPr>
  </w:style>
  <w:style w:type="paragraph" w:customStyle="1" w:styleId="Bekezds">
    <w:name w:val="Bekezdés"/>
    <w:uiPriority w:val="99"/>
    <w:qFormat/>
    <w:rsid w:val="000B3E16"/>
    <w:pPr>
      <w:widowControl w:val="0"/>
      <w:ind w:firstLine="202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table" w:styleId="TableGrid">
    <w:name w:val="Table Grid"/>
    <w:basedOn w:val="TableNormal"/>
    <w:uiPriority w:val="59"/>
    <w:rsid w:val="000036C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EBC0BF0-A569-43E6-A121-7B0F8B0934F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B89ABDF-1029-48EA-B656-0D473EDFBC29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5FF66CCD-264F-4DEB-9262-8546EA21DE3C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7C6949EB-1E4E-4917-8E44-96CD6FC534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942</Words>
  <Characters>5376</Characters>
  <Application>Microsoft Office Word</Application>
  <DocSecurity>0</DocSecurity>
  <Lines>44</Lines>
  <Paragraphs>12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KD</Company>
  <LinksUpToDate>false</LinksUpToDate>
  <CharactersWithSpaces>6306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Gröschl Ildikó</dc:creator>
  <cp:lastModifiedBy>Dimitra Loupi</cp:lastModifiedBy>
  <cp:revision>3</cp:revision>
  <cp:lastPrinted>2021-03-31T08:26:00Z</cp:lastPrinted>
  <dcterms:created xsi:type="dcterms:W3CDTF">2021-03-31T08:27:00Z</dcterms:created>
  <dcterms:modified xsi:type="dcterms:W3CDTF">2021-04-13T06:46:00Z</dcterms:modified>
  <dc:language>hu-HU</dc:language>
</cp:coreProperties>
</file>