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8F33D" w14:textId="77777777" w:rsidR="004635D2" w:rsidRDefault="004635D2">
      <w:pPr>
        <w:spacing w:line="276" w:lineRule="auto"/>
        <w:jc w:val="right"/>
        <w:rPr>
          <w:i/>
        </w:rPr>
      </w:pPr>
    </w:p>
    <w:p w14:paraId="6098613F" w14:textId="77777777" w:rsidR="004635D2" w:rsidRDefault="005361EF">
      <w:pPr>
        <w:spacing w:line="276" w:lineRule="auto"/>
        <w:jc w:val="center"/>
        <w:rPr>
          <w:b/>
        </w:rPr>
      </w:pPr>
      <w:r>
        <w:rPr>
          <w:b/>
        </w:rPr>
        <w:t>Zakon [...] iz leta 2021</w:t>
      </w:r>
    </w:p>
    <w:p w14:paraId="50D791EA" w14:textId="77777777" w:rsidR="004635D2" w:rsidRDefault="004635D2">
      <w:pPr>
        <w:spacing w:line="276" w:lineRule="auto"/>
        <w:jc w:val="center"/>
        <w:rPr>
          <w:b/>
        </w:rPr>
      </w:pPr>
    </w:p>
    <w:p w14:paraId="7905AAA7" w14:textId="77777777" w:rsidR="004635D2" w:rsidRDefault="005361EF">
      <w:pPr>
        <w:spacing w:line="276" w:lineRule="auto"/>
        <w:jc w:val="center"/>
        <w:rPr>
          <w:b/>
          <w:bCs/>
          <w:iCs/>
          <w:szCs w:val="28"/>
        </w:rPr>
      </w:pPr>
      <w:r>
        <w:rPr>
          <w:b/>
        </w:rPr>
        <w:t>o spremembi nekaterih zakonov v zvezi z zdravjem, zdravstvenim zavarovanjem in farmacevtskimi zadevami</w:t>
      </w:r>
    </w:p>
    <w:p w14:paraId="6970B10A" w14:textId="77777777" w:rsidR="004635D2" w:rsidRDefault="004635D2">
      <w:pPr>
        <w:spacing w:line="276" w:lineRule="auto"/>
        <w:jc w:val="center"/>
        <w:rPr>
          <w:b/>
        </w:rPr>
      </w:pPr>
    </w:p>
    <w:p w14:paraId="2344CDE3" w14:textId="77777777" w:rsidR="004635D2" w:rsidRDefault="004635D2">
      <w:pPr>
        <w:spacing w:line="276" w:lineRule="auto"/>
        <w:jc w:val="both"/>
        <w:rPr>
          <w:rFonts w:eastAsiaTheme="minorHAnsi"/>
          <w:color w:val="000000" w:themeColor="text1"/>
          <w:lang w:eastAsia="en-US"/>
        </w:rPr>
      </w:pPr>
    </w:p>
    <w:p w14:paraId="219B3D9B" w14:textId="77777777" w:rsidR="004635D2" w:rsidRDefault="004635D2">
      <w:pPr>
        <w:pStyle w:val="wordsection1"/>
        <w:spacing w:beforeAutospacing="0" w:afterAutospacing="0" w:line="276" w:lineRule="auto"/>
        <w:jc w:val="both"/>
      </w:pPr>
    </w:p>
    <w:p w14:paraId="5B97295D" w14:textId="77777777" w:rsidR="004635D2" w:rsidRDefault="005361EF">
      <w:pPr>
        <w:spacing w:line="276" w:lineRule="auto"/>
        <w:jc w:val="center"/>
        <w:rPr>
          <w:rFonts w:eastAsia="Calibri"/>
          <w:b/>
          <w:bCs/>
          <w:iCs/>
        </w:rPr>
      </w:pPr>
      <w:r>
        <w:rPr>
          <w:b/>
          <w:color w:val="000000"/>
        </w:rPr>
        <w:t xml:space="preserve">5. </w:t>
      </w:r>
      <w:r>
        <w:rPr>
          <w:b/>
        </w:rPr>
        <w:t>O zaščiti nekadilcev in za porabo tobačnih izdelkov,</w:t>
      </w:r>
    </w:p>
    <w:p w14:paraId="511ACE9E" w14:textId="77777777" w:rsidR="004635D2" w:rsidRDefault="005361EF">
      <w:pPr>
        <w:spacing w:line="276" w:lineRule="auto"/>
        <w:jc w:val="center"/>
        <w:rPr>
          <w:rFonts w:eastAsia="Calibri"/>
          <w:b/>
          <w:bCs/>
          <w:iCs/>
        </w:rPr>
      </w:pPr>
      <w:r>
        <w:rPr>
          <w:b/>
        </w:rPr>
        <w:t>in sprememba zakona o urejanju prodaje XLII iz leta 1999.</w:t>
      </w:r>
    </w:p>
    <w:p w14:paraId="0C756A94" w14:textId="77777777" w:rsidR="004635D2" w:rsidRDefault="004635D2">
      <w:pPr>
        <w:spacing w:line="276" w:lineRule="auto"/>
        <w:jc w:val="both"/>
        <w:rPr>
          <w:rFonts w:eastAsia="Calibri"/>
        </w:rPr>
      </w:pPr>
    </w:p>
    <w:p w14:paraId="0F8667D1" w14:textId="77777777" w:rsidR="004635D2" w:rsidRDefault="005361EF">
      <w:pPr>
        <w:spacing w:line="276" w:lineRule="auto"/>
        <w:jc w:val="center"/>
        <w:rPr>
          <w:rFonts w:eastAsia="Calibri"/>
          <w:b/>
        </w:rPr>
      </w:pPr>
      <w:r>
        <w:rPr>
          <w:b/>
        </w:rPr>
        <w:t>39. §</w:t>
      </w:r>
    </w:p>
    <w:p w14:paraId="32496B4F" w14:textId="77777777" w:rsidR="004635D2" w:rsidRDefault="004635D2">
      <w:pPr>
        <w:jc w:val="both"/>
        <w:rPr>
          <w:rFonts w:eastAsia="Calibri"/>
        </w:rPr>
      </w:pPr>
    </w:p>
    <w:p w14:paraId="45A679E2" w14:textId="77777777" w:rsidR="004635D2" w:rsidRDefault="005361EF">
      <w:pPr>
        <w:jc w:val="both"/>
        <w:rPr>
          <w:rFonts w:eastAsia="Calibri"/>
        </w:rPr>
      </w:pPr>
      <w:r>
        <w:t>Zakon XLII iz leta 1999 o zaščiti nekadilcev in/ali porabi tobačnih izdelkov in prodaji (v nadaljnjem besedilu: ZZN) (Zakon o zaščiti nekadilcev) 1. oddelek</w:t>
      </w:r>
      <w:r>
        <w:rPr>
          <w:i/>
          <w:iCs/>
        </w:rPr>
        <w:t xml:space="preserve"> (x)</w:t>
      </w:r>
      <w:r>
        <w:t xml:space="preserve"> se nadomesti z naslednjim:</w:t>
      </w:r>
    </w:p>
    <w:p w14:paraId="1E9EB82F" w14:textId="77777777" w:rsidR="004635D2" w:rsidRDefault="004635D2">
      <w:pPr>
        <w:jc w:val="both"/>
        <w:rPr>
          <w:rFonts w:eastAsia="Calibri"/>
        </w:rPr>
      </w:pPr>
    </w:p>
    <w:p w14:paraId="4A0C97D3" w14:textId="77777777" w:rsidR="004635D2" w:rsidRDefault="005361EF">
      <w:pPr>
        <w:jc w:val="both"/>
        <w:rPr>
          <w:rFonts w:eastAsia="Calibri"/>
          <w:i/>
        </w:rPr>
      </w:pPr>
      <w:r>
        <w:rPr>
          <w:i/>
        </w:rPr>
        <w:t>(Za namen tega zakona)</w:t>
      </w:r>
    </w:p>
    <w:p w14:paraId="60294EB2" w14:textId="77777777" w:rsidR="004635D2" w:rsidRDefault="004635D2">
      <w:pPr>
        <w:jc w:val="both"/>
        <w:rPr>
          <w:rFonts w:eastAsia="Calibri"/>
          <w:i/>
        </w:rPr>
      </w:pPr>
    </w:p>
    <w:p w14:paraId="2BBCE2B9" w14:textId="77777777" w:rsidR="004635D2" w:rsidRDefault="005361EF">
      <w:pPr>
        <w:jc w:val="both"/>
        <w:rPr>
          <w:rFonts w:eastAsia="Calibri"/>
        </w:rPr>
      </w:pPr>
      <w:r>
        <w:rPr>
          <w:i/>
        </w:rPr>
        <w:t>„x)</w:t>
      </w:r>
      <w:r>
        <w:t xml:space="preserve"> </w:t>
      </w:r>
      <w:r>
        <w:rPr>
          <w:i/>
          <w:iCs/>
        </w:rPr>
        <w:t>identifikacijska številka elektronske cigarete:</w:t>
      </w:r>
      <w:r>
        <w:t xml:space="preserve"> za oznake elektronskih cigaret in vsebnikov za ponovno polnjenje, ki vzpostavljajo enotno obliko, kot je opredeljena v Izvedbenem sklepu Komisije (EU) 2015/2183 z dne 24. novembra 2015 in objavljena za izdelke v skupnem vnosu podatkov, to predstavlja identifikacijsko številko izdelka;“</w:t>
      </w:r>
    </w:p>
    <w:p w14:paraId="0852A7CE" w14:textId="77777777" w:rsidR="004635D2" w:rsidRDefault="004635D2">
      <w:pPr>
        <w:jc w:val="both"/>
        <w:rPr>
          <w:rFonts w:eastAsia="Calibri"/>
        </w:rPr>
      </w:pPr>
    </w:p>
    <w:p w14:paraId="65FC4015" w14:textId="77777777" w:rsidR="004635D2" w:rsidRDefault="005361EF">
      <w:pPr>
        <w:jc w:val="center"/>
        <w:rPr>
          <w:rFonts w:eastAsia="Calibri"/>
          <w:b/>
        </w:rPr>
      </w:pPr>
      <w:r>
        <w:rPr>
          <w:b/>
        </w:rPr>
        <w:t>40. §</w:t>
      </w:r>
    </w:p>
    <w:p w14:paraId="193352F4" w14:textId="77777777" w:rsidR="004635D2" w:rsidRDefault="004635D2">
      <w:pPr>
        <w:jc w:val="center"/>
        <w:rPr>
          <w:rFonts w:eastAsia="Calibri"/>
          <w:b/>
        </w:rPr>
      </w:pPr>
    </w:p>
    <w:p w14:paraId="61020EA4" w14:textId="77777777" w:rsidR="004635D2" w:rsidRDefault="005361EF">
      <w:pPr>
        <w:jc w:val="both"/>
        <w:rPr>
          <w:rFonts w:eastAsia="Calibri"/>
        </w:rPr>
      </w:pPr>
      <w:r>
        <w:t>Zakonu o varstvu nekadilcev se naslednji člen 2/B doda oddelku:</w:t>
      </w:r>
    </w:p>
    <w:p w14:paraId="26F885AB" w14:textId="77777777" w:rsidR="004635D2" w:rsidRDefault="004635D2">
      <w:pPr>
        <w:jc w:val="both"/>
        <w:rPr>
          <w:rFonts w:eastAsia="Calibri"/>
        </w:rPr>
      </w:pPr>
    </w:p>
    <w:p w14:paraId="272CADAA" w14:textId="77777777" w:rsidR="004635D2" w:rsidRDefault="005361EF">
      <w:pPr>
        <w:jc w:val="both"/>
        <w:rPr>
          <w:rFonts w:eastAsia="Calibri"/>
        </w:rPr>
      </w:pPr>
      <w:r>
        <w:t>“2/B. Oddelek Poraba nadomestnih izdelkov za kajenje, ki vsebujejo nikotin, je prepovedana v javnih izobraževalnih ustanovah, prav tako v ustanovah za blaginjo in varstvo otrok.“</w:t>
      </w:r>
    </w:p>
    <w:p w14:paraId="780F239A" w14:textId="77777777" w:rsidR="004635D2" w:rsidRDefault="004635D2">
      <w:pPr>
        <w:jc w:val="both"/>
        <w:rPr>
          <w:rFonts w:eastAsia="Calibri"/>
        </w:rPr>
      </w:pPr>
    </w:p>
    <w:p w14:paraId="77D5CAC5" w14:textId="77777777" w:rsidR="004635D2" w:rsidRDefault="005361EF">
      <w:pPr>
        <w:jc w:val="center"/>
        <w:rPr>
          <w:rFonts w:eastAsia="Calibri"/>
          <w:b/>
        </w:rPr>
      </w:pPr>
      <w:r>
        <w:rPr>
          <w:b/>
        </w:rPr>
        <w:t>41. §</w:t>
      </w:r>
    </w:p>
    <w:p w14:paraId="5FD0E345" w14:textId="77777777" w:rsidR="004635D2" w:rsidRDefault="004635D2">
      <w:pPr>
        <w:jc w:val="both"/>
        <w:rPr>
          <w:rFonts w:eastAsia="Calibri"/>
        </w:rPr>
      </w:pPr>
    </w:p>
    <w:p w14:paraId="6BABCA12" w14:textId="77777777" w:rsidR="004635D2" w:rsidRDefault="005361EF">
      <w:pPr>
        <w:jc w:val="both"/>
        <w:rPr>
          <w:rFonts w:eastAsia="Calibri"/>
        </w:rPr>
      </w:pPr>
      <w:r>
        <w:t>V ZZN: Člen 7/D. Oddelek se nadomesti z naslednjim:</w:t>
      </w:r>
    </w:p>
    <w:p w14:paraId="387405FB" w14:textId="77777777" w:rsidR="004635D2" w:rsidRDefault="004635D2">
      <w:pPr>
        <w:jc w:val="both"/>
        <w:rPr>
          <w:rFonts w:eastAsia="Calibri"/>
        </w:rPr>
      </w:pPr>
    </w:p>
    <w:p w14:paraId="56164852" w14:textId="77777777" w:rsidR="004635D2" w:rsidRDefault="005361EF">
      <w:pPr>
        <w:ind w:left="34"/>
        <w:jc w:val="both"/>
        <w:rPr>
          <w:rFonts w:eastAsia="Calibri"/>
        </w:rPr>
      </w:pPr>
      <w:r>
        <w:t>“7/D. Oddelek (1) Proizvajalci in uvozniki elektronskih cigaret in vsebnikov za ponovno polnjenje ali distributerji na Madžarskem upravni organ javnega zdravstva obvestijo šest mesecev pred izdajo katerega koli izdelka, ki ga nameravajo predstaviti na trgu.</w:t>
      </w:r>
    </w:p>
    <w:p w14:paraId="2FE15F56" w14:textId="77777777" w:rsidR="004635D2" w:rsidRDefault="004635D2">
      <w:pPr>
        <w:ind w:left="34"/>
        <w:jc w:val="both"/>
        <w:rPr>
          <w:rFonts w:eastAsia="Calibri"/>
        </w:rPr>
      </w:pPr>
    </w:p>
    <w:p w14:paraId="74132F25" w14:textId="77777777" w:rsidR="004635D2" w:rsidRDefault="005361EF">
      <w:pPr>
        <w:ind w:left="34"/>
        <w:jc w:val="both"/>
        <w:rPr>
          <w:rFonts w:eastAsia="Calibri"/>
        </w:rPr>
      </w:pPr>
      <w:r>
        <w:t>(2) Uradno obvestilo na podlagi odstavka (1) se predloži v elektronski obliki in vsebuje podatke, določene v vladnem odloku, izdanem na podlagi pooblastila tega zakona.</w:t>
      </w:r>
    </w:p>
    <w:p w14:paraId="1F049488" w14:textId="77777777" w:rsidR="004635D2" w:rsidRDefault="004635D2">
      <w:pPr>
        <w:ind w:left="34"/>
        <w:jc w:val="both"/>
        <w:rPr>
          <w:rFonts w:eastAsia="Calibri"/>
        </w:rPr>
      </w:pPr>
    </w:p>
    <w:p w14:paraId="0DC2E313" w14:textId="77777777" w:rsidR="004635D2" w:rsidRDefault="005361EF">
      <w:pPr>
        <w:ind w:left="34"/>
        <w:jc w:val="both"/>
        <w:rPr>
          <w:rFonts w:eastAsia="Calibri"/>
        </w:rPr>
      </w:pPr>
      <w:r>
        <w:t>(3) Organu javnega zdravstva se v skladu z odstavkom (1) sporoči naslednje</w:t>
      </w:r>
    </w:p>
    <w:p w14:paraId="088E1630" w14:textId="77777777" w:rsidR="004635D2" w:rsidRDefault="004635D2">
      <w:pPr>
        <w:ind w:left="34"/>
        <w:jc w:val="both"/>
        <w:rPr>
          <w:rFonts w:eastAsia="Calibri"/>
        </w:rPr>
      </w:pPr>
    </w:p>
    <w:p w14:paraId="4DF5F173" w14:textId="77777777" w:rsidR="004635D2" w:rsidRDefault="005361EF">
      <w:pPr>
        <w:ind w:left="34"/>
        <w:jc w:val="both"/>
        <w:rPr>
          <w:rFonts w:eastAsia="Calibri"/>
        </w:rPr>
      </w:pPr>
      <w:r>
        <w:t>(a) vse spremembe v zvezi z elektronskimi cigaretami ali vsebniki za ponovno polnjenje, ki vplivajo na tehnične značilnosti proizvoda, kot so opredeljene v tem zakonu ali v vladni uredbi, izdani na podlagi tega zakona, in</w:t>
      </w:r>
    </w:p>
    <w:p w14:paraId="6F3CA396" w14:textId="77777777" w:rsidR="004635D2" w:rsidRDefault="005361EF">
      <w:pPr>
        <w:ind w:left="34"/>
        <w:jc w:val="both"/>
        <w:rPr>
          <w:rFonts w:eastAsia="Calibri"/>
        </w:rPr>
      </w:pPr>
      <w:r>
        <w:t>(b) vse spremembe v identiteti in kontaktnih podatkih proizvajalca, uvoznika ali distributerja elektronskih cigaret ali vsebnikov za ponovno polnjenje na Madžarskem.</w:t>
      </w:r>
    </w:p>
    <w:p w14:paraId="045CB765" w14:textId="77777777" w:rsidR="004635D2" w:rsidRDefault="004635D2">
      <w:pPr>
        <w:ind w:left="34"/>
        <w:jc w:val="both"/>
        <w:rPr>
          <w:rFonts w:eastAsia="Calibri"/>
        </w:rPr>
      </w:pPr>
    </w:p>
    <w:p w14:paraId="73F44194" w14:textId="77777777" w:rsidR="004635D2" w:rsidRDefault="005361EF">
      <w:pPr>
        <w:ind w:left="34"/>
        <w:jc w:val="both"/>
        <w:rPr>
          <w:rFonts w:eastAsia="Calibri"/>
        </w:rPr>
      </w:pPr>
      <w:r>
        <w:t>(4) Organ javnega zdravstva vodi evidenco izdelkov, opisanih v odstavku (1), ki vključuje:</w:t>
      </w:r>
    </w:p>
    <w:p w14:paraId="7C84CB30" w14:textId="77777777" w:rsidR="004635D2" w:rsidRDefault="005361EF">
      <w:pPr>
        <w:ind w:left="34"/>
        <w:jc w:val="both"/>
        <w:rPr>
          <w:rFonts w:eastAsia="Calibri"/>
        </w:rPr>
      </w:pPr>
      <w:r>
        <w:lastRenderedPageBreak/>
        <w:t>a) ime prijavitelja, proizvajalca ali uvoznika, distributerja na Madžarskem,</w:t>
      </w:r>
    </w:p>
    <w:p w14:paraId="0D73FD88" w14:textId="77777777" w:rsidR="004635D2" w:rsidRDefault="005361EF">
      <w:pPr>
        <w:ind w:left="34"/>
        <w:jc w:val="both"/>
        <w:rPr>
          <w:rFonts w:eastAsia="Calibri"/>
        </w:rPr>
      </w:pPr>
      <w:r>
        <w:t>b) identifikacijsko številko elektronske cigarete,</w:t>
      </w:r>
    </w:p>
    <w:p w14:paraId="35D1FF15" w14:textId="77777777" w:rsidR="004635D2" w:rsidRDefault="005361EF">
      <w:pPr>
        <w:ind w:left="34"/>
        <w:jc w:val="both"/>
        <w:rPr>
          <w:rFonts w:eastAsia="Calibri"/>
        </w:rPr>
      </w:pPr>
      <w:r>
        <w:t>c) blagovno znamko in ime podtipa,</w:t>
      </w:r>
    </w:p>
    <w:p w14:paraId="543396B4" w14:textId="77777777" w:rsidR="004635D2" w:rsidRDefault="005361EF">
      <w:pPr>
        <w:ind w:left="34"/>
        <w:jc w:val="both"/>
        <w:rPr>
          <w:rFonts w:eastAsia="Calibri"/>
        </w:rPr>
      </w:pPr>
      <w:r>
        <w:t>d) vrsto izdelka,</w:t>
      </w:r>
    </w:p>
    <w:p w14:paraId="5A295B92" w14:textId="77777777" w:rsidR="004635D2" w:rsidRDefault="005361EF">
      <w:pPr>
        <w:ind w:left="34"/>
        <w:jc w:val="both"/>
        <w:rPr>
          <w:rFonts w:eastAsia="Calibri"/>
        </w:rPr>
      </w:pPr>
      <w:r>
        <w:t>e) serijsko številko potrdila, izdanega ob predložitvi,</w:t>
      </w:r>
    </w:p>
    <w:p w14:paraId="7FAAC441" w14:textId="77777777" w:rsidR="004635D2" w:rsidRDefault="005361EF">
      <w:pPr>
        <w:ind w:left="34"/>
        <w:jc w:val="both"/>
        <w:rPr>
          <w:rFonts w:eastAsia="Calibri"/>
        </w:rPr>
      </w:pPr>
      <w:r>
        <w:t>f) prvi dan možnega izdajanja na trg, izračunan v skladu z odstavkom (1).</w:t>
      </w:r>
    </w:p>
    <w:p w14:paraId="5537F81C" w14:textId="77777777" w:rsidR="004635D2" w:rsidRDefault="004635D2">
      <w:pPr>
        <w:ind w:left="34"/>
        <w:jc w:val="both"/>
        <w:rPr>
          <w:rFonts w:eastAsia="Calibri"/>
        </w:rPr>
      </w:pPr>
    </w:p>
    <w:p w14:paraId="5F3625CF" w14:textId="77777777" w:rsidR="004635D2" w:rsidRDefault="005361EF">
      <w:pPr>
        <w:ind w:left="34"/>
        <w:jc w:val="both"/>
        <w:rPr>
          <w:rFonts w:eastAsia="Calibri"/>
        </w:rPr>
      </w:pPr>
      <w:r>
        <w:t>(5) Umik s trga in ponovni odkup izdelkov, za katere velja prepoved trženja zalog prodajalca tobaka, zagotovi proizvajalec, uvoznik in distributer na Madžarskem.“</w:t>
      </w:r>
    </w:p>
    <w:p w14:paraId="3B5555A9" w14:textId="77777777" w:rsidR="004635D2" w:rsidRDefault="004635D2">
      <w:pPr>
        <w:rPr>
          <w:rFonts w:eastAsia="Calibri"/>
          <w:b/>
        </w:rPr>
      </w:pPr>
    </w:p>
    <w:p w14:paraId="53C3F79B" w14:textId="77777777" w:rsidR="004635D2" w:rsidRDefault="005361EF">
      <w:pPr>
        <w:jc w:val="center"/>
        <w:rPr>
          <w:rFonts w:eastAsia="Calibri"/>
          <w:b/>
        </w:rPr>
      </w:pPr>
      <w:r>
        <w:rPr>
          <w:b/>
        </w:rPr>
        <w:t>42. §</w:t>
      </w:r>
    </w:p>
    <w:p w14:paraId="1FFECC87" w14:textId="77777777" w:rsidR="004635D2" w:rsidRDefault="004635D2">
      <w:pPr>
        <w:rPr>
          <w:rFonts w:eastAsia="Calibri"/>
          <w:i/>
        </w:rPr>
      </w:pPr>
    </w:p>
    <w:p w14:paraId="0CF91B02" w14:textId="77777777" w:rsidR="004635D2" w:rsidRDefault="005361EF">
      <w:pPr>
        <w:jc w:val="both"/>
        <w:rPr>
          <w:rFonts w:eastAsia="Calibri"/>
        </w:rPr>
      </w:pPr>
      <w:r>
        <w:t>V ZZN: Člen 7/I oddelka se nadomesti z naslednjim:</w:t>
      </w:r>
    </w:p>
    <w:p w14:paraId="4B8DC589" w14:textId="77777777" w:rsidR="004635D2" w:rsidRDefault="004635D2">
      <w:pPr>
        <w:jc w:val="both"/>
        <w:rPr>
          <w:rFonts w:eastAsia="Calibri"/>
        </w:rPr>
      </w:pPr>
    </w:p>
    <w:p w14:paraId="18E00040" w14:textId="77777777" w:rsidR="004635D2" w:rsidRDefault="005361EF">
      <w:pPr>
        <w:jc w:val="both"/>
        <w:rPr>
          <w:rFonts w:eastAsia="Calibri"/>
        </w:rPr>
      </w:pPr>
      <w:r>
        <w:t>„7/I oddelek Določbe tega poglavja se uporabljajo tudi za breznikotinske vsebnike za ponovno polnjenje in za elektronske naprave, ki posnemajo kajenje.“</w:t>
      </w:r>
    </w:p>
    <w:p w14:paraId="647644CE" w14:textId="77777777" w:rsidR="004635D2" w:rsidRDefault="004635D2">
      <w:pPr>
        <w:jc w:val="center"/>
        <w:rPr>
          <w:rFonts w:eastAsia="Calibri"/>
          <w:b/>
        </w:rPr>
      </w:pPr>
    </w:p>
    <w:p w14:paraId="283A7D76" w14:textId="77777777" w:rsidR="004635D2" w:rsidRDefault="005361EF">
      <w:pPr>
        <w:jc w:val="center"/>
        <w:rPr>
          <w:rFonts w:eastAsia="Calibri"/>
          <w:b/>
        </w:rPr>
      </w:pPr>
      <w:r>
        <w:rPr>
          <w:b/>
        </w:rPr>
        <w:t>43. §</w:t>
      </w:r>
    </w:p>
    <w:p w14:paraId="66EBDD8C" w14:textId="77777777" w:rsidR="004635D2" w:rsidRDefault="004635D2">
      <w:pPr>
        <w:jc w:val="both"/>
        <w:rPr>
          <w:rFonts w:eastAsia="Calibri"/>
          <w:b/>
          <w:bCs/>
        </w:rPr>
      </w:pPr>
    </w:p>
    <w:p w14:paraId="019F4138" w14:textId="77777777" w:rsidR="004635D2" w:rsidRDefault="005361EF">
      <w:pPr>
        <w:jc w:val="both"/>
        <w:rPr>
          <w:rFonts w:eastAsia="Calibri"/>
        </w:rPr>
      </w:pPr>
      <w:r>
        <w:t>Pred podnaslovom Zakona o zaščiti nekadilcev „Končne določbe“, se v oddelek doda naslednji člen 7/M:</w:t>
      </w:r>
    </w:p>
    <w:p w14:paraId="5595B066" w14:textId="77777777" w:rsidR="004635D2" w:rsidRDefault="004635D2">
      <w:pPr>
        <w:jc w:val="both"/>
        <w:rPr>
          <w:rFonts w:eastAsia="Calibri"/>
        </w:rPr>
      </w:pPr>
    </w:p>
    <w:p w14:paraId="6A9D1597" w14:textId="77777777" w:rsidR="004635D2" w:rsidRDefault="005361EF">
      <w:pPr>
        <w:jc w:val="center"/>
        <w:rPr>
          <w:rFonts w:eastAsia="Calibri"/>
        </w:rPr>
      </w:pPr>
      <w:r>
        <w:t>„Pravila za kajenje nadomestnih proizvodov, ki vsebujejo nikotin</w:t>
      </w:r>
    </w:p>
    <w:p w14:paraId="275233AC" w14:textId="77777777" w:rsidR="004635D2" w:rsidRDefault="004635D2">
      <w:pPr>
        <w:jc w:val="both"/>
        <w:rPr>
          <w:rFonts w:eastAsia="Calibri"/>
        </w:rPr>
      </w:pPr>
    </w:p>
    <w:p w14:paraId="179523F4" w14:textId="77777777" w:rsidR="004635D2" w:rsidRDefault="005361EF">
      <w:pPr>
        <w:jc w:val="both"/>
        <w:rPr>
          <w:rFonts w:eastAsia="Calibri"/>
        </w:rPr>
      </w:pPr>
      <w:r>
        <w:t>7/M.  Oddelek 7/C-7/G za nadomestna kadilna sredstva, ki vsebujejo nikotin.“  veljajo določbe oddelka</w:t>
      </w:r>
    </w:p>
    <w:p w14:paraId="4F9112A5" w14:textId="77777777" w:rsidR="004635D2" w:rsidRDefault="004635D2">
      <w:pPr>
        <w:jc w:val="both"/>
        <w:rPr>
          <w:rFonts w:eastAsia="Calibri"/>
        </w:rPr>
      </w:pPr>
    </w:p>
    <w:p w14:paraId="0B8516F7" w14:textId="77777777" w:rsidR="004635D2" w:rsidRDefault="005361EF">
      <w:pPr>
        <w:jc w:val="center"/>
        <w:rPr>
          <w:rFonts w:eastAsia="Calibri"/>
          <w:b/>
        </w:rPr>
      </w:pPr>
      <w:r>
        <w:rPr>
          <w:b/>
        </w:rPr>
        <w:t>44. §</w:t>
      </w:r>
      <w:r>
        <w:t xml:space="preserve"> </w:t>
      </w:r>
    </w:p>
    <w:p w14:paraId="0BCEBF1A" w14:textId="77777777" w:rsidR="004635D2" w:rsidRDefault="004635D2">
      <w:pPr>
        <w:jc w:val="both"/>
        <w:rPr>
          <w:rFonts w:eastAsia="Calibri"/>
          <w:i/>
        </w:rPr>
      </w:pPr>
    </w:p>
    <w:p w14:paraId="1585F2DC" w14:textId="77777777" w:rsidR="004635D2" w:rsidRDefault="005361EF">
      <w:pPr>
        <w:jc w:val="both"/>
        <w:rPr>
          <w:rFonts w:eastAsia="Calibri"/>
        </w:rPr>
      </w:pPr>
      <w:r>
        <w:t>V ZZN: 8. Člen 5</w:t>
      </w:r>
      <w:r>
        <w:rPr>
          <w:i/>
          <w:iCs/>
        </w:rPr>
        <w:t>(a)</w:t>
      </w:r>
      <w:r>
        <w:t xml:space="preserve"> se nadomesti z naslednjim:</w:t>
      </w:r>
    </w:p>
    <w:p w14:paraId="4EC28E0E" w14:textId="77777777" w:rsidR="004635D2" w:rsidRDefault="004635D2">
      <w:pPr>
        <w:jc w:val="both"/>
        <w:rPr>
          <w:rFonts w:eastAsia="Calibri"/>
        </w:rPr>
      </w:pPr>
    </w:p>
    <w:p w14:paraId="18D08867" w14:textId="77777777" w:rsidR="004635D2" w:rsidRDefault="005361EF">
      <w:pPr>
        <w:jc w:val="both"/>
        <w:rPr>
          <w:rFonts w:eastAsia="Calibri"/>
          <w:i/>
        </w:rPr>
      </w:pPr>
      <w:r>
        <w:rPr>
          <w:i/>
        </w:rPr>
        <w:t>(</w:t>
      </w:r>
      <w:r>
        <w:rPr>
          <w:i/>
          <w:shd w:val="clear" w:color="auto" w:fill="FFFFFF"/>
        </w:rPr>
        <w:t>Vlada lahko z uredbo določi podrobna pravila o naslednjem:)</w:t>
      </w:r>
    </w:p>
    <w:p w14:paraId="130D9EAE" w14:textId="77777777" w:rsidR="004635D2" w:rsidRDefault="004635D2">
      <w:pPr>
        <w:jc w:val="both"/>
        <w:rPr>
          <w:rFonts w:eastAsia="Calibri"/>
        </w:rPr>
      </w:pPr>
    </w:p>
    <w:p w14:paraId="0C8D22BA" w14:textId="77777777" w:rsidR="004635D2" w:rsidRDefault="005361EF">
      <w:pPr>
        <w:jc w:val="both"/>
      </w:pPr>
      <w:r>
        <w:t>„</w:t>
      </w:r>
      <w:r>
        <w:rPr>
          <w:i/>
          <w:iCs/>
        </w:rPr>
        <w:t>(a)</w:t>
      </w:r>
      <w:r>
        <w:t xml:space="preserve"> </w:t>
      </w:r>
      <w:r>
        <w:rPr>
          <w:shd w:val="clear" w:color="auto" w:fill="FFFFFF"/>
        </w:rPr>
        <w:t>združena opozorila, opozorila za varovanje zdravja in podrobna pravila za njihovo uporabo, potrošniške embalažne enote za tobačne izdelke in elektronske cigarete, vsebniki za ponovno polnjenje, elektronske naprave, ki posnemajo kajenje, breznikotinske posode za ponovno polnjenje in</w:t>
      </w:r>
      <w:r>
        <w:t xml:space="preserve">nadomestni izdelki za kajenje, ki vsebujejo nikotin, </w:t>
      </w:r>
      <w:r>
        <w:rPr>
          <w:shd w:val="clear" w:color="auto" w:fill="FFFFFF"/>
        </w:rPr>
        <w:t>podrobna pravila za embalažne enote in pogoji za omejevanje kajenja ter vsebina in oblika dodeljevanja znakov in oznak za omejevanje kajenja in prostore za kajenje, pa tudi uporaba elektronskih cigaret, elektronskih naprav, ki posnemajo kajenje</w:t>
      </w:r>
      <w:r>
        <w:t>, izdelkov za nadomeščanje kajenja, ki vsebujejo nikotin</w:t>
      </w:r>
      <w:r>
        <w:rPr>
          <w:shd w:val="clear" w:color="auto" w:fill="FFFFFF"/>
        </w:rPr>
        <w:t xml:space="preserve"> poleg tega tudi drugi pogoji proizvodnje, distribucije in nadzora tobačnih izdelkov, elektronskih cigaret, vsebnikov za ponovno polnjenje, elektronskih naprav, ki posnemajo kajenje, breznikotinskih vsebnikov za ponovno polnjenje in nadomestnih izdelkov za kajenje, ki vsebujejo nikotin, ki ne spadajo v področje zakona o trošarini.</w:t>
      </w:r>
    </w:p>
    <w:p w14:paraId="1D79DED0" w14:textId="77777777" w:rsidR="004635D2" w:rsidRDefault="004635D2">
      <w:pPr>
        <w:ind w:left="34"/>
        <w:jc w:val="both"/>
        <w:rPr>
          <w:rFonts w:eastAsia="Calibri"/>
        </w:rPr>
      </w:pPr>
    </w:p>
    <w:p w14:paraId="67658F9A" w14:textId="77777777" w:rsidR="004635D2" w:rsidRDefault="005361EF">
      <w:pPr>
        <w:jc w:val="center"/>
        <w:rPr>
          <w:rFonts w:eastAsia="Calibri"/>
          <w:b/>
        </w:rPr>
      </w:pPr>
      <w:r>
        <w:rPr>
          <w:b/>
        </w:rPr>
        <w:t>45. §</w:t>
      </w:r>
    </w:p>
    <w:p w14:paraId="3E42F012" w14:textId="77777777" w:rsidR="004635D2" w:rsidRDefault="004635D2">
      <w:pPr>
        <w:jc w:val="both"/>
        <w:rPr>
          <w:rFonts w:eastAsia="Calibri"/>
        </w:rPr>
      </w:pPr>
    </w:p>
    <w:p w14:paraId="2900B650" w14:textId="77777777" w:rsidR="004635D2" w:rsidRDefault="005361EF">
      <w:pPr>
        <w:jc w:val="both"/>
        <w:rPr>
          <w:rFonts w:eastAsia="Calibri"/>
        </w:rPr>
      </w:pPr>
      <w:r>
        <w:t xml:space="preserve"> V ZZN: </w:t>
      </w:r>
    </w:p>
    <w:p w14:paraId="1B5ED163" w14:textId="77777777" w:rsidR="004635D2" w:rsidRDefault="005361EF">
      <w:pPr>
        <w:widowControl w:val="0"/>
      </w:pPr>
      <w:r>
        <w:t>(a) V oddelek (1) iz odloka: V oddelku § (r) se besedilo „ki vsebujejo nikotin“ nadomesti z besedilom „ki vsebujejo nikotin v kakršni koli obliki“,</w:t>
      </w:r>
    </w:p>
    <w:p w14:paraId="1F9390E4" w14:textId="77777777" w:rsidR="004635D2" w:rsidRDefault="005361EF">
      <w:pPr>
        <w:widowControl w:val="0"/>
      </w:pPr>
      <w:r>
        <w:t>b) v oddelku (1) se v členu (s) besedilo „brez nikotina“ nadomesti z besedilom „izključno brez nikotina“,</w:t>
      </w:r>
    </w:p>
    <w:p w14:paraId="7B2A5111" w14:textId="77777777" w:rsidR="004635D2" w:rsidRDefault="005361EF">
      <w:pPr>
        <w:widowControl w:val="0"/>
      </w:pPr>
      <w:r>
        <w:lastRenderedPageBreak/>
        <w:t>c) Oddelek 8, oddelek (3), odstavek „Zakon CIII iz leta 1997 o posebnih pravilih za trženje trošarinskega blaga“ se nadomesti z besedilom „Zakon LXVIII iz leta 2016 o trošarinah“,</w:t>
      </w:r>
    </w:p>
    <w:p w14:paraId="2174FC01" w14:textId="77777777" w:rsidR="004635D2" w:rsidRDefault="005361EF">
      <w:pPr>
        <w:widowControl w:val="0"/>
      </w:pPr>
      <w:r>
        <w:t>(d) V oddelku 8 se v členu (4c) odstavka (a) besedilo „vsebniki za ponovno polnjenje in kajenje“ nadomesti z besedilom „vsebniki za ponovno polnjenje, breznikotinski vsebniki za ponovno polnjenje, nadomestni izdelki za kajenje, ki vsebujejo nikotin in kajenje“</w:t>
      </w:r>
    </w:p>
    <w:p w14:paraId="1FF46B89" w14:textId="77777777" w:rsidR="004635D2" w:rsidRDefault="005361EF">
      <w:pPr>
        <w:jc w:val="both"/>
        <w:rPr>
          <w:rFonts w:eastAsia="Calibri"/>
        </w:rPr>
      </w:pPr>
      <w:r>
        <w:t xml:space="preserve">pridejo. </w:t>
      </w:r>
    </w:p>
    <w:p w14:paraId="7ECE30F2" w14:textId="77777777" w:rsidR="004635D2" w:rsidRDefault="004635D2">
      <w:pPr>
        <w:jc w:val="center"/>
        <w:rPr>
          <w:rFonts w:eastAsia="Calibri"/>
          <w:b/>
        </w:rPr>
      </w:pPr>
    </w:p>
    <w:p w14:paraId="4738AD5F" w14:textId="77777777" w:rsidR="004635D2" w:rsidRDefault="005361EF">
      <w:pPr>
        <w:jc w:val="center"/>
        <w:rPr>
          <w:rFonts w:eastAsia="Calibri"/>
          <w:b/>
        </w:rPr>
      </w:pPr>
      <w:r>
        <w:rPr>
          <w:b/>
        </w:rPr>
        <w:t>46. §</w:t>
      </w:r>
    </w:p>
    <w:p w14:paraId="64600048" w14:textId="77777777" w:rsidR="004635D2" w:rsidRDefault="004635D2">
      <w:pPr>
        <w:rPr>
          <w:rFonts w:eastAsia="Calibri"/>
        </w:rPr>
      </w:pPr>
    </w:p>
    <w:p w14:paraId="51F7C424" w14:textId="77777777" w:rsidR="004635D2" w:rsidRDefault="005361EF">
      <w:pPr>
        <w:rPr>
          <w:rFonts w:eastAsia="Calibri"/>
        </w:rPr>
      </w:pPr>
      <w:r>
        <w:t>Razveljavijo se naslednji členi ZZN (Zakon o zaščiti nekadilcev):</w:t>
      </w:r>
    </w:p>
    <w:p w14:paraId="292C67D4" w14:textId="21E3F2E2" w:rsidR="004635D2" w:rsidRDefault="005361EF">
      <w:pPr>
        <w:rPr>
          <w:rFonts w:eastAsia="Calibri"/>
        </w:rPr>
      </w:pPr>
      <w:r>
        <w:t>a) 7/K-7/L. Oddelek a</w:t>
      </w:r>
    </w:p>
    <w:p w14:paraId="2798062F" w14:textId="77777777" w:rsidR="004635D2" w:rsidRDefault="005361EF">
      <w:pPr>
        <w:rPr>
          <w:rFonts w:eastAsia="Calibri"/>
        </w:rPr>
      </w:pPr>
      <w:r>
        <w:t>b) v členu (2) oddelka 8,</w:t>
      </w:r>
    </w:p>
    <w:p w14:paraId="0E320E92" w14:textId="77777777" w:rsidR="004635D2" w:rsidRDefault="005361EF">
      <w:pPr>
        <w:rPr>
          <w:rFonts w:eastAsia="Calibri"/>
        </w:rPr>
      </w:pPr>
      <w:r>
        <w:t>c) v odstavku (4d) oddelka 8, in</w:t>
      </w:r>
    </w:p>
    <w:p w14:paraId="3165B42F" w14:textId="40E99BF2" w:rsidR="004635D2" w:rsidRDefault="005361EF">
      <w:pPr>
        <w:spacing w:line="276" w:lineRule="auto"/>
        <w:jc w:val="both"/>
        <w:rPr>
          <w:rFonts w:eastAsia="Calibri"/>
        </w:rPr>
      </w:pPr>
      <w:r>
        <w:t xml:space="preserve">d) v odstavku </w:t>
      </w:r>
      <w:r>
        <w:rPr>
          <w:i/>
        </w:rPr>
        <w:t>(k)</w:t>
      </w:r>
      <w:r>
        <w:t> člena (5) oddelka 8</w:t>
      </w:r>
      <w:r>
        <w:rPr>
          <w:i/>
        </w:rPr>
        <w:t>.</w:t>
      </w:r>
    </w:p>
    <w:sectPr w:rsidR="004635D2">
      <w:headerReference w:type="default" r:id="rId11"/>
      <w:footerReference w:type="default" r:id="rId12"/>
      <w:headerReference w:type="first" r:id="rId13"/>
      <w:pgSz w:w="11906" w:h="16838"/>
      <w:pgMar w:top="1134" w:right="1134" w:bottom="1134" w:left="1134"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9A4E1" w14:textId="77777777" w:rsidR="006C0DF0" w:rsidRDefault="006C0DF0">
      <w:r>
        <w:separator/>
      </w:r>
    </w:p>
  </w:endnote>
  <w:endnote w:type="continuationSeparator" w:id="0">
    <w:p w14:paraId="62245EBC" w14:textId="77777777" w:rsidR="006C0DF0" w:rsidRDefault="006C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6477976"/>
      <w:docPartObj>
        <w:docPartGallery w:val="Page Numbers (Bottom of Page)"/>
        <w:docPartUnique/>
      </w:docPartObj>
    </w:sdtPr>
    <w:sdtEndPr/>
    <w:sdtContent>
      <w:p w14:paraId="03570C58" w14:textId="77777777" w:rsidR="004635D2" w:rsidRDefault="005361EF">
        <w:pPr>
          <w:pStyle w:val="Footer"/>
          <w:jc w:val="right"/>
          <w:rPr>
            <w:sz w:val="20"/>
            <w:szCs w:val="20"/>
          </w:rPr>
        </w:pPr>
        <w:r>
          <w:rPr>
            <w:sz w:val="20"/>
          </w:rPr>
          <w:fldChar w:fldCharType="begin"/>
        </w:r>
        <w:r>
          <w:rPr>
            <w:sz w:val="20"/>
          </w:rPr>
          <w:instrText>PAGE</w:instrText>
        </w:r>
        <w:r>
          <w:rPr>
            <w:sz w:val="20"/>
          </w:rPr>
          <w:fldChar w:fldCharType="separate"/>
        </w:r>
        <w:r w:rsidR="005C4D1A">
          <w:rPr>
            <w:sz w:val="20"/>
          </w:rPr>
          <w:t>2</w:t>
        </w:r>
        <w:r>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DCB53" w14:textId="77777777" w:rsidR="006C0DF0" w:rsidRDefault="006C0DF0">
      <w:r>
        <w:separator/>
      </w:r>
    </w:p>
  </w:footnote>
  <w:footnote w:type="continuationSeparator" w:id="0">
    <w:p w14:paraId="76C49951" w14:textId="77777777" w:rsidR="006C0DF0" w:rsidRDefault="006C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F0075" w14:textId="77777777" w:rsidR="004635D2" w:rsidRDefault="005361EF">
    <w:pPr>
      <w:pStyle w:val="Header"/>
      <w:jc w:val="center"/>
      <w:rPr>
        <w:sz w:val="20"/>
      </w:rPr>
    </w:pPr>
    <w:r>
      <w:rPr>
        <w:sz w:val="20"/>
      </w:rPr>
      <w:t>Vlada ni razpravljala o tem predlogu, zato ta ne more predstavljati njenega stališča.</w:t>
    </w:r>
  </w:p>
  <w:p w14:paraId="7B7160C4" w14:textId="77777777" w:rsidR="004635D2" w:rsidRDefault="00463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BBFB0" w14:textId="77777777" w:rsidR="004635D2" w:rsidRDefault="004635D2">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290A09"/>
    <w:multiLevelType w:val="multilevel"/>
    <w:tmpl w:val="4164F202"/>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5D2"/>
    <w:rsid w:val="004635D2"/>
    <w:rsid w:val="005361EF"/>
    <w:rsid w:val="005C4D1A"/>
    <w:rsid w:val="006C0DF0"/>
    <w:rsid w:val="007A79EF"/>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C42C"/>
  <w15:docId w15:val="{A77CCF9F-4123-4041-8FA6-FD55D084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23"/>
    <w:rPr>
      <w:rFonts w:ascii="Times New Roman" w:eastAsia="Times New Roman" w:hAnsi="Times New Roman" w:cs="Times New Roman"/>
      <w:sz w:val="24"/>
      <w:szCs w:val="24"/>
      <w:lang w:eastAsia="hu-HU"/>
    </w:rPr>
  </w:style>
  <w:style w:type="paragraph" w:styleId="Heading1">
    <w:name w:val="heading 1"/>
    <w:basedOn w:val="Normal"/>
    <w:next w:val="Normal"/>
    <w:link w:val="Heading1Char"/>
    <w:qFormat/>
    <w:rsid w:val="00A365D9"/>
    <w:pPr>
      <w:keepNext/>
      <w:numPr>
        <w:numId w:val="1"/>
      </w:numPr>
      <w:spacing w:before="240" w:after="60"/>
      <w:jc w:val="center"/>
      <w:outlineLvl w:val="0"/>
    </w:pPr>
    <w:rPr>
      <w:rFonts w:ascii="Arial" w:hAnsi="Arial"/>
      <w:b/>
      <w:bCs/>
      <w:kern w:val="2"/>
      <w:sz w:val="32"/>
      <w:szCs w:val="32"/>
      <w:u w:val="single"/>
    </w:rPr>
  </w:style>
  <w:style w:type="paragraph" w:styleId="Heading2">
    <w:name w:val="heading 2"/>
    <w:basedOn w:val="Normal"/>
    <w:next w:val="Normal"/>
    <w:link w:val="Heading2Char"/>
    <w:qFormat/>
    <w:rsid w:val="00A365D9"/>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A365D9"/>
    <w:pPr>
      <w:keepNext/>
      <w:numPr>
        <w:ilvl w:val="2"/>
        <w:numId w:val="1"/>
      </w:numPr>
      <w:spacing w:before="240" w:after="60"/>
      <w:outlineLvl w:val="2"/>
    </w:pPr>
    <w:rPr>
      <w:b/>
      <w:bCs/>
      <w:sz w:val="28"/>
      <w:szCs w:val="26"/>
    </w:rPr>
  </w:style>
  <w:style w:type="paragraph" w:styleId="Heading4">
    <w:name w:val="heading 4"/>
    <w:basedOn w:val="Normal"/>
    <w:next w:val="Normal"/>
    <w:link w:val="Heading4Char"/>
    <w:qFormat/>
    <w:rsid w:val="00A365D9"/>
    <w:pPr>
      <w:keepNext/>
      <w:numPr>
        <w:ilvl w:val="3"/>
        <w:numId w:val="1"/>
      </w:numPr>
      <w:tabs>
        <w:tab w:val="left" w:pos="5387"/>
      </w:tabs>
      <w:outlineLvl w:val="3"/>
    </w:pPr>
    <w:rPr>
      <w:bCs/>
      <w:sz w:val="28"/>
      <w:szCs w:val="20"/>
    </w:rPr>
  </w:style>
  <w:style w:type="paragraph" w:styleId="Heading5">
    <w:name w:val="heading 5"/>
    <w:basedOn w:val="Normal"/>
    <w:next w:val="Normal"/>
    <w:link w:val="Heading5Char"/>
    <w:qFormat/>
    <w:rsid w:val="00A365D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365D9"/>
    <w:pPr>
      <w:numPr>
        <w:ilvl w:val="5"/>
        <w:numId w:val="1"/>
      </w:numPr>
      <w:spacing w:before="240" w:after="60"/>
      <w:outlineLvl w:val="5"/>
    </w:pPr>
    <w:rPr>
      <w:b/>
      <w:bCs/>
      <w:sz w:val="20"/>
      <w:szCs w:val="20"/>
    </w:rPr>
  </w:style>
  <w:style w:type="paragraph" w:styleId="Heading7">
    <w:name w:val="heading 7"/>
    <w:basedOn w:val="Normal"/>
    <w:next w:val="Normal"/>
    <w:link w:val="Heading7Char"/>
    <w:qFormat/>
    <w:rsid w:val="00A365D9"/>
    <w:pPr>
      <w:keepNext/>
      <w:numPr>
        <w:ilvl w:val="6"/>
        <w:numId w:val="1"/>
      </w:numPr>
      <w:ind w:right="-288" w:firstLine="0"/>
      <w:outlineLvl w:val="6"/>
    </w:pPr>
    <w:rPr>
      <w:sz w:val="28"/>
    </w:rPr>
  </w:style>
  <w:style w:type="paragraph" w:styleId="Heading8">
    <w:name w:val="heading 8"/>
    <w:basedOn w:val="Normal"/>
    <w:next w:val="Normal"/>
    <w:link w:val="Heading8Char"/>
    <w:qFormat/>
    <w:rsid w:val="00A365D9"/>
    <w:pPr>
      <w:numPr>
        <w:ilvl w:val="7"/>
        <w:numId w:val="1"/>
      </w:numPr>
      <w:spacing w:before="240" w:after="60"/>
      <w:outlineLvl w:val="7"/>
    </w:pPr>
    <w:rPr>
      <w:i/>
      <w:iCs/>
    </w:rPr>
  </w:style>
  <w:style w:type="paragraph" w:styleId="Heading9">
    <w:name w:val="heading 9"/>
    <w:basedOn w:val="Normal"/>
    <w:next w:val="Normal"/>
    <w:link w:val="Heading9Char"/>
    <w:qFormat/>
    <w:rsid w:val="00A365D9"/>
    <w:pPr>
      <w:numPr>
        <w:ilvl w:val="8"/>
        <w:numId w:val="1"/>
      </w:numPr>
      <w:spacing w:before="240" w:after="6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365D9"/>
    <w:rPr>
      <w:rFonts w:ascii="Arial" w:eastAsia="Times New Roman" w:hAnsi="Arial" w:cs="Times New Roman"/>
      <w:b/>
      <w:bCs/>
      <w:kern w:val="2"/>
      <w:sz w:val="32"/>
      <w:szCs w:val="32"/>
      <w:u w:val="single"/>
      <w:lang w:eastAsia="hu-HU"/>
    </w:rPr>
  </w:style>
  <w:style w:type="character" w:customStyle="1" w:styleId="Heading2Char">
    <w:name w:val="Heading 2 Char"/>
    <w:basedOn w:val="DefaultParagraphFont"/>
    <w:link w:val="Heading2"/>
    <w:uiPriority w:val="9"/>
    <w:qFormat/>
    <w:rsid w:val="00A365D9"/>
    <w:rPr>
      <w:rFonts w:ascii="Arial" w:eastAsia="Times New Roman" w:hAnsi="Arial" w:cs="Times New Roman"/>
      <w:b/>
      <w:bCs/>
      <w:i/>
      <w:iCs/>
      <w:sz w:val="28"/>
      <w:szCs w:val="28"/>
      <w:lang w:eastAsia="hu-HU"/>
    </w:rPr>
  </w:style>
  <w:style w:type="character" w:customStyle="1" w:styleId="Heading3Char">
    <w:name w:val="Heading 3 Char"/>
    <w:basedOn w:val="DefaultParagraphFont"/>
    <w:link w:val="Heading3"/>
    <w:qFormat/>
    <w:rsid w:val="00A365D9"/>
    <w:rPr>
      <w:rFonts w:ascii="Times New Roman" w:eastAsia="Times New Roman" w:hAnsi="Times New Roman" w:cs="Times New Roman"/>
      <w:b/>
      <w:bCs/>
      <w:sz w:val="28"/>
      <w:szCs w:val="26"/>
      <w:lang w:eastAsia="hu-HU"/>
    </w:rPr>
  </w:style>
  <w:style w:type="character" w:customStyle="1" w:styleId="Heading4Char">
    <w:name w:val="Heading 4 Char"/>
    <w:basedOn w:val="DefaultParagraphFont"/>
    <w:link w:val="Heading4"/>
    <w:qFormat/>
    <w:rsid w:val="00A365D9"/>
    <w:rPr>
      <w:rFonts w:ascii="Times New Roman" w:eastAsia="Times New Roman" w:hAnsi="Times New Roman" w:cs="Times New Roman"/>
      <w:bCs/>
      <w:sz w:val="28"/>
      <w:szCs w:val="20"/>
      <w:lang w:eastAsia="hu-HU"/>
    </w:rPr>
  </w:style>
  <w:style w:type="character" w:customStyle="1" w:styleId="Heading5Char">
    <w:name w:val="Heading 5 Char"/>
    <w:basedOn w:val="DefaultParagraphFont"/>
    <w:link w:val="Heading5"/>
    <w:qFormat/>
    <w:rsid w:val="00A365D9"/>
    <w:rPr>
      <w:rFonts w:ascii="Times New Roman" w:eastAsia="Times New Roman" w:hAnsi="Times New Roman" w:cs="Times New Roman"/>
      <w:b/>
      <w:bCs/>
      <w:i/>
      <w:iCs/>
      <w:sz w:val="26"/>
      <w:szCs w:val="26"/>
      <w:lang w:eastAsia="hu-HU"/>
    </w:rPr>
  </w:style>
  <w:style w:type="character" w:customStyle="1" w:styleId="Heading6Char">
    <w:name w:val="Heading 6 Char"/>
    <w:basedOn w:val="DefaultParagraphFont"/>
    <w:link w:val="Heading6"/>
    <w:qFormat/>
    <w:rsid w:val="00A365D9"/>
    <w:rPr>
      <w:rFonts w:ascii="Times New Roman" w:eastAsia="Times New Roman" w:hAnsi="Times New Roman" w:cs="Times New Roman"/>
      <w:b/>
      <w:bCs/>
      <w:sz w:val="20"/>
      <w:szCs w:val="20"/>
      <w:lang w:eastAsia="hu-HU"/>
    </w:rPr>
  </w:style>
  <w:style w:type="character" w:customStyle="1" w:styleId="Heading7Char">
    <w:name w:val="Heading 7 Char"/>
    <w:basedOn w:val="DefaultParagraphFont"/>
    <w:link w:val="Heading7"/>
    <w:qFormat/>
    <w:rsid w:val="00A365D9"/>
    <w:rPr>
      <w:rFonts w:ascii="Times New Roman" w:eastAsia="Times New Roman" w:hAnsi="Times New Roman" w:cs="Times New Roman"/>
      <w:sz w:val="28"/>
      <w:szCs w:val="24"/>
      <w:lang w:eastAsia="hu-HU"/>
    </w:rPr>
  </w:style>
  <w:style w:type="character" w:customStyle="1" w:styleId="Heading8Char">
    <w:name w:val="Heading 8 Char"/>
    <w:basedOn w:val="DefaultParagraphFont"/>
    <w:link w:val="Heading8"/>
    <w:qFormat/>
    <w:rsid w:val="00A365D9"/>
    <w:rPr>
      <w:rFonts w:ascii="Times New Roman" w:eastAsia="Times New Roman" w:hAnsi="Times New Roman" w:cs="Times New Roman"/>
      <w:i/>
      <w:iCs/>
      <w:sz w:val="24"/>
      <w:szCs w:val="24"/>
      <w:lang w:eastAsia="hu-HU"/>
    </w:rPr>
  </w:style>
  <w:style w:type="character" w:customStyle="1" w:styleId="Heading9Char">
    <w:name w:val="Heading 9 Char"/>
    <w:basedOn w:val="DefaultParagraphFont"/>
    <w:link w:val="Heading9"/>
    <w:qFormat/>
    <w:rsid w:val="00A365D9"/>
    <w:rPr>
      <w:rFonts w:ascii="Arial" w:eastAsia="Times New Roman" w:hAnsi="Arial" w:cs="Times New Roman"/>
      <w:sz w:val="20"/>
      <w:szCs w:val="20"/>
      <w:lang w:eastAsia="hu-HU"/>
    </w:rPr>
  </w:style>
  <w:style w:type="character" w:customStyle="1" w:styleId="ListParagraphChar">
    <w:name w:val="List Paragraph Char"/>
    <w:link w:val="ListParagraph"/>
    <w:uiPriority w:val="34"/>
    <w:qFormat/>
    <w:locked/>
    <w:rsid w:val="00A365D9"/>
    <w:rPr>
      <w:rFonts w:ascii="Calibri" w:eastAsia="Calibri" w:hAnsi="Calibri" w:cs="Times New Roman"/>
    </w:rPr>
  </w:style>
  <w:style w:type="character" w:customStyle="1" w:styleId="Internet-hivatkozs">
    <w:name w:val="Internet-hivatkozás"/>
    <w:uiPriority w:val="99"/>
    <w:rsid w:val="00A365D9"/>
    <w:rPr>
      <w:color w:val="0000FF"/>
      <w:u w:val="single"/>
    </w:rPr>
  </w:style>
  <w:style w:type="character" w:customStyle="1" w:styleId="PlainTextChar">
    <w:name w:val="Plain Text Char"/>
    <w:basedOn w:val="DefaultParagraphFont"/>
    <w:link w:val="PlainText"/>
    <w:uiPriority w:val="99"/>
    <w:qFormat/>
    <w:rsid w:val="00A365D9"/>
    <w:rPr>
      <w:rFonts w:ascii="Courier New" w:eastAsia="Times New Roman" w:hAnsi="Courier New" w:cs="Courier New"/>
      <w:sz w:val="20"/>
      <w:szCs w:val="20"/>
      <w:lang w:eastAsia="hu-HU"/>
    </w:rPr>
  </w:style>
  <w:style w:type="character" w:customStyle="1" w:styleId="Hangslyozs">
    <w:name w:val="Hangsúlyozás"/>
    <w:basedOn w:val="DefaultParagraphFont"/>
    <w:uiPriority w:val="20"/>
    <w:qFormat/>
    <w:rsid w:val="004D00A7"/>
    <w:rPr>
      <w:i/>
      <w:iCs/>
    </w:rPr>
  </w:style>
  <w:style w:type="character" w:styleId="CommentReference">
    <w:name w:val="annotation reference"/>
    <w:basedOn w:val="DefaultParagraphFont"/>
    <w:uiPriority w:val="99"/>
    <w:semiHidden/>
    <w:qFormat/>
    <w:rsid w:val="00B70AA7"/>
    <w:rPr>
      <w:sz w:val="16"/>
      <w:szCs w:val="16"/>
    </w:rPr>
  </w:style>
  <w:style w:type="character" w:customStyle="1" w:styleId="CommentTextChar">
    <w:name w:val="Comment Text Char"/>
    <w:basedOn w:val="DefaultParagraphFont"/>
    <w:link w:val="CommentText"/>
    <w:uiPriority w:val="99"/>
    <w:qFormat/>
    <w:rsid w:val="00B70AA7"/>
    <w:rPr>
      <w:rFonts w:ascii="Bookman Old Style" w:eastAsia="Times New Roman" w:hAnsi="Bookman Old Style" w:cs="Bookman Old Style"/>
      <w:sz w:val="20"/>
      <w:szCs w:val="20"/>
    </w:rPr>
  </w:style>
  <w:style w:type="character" w:customStyle="1" w:styleId="BalloonTextChar">
    <w:name w:val="Balloon Text Char"/>
    <w:basedOn w:val="DefaultParagraphFont"/>
    <w:link w:val="BalloonText"/>
    <w:uiPriority w:val="99"/>
    <w:semiHidden/>
    <w:qFormat/>
    <w:rsid w:val="00B70AA7"/>
    <w:rPr>
      <w:rFonts w:ascii="Tahoma" w:eastAsia="Times New Roman" w:hAnsi="Tahoma" w:cs="Tahoma"/>
      <w:sz w:val="16"/>
      <w:szCs w:val="16"/>
      <w:lang w:eastAsia="hu-HU"/>
    </w:rPr>
  </w:style>
  <w:style w:type="character" w:customStyle="1" w:styleId="lfejChar">
    <w:name w:val="Élőfej Char"/>
    <w:basedOn w:val="DefaultParagraphFont"/>
    <w:uiPriority w:val="99"/>
    <w:qFormat/>
    <w:rsid w:val="00445B60"/>
    <w:rPr>
      <w:rFonts w:ascii="Times New Roman" w:eastAsia="Times New Roman" w:hAnsi="Times New Roman" w:cs="Times New Roman"/>
      <w:sz w:val="24"/>
      <w:szCs w:val="24"/>
      <w:lang w:eastAsia="hu-HU"/>
    </w:rPr>
  </w:style>
  <w:style w:type="character" w:customStyle="1" w:styleId="llbChar">
    <w:name w:val="Élőláb Char"/>
    <w:basedOn w:val="DefaultParagraphFont"/>
    <w:uiPriority w:val="99"/>
    <w:qFormat/>
    <w:rsid w:val="00445B60"/>
    <w:rPr>
      <w:rFonts w:ascii="Times New Roman" w:eastAsia="Times New Roman" w:hAnsi="Times New Roman" w:cs="Times New Roman"/>
      <w:sz w:val="24"/>
      <w:szCs w:val="24"/>
      <w:lang w:eastAsia="hu-HU"/>
    </w:rPr>
  </w:style>
  <w:style w:type="character" w:customStyle="1" w:styleId="CommentSubjectChar">
    <w:name w:val="Comment Subject Char"/>
    <w:basedOn w:val="CommentTextChar"/>
    <w:link w:val="CommentSubject"/>
    <w:uiPriority w:val="99"/>
    <w:semiHidden/>
    <w:qFormat/>
    <w:rsid w:val="0026132E"/>
    <w:rPr>
      <w:rFonts w:ascii="Times New Roman" w:eastAsia="Times New Roman" w:hAnsi="Times New Roman" w:cs="Times New Roman"/>
      <w:b/>
      <w:bCs/>
      <w:sz w:val="20"/>
      <w:szCs w:val="20"/>
      <w:lang w:eastAsia="hu-HU"/>
    </w:rPr>
  </w:style>
  <w:style w:type="character" w:customStyle="1" w:styleId="BodyTextIndentChar">
    <w:name w:val="Body Text Indent Char"/>
    <w:basedOn w:val="DefaultParagraphFont"/>
    <w:link w:val="BodyTextIndent"/>
    <w:qFormat/>
    <w:rsid w:val="00045E9D"/>
    <w:rPr>
      <w:rFonts w:ascii="Times New Roman" w:eastAsia="Times New Roman" w:hAnsi="Times New Roman" w:cs="Times New Roman"/>
      <w:sz w:val="28"/>
      <w:szCs w:val="20"/>
      <w:lang w:eastAsia="hu-HU"/>
    </w:rPr>
  </w:style>
  <w:style w:type="character" w:styleId="Strong">
    <w:name w:val="Strong"/>
    <w:uiPriority w:val="22"/>
    <w:qFormat/>
    <w:rsid w:val="00045E9D"/>
    <w:rPr>
      <w:b/>
      <w:bCs/>
    </w:rPr>
  </w:style>
  <w:style w:type="character" w:customStyle="1" w:styleId="BodyText2Char">
    <w:name w:val="Body Text 2 Char"/>
    <w:basedOn w:val="DefaultParagraphFont"/>
    <w:link w:val="BodyText2"/>
    <w:uiPriority w:val="99"/>
    <w:semiHidden/>
    <w:qFormat/>
    <w:rsid w:val="00F26B04"/>
    <w:rPr>
      <w:rFonts w:ascii="Times New Roman" w:eastAsia="Times New Roman" w:hAnsi="Times New Roman" w:cs="Times New Roman"/>
      <w:sz w:val="24"/>
      <w:szCs w:val="24"/>
      <w:lang w:eastAsia="hu-HU"/>
    </w:rPr>
  </w:style>
  <w:style w:type="character" w:customStyle="1" w:styleId="Bekezdsalapbettpusa1">
    <w:name w:val="Bekezdés alapbetűtípusa1"/>
    <w:qFormat/>
    <w:rsid w:val="00CB2C44"/>
  </w:style>
  <w:style w:type="character" w:customStyle="1" w:styleId="Sorszmozs">
    <w:name w:val="Sorszámozás"/>
  </w:style>
  <w:style w:type="paragraph" w:customStyle="1" w:styleId="Cmsor">
    <w:name w:val="Címsor"/>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Trgymutat">
    <w:name w:val="Tárgymutató"/>
    <w:basedOn w:val="Normal"/>
    <w:qFormat/>
    <w:pPr>
      <w:suppressLineNumbers/>
    </w:pPr>
    <w:rPr>
      <w:rFonts w:cs="Arial"/>
    </w:rPr>
  </w:style>
  <w:style w:type="paragraph" w:customStyle="1" w:styleId="Iktatszm">
    <w:name w:val="Iktatószám"/>
    <w:basedOn w:val="Normal"/>
    <w:uiPriority w:val="99"/>
    <w:qFormat/>
    <w:rsid w:val="00A365D9"/>
    <w:pPr>
      <w:jc w:val="center"/>
    </w:pPr>
    <w:rPr>
      <w:b/>
      <w:caps/>
    </w:rPr>
  </w:style>
  <w:style w:type="paragraph" w:styleId="ListParagraph">
    <w:name w:val="List Paragraph"/>
    <w:basedOn w:val="Normal"/>
    <w:link w:val="ListParagraphChar"/>
    <w:uiPriority w:val="34"/>
    <w:qFormat/>
    <w:rsid w:val="00A365D9"/>
    <w:pPr>
      <w:ind w:left="720"/>
      <w:contextualSpacing/>
    </w:pPr>
    <w:rPr>
      <w:rFonts w:ascii="Calibri" w:eastAsia="Calibri" w:hAnsi="Calibri"/>
      <w:sz w:val="22"/>
      <w:szCs w:val="22"/>
      <w:lang w:eastAsia="en-US"/>
    </w:rPr>
  </w:style>
  <w:style w:type="paragraph" w:styleId="PlainText">
    <w:name w:val="Plain Text"/>
    <w:basedOn w:val="Normal"/>
    <w:link w:val="PlainTextChar"/>
    <w:uiPriority w:val="99"/>
    <w:qFormat/>
    <w:rsid w:val="00A365D9"/>
    <w:rPr>
      <w:rFonts w:ascii="Courier New" w:hAnsi="Courier New" w:cs="Courier New"/>
      <w:sz w:val="20"/>
      <w:szCs w:val="20"/>
    </w:rPr>
  </w:style>
  <w:style w:type="paragraph" w:styleId="CommentText">
    <w:name w:val="annotation text"/>
    <w:basedOn w:val="Normal"/>
    <w:link w:val="CommentTextChar"/>
    <w:uiPriority w:val="99"/>
    <w:qFormat/>
    <w:rsid w:val="00B70AA7"/>
    <w:rPr>
      <w:rFonts w:ascii="Bookman Old Style" w:hAnsi="Bookman Old Style" w:cs="Bookman Old Style"/>
      <w:sz w:val="20"/>
      <w:szCs w:val="20"/>
      <w:lang w:eastAsia="en-US"/>
    </w:rPr>
  </w:style>
  <w:style w:type="paragraph" w:styleId="BalloonText">
    <w:name w:val="Balloon Text"/>
    <w:basedOn w:val="Normal"/>
    <w:link w:val="BalloonTextChar"/>
    <w:uiPriority w:val="99"/>
    <w:semiHidden/>
    <w:unhideWhenUsed/>
    <w:qFormat/>
    <w:rsid w:val="00B70AA7"/>
    <w:rPr>
      <w:rFonts w:ascii="Tahoma" w:hAnsi="Tahoma" w:cs="Tahoma"/>
      <w:sz w:val="16"/>
      <w:szCs w:val="16"/>
    </w:rPr>
  </w:style>
  <w:style w:type="paragraph" w:customStyle="1" w:styleId="lfejsllb">
    <w:name w:val="Élőfej és élőláb"/>
    <w:basedOn w:val="Normal"/>
    <w:qFormat/>
  </w:style>
  <w:style w:type="paragraph" w:styleId="Header">
    <w:name w:val="header"/>
    <w:basedOn w:val="Normal"/>
    <w:uiPriority w:val="99"/>
    <w:unhideWhenUsed/>
    <w:rsid w:val="00445B60"/>
    <w:pPr>
      <w:tabs>
        <w:tab w:val="center" w:pos="4536"/>
        <w:tab w:val="right" w:pos="9072"/>
      </w:tabs>
    </w:pPr>
  </w:style>
  <w:style w:type="paragraph" w:styleId="Footer">
    <w:name w:val="footer"/>
    <w:basedOn w:val="Normal"/>
    <w:uiPriority w:val="99"/>
    <w:unhideWhenUsed/>
    <w:rsid w:val="00445B60"/>
    <w:pPr>
      <w:tabs>
        <w:tab w:val="center" w:pos="4536"/>
        <w:tab w:val="right" w:pos="9072"/>
      </w:tabs>
    </w:pPr>
  </w:style>
  <w:style w:type="paragraph" w:styleId="Revision">
    <w:name w:val="Revision"/>
    <w:uiPriority w:val="99"/>
    <w:semiHidden/>
    <w:qFormat/>
    <w:rsid w:val="00445B60"/>
    <w:rPr>
      <w:rFonts w:ascii="Times New Roman" w:eastAsia="Times New Roman" w:hAnsi="Times New Roman" w:cs="Times New Roman"/>
      <w:sz w:val="24"/>
      <w:szCs w:val="24"/>
      <w:lang w:eastAsia="hu-HU"/>
    </w:rPr>
  </w:style>
  <w:style w:type="paragraph" w:styleId="NormalWeb">
    <w:name w:val="Normal (Web)"/>
    <w:basedOn w:val="Normal"/>
    <w:uiPriority w:val="99"/>
    <w:qFormat/>
    <w:rsid w:val="006851EB"/>
    <w:pPr>
      <w:spacing w:beforeAutospacing="1" w:afterAutospacing="1"/>
    </w:pPr>
  </w:style>
  <w:style w:type="paragraph" w:styleId="CommentSubject">
    <w:name w:val="annotation subject"/>
    <w:basedOn w:val="CommentText"/>
    <w:next w:val="CommentText"/>
    <w:link w:val="CommentSubjectChar"/>
    <w:uiPriority w:val="99"/>
    <w:semiHidden/>
    <w:unhideWhenUsed/>
    <w:qFormat/>
    <w:rsid w:val="0026132E"/>
    <w:rPr>
      <w:rFonts w:ascii="Times New Roman" w:hAnsi="Times New Roman" w:cs="Times New Roman"/>
      <w:b/>
      <w:bCs/>
      <w:lang w:eastAsia="hu-HU"/>
    </w:rPr>
  </w:style>
  <w:style w:type="paragraph" w:styleId="BodyTextIndent">
    <w:name w:val="Body Text Indent"/>
    <w:basedOn w:val="Normal"/>
    <w:link w:val="BodyTextIndentChar"/>
    <w:rsid w:val="00045E9D"/>
    <w:pPr>
      <w:ind w:firstLine="567"/>
      <w:jc w:val="both"/>
    </w:pPr>
    <w:rPr>
      <w:sz w:val="28"/>
      <w:szCs w:val="20"/>
    </w:rPr>
  </w:style>
  <w:style w:type="paragraph" w:customStyle="1" w:styleId="cf0">
    <w:name w:val="cf0"/>
    <w:basedOn w:val="Normal"/>
    <w:qFormat/>
    <w:rsid w:val="008927D4"/>
    <w:pPr>
      <w:spacing w:beforeAutospacing="1" w:afterAutospacing="1"/>
    </w:pPr>
  </w:style>
  <w:style w:type="paragraph" w:customStyle="1" w:styleId="TextBody">
    <w:name w:val="Text Body"/>
    <w:basedOn w:val="Normal"/>
    <w:uiPriority w:val="99"/>
    <w:qFormat/>
    <w:rsid w:val="00286C00"/>
    <w:pPr>
      <w:widowControl w:val="0"/>
      <w:spacing w:after="140" w:line="288" w:lineRule="auto"/>
    </w:pPr>
    <w:rPr>
      <w:rFonts w:ascii="Liberation Serif" w:eastAsia="Droid Sans Fallback" w:hAnsi="Liberation Serif" w:cs="FreeSans"/>
      <w:lang w:eastAsia="zh-CN" w:bidi="hi-IN"/>
    </w:rPr>
  </w:style>
  <w:style w:type="paragraph" w:customStyle="1" w:styleId="Default">
    <w:name w:val="Default"/>
    <w:qFormat/>
    <w:rsid w:val="00B07BA6"/>
    <w:rPr>
      <w:rFonts w:ascii="Times New Roman" w:eastAsia="Times New Roman" w:hAnsi="Times New Roman" w:cs="Times New Roman"/>
      <w:color w:val="000000"/>
      <w:sz w:val="24"/>
      <w:szCs w:val="24"/>
      <w:lang w:eastAsia="hu-HU"/>
    </w:rPr>
  </w:style>
  <w:style w:type="paragraph" w:styleId="BodyText2">
    <w:name w:val="Body Text 2"/>
    <w:basedOn w:val="Normal"/>
    <w:link w:val="BodyText2Char"/>
    <w:uiPriority w:val="99"/>
    <w:semiHidden/>
    <w:unhideWhenUsed/>
    <w:qFormat/>
    <w:rsid w:val="00F26B04"/>
    <w:pPr>
      <w:spacing w:after="120" w:line="480" w:lineRule="auto"/>
    </w:pPr>
  </w:style>
  <w:style w:type="paragraph" w:customStyle="1" w:styleId="wordsection1">
    <w:name w:val="wordsection1"/>
    <w:basedOn w:val="Normal"/>
    <w:uiPriority w:val="99"/>
    <w:qFormat/>
    <w:rsid w:val="002C2472"/>
    <w:pPr>
      <w:spacing w:beforeAutospacing="1" w:afterAutospacing="1"/>
    </w:pPr>
    <w:rPr>
      <w:rFonts w:eastAsiaTheme="minorHAnsi"/>
    </w:rPr>
  </w:style>
  <w:style w:type="paragraph" w:customStyle="1" w:styleId="Standard">
    <w:name w:val="Standard"/>
    <w:qFormat/>
    <w:rsid w:val="00CB2C44"/>
    <w:pPr>
      <w:spacing w:after="160" w:line="252" w:lineRule="auto"/>
      <w:textAlignment w:val="baseline"/>
    </w:pPr>
    <w:rPr>
      <w:rFonts w:eastAsia="SimSun" w:cs="F"/>
      <w:kern w:val="2"/>
      <w:lang w:eastAsia="hu-HU"/>
    </w:rPr>
  </w:style>
  <w:style w:type="paragraph" w:customStyle="1" w:styleId="Bekezds">
    <w:name w:val="Bekezdés"/>
    <w:uiPriority w:val="99"/>
    <w:qFormat/>
    <w:rsid w:val="000B3E16"/>
    <w:pPr>
      <w:widowControl w:val="0"/>
      <w:ind w:firstLine="202"/>
    </w:pPr>
    <w:rPr>
      <w:rFonts w:ascii="Times New Roman" w:eastAsia="Times New Roman" w:hAnsi="Times New Roman" w:cs="Times New Roman"/>
      <w:sz w:val="24"/>
      <w:szCs w:val="24"/>
      <w:lang w:eastAsia="hu-HU"/>
    </w:rPr>
  </w:style>
  <w:style w:type="table" w:styleId="TableGrid">
    <w:name w:val="Table Grid"/>
    <w:basedOn w:val="TableNormal"/>
    <w:uiPriority w:val="59"/>
    <w:rsid w:val="00003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0BF0-A569-43E6-A121-7B0F8B0934F6}">
  <ds:schemaRefs>
    <ds:schemaRef ds:uri="http://schemas.openxmlformats.org/officeDocument/2006/bibliography"/>
  </ds:schemaRefs>
</ds:datastoreItem>
</file>

<file path=customXml/itemProps2.xml><?xml version="1.0" encoding="utf-8"?>
<ds:datastoreItem xmlns:ds="http://schemas.openxmlformats.org/officeDocument/2006/customXml" ds:itemID="{AB89ABDF-1029-48EA-B656-0D473EDFBC29}">
  <ds:schemaRefs>
    <ds:schemaRef ds:uri="http://schemas.openxmlformats.org/officeDocument/2006/bibliography"/>
  </ds:schemaRefs>
</ds:datastoreItem>
</file>

<file path=customXml/itemProps3.xml><?xml version="1.0" encoding="utf-8"?>
<ds:datastoreItem xmlns:ds="http://schemas.openxmlformats.org/officeDocument/2006/customXml" ds:itemID="{5FF66CCD-264F-4DEB-9262-8546EA21DE3C}">
  <ds:schemaRefs>
    <ds:schemaRef ds:uri="http://schemas.openxmlformats.org/officeDocument/2006/bibliography"/>
  </ds:schemaRefs>
</ds:datastoreItem>
</file>

<file path=customXml/itemProps4.xml><?xml version="1.0" encoding="utf-8"?>
<ds:datastoreItem xmlns:ds="http://schemas.openxmlformats.org/officeDocument/2006/customXml" ds:itemID="{7C6949EB-1E4E-4917-8E44-96CD6FC5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4321</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Gröschl Ildikó</dc:creator>
  <cp:lastModifiedBy>Dimitra Loupi</cp:lastModifiedBy>
  <cp:revision>3</cp:revision>
  <cp:lastPrinted>2021-03-31T08:26:00Z</cp:lastPrinted>
  <dcterms:created xsi:type="dcterms:W3CDTF">2021-03-31T08:27:00Z</dcterms:created>
  <dcterms:modified xsi:type="dcterms:W3CDTF">2021-04-13T08:00:00Z</dcterms:modified>
  <dc:language>hu-HU</dc:language>
</cp:coreProperties>
</file>