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C2F48F" w14:textId="77777777" w:rsidR="006C19EC" w:rsidRDefault="00FC378D" w:rsidP="002A3743">
      <w:pPr>
        <w:spacing w:after="0" w:line="320" w:lineRule="atLeast"/>
        <w:jc w:val="center"/>
        <w:rPr>
          <w:b/>
          <w:sz w:val="28"/>
        </w:rPr>
      </w:pPr>
      <w:r>
        <w:rPr>
          <w:b/>
          <w:sz w:val="28"/>
        </w:rPr>
        <w:t>Estatuto para la aplicación de las disposiciones previstas en el del artículo 84, apartado 8, del Tratado de Medios de Comunicación del Estado (</w:t>
      </w:r>
      <w:r>
        <w:rPr>
          <w:b/>
          <w:i/>
          <w:iCs/>
          <w:sz w:val="28"/>
        </w:rPr>
        <w:t>Medienstaatsvertrag – MStV</w:t>
      </w:r>
      <w:r>
        <w:rPr>
          <w:b/>
          <w:sz w:val="28"/>
        </w:rPr>
        <w:t>) sobre la facilidad de búsqueda de ofertas privadas</w:t>
      </w:r>
    </w:p>
    <w:p w14:paraId="562CFE12" w14:textId="77777777" w:rsidR="00FC378D" w:rsidRPr="00FC378D" w:rsidRDefault="00FC378D" w:rsidP="002A3743">
      <w:pPr>
        <w:spacing w:after="0" w:line="320" w:lineRule="atLeast"/>
        <w:jc w:val="center"/>
        <w:rPr>
          <w:b/>
          <w:sz w:val="28"/>
        </w:rPr>
      </w:pPr>
      <w:r>
        <w:rPr>
          <w:b/>
          <w:sz w:val="28"/>
        </w:rPr>
        <w:t>(Estatuto de Valor Público)</w:t>
      </w:r>
    </w:p>
    <w:p w14:paraId="171BD681" w14:textId="77777777" w:rsidR="00FC378D" w:rsidRDefault="00FC378D" w:rsidP="00164A49">
      <w:pPr>
        <w:spacing w:after="0" w:line="320" w:lineRule="atLeast"/>
        <w:rPr>
          <w:rFonts w:eastAsia="Times New Roman" w:cstheme="minorHAnsi"/>
          <w:b/>
          <w:sz w:val="28"/>
          <w:szCs w:val="28"/>
          <w:lang w:eastAsia="de-DE"/>
        </w:rPr>
      </w:pPr>
    </w:p>
    <w:p w14:paraId="2200BDCD" w14:textId="77777777" w:rsidR="00CE3778" w:rsidRDefault="00CE3778" w:rsidP="00164A49">
      <w:pPr>
        <w:spacing w:after="0" w:line="320" w:lineRule="atLeast"/>
        <w:rPr>
          <w:rFonts w:eastAsia="Times New Roman" w:cstheme="minorHAnsi"/>
          <w:b/>
          <w:sz w:val="28"/>
          <w:szCs w:val="28"/>
        </w:rPr>
      </w:pPr>
      <w:r>
        <w:rPr>
          <w:b/>
          <w:sz w:val="28"/>
        </w:rPr>
        <w:t>Preámbulo</w:t>
      </w:r>
    </w:p>
    <w:p w14:paraId="117E1806" w14:textId="77777777" w:rsidR="00CE3778" w:rsidRDefault="00CE3778" w:rsidP="00164A49">
      <w:pPr>
        <w:spacing w:after="0" w:line="320" w:lineRule="atLeast"/>
      </w:pPr>
    </w:p>
    <w:p w14:paraId="2D6C5AA6" w14:textId="77777777" w:rsidR="00164A49" w:rsidRDefault="00164A49" w:rsidP="00164A49">
      <w:pPr>
        <w:spacing w:after="0" w:line="320" w:lineRule="atLeast"/>
        <w:jc w:val="both"/>
        <w:rPr>
          <w:rFonts w:eastAsia="Times New Roman" w:cstheme="minorHAnsi"/>
          <w:sz w:val="24"/>
          <w:szCs w:val="24"/>
        </w:rPr>
      </w:pPr>
      <w:r>
        <w:rPr>
          <w:sz w:val="24"/>
        </w:rPr>
        <w:t>La facilidad de búsqueda es cada vez más importante para las ofertas de contenido, especialmente en línea. Como consecuencia de la creciente variedad de ofertas, resulta cada vez más difícil para las ofertas periodísticas de alta intensidad en costes, por ejemplo, a la hora de generar la atención requerida para la refinanciación.</w:t>
      </w:r>
    </w:p>
    <w:p w14:paraId="30DE5C2F" w14:textId="77777777" w:rsidR="009D766D" w:rsidRPr="00164A49" w:rsidRDefault="009D766D" w:rsidP="00164A49">
      <w:pPr>
        <w:spacing w:after="0" w:line="320" w:lineRule="atLeast"/>
        <w:jc w:val="both"/>
        <w:rPr>
          <w:rFonts w:eastAsia="Times New Roman" w:cstheme="minorHAnsi"/>
          <w:sz w:val="24"/>
          <w:szCs w:val="24"/>
          <w:lang w:eastAsia="de-DE"/>
        </w:rPr>
      </w:pPr>
    </w:p>
    <w:p w14:paraId="5D8354A8" w14:textId="77777777" w:rsidR="00CE3778" w:rsidRPr="00164A49" w:rsidRDefault="00CE3778" w:rsidP="00164A49">
      <w:pPr>
        <w:spacing w:after="0" w:line="320" w:lineRule="atLeast"/>
        <w:jc w:val="both"/>
        <w:rPr>
          <w:rFonts w:eastAsia="Times New Roman" w:cstheme="minorHAnsi"/>
          <w:sz w:val="24"/>
          <w:szCs w:val="24"/>
        </w:rPr>
      </w:pPr>
      <w:r>
        <w:rPr>
          <w:sz w:val="24"/>
        </w:rPr>
        <w:t xml:space="preserve">El mecanismo para facilitar la búsqueda de determinadas ofertas en las interfaces de usuario especialmente relevantes para la formación de la opinión pública, tal como se prevé en el Tratado de Medios de Comunicación del Estado, persigue dos objetivos normativos fundamentales. Existe un beneficio individual directo para el destinatario, que también afecta a la formación de la opinión pública en su conjunto. El objetivo de la facilidad de búsqueda es apoyar a los operadores existentes que ofrecen contenidos relevantes para la formación de la opinión pública, así como hacer que este compromiso sea interesante para otros proveedores. </w:t>
      </w:r>
    </w:p>
    <w:p w14:paraId="1253AC37" w14:textId="77777777" w:rsidR="00CE3778" w:rsidRDefault="00CE3778" w:rsidP="00124452">
      <w:pPr>
        <w:spacing w:after="0" w:line="320" w:lineRule="atLeast"/>
        <w:rPr>
          <w:rFonts w:eastAsia="Times New Roman" w:cstheme="minorHAnsi"/>
          <w:b/>
          <w:sz w:val="28"/>
          <w:szCs w:val="28"/>
          <w:lang w:eastAsia="de-DE"/>
        </w:rPr>
      </w:pPr>
    </w:p>
    <w:p w14:paraId="1BC19430" w14:textId="77777777" w:rsidR="00124452" w:rsidRDefault="00124452" w:rsidP="00124452">
      <w:pPr>
        <w:spacing w:after="0" w:line="320" w:lineRule="atLeast"/>
        <w:rPr>
          <w:rFonts w:eastAsia="Times New Roman" w:cstheme="minorHAnsi"/>
          <w:b/>
          <w:sz w:val="24"/>
          <w:szCs w:val="24"/>
          <w:lang w:eastAsia="de-DE"/>
        </w:rPr>
      </w:pPr>
    </w:p>
    <w:p w14:paraId="6C5EC6F5" w14:textId="77777777" w:rsidR="00560C7C" w:rsidRPr="00C03C27" w:rsidRDefault="00E407BC" w:rsidP="008A13E9">
      <w:pPr>
        <w:spacing w:after="0" w:line="320" w:lineRule="atLeast"/>
        <w:jc w:val="center"/>
        <w:rPr>
          <w:rFonts w:eastAsia="Times New Roman" w:cstheme="minorHAnsi"/>
          <w:b/>
          <w:sz w:val="28"/>
          <w:szCs w:val="28"/>
        </w:rPr>
      </w:pPr>
      <w:r>
        <w:rPr>
          <w:b/>
          <w:sz w:val="28"/>
        </w:rPr>
        <w:t xml:space="preserve">Artículo 1 </w:t>
      </w:r>
    </w:p>
    <w:p w14:paraId="0B0396D3" w14:textId="77777777" w:rsidR="00E407BC" w:rsidRPr="00E407BC" w:rsidRDefault="00E407BC" w:rsidP="008A13E9">
      <w:pPr>
        <w:spacing w:after="0" w:line="320" w:lineRule="atLeast"/>
        <w:jc w:val="center"/>
        <w:rPr>
          <w:rFonts w:eastAsia="Times New Roman" w:cstheme="minorHAnsi"/>
          <w:b/>
          <w:sz w:val="28"/>
          <w:szCs w:val="28"/>
        </w:rPr>
      </w:pPr>
      <w:r>
        <w:rPr>
          <w:b/>
          <w:sz w:val="28"/>
        </w:rPr>
        <w:t>Objeto</w:t>
      </w:r>
    </w:p>
    <w:p w14:paraId="23BDCCD5" w14:textId="77777777" w:rsidR="00E407BC" w:rsidRPr="00E407BC" w:rsidRDefault="00E407BC" w:rsidP="00F91BBA">
      <w:pPr>
        <w:spacing w:after="0" w:line="320" w:lineRule="atLeast"/>
        <w:jc w:val="both"/>
        <w:rPr>
          <w:rFonts w:eastAsia="Times New Roman" w:cstheme="minorHAnsi"/>
          <w:sz w:val="24"/>
          <w:szCs w:val="24"/>
          <w:lang w:eastAsia="de-DE"/>
        </w:rPr>
      </w:pPr>
    </w:p>
    <w:p w14:paraId="4367D95A" w14:textId="77777777" w:rsidR="00E407BC" w:rsidRDefault="00E407BC" w:rsidP="00F91BBA">
      <w:pPr>
        <w:spacing w:after="0" w:line="320" w:lineRule="atLeast"/>
        <w:jc w:val="both"/>
        <w:rPr>
          <w:rFonts w:eastAsia="Times New Roman" w:cstheme="minorHAnsi"/>
          <w:sz w:val="24"/>
          <w:szCs w:val="24"/>
        </w:rPr>
      </w:pPr>
      <w:r>
        <w:rPr>
          <w:sz w:val="24"/>
        </w:rPr>
        <w:t xml:space="preserve">Las autoridades estatales de medios de comunicación determinan cuáles son los proveedores de ofertas (denominadas en lo sucesivo «ofertas») según la definición del artículo 84, apartado 3, punto 2, y el apartado 4, del Tratado de Medios de Comunicación del Estado (MStV) (procedimiento de determinación), de conformidad con el artículo 84, apartado 5, del Tratado de Medios de Comunicación del Estado (MStV). </w:t>
      </w:r>
    </w:p>
    <w:p w14:paraId="020A2099" w14:textId="77777777" w:rsidR="00301916" w:rsidRDefault="00301916" w:rsidP="00F91BBA">
      <w:pPr>
        <w:spacing w:after="0" w:line="320" w:lineRule="atLeast"/>
        <w:jc w:val="both"/>
        <w:rPr>
          <w:rFonts w:eastAsia="Times New Roman" w:cstheme="minorHAnsi"/>
          <w:sz w:val="24"/>
          <w:szCs w:val="24"/>
          <w:lang w:eastAsia="de-DE"/>
        </w:rPr>
      </w:pPr>
    </w:p>
    <w:p w14:paraId="59914B52" w14:textId="77777777" w:rsidR="00124452" w:rsidRPr="00E407BC" w:rsidRDefault="00124452" w:rsidP="00F91BBA">
      <w:pPr>
        <w:spacing w:after="0" w:line="320" w:lineRule="atLeast"/>
        <w:jc w:val="both"/>
        <w:rPr>
          <w:rFonts w:eastAsia="Times New Roman" w:cstheme="minorHAnsi"/>
          <w:sz w:val="24"/>
          <w:szCs w:val="24"/>
          <w:lang w:eastAsia="de-DE"/>
        </w:rPr>
      </w:pPr>
    </w:p>
    <w:p w14:paraId="36037C68" w14:textId="77777777" w:rsidR="00560C7C" w:rsidRPr="00C03C27" w:rsidRDefault="00E407BC" w:rsidP="008A13E9">
      <w:pPr>
        <w:spacing w:after="0" w:line="320" w:lineRule="atLeast"/>
        <w:jc w:val="center"/>
        <w:rPr>
          <w:rFonts w:eastAsia="Times New Roman" w:cstheme="minorHAnsi"/>
          <w:b/>
          <w:sz w:val="28"/>
          <w:szCs w:val="28"/>
        </w:rPr>
      </w:pPr>
      <w:r>
        <w:rPr>
          <w:b/>
          <w:sz w:val="28"/>
        </w:rPr>
        <w:t xml:space="preserve">Artículo 2 </w:t>
      </w:r>
    </w:p>
    <w:p w14:paraId="3EC876AD" w14:textId="77777777" w:rsidR="00E407BC" w:rsidRPr="00C03C27" w:rsidRDefault="00E407BC" w:rsidP="008A13E9">
      <w:pPr>
        <w:spacing w:after="0" w:line="320" w:lineRule="atLeast"/>
        <w:jc w:val="center"/>
        <w:rPr>
          <w:rFonts w:eastAsia="Times New Roman" w:cstheme="minorHAnsi"/>
          <w:b/>
          <w:sz w:val="28"/>
          <w:szCs w:val="28"/>
        </w:rPr>
      </w:pPr>
      <w:r>
        <w:rPr>
          <w:b/>
          <w:sz w:val="28"/>
        </w:rPr>
        <w:t>Elegibilidad para presentar una solicitud</w:t>
      </w:r>
    </w:p>
    <w:p w14:paraId="2B7D9CF8" w14:textId="77777777" w:rsidR="00E407BC" w:rsidRPr="00E407BC" w:rsidRDefault="00E407BC" w:rsidP="00F91BBA">
      <w:pPr>
        <w:spacing w:after="0" w:line="320" w:lineRule="atLeast"/>
        <w:jc w:val="both"/>
        <w:rPr>
          <w:rFonts w:eastAsia="Times New Roman" w:cstheme="minorHAnsi"/>
          <w:sz w:val="24"/>
          <w:szCs w:val="24"/>
          <w:lang w:eastAsia="de-DE"/>
        </w:rPr>
      </w:pPr>
    </w:p>
    <w:p w14:paraId="0CFBB2EF" w14:textId="77777777" w:rsidR="00E20C43" w:rsidRDefault="00E20C43" w:rsidP="00F81EB4">
      <w:pPr>
        <w:spacing w:after="0" w:line="320" w:lineRule="atLeast"/>
        <w:jc w:val="both"/>
        <w:rPr>
          <w:rFonts w:eastAsia="Times New Roman" w:cstheme="minorHAnsi"/>
          <w:sz w:val="24"/>
          <w:szCs w:val="24"/>
        </w:rPr>
      </w:pPr>
      <w:r>
        <w:rPr>
          <w:sz w:val="24"/>
        </w:rPr>
        <w:t xml:space="preserve">Las solicitudes pueden ser presentadas por los siguientes entes: </w:t>
      </w:r>
    </w:p>
    <w:p w14:paraId="2F0C3053" w14:textId="77777777" w:rsidR="00E20C43" w:rsidRDefault="00E20C43" w:rsidP="00F81EB4">
      <w:pPr>
        <w:spacing w:after="0" w:line="320" w:lineRule="atLeast"/>
        <w:jc w:val="both"/>
        <w:rPr>
          <w:rFonts w:eastAsia="Times New Roman" w:cstheme="minorHAnsi"/>
          <w:sz w:val="24"/>
          <w:szCs w:val="24"/>
          <w:lang w:eastAsia="de-DE"/>
        </w:rPr>
      </w:pPr>
    </w:p>
    <w:p w14:paraId="01A6AE28" w14:textId="77777777" w:rsidR="00E20C43" w:rsidRDefault="00F36BA7" w:rsidP="00F81EB4">
      <w:pPr>
        <w:pStyle w:val="ListParagraph"/>
        <w:numPr>
          <w:ilvl w:val="0"/>
          <w:numId w:val="4"/>
        </w:numPr>
        <w:spacing w:after="0" w:line="320" w:lineRule="atLeast"/>
        <w:jc w:val="both"/>
        <w:rPr>
          <w:rFonts w:eastAsia="Times New Roman" w:cstheme="minorHAnsi"/>
          <w:sz w:val="24"/>
          <w:szCs w:val="24"/>
        </w:rPr>
      </w:pPr>
      <w:r>
        <w:rPr>
          <w:sz w:val="24"/>
        </w:rPr>
        <w:t>de conformidad con el artículo 84, apartado 3. punto 2, del Tratado de Medios de Comunicación del Estado (MStV), las ofertas de radiodifusión de proveedores privados que contribuyan de manera significativa a la diversidad de opiniones y ofertas en Alemania; o</w:t>
      </w:r>
    </w:p>
    <w:p w14:paraId="7273EB60" w14:textId="77777777" w:rsidR="009D766D" w:rsidRDefault="009D766D" w:rsidP="009D766D">
      <w:pPr>
        <w:pStyle w:val="ListParagraph"/>
        <w:spacing w:after="0" w:line="320" w:lineRule="atLeast"/>
        <w:ind w:left="360"/>
        <w:jc w:val="both"/>
        <w:rPr>
          <w:rFonts w:eastAsia="Times New Roman" w:cstheme="minorHAnsi"/>
          <w:sz w:val="24"/>
          <w:szCs w:val="24"/>
          <w:lang w:eastAsia="de-DE"/>
        </w:rPr>
      </w:pPr>
    </w:p>
    <w:p w14:paraId="6419C094" w14:textId="40D654DA" w:rsidR="00D769EE" w:rsidRDefault="00F36BA7" w:rsidP="00F81EB4">
      <w:pPr>
        <w:pStyle w:val="ListParagraph"/>
        <w:numPr>
          <w:ilvl w:val="0"/>
          <w:numId w:val="4"/>
        </w:numPr>
        <w:spacing w:after="0" w:line="320" w:lineRule="atLeast"/>
        <w:jc w:val="both"/>
        <w:rPr>
          <w:rFonts w:eastAsia="Times New Roman" w:cstheme="minorHAnsi"/>
          <w:sz w:val="24"/>
          <w:szCs w:val="24"/>
        </w:rPr>
      </w:pPr>
      <w:r>
        <w:rPr>
          <w:sz w:val="24"/>
        </w:rPr>
        <w:t xml:space="preserve">de conformidad con el artículo 84, apartado 4, del Tratado de Medios de Comunicación del Estado (MStV), las ofertas de proveedores privados de servicios similares a los de radiodifusión u ofertas con arreglo al artículo 2, apartado 2, punto 14, letra b), del Tratado </w:t>
      </w:r>
      <w:r>
        <w:rPr>
          <w:sz w:val="24"/>
        </w:rPr>
        <w:lastRenderedPageBreak/>
        <w:t>de Medios de Comunicación del Estado que contribuyan de manera significativa a la diversidad de opiniones y ofertas en Alemania, o mediante aplicaciones basadas en programas informáticos que sirvan para controlarlas directamente.</w:t>
      </w:r>
    </w:p>
    <w:p w14:paraId="473FF532" w14:textId="77777777" w:rsidR="00AF2DCC" w:rsidRDefault="00AF2DCC" w:rsidP="00AF2DCC">
      <w:pPr>
        <w:ind w:left="2832" w:firstLine="708"/>
      </w:pPr>
    </w:p>
    <w:p w14:paraId="4CB87D96" w14:textId="25C9BC0D" w:rsidR="00124452" w:rsidRPr="00AF2DCC" w:rsidRDefault="00124452" w:rsidP="00AF2DCC">
      <w:pPr>
        <w:ind w:left="2832" w:firstLine="708"/>
        <w:rPr>
          <w:rFonts w:eastAsia="Times New Roman" w:cstheme="minorHAnsi"/>
          <w:sz w:val="24"/>
          <w:szCs w:val="24"/>
        </w:rPr>
      </w:pPr>
      <w:r>
        <w:rPr>
          <w:b/>
          <w:sz w:val="28"/>
        </w:rPr>
        <w:t>Artículo 3</w:t>
      </w:r>
    </w:p>
    <w:p w14:paraId="5CB6BB9B" w14:textId="77777777" w:rsidR="00124452" w:rsidRPr="00C03C27" w:rsidRDefault="00124452" w:rsidP="00124452">
      <w:pPr>
        <w:spacing w:after="0" w:line="320" w:lineRule="atLeast"/>
        <w:jc w:val="center"/>
        <w:rPr>
          <w:rFonts w:eastAsia="Times New Roman" w:cstheme="minorHAnsi"/>
          <w:b/>
          <w:sz w:val="28"/>
          <w:szCs w:val="28"/>
        </w:rPr>
      </w:pPr>
      <w:r>
        <w:rPr>
          <w:b/>
          <w:sz w:val="28"/>
        </w:rPr>
        <w:t>Responsabilidad y convocatoria de la licitación</w:t>
      </w:r>
    </w:p>
    <w:p w14:paraId="69481A86" w14:textId="77777777" w:rsidR="00124452" w:rsidRDefault="00124452" w:rsidP="00124452">
      <w:pPr>
        <w:spacing w:after="0" w:line="320" w:lineRule="atLeast"/>
        <w:jc w:val="both"/>
        <w:rPr>
          <w:rFonts w:eastAsia="Times New Roman" w:cstheme="minorHAnsi"/>
          <w:sz w:val="24"/>
          <w:szCs w:val="24"/>
          <w:lang w:eastAsia="de-DE"/>
        </w:rPr>
      </w:pPr>
    </w:p>
    <w:p w14:paraId="0E2E7221" w14:textId="496D0BE9" w:rsidR="00A42418" w:rsidRDefault="00225CB9" w:rsidP="00A42418">
      <w:pPr>
        <w:spacing w:after="0" w:line="320" w:lineRule="atLeast"/>
        <w:jc w:val="both"/>
        <w:rPr>
          <w:rFonts w:eastAsia="Times New Roman" w:cstheme="minorHAnsi"/>
          <w:sz w:val="24"/>
          <w:szCs w:val="24"/>
        </w:rPr>
      </w:pPr>
      <w:r>
        <w:rPr>
          <w:sz w:val="24"/>
        </w:rPr>
        <w:t>1. El procedimiento de determinación corre a cargo de la Comisión de Licencias y Supervisión (ZAK) (artículo 105, apartado 1, punto 9, del Tratado de Medios de Comunicación del Estado). Todas las autoridades estatales de medios de comunicación inician una convocatoria conjunta de licitación, que tiene en cuenta el dictamen de la Conferencia de Presidentes de Comités (GVK), para las áreas de ofertas de audio e imágenes en movimiento (vídeo). En las licitaciones se determina la autoridad estatal de medios de comunicación responsable del procedimiento.</w:t>
      </w:r>
    </w:p>
    <w:p w14:paraId="26DD2199" w14:textId="77777777" w:rsidR="00225CB9" w:rsidRDefault="00225CB9" w:rsidP="00124452">
      <w:pPr>
        <w:spacing w:after="0" w:line="320" w:lineRule="atLeast"/>
        <w:jc w:val="both"/>
        <w:rPr>
          <w:rFonts w:eastAsia="Times New Roman" w:cstheme="minorHAnsi"/>
          <w:sz w:val="24"/>
          <w:szCs w:val="24"/>
          <w:lang w:eastAsia="de-DE"/>
        </w:rPr>
      </w:pPr>
    </w:p>
    <w:p w14:paraId="0C5EBA9C" w14:textId="776ECCB2" w:rsidR="00225CB9" w:rsidRDefault="00225CB9" w:rsidP="00225CB9">
      <w:pPr>
        <w:spacing w:after="0" w:line="320" w:lineRule="atLeast"/>
        <w:jc w:val="both"/>
        <w:rPr>
          <w:rFonts w:eastAsia="Times New Roman" w:cstheme="minorHAnsi"/>
          <w:sz w:val="24"/>
          <w:szCs w:val="24"/>
        </w:rPr>
      </w:pPr>
      <w:r>
        <w:rPr>
          <w:sz w:val="24"/>
        </w:rPr>
        <w:t>2. En las licitaciones se establecen normas complementarias sobre el procedimiento y los requisitos esenciales para la presentación de solicitudes.</w:t>
      </w:r>
    </w:p>
    <w:p w14:paraId="2929A5DA" w14:textId="77777777" w:rsidR="00225CB9" w:rsidRDefault="00225CB9" w:rsidP="00124452">
      <w:pPr>
        <w:spacing w:after="0" w:line="320" w:lineRule="atLeast"/>
        <w:jc w:val="both"/>
        <w:rPr>
          <w:rFonts w:eastAsia="Times New Roman" w:cstheme="minorHAnsi"/>
          <w:sz w:val="24"/>
          <w:szCs w:val="24"/>
          <w:lang w:eastAsia="de-DE"/>
        </w:rPr>
      </w:pPr>
    </w:p>
    <w:p w14:paraId="3DCC51FF" w14:textId="70AFCDCF" w:rsidR="00225CB9" w:rsidRDefault="00225CB9" w:rsidP="00124452">
      <w:pPr>
        <w:spacing w:after="0" w:line="320" w:lineRule="atLeast"/>
        <w:jc w:val="both"/>
        <w:rPr>
          <w:rFonts w:eastAsia="Times New Roman" w:cstheme="minorHAnsi"/>
          <w:sz w:val="24"/>
          <w:szCs w:val="24"/>
        </w:rPr>
      </w:pPr>
      <w:r>
        <w:rPr>
          <w:sz w:val="24"/>
        </w:rPr>
        <w:t xml:space="preserve">3. Las licitaciones son publicadas por todas las autoridades estatales de medios de comunicación de manera adecuada y en el sitio web bajo la denominación general de «autoridades de medios de comunicación». </w:t>
      </w:r>
    </w:p>
    <w:p w14:paraId="62726725" w14:textId="77777777" w:rsidR="00124452" w:rsidRDefault="00124452" w:rsidP="00F91BBA">
      <w:pPr>
        <w:spacing w:after="0" w:line="320" w:lineRule="atLeast"/>
        <w:jc w:val="both"/>
        <w:rPr>
          <w:rFonts w:eastAsia="Times New Roman" w:cstheme="minorHAnsi"/>
          <w:sz w:val="24"/>
          <w:szCs w:val="24"/>
          <w:lang w:eastAsia="de-DE"/>
        </w:rPr>
      </w:pPr>
    </w:p>
    <w:p w14:paraId="59EBE988" w14:textId="77777777" w:rsidR="0095583E" w:rsidRDefault="00225CB9" w:rsidP="00C03C27">
      <w:pPr>
        <w:spacing w:after="0" w:line="320" w:lineRule="atLeast"/>
        <w:rPr>
          <w:rFonts w:eastAsia="Times New Roman" w:cstheme="minorHAnsi"/>
          <w:sz w:val="24"/>
          <w:szCs w:val="24"/>
        </w:rPr>
      </w:pPr>
      <w:r>
        <w:rPr>
          <w:sz w:val="24"/>
        </w:rPr>
        <w:t>4. Está previsto que el proceso de licitación comience en septiembre de 2021.</w:t>
      </w:r>
    </w:p>
    <w:p w14:paraId="4A6AE03F" w14:textId="77777777" w:rsidR="001B036F" w:rsidRDefault="001B036F" w:rsidP="00F91BBA">
      <w:pPr>
        <w:spacing w:after="0" w:line="320" w:lineRule="atLeast"/>
        <w:jc w:val="both"/>
        <w:rPr>
          <w:rFonts w:eastAsia="Times New Roman" w:cstheme="minorHAnsi"/>
          <w:sz w:val="24"/>
          <w:szCs w:val="24"/>
          <w:lang w:eastAsia="de-DE"/>
        </w:rPr>
      </w:pPr>
    </w:p>
    <w:p w14:paraId="0129A290" w14:textId="77777777" w:rsidR="00537FB2" w:rsidRDefault="00537FB2" w:rsidP="00F91BBA">
      <w:pPr>
        <w:spacing w:after="0" w:line="320" w:lineRule="atLeast"/>
        <w:jc w:val="both"/>
        <w:rPr>
          <w:rFonts w:eastAsia="Times New Roman" w:cstheme="minorHAnsi"/>
          <w:sz w:val="24"/>
          <w:szCs w:val="24"/>
          <w:lang w:eastAsia="de-DE"/>
        </w:rPr>
      </w:pPr>
    </w:p>
    <w:p w14:paraId="354E2157" w14:textId="77777777" w:rsidR="00537FB2" w:rsidRPr="000115F0" w:rsidRDefault="004B4D8D" w:rsidP="00537FB2">
      <w:pPr>
        <w:spacing w:after="0" w:line="320" w:lineRule="atLeast"/>
        <w:jc w:val="center"/>
        <w:rPr>
          <w:rFonts w:eastAsia="Times New Roman" w:cstheme="minorHAnsi"/>
          <w:b/>
          <w:sz w:val="28"/>
          <w:szCs w:val="28"/>
        </w:rPr>
      </w:pPr>
      <w:r>
        <w:rPr>
          <w:b/>
          <w:sz w:val="28"/>
        </w:rPr>
        <w:t>Artículo 4</w:t>
      </w:r>
    </w:p>
    <w:p w14:paraId="1161D4D6" w14:textId="77777777" w:rsidR="00537FB2" w:rsidRPr="000115F0" w:rsidRDefault="00537FB2" w:rsidP="00537FB2">
      <w:pPr>
        <w:spacing w:after="0" w:line="320" w:lineRule="atLeast"/>
        <w:jc w:val="center"/>
        <w:rPr>
          <w:rFonts w:eastAsia="Times New Roman" w:cstheme="minorHAnsi"/>
          <w:b/>
          <w:sz w:val="28"/>
          <w:szCs w:val="28"/>
        </w:rPr>
      </w:pPr>
      <w:r>
        <w:rPr>
          <w:b/>
          <w:sz w:val="28"/>
        </w:rPr>
        <w:t>Presentación de solicitudes</w:t>
      </w:r>
    </w:p>
    <w:p w14:paraId="712EC6A1" w14:textId="77777777" w:rsidR="00537FB2" w:rsidRDefault="00537FB2" w:rsidP="00F91BBA">
      <w:pPr>
        <w:spacing w:after="0" w:line="320" w:lineRule="atLeast"/>
        <w:jc w:val="both"/>
        <w:rPr>
          <w:rFonts w:eastAsia="Times New Roman" w:cstheme="minorHAnsi"/>
          <w:sz w:val="24"/>
          <w:szCs w:val="24"/>
          <w:lang w:eastAsia="de-DE"/>
        </w:rPr>
      </w:pPr>
    </w:p>
    <w:p w14:paraId="2A870F7B" w14:textId="77777777" w:rsidR="00537FB2" w:rsidRDefault="00537FB2" w:rsidP="00537FB2">
      <w:pPr>
        <w:spacing w:after="0" w:line="320" w:lineRule="atLeast"/>
        <w:jc w:val="both"/>
        <w:rPr>
          <w:rFonts w:eastAsia="Times New Roman" w:cstheme="minorHAnsi"/>
          <w:sz w:val="24"/>
          <w:szCs w:val="24"/>
        </w:rPr>
      </w:pPr>
      <w:r>
        <w:rPr>
          <w:sz w:val="24"/>
        </w:rPr>
        <w:t>1. Las solicitudes deberán presentarse por escrito ante la autoridad estatal de medios de comunicación responsable dentro del plazo establecido en la respectiva convocatoria de licitación. Las solicitudes irán acompañadas de documentos que</w:t>
      </w:r>
      <w:r>
        <w:rPr>
          <w:rFonts w:ascii="Times New Roman" w:hAnsi="Times New Roman"/>
          <w:sz w:val="24"/>
        </w:rPr>
        <w:t xml:space="preserve"> </w:t>
      </w:r>
      <w:r>
        <w:rPr>
          <w:sz w:val="24"/>
        </w:rPr>
        <w:t xml:space="preserve">permitan analizar la contribución a la diversidad de opiniones y ofertas de la respectiva oferta o aplicación basada en programas informáticos, y deberán contener al menos la siguiente información: </w:t>
      </w:r>
    </w:p>
    <w:p w14:paraId="1A699CA8" w14:textId="77777777" w:rsidR="00F36BA7" w:rsidRDefault="00F36BA7" w:rsidP="00537FB2">
      <w:pPr>
        <w:spacing w:after="0" w:line="320" w:lineRule="atLeast"/>
        <w:jc w:val="both"/>
        <w:rPr>
          <w:rFonts w:eastAsia="Times New Roman" w:cstheme="minorHAnsi"/>
          <w:sz w:val="24"/>
          <w:szCs w:val="24"/>
          <w:lang w:eastAsia="de-DE"/>
        </w:rPr>
      </w:pPr>
    </w:p>
    <w:p w14:paraId="60AB8AA2" w14:textId="77777777" w:rsidR="00F36BA7" w:rsidRDefault="00F36BA7" w:rsidP="00AD53E0">
      <w:pPr>
        <w:pStyle w:val="ListParagraph"/>
        <w:numPr>
          <w:ilvl w:val="0"/>
          <w:numId w:val="6"/>
        </w:numPr>
        <w:spacing w:after="0" w:line="320" w:lineRule="atLeast"/>
        <w:jc w:val="both"/>
        <w:rPr>
          <w:rFonts w:eastAsia="Times New Roman" w:cstheme="minorHAnsi"/>
          <w:sz w:val="24"/>
          <w:szCs w:val="24"/>
        </w:rPr>
      </w:pPr>
      <w:r>
        <w:rPr>
          <w:sz w:val="24"/>
        </w:rPr>
        <w:t>datos de los que se deduzca que la oferta es una oferta de radiodifusión privada de conformidad con el artículo 84, apartado 3, del Tratado de Medios de Comunicación del Estado, o una oferta privada similar a las de radiodifusión de conformidad con el artículo 84, apartado 4 del Tratado de Medios de Comunicación del Estado, o una oferta de conformidad con el artículo 2, apartado 2,punto 14, letra b), o una aplicación basada en programas informáticos que se utiliza para controlarla directamente;</w:t>
      </w:r>
    </w:p>
    <w:p w14:paraId="2FF24C22" w14:textId="77777777" w:rsidR="00F36BA7" w:rsidRDefault="00F36BA7" w:rsidP="00F36BA7">
      <w:pPr>
        <w:pStyle w:val="ListParagraph"/>
        <w:spacing w:after="0" w:line="320" w:lineRule="atLeast"/>
        <w:jc w:val="both"/>
        <w:rPr>
          <w:rFonts w:eastAsia="Times New Roman" w:cstheme="minorHAnsi"/>
          <w:sz w:val="24"/>
          <w:szCs w:val="24"/>
          <w:lang w:eastAsia="de-DE"/>
        </w:rPr>
      </w:pPr>
    </w:p>
    <w:p w14:paraId="7D5F81AD" w14:textId="77777777" w:rsidR="00537FB2" w:rsidRDefault="009D766D" w:rsidP="00537FB2">
      <w:pPr>
        <w:pStyle w:val="ListParagraph"/>
        <w:numPr>
          <w:ilvl w:val="0"/>
          <w:numId w:val="6"/>
        </w:numPr>
        <w:spacing w:after="0" w:line="320" w:lineRule="atLeast"/>
        <w:jc w:val="both"/>
        <w:rPr>
          <w:rFonts w:eastAsia="Times New Roman" w:cstheme="minorHAnsi"/>
          <w:sz w:val="24"/>
          <w:szCs w:val="24"/>
        </w:rPr>
      </w:pPr>
      <w:r>
        <w:rPr>
          <w:sz w:val="24"/>
        </w:rPr>
        <w:t>una descripción del contenido de la oferta y una explicación del modo en el que contribuye de manera significativa a la diversidad de ofertas y opiniones en Alemania;</w:t>
      </w:r>
    </w:p>
    <w:p w14:paraId="53FEB512" w14:textId="77777777" w:rsidR="009D766D" w:rsidRPr="009D766D" w:rsidRDefault="009D766D" w:rsidP="009D766D">
      <w:pPr>
        <w:spacing w:after="0" w:line="320" w:lineRule="atLeast"/>
        <w:jc w:val="both"/>
        <w:rPr>
          <w:rFonts w:eastAsia="Times New Roman" w:cstheme="minorHAnsi"/>
          <w:sz w:val="24"/>
          <w:szCs w:val="24"/>
          <w:lang w:eastAsia="de-DE"/>
        </w:rPr>
      </w:pPr>
    </w:p>
    <w:p w14:paraId="6D754AAE" w14:textId="5CD6AA75" w:rsidR="00D769EE" w:rsidRDefault="00537FB2" w:rsidP="00537FB2">
      <w:pPr>
        <w:pStyle w:val="ListParagraph"/>
        <w:numPr>
          <w:ilvl w:val="0"/>
          <w:numId w:val="6"/>
        </w:numPr>
        <w:spacing w:after="0" w:line="320" w:lineRule="atLeast"/>
        <w:jc w:val="both"/>
        <w:rPr>
          <w:rFonts w:eastAsia="Times New Roman" w:cstheme="minorHAnsi"/>
          <w:sz w:val="24"/>
          <w:szCs w:val="24"/>
        </w:rPr>
      </w:pPr>
      <w:r>
        <w:rPr>
          <w:sz w:val="24"/>
        </w:rPr>
        <w:lastRenderedPageBreak/>
        <w:t>información sobre los criterios que deben observarse en la determinación de conformidad con el artículo 84, apartado 5, del Tratado de Medios de Comunicación del Estado (MStV) y el artículo 7.</w:t>
      </w:r>
    </w:p>
    <w:p w14:paraId="612791F6" w14:textId="77777777" w:rsidR="001C34EF" w:rsidRDefault="006903A5" w:rsidP="006903A5">
      <w:r>
        <w:t xml:space="preserve">                                                                                 </w:t>
      </w:r>
    </w:p>
    <w:p w14:paraId="7F87071E" w14:textId="4BD559A8" w:rsidR="004B4D8D" w:rsidRPr="006903A5" w:rsidRDefault="001C34EF" w:rsidP="001C34EF">
      <w:pPr>
        <w:ind w:left="1416" w:firstLine="708"/>
        <w:rPr>
          <w:rFonts w:eastAsia="Times New Roman" w:cstheme="minorHAnsi"/>
          <w:sz w:val="24"/>
          <w:szCs w:val="24"/>
        </w:rPr>
      </w:pPr>
      <w:r>
        <w:t xml:space="preserve">                                      </w:t>
      </w:r>
      <w:r w:rsidR="004B4D8D">
        <w:rPr>
          <w:b/>
          <w:sz w:val="28"/>
        </w:rPr>
        <w:t>Artículo 5</w:t>
      </w:r>
    </w:p>
    <w:p w14:paraId="7A28FEEF" w14:textId="77777777" w:rsidR="004B4D8D" w:rsidRPr="009D766D" w:rsidRDefault="004B4D8D" w:rsidP="004B4D8D">
      <w:pPr>
        <w:spacing w:after="0" w:line="320" w:lineRule="atLeast"/>
        <w:jc w:val="center"/>
        <w:rPr>
          <w:rFonts w:eastAsia="Times New Roman" w:cstheme="minorHAnsi"/>
          <w:b/>
          <w:sz w:val="28"/>
          <w:szCs w:val="28"/>
        </w:rPr>
      </w:pPr>
      <w:r>
        <w:rPr>
          <w:b/>
          <w:sz w:val="28"/>
        </w:rPr>
        <w:t>Procedimiento</w:t>
      </w:r>
    </w:p>
    <w:p w14:paraId="11C90C8A" w14:textId="77777777" w:rsidR="004B4D8D" w:rsidRPr="009D766D" w:rsidRDefault="004B4D8D" w:rsidP="004B4D8D">
      <w:pPr>
        <w:spacing w:after="0" w:line="320" w:lineRule="atLeast"/>
        <w:jc w:val="both"/>
        <w:rPr>
          <w:rFonts w:eastAsia="Times New Roman" w:cstheme="minorHAnsi"/>
          <w:sz w:val="24"/>
          <w:szCs w:val="24"/>
          <w:lang w:eastAsia="de-DE"/>
        </w:rPr>
      </w:pPr>
    </w:p>
    <w:p w14:paraId="68F2CB65" w14:textId="77777777" w:rsidR="004B4D8D" w:rsidRPr="009D766D" w:rsidRDefault="004B4D8D" w:rsidP="004B4D8D">
      <w:pPr>
        <w:spacing w:after="0" w:line="320" w:lineRule="atLeast"/>
        <w:jc w:val="both"/>
        <w:rPr>
          <w:rFonts w:eastAsia="Times New Roman" w:cstheme="minorHAnsi"/>
          <w:sz w:val="24"/>
          <w:szCs w:val="24"/>
        </w:rPr>
      </w:pPr>
      <w:r>
        <w:rPr>
          <w:sz w:val="24"/>
        </w:rPr>
        <w:t>1. La autoridad estatal de medios de comunicación responsable examinará las solicitudes recibidas. Comprobará si se cumplen las condiciones para determinar la respectiva oferta o aplicación basada en programas informáticos de conformidad con los artículos 2, 7 y 8.</w:t>
      </w:r>
    </w:p>
    <w:p w14:paraId="4571C38C" w14:textId="77777777" w:rsidR="004B4D8D" w:rsidRPr="009D766D" w:rsidRDefault="004B4D8D" w:rsidP="004B4D8D">
      <w:pPr>
        <w:spacing w:after="0" w:line="320" w:lineRule="atLeast"/>
        <w:jc w:val="both"/>
        <w:rPr>
          <w:rFonts w:eastAsia="Times New Roman" w:cstheme="minorHAnsi"/>
          <w:sz w:val="24"/>
          <w:szCs w:val="24"/>
          <w:lang w:eastAsia="de-DE"/>
        </w:rPr>
      </w:pPr>
    </w:p>
    <w:p w14:paraId="3867B43E" w14:textId="77777777" w:rsidR="004B4D8D" w:rsidRPr="009D766D" w:rsidRDefault="004B4D8D" w:rsidP="004B4D8D">
      <w:pPr>
        <w:spacing w:after="0" w:line="320" w:lineRule="atLeast"/>
        <w:jc w:val="both"/>
        <w:rPr>
          <w:rFonts w:eastAsia="Times New Roman" w:cstheme="minorHAnsi"/>
          <w:sz w:val="24"/>
          <w:szCs w:val="24"/>
        </w:rPr>
      </w:pPr>
      <w:r>
        <w:rPr>
          <w:sz w:val="24"/>
        </w:rPr>
        <w:t>2. La Comisión de Licencias y Supervisión (ZAK) determinará mediante resolución si se cumplen las condiciones para cada oferta o para la respectiva aplicación basada en programas informáticos.</w:t>
      </w:r>
    </w:p>
    <w:p w14:paraId="7D7A74F4" w14:textId="77777777" w:rsidR="004B4D8D" w:rsidRPr="009D766D" w:rsidRDefault="004B4D8D" w:rsidP="004B4D8D">
      <w:pPr>
        <w:spacing w:after="0" w:line="320" w:lineRule="atLeast"/>
        <w:jc w:val="both"/>
        <w:rPr>
          <w:rFonts w:eastAsia="Times New Roman" w:cstheme="minorHAnsi"/>
          <w:sz w:val="24"/>
          <w:szCs w:val="24"/>
          <w:lang w:eastAsia="de-DE"/>
        </w:rPr>
      </w:pPr>
    </w:p>
    <w:p w14:paraId="5DE5AAF3" w14:textId="77777777" w:rsidR="004B4D8D" w:rsidRDefault="004B4D8D" w:rsidP="004B4D8D">
      <w:pPr>
        <w:spacing w:after="0" w:line="320" w:lineRule="atLeast"/>
        <w:jc w:val="both"/>
        <w:rPr>
          <w:rFonts w:eastAsia="Times New Roman" w:cstheme="minorHAnsi"/>
          <w:sz w:val="24"/>
          <w:szCs w:val="24"/>
        </w:rPr>
      </w:pPr>
      <w:r>
        <w:rPr>
          <w:sz w:val="24"/>
        </w:rPr>
        <w:t xml:space="preserve">3. La autoridad estatal de medios de comunicación responsable tomará la decisión formal. Estará vinculada a las decisiones de la Comisión de Licencias y Supervisión (ZAK) a este respecto. </w:t>
      </w:r>
    </w:p>
    <w:p w14:paraId="4EDC2549" w14:textId="77777777" w:rsidR="007F62B2" w:rsidRDefault="007F62B2" w:rsidP="007F62B2">
      <w:pPr>
        <w:spacing w:after="0" w:line="320" w:lineRule="atLeast"/>
        <w:jc w:val="center"/>
        <w:rPr>
          <w:rFonts w:eastAsia="Times New Roman" w:cstheme="minorHAnsi"/>
          <w:b/>
          <w:sz w:val="28"/>
          <w:szCs w:val="28"/>
          <w:lang w:eastAsia="de-DE"/>
        </w:rPr>
      </w:pPr>
    </w:p>
    <w:p w14:paraId="6E8F48C5" w14:textId="77777777" w:rsidR="009D766D" w:rsidRDefault="009D766D" w:rsidP="007F62B2">
      <w:pPr>
        <w:spacing w:after="0" w:line="320" w:lineRule="atLeast"/>
        <w:jc w:val="center"/>
        <w:rPr>
          <w:rFonts w:eastAsia="Times New Roman" w:cstheme="minorHAnsi"/>
          <w:b/>
          <w:sz w:val="28"/>
          <w:szCs w:val="28"/>
          <w:lang w:eastAsia="de-DE"/>
        </w:rPr>
      </w:pPr>
    </w:p>
    <w:p w14:paraId="09E792F3" w14:textId="77777777" w:rsidR="007F62B2" w:rsidRPr="007F62B2" w:rsidRDefault="007F62B2" w:rsidP="007F62B2">
      <w:pPr>
        <w:spacing w:after="0" w:line="320" w:lineRule="atLeast"/>
        <w:jc w:val="center"/>
        <w:rPr>
          <w:rFonts w:eastAsia="Times New Roman" w:cstheme="minorHAnsi"/>
          <w:b/>
          <w:sz w:val="28"/>
          <w:szCs w:val="28"/>
        </w:rPr>
      </w:pPr>
      <w:r>
        <w:rPr>
          <w:b/>
          <w:sz w:val="28"/>
        </w:rPr>
        <w:t>Artículo 6</w:t>
      </w:r>
    </w:p>
    <w:p w14:paraId="13FD1E9D" w14:textId="77777777" w:rsidR="007F62B2" w:rsidRPr="007F62B2" w:rsidRDefault="007F62B2" w:rsidP="007F62B2">
      <w:pPr>
        <w:spacing w:after="0" w:line="320" w:lineRule="atLeast"/>
        <w:jc w:val="center"/>
        <w:rPr>
          <w:rFonts w:eastAsia="Times New Roman" w:cstheme="minorHAnsi"/>
          <w:b/>
          <w:sz w:val="28"/>
          <w:szCs w:val="28"/>
        </w:rPr>
      </w:pPr>
      <w:r>
        <w:rPr>
          <w:b/>
          <w:sz w:val="28"/>
        </w:rPr>
        <w:t xml:space="preserve">Conclusión del procedimiento </w:t>
      </w:r>
    </w:p>
    <w:p w14:paraId="708C388F" w14:textId="77777777" w:rsidR="007F62B2" w:rsidRPr="00FC0C8B" w:rsidRDefault="007F62B2" w:rsidP="00FC0C8B">
      <w:pPr>
        <w:spacing w:after="0" w:line="320" w:lineRule="atLeast"/>
        <w:jc w:val="both"/>
        <w:rPr>
          <w:rFonts w:eastAsia="Times New Roman" w:cstheme="minorHAnsi"/>
          <w:sz w:val="24"/>
          <w:szCs w:val="24"/>
          <w:lang w:eastAsia="de-DE"/>
        </w:rPr>
      </w:pPr>
    </w:p>
    <w:p w14:paraId="4E62C9BF" w14:textId="77777777" w:rsidR="007F62B2" w:rsidRPr="00FC0C8B" w:rsidRDefault="007F62B2" w:rsidP="00FC0C8B">
      <w:pPr>
        <w:spacing w:after="0" w:line="320" w:lineRule="atLeast"/>
        <w:jc w:val="both"/>
        <w:rPr>
          <w:rFonts w:eastAsia="Times New Roman" w:cstheme="minorHAnsi"/>
          <w:sz w:val="24"/>
          <w:szCs w:val="24"/>
        </w:rPr>
      </w:pPr>
      <w:r>
        <w:rPr>
          <w:sz w:val="24"/>
        </w:rPr>
        <w:t>1. La decisión sobre la respectiva solicitud se expedirá a los solicitantes mediante un acto administrativo.</w:t>
      </w:r>
    </w:p>
    <w:p w14:paraId="3EE291B5" w14:textId="77777777" w:rsidR="007F62B2" w:rsidRPr="00FC0C8B" w:rsidRDefault="007F62B2" w:rsidP="00FC0C8B">
      <w:pPr>
        <w:spacing w:after="0" w:line="320" w:lineRule="atLeast"/>
        <w:jc w:val="both"/>
        <w:rPr>
          <w:rFonts w:eastAsia="Times New Roman" w:cstheme="minorHAnsi"/>
          <w:sz w:val="24"/>
          <w:szCs w:val="24"/>
          <w:lang w:eastAsia="de-DE"/>
        </w:rPr>
      </w:pPr>
    </w:p>
    <w:p w14:paraId="14FCA71F" w14:textId="77777777" w:rsidR="007146F9" w:rsidRDefault="007F62B2" w:rsidP="00FC0C8B">
      <w:pPr>
        <w:spacing w:after="0" w:line="320" w:lineRule="atLeast"/>
        <w:jc w:val="both"/>
        <w:rPr>
          <w:rFonts w:eastAsia="Times New Roman" w:cstheme="minorHAnsi"/>
          <w:sz w:val="24"/>
          <w:szCs w:val="24"/>
        </w:rPr>
      </w:pPr>
      <w:r>
        <w:rPr>
          <w:sz w:val="24"/>
        </w:rPr>
        <w:t xml:space="preserve">2. Las determinaciones efectuadas se aplicarán en cada caso durante un período de tres años a partir de la fecha anunciada en el acto administrativo. </w:t>
      </w:r>
    </w:p>
    <w:p w14:paraId="3BA405FC" w14:textId="77777777" w:rsidR="007146F9" w:rsidRDefault="007146F9" w:rsidP="00FC0C8B">
      <w:pPr>
        <w:spacing w:after="0" w:line="320" w:lineRule="atLeast"/>
        <w:jc w:val="both"/>
        <w:rPr>
          <w:rFonts w:eastAsia="Times New Roman" w:cstheme="minorHAnsi"/>
          <w:sz w:val="24"/>
          <w:szCs w:val="24"/>
          <w:lang w:eastAsia="de-DE"/>
        </w:rPr>
      </w:pPr>
    </w:p>
    <w:p w14:paraId="1E867774" w14:textId="77777777" w:rsidR="007146F9" w:rsidRDefault="007146F9" w:rsidP="00FC0C8B">
      <w:pPr>
        <w:spacing w:after="0" w:line="320" w:lineRule="atLeast"/>
        <w:jc w:val="both"/>
        <w:rPr>
          <w:rFonts w:eastAsia="Times New Roman" w:cstheme="minorHAnsi"/>
          <w:sz w:val="24"/>
          <w:szCs w:val="24"/>
        </w:rPr>
      </w:pPr>
      <w:r>
        <w:rPr>
          <w:sz w:val="24"/>
        </w:rPr>
        <w:t xml:space="preserve">3. El solicitante deberá notificar inmediatamente a la autoridad estatal de medios de comunicación responsable los cambios que se produzcan en la oferta antes o después de la decisión sobre la solicitud, y que sean esenciales para la determinación de conformidad con los artículos 7 y 8. </w:t>
      </w:r>
    </w:p>
    <w:p w14:paraId="27A16DFD" w14:textId="77777777" w:rsidR="007146F9" w:rsidRDefault="007146F9" w:rsidP="00FC0C8B">
      <w:pPr>
        <w:spacing w:after="0" w:line="320" w:lineRule="atLeast"/>
        <w:jc w:val="both"/>
        <w:rPr>
          <w:rFonts w:eastAsia="Times New Roman" w:cstheme="minorHAnsi"/>
          <w:sz w:val="24"/>
          <w:szCs w:val="24"/>
          <w:lang w:eastAsia="de-DE"/>
        </w:rPr>
      </w:pPr>
    </w:p>
    <w:p w14:paraId="77055C5F" w14:textId="77777777" w:rsidR="007F62B2" w:rsidRDefault="007146F9" w:rsidP="00FC0C8B">
      <w:pPr>
        <w:spacing w:after="0" w:line="320" w:lineRule="atLeast"/>
        <w:jc w:val="both"/>
        <w:rPr>
          <w:rFonts w:eastAsia="Times New Roman" w:cstheme="minorHAnsi"/>
          <w:sz w:val="24"/>
          <w:szCs w:val="24"/>
        </w:rPr>
      </w:pPr>
      <w:r>
        <w:rPr>
          <w:sz w:val="24"/>
        </w:rPr>
        <w:t>4. De conformidad con el artículo 6, apartado 1, la decisión podrá ser revocada por la autoridad estatal de medios de comunicación responsable si posteriormente se producen cambios sustanciales en la oferta, en función de los cuales la oferta haya dejado de cumplir lo dispuesto en los artículos 7 y 8.</w:t>
      </w:r>
    </w:p>
    <w:p w14:paraId="23B5A412" w14:textId="77777777" w:rsidR="007F62B2" w:rsidRDefault="007F62B2" w:rsidP="004B4D8D">
      <w:pPr>
        <w:spacing w:after="0" w:line="320" w:lineRule="atLeast"/>
        <w:jc w:val="both"/>
        <w:rPr>
          <w:rFonts w:eastAsia="Times New Roman" w:cstheme="minorHAnsi"/>
          <w:sz w:val="24"/>
          <w:szCs w:val="24"/>
          <w:lang w:eastAsia="de-DE"/>
        </w:rPr>
      </w:pPr>
    </w:p>
    <w:p w14:paraId="0A640E40" w14:textId="77777777" w:rsidR="0001194D" w:rsidRDefault="0001194D" w:rsidP="00537FB2">
      <w:pPr>
        <w:spacing w:after="0" w:line="320" w:lineRule="atLeast"/>
        <w:jc w:val="both"/>
        <w:rPr>
          <w:rFonts w:eastAsia="Times New Roman" w:cstheme="minorHAnsi"/>
          <w:sz w:val="24"/>
          <w:szCs w:val="24"/>
          <w:lang w:eastAsia="de-DE"/>
        </w:rPr>
      </w:pPr>
    </w:p>
    <w:p w14:paraId="613CD46C" w14:textId="77777777" w:rsidR="006672EC" w:rsidRPr="006672EC" w:rsidRDefault="006672EC" w:rsidP="006672EC">
      <w:pPr>
        <w:spacing w:after="0" w:line="320" w:lineRule="atLeast"/>
        <w:jc w:val="center"/>
        <w:rPr>
          <w:rFonts w:eastAsia="Times New Roman" w:cstheme="minorHAnsi"/>
          <w:b/>
          <w:sz w:val="28"/>
          <w:szCs w:val="28"/>
        </w:rPr>
      </w:pPr>
      <w:r>
        <w:rPr>
          <w:b/>
          <w:sz w:val="28"/>
        </w:rPr>
        <w:t>Artículo 7</w:t>
      </w:r>
    </w:p>
    <w:p w14:paraId="75AE2D97" w14:textId="77777777" w:rsidR="006672EC" w:rsidRPr="006672EC" w:rsidRDefault="006672EC" w:rsidP="006672EC">
      <w:pPr>
        <w:spacing w:after="0" w:line="320" w:lineRule="atLeast"/>
        <w:jc w:val="center"/>
        <w:rPr>
          <w:rFonts w:eastAsia="Times New Roman" w:cstheme="minorHAnsi"/>
          <w:b/>
          <w:sz w:val="28"/>
          <w:szCs w:val="28"/>
        </w:rPr>
      </w:pPr>
      <w:r>
        <w:rPr>
          <w:b/>
          <w:sz w:val="28"/>
        </w:rPr>
        <w:lastRenderedPageBreak/>
        <w:t xml:space="preserve">Criterios de determinación </w:t>
      </w:r>
      <w:r>
        <w:rPr>
          <w:b/>
          <w:sz w:val="28"/>
        </w:rPr>
        <w:br/>
      </w:r>
    </w:p>
    <w:p w14:paraId="3617EB73" w14:textId="77777777" w:rsidR="004C219B" w:rsidRPr="00956BF6" w:rsidRDefault="006672EC" w:rsidP="00956BF6">
      <w:pPr>
        <w:spacing w:after="0" w:line="320" w:lineRule="atLeast"/>
        <w:jc w:val="both"/>
        <w:rPr>
          <w:rFonts w:eastAsia="Times New Roman" w:cstheme="minorHAnsi"/>
          <w:sz w:val="24"/>
          <w:szCs w:val="24"/>
        </w:rPr>
      </w:pPr>
      <w:r>
        <w:rPr>
          <w:sz w:val="24"/>
        </w:rPr>
        <w:t>Al determinar las ofertas de conformidad con el artículo 84, apartado 3, punto 2 y apartado 4, del Tratado de Medios de Comunicación del Estado, solo deberán tenerse en cuenta los criterios mencionados en el artículo 84, apartado 5, del Tratado de Medios de Comunicación del Estado.</w:t>
      </w:r>
    </w:p>
    <w:p w14:paraId="4EB05C57" w14:textId="77777777" w:rsidR="004C219B" w:rsidRPr="00956BF6" w:rsidRDefault="004C219B" w:rsidP="00956BF6">
      <w:pPr>
        <w:spacing w:after="0" w:line="320" w:lineRule="atLeast"/>
        <w:jc w:val="both"/>
        <w:rPr>
          <w:rFonts w:eastAsia="Times New Roman" w:cstheme="minorHAnsi"/>
          <w:sz w:val="24"/>
          <w:szCs w:val="24"/>
          <w:lang w:eastAsia="de-DE"/>
        </w:rPr>
      </w:pPr>
    </w:p>
    <w:p w14:paraId="5ED34CF8" w14:textId="77777777" w:rsidR="006672EC" w:rsidRPr="006672EC" w:rsidRDefault="006672EC" w:rsidP="00956BF6">
      <w:pPr>
        <w:spacing w:after="0" w:line="320" w:lineRule="atLeast"/>
        <w:jc w:val="both"/>
        <w:rPr>
          <w:rFonts w:eastAsia="Times New Roman" w:cstheme="minorHAnsi"/>
          <w:sz w:val="24"/>
          <w:szCs w:val="24"/>
        </w:rPr>
      </w:pPr>
      <w:r>
        <w:rPr>
          <w:sz w:val="24"/>
        </w:rPr>
        <w:t>A menos que se definan de otro modo en el Tratado de Medios de Comunicación del Estado:</w:t>
      </w:r>
    </w:p>
    <w:p w14:paraId="6B3CBE5A" w14:textId="77777777" w:rsidR="006672EC" w:rsidRPr="006672EC" w:rsidRDefault="006672EC" w:rsidP="00956BF6">
      <w:pPr>
        <w:spacing w:after="0" w:line="320" w:lineRule="atLeast"/>
        <w:jc w:val="both"/>
        <w:rPr>
          <w:rFonts w:eastAsia="Times New Roman" w:cstheme="minorHAnsi"/>
          <w:sz w:val="24"/>
          <w:szCs w:val="24"/>
          <w:lang w:eastAsia="de-DE"/>
        </w:rPr>
      </w:pPr>
    </w:p>
    <w:p w14:paraId="145F70FE" w14:textId="77777777" w:rsidR="006672EC" w:rsidRDefault="006672EC" w:rsidP="00956BF6">
      <w:pPr>
        <w:pStyle w:val="ListParagraph"/>
        <w:numPr>
          <w:ilvl w:val="0"/>
          <w:numId w:val="9"/>
        </w:numPr>
        <w:spacing w:after="0" w:line="320" w:lineRule="atLeast"/>
        <w:jc w:val="both"/>
        <w:rPr>
          <w:rFonts w:eastAsia="Times New Roman" w:cstheme="minorHAnsi"/>
          <w:sz w:val="24"/>
          <w:szCs w:val="24"/>
        </w:rPr>
      </w:pPr>
      <w:r>
        <w:rPr>
          <w:sz w:val="24"/>
        </w:rPr>
        <w:t>las noticias que informan sobre acontecimientos políticos o contemporáneos son las ofertas de contenidos periodísticos y editoriales que, sobre la base de toda la oferta, representan una sección lo más completa posible de las subáreas de acontecimientos políticos y sociales contemporáneos pertinentes para la formación de la opinión pública y que se centran en la cobertura de acontecimientos reales;</w:t>
      </w:r>
    </w:p>
    <w:p w14:paraId="2C7E8223" w14:textId="77777777" w:rsidR="009D766D" w:rsidRPr="00956BF6" w:rsidRDefault="009D766D" w:rsidP="009D766D">
      <w:pPr>
        <w:pStyle w:val="ListParagraph"/>
        <w:spacing w:after="0" w:line="320" w:lineRule="atLeast"/>
        <w:jc w:val="both"/>
        <w:rPr>
          <w:rFonts w:eastAsia="Times New Roman" w:cstheme="minorHAnsi"/>
          <w:sz w:val="24"/>
          <w:szCs w:val="24"/>
          <w:lang w:eastAsia="de-DE"/>
        </w:rPr>
      </w:pPr>
    </w:p>
    <w:p w14:paraId="0C534598" w14:textId="77777777" w:rsidR="006672EC" w:rsidRDefault="006672EC" w:rsidP="00956BF6">
      <w:pPr>
        <w:pStyle w:val="ListParagraph"/>
        <w:numPr>
          <w:ilvl w:val="0"/>
          <w:numId w:val="9"/>
        </w:numPr>
        <w:spacing w:after="0" w:line="320" w:lineRule="atLeast"/>
        <w:jc w:val="both"/>
        <w:rPr>
          <w:rFonts w:eastAsia="Times New Roman" w:cstheme="minorHAnsi"/>
          <w:sz w:val="24"/>
          <w:szCs w:val="24"/>
        </w:rPr>
      </w:pPr>
      <w:r>
        <w:rPr>
          <w:sz w:val="24"/>
        </w:rPr>
        <w:t xml:space="preserve">la información regional y local, tal como se define en el artículo 2, apartado 2, punto 25, del Tratado de Medios de Comunicación del Estado (MStV), es la información que tiene una clara conexión con las áreas culturalmente relacionadas y espacialmente delimitadas, que también pueden ser transnacionales; </w:t>
      </w:r>
    </w:p>
    <w:p w14:paraId="71A199A1" w14:textId="77777777" w:rsidR="007C2419" w:rsidRPr="0050150A" w:rsidRDefault="007C2419" w:rsidP="0050150A">
      <w:pPr>
        <w:spacing w:after="0" w:line="320" w:lineRule="atLeast"/>
        <w:jc w:val="both"/>
        <w:rPr>
          <w:rFonts w:eastAsia="Times New Roman" w:cstheme="minorHAnsi"/>
          <w:sz w:val="24"/>
          <w:szCs w:val="24"/>
          <w:lang w:eastAsia="de-DE"/>
        </w:rPr>
      </w:pPr>
    </w:p>
    <w:p w14:paraId="5F8FA548" w14:textId="77777777" w:rsidR="006672EC" w:rsidRDefault="006672EC" w:rsidP="00956BF6">
      <w:pPr>
        <w:pStyle w:val="ListParagraph"/>
        <w:numPr>
          <w:ilvl w:val="0"/>
          <w:numId w:val="9"/>
        </w:numPr>
        <w:spacing w:after="0" w:line="320" w:lineRule="atLeast"/>
        <w:jc w:val="both"/>
        <w:rPr>
          <w:rFonts w:eastAsia="Times New Roman" w:cstheme="minorHAnsi"/>
          <w:sz w:val="24"/>
          <w:szCs w:val="24"/>
        </w:rPr>
      </w:pPr>
      <w:r>
        <w:rPr>
          <w:sz w:val="24"/>
        </w:rPr>
        <w:t>las ofertas de producción interna son aquellas cuya producción y procesamiento son realizados y financiados total o principalmente por el proveedor responsable de los contenidos con sus propios medios de producción, o que se producen con la correspondiente influencia periodística y editorial; las producciones realizadas para una empresa de producción después de que esta las haya encargado se considerarán también producciones internas;</w:t>
      </w:r>
    </w:p>
    <w:p w14:paraId="24C4954C" w14:textId="77777777" w:rsidR="009D766D" w:rsidRPr="00956BF6" w:rsidRDefault="009D766D" w:rsidP="009D766D">
      <w:pPr>
        <w:pStyle w:val="ListParagraph"/>
        <w:spacing w:after="0" w:line="320" w:lineRule="atLeast"/>
        <w:jc w:val="both"/>
        <w:rPr>
          <w:rFonts w:eastAsia="Times New Roman" w:cstheme="minorHAnsi"/>
          <w:sz w:val="24"/>
          <w:szCs w:val="24"/>
          <w:lang w:eastAsia="de-DE"/>
        </w:rPr>
      </w:pPr>
    </w:p>
    <w:p w14:paraId="24A04BCB" w14:textId="77777777" w:rsidR="00B124D7" w:rsidRDefault="00B124D7" w:rsidP="005C1407">
      <w:pPr>
        <w:pStyle w:val="ListParagraph"/>
        <w:numPr>
          <w:ilvl w:val="0"/>
          <w:numId w:val="9"/>
        </w:numPr>
        <w:spacing w:after="0" w:line="320" w:lineRule="atLeast"/>
        <w:jc w:val="both"/>
        <w:rPr>
          <w:rFonts w:eastAsia="Times New Roman" w:cstheme="minorHAnsi"/>
          <w:sz w:val="24"/>
          <w:szCs w:val="24"/>
        </w:rPr>
      </w:pPr>
      <w:r>
        <w:rPr>
          <w:sz w:val="24"/>
        </w:rPr>
        <w:t>las ofertas sin barreras son aquellas que son accesibles y utilizables por personas con discapacidad de la manera generalmente habitual para ellas, según los últimos avances correspondientes y mediante el uso de las ayudas necesarias sin dificultades particulares y, básicamente, sin asistencia externa;</w:t>
      </w:r>
    </w:p>
    <w:p w14:paraId="348873A7" w14:textId="77777777" w:rsidR="009D766D" w:rsidRPr="009D766D" w:rsidRDefault="009D766D" w:rsidP="009D766D">
      <w:pPr>
        <w:spacing w:after="0" w:line="320" w:lineRule="atLeast"/>
        <w:jc w:val="both"/>
        <w:rPr>
          <w:rFonts w:eastAsia="Times New Roman" w:cstheme="minorHAnsi"/>
          <w:sz w:val="24"/>
          <w:szCs w:val="24"/>
          <w:lang w:eastAsia="de-DE"/>
        </w:rPr>
      </w:pPr>
    </w:p>
    <w:p w14:paraId="71C99D64" w14:textId="77777777" w:rsidR="006672EC" w:rsidRDefault="006672EC" w:rsidP="00956BF6">
      <w:pPr>
        <w:pStyle w:val="ListParagraph"/>
        <w:numPr>
          <w:ilvl w:val="0"/>
          <w:numId w:val="9"/>
        </w:numPr>
        <w:spacing w:after="0" w:line="320" w:lineRule="atLeast"/>
        <w:jc w:val="both"/>
        <w:rPr>
          <w:rFonts w:eastAsia="Times New Roman" w:cstheme="minorHAnsi"/>
          <w:sz w:val="24"/>
          <w:szCs w:val="24"/>
        </w:rPr>
      </w:pPr>
      <w:r>
        <w:rPr>
          <w:sz w:val="24"/>
        </w:rPr>
        <w:t>los empleados capacitados son aquellos que han completado un curso de formación profesional o un curso de estudios correspondiente que sea relevante para su tarea periodística o técnica de los medios de comunicación para la producción de programas o que pueden aportar pruebas de al menos cinco años de experiencia profesional; no se debe incluir el trabajo auxiliar subordinado;</w:t>
      </w:r>
    </w:p>
    <w:p w14:paraId="5EA7E95B" w14:textId="77777777" w:rsidR="009D766D" w:rsidRPr="009D766D" w:rsidRDefault="009D766D" w:rsidP="009D766D">
      <w:pPr>
        <w:spacing w:after="0" w:line="320" w:lineRule="atLeast"/>
        <w:jc w:val="both"/>
        <w:rPr>
          <w:rFonts w:eastAsia="Times New Roman" w:cstheme="minorHAnsi"/>
          <w:sz w:val="24"/>
          <w:szCs w:val="24"/>
          <w:lang w:eastAsia="de-DE"/>
        </w:rPr>
      </w:pPr>
    </w:p>
    <w:p w14:paraId="6AB034C7" w14:textId="77777777" w:rsidR="006672EC" w:rsidRDefault="00A42418" w:rsidP="00956BF6">
      <w:pPr>
        <w:pStyle w:val="ListParagraph"/>
        <w:numPr>
          <w:ilvl w:val="0"/>
          <w:numId w:val="9"/>
        </w:numPr>
        <w:spacing w:after="0" w:line="320" w:lineRule="atLeast"/>
        <w:jc w:val="both"/>
        <w:rPr>
          <w:rFonts w:eastAsia="Times New Roman" w:cstheme="minorHAnsi"/>
          <w:sz w:val="24"/>
          <w:szCs w:val="24"/>
        </w:rPr>
      </w:pPr>
      <w:r>
        <w:rPr>
          <w:sz w:val="24"/>
        </w:rPr>
        <w:t>los trabajos europeos son aquellos que se definen en el artículo 3, apartado 4, de los estatutos conjuntos de las autoridades estatales de medios de comunicación acerca de las producciones europeas de conformidad con el artículo 77 del Tratado de Medios de Comunicación del Estado; y</w:t>
      </w:r>
    </w:p>
    <w:p w14:paraId="04E5A5A4" w14:textId="77777777" w:rsidR="009D766D" w:rsidRPr="009D766D" w:rsidRDefault="009D766D" w:rsidP="009D766D">
      <w:pPr>
        <w:spacing w:after="0" w:line="320" w:lineRule="atLeast"/>
        <w:jc w:val="both"/>
        <w:rPr>
          <w:rFonts w:eastAsia="Times New Roman" w:cstheme="minorHAnsi"/>
          <w:sz w:val="24"/>
          <w:szCs w:val="24"/>
          <w:lang w:eastAsia="de-DE"/>
        </w:rPr>
      </w:pPr>
    </w:p>
    <w:p w14:paraId="791034E7" w14:textId="77777777" w:rsidR="006672EC" w:rsidRDefault="006672EC" w:rsidP="00956BF6">
      <w:pPr>
        <w:pStyle w:val="ListParagraph"/>
        <w:numPr>
          <w:ilvl w:val="0"/>
          <w:numId w:val="9"/>
        </w:numPr>
        <w:spacing w:after="0" w:line="320" w:lineRule="atLeast"/>
        <w:jc w:val="both"/>
        <w:rPr>
          <w:rFonts w:eastAsia="Times New Roman" w:cstheme="minorHAnsi"/>
          <w:sz w:val="24"/>
          <w:szCs w:val="24"/>
        </w:rPr>
      </w:pPr>
      <w:r>
        <w:rPr>
          <w:sz w:val="24"/>
        </w:rPr>
        <w:lastRenderedPageBreak/>
        <w:t>las ofertas dirigidas a grupos de jóvenes si están claramente dirigidas a niños o jóvenes hasta los 29 años. Se tendrá en cuenta lo siguiente:</w:t>
      </w:r>
    </w:p>
    <w:p w14:paraId="7DCA8830" w14:textId="77777777" w:rsidR="00D95527" w:rsidRDefault="00D95527" w:rsidP="00D95527">
      <w:pPr>
        <w:spacing w:after="0" w:line="320" w:lineRule="atLeast"/>
        <w:jc w:val="both"/>
        <w:rPr>
          <w:rFonts w:eastAsia="Times New Roman" w:cstheme="minorHAnsi"/>
          <w:sz w:val="24"/>
          <w:szCs w:val="24"/>
          <w:lang w:eastAsia="de-DE"/>
        </w:rPr>
      </w:pPr>
    </w:p>
    <w:p w14:paraId="5DD78675" w14:textId="77777777" w:rsidR="006672EC" w:rsidRPr="00D95527" w:rsidRDefault="006672EC" w:rsidP="00D95527">
      <w:pPr>
        <w:pStyle w:val="ListParagraph"/>
        <w:numPr>
          <w:ilvl w:val="0"/>
          <w:numId w:val="12"/>
        </w:numPr>
        <w:spacing w:after="0" w:line="320" w:lineRule="atLeast"/>
        <w:jc w:val="both"/>
        <w:rPr>
          <w:rFonts w:eastAsia="Times New Roman" w:cstheme="minorHAnsi"/>
          <w:sz w:val="24"/>
          <w:szCs w:val="24"/>
        </w:rPr>
      </w:pPr>
      <w:r>
        <w:rPr>
          <w:sz w:val="24"/>
        </w:rPr>
        <w:t xml:space="preserve">las ofertas que no puedan ser interrumpidas por publicidad radiofónica o televenta de conformidad con el artículo 9, apartado 1, del Tratado de Medios de Comunicación del Estado o, en el caso de los contenidos de radiodifusión que sean similares a los contenidos que vayan a clasificarse, no podrán ser interrumpidas por publicidad radiofónica o televenta de conformidad con el artículo 9, apartado 1, del Tratado de Medios de Comunicación del Estado (ofertas para niños); </w:t>
      </w:r>
    </w:p>
    <w:p w14:paraId="304E1B6F" w14:textId="77777777" w:rsidR="00D95527" w:rsidRPr="00D95527" w:rsidRDefault="00D95527" w:rsidP="00D95527">
      <w:pPr>
        <w:pStyle w:val="ListParagraph"/>
        <w:spacing w:after="0" w:line="320" w:lineRule="atLeast"/>
        <w:ind w:left="1468"/>
        <w:jc w:val="both"/>
        <w:rPr>
          <w:rFonts w:eastAsia="Times New Roman" w:cstheme="minorHAnsi"/>
          <w:sz w:val="24"/>
          <w:szCs w:val="24"/>
          <w:lang w:eastAsia="de-DE"/>
        </w:rPr>
      </w:pPr>
    </w:p>
    <w:p w14:paraId="3F7F3E80" w14:textId="6C37BB68" w:rsidR="006672EC" w:rsidRPr="000064CB" w:rsidRDefault="006672EC" w:rsidP="009D766D">
      <w:pPr>
        <w:pStyle w:val="ListParagraph"/>
        <w:numPr>
          <w:ilvl w:val="0"/>
          <w:numId w:val="12"/>
        </w:numPr>
        <w:spacing w:after="0" w:line="320" w:lineRule="atLeast"/>
        <w:jc w:val="both"/>
      </w:pPr>
      <w:r>
        <w:rPr>
          <w:sz w:val="24"/>
        </w:rPr>
        <w:t>las ofertas que, según una consideración global del</w:t>
      </w:r>
      <w:r>
        <w:rPr>
          <w:rFonts w:ascii="Times New Roman" w:hAnsi="Times New Roman"/>
          <w:sz w:val="24"/>
        </w:rPr>
        <w:t xml:space="preserve"> </w:t>
      </w:r>
      <w:r>
        <w:rPr>
          <w:sz w:val="24"/>
        </w:rPr>
        <w:t>contenido caso por caso, la forma y el tiempo de emisión, están claramente dirigidas a un grupo destinatario de 14 a 29 años de edad (ofertas para adolescentes y jóvenes), en la medida en que se centran en la información definida en el artículo 2, apartado 2, punto 25, del Tratado de Medios de Comunicación del Estado (MStV).</w:t>
      </w:r>
    </w:p>
    <w:p w14:paraId="4F7BC33B" w14:textId="77777777" w:rsidR="000064CB" w:rsidRDefault="000064CB" w:rsidP="000064CB">
      <w:pPr>
        <w:pStyle w:val="ListParagraph"/>
      </w:pPr>
    </w:p>
    <w:p w14:paraId="311D636B" w14:textId="00D4217B" w:rsidR="000064CB" w:rsidRDefault="000064CB" w:rsidP="000064CB">
      <w:pPr>
        <w:spacing w:after="0" w:line="320" w:lineRule="atLeast"/>
        <w:jc w:val="both"/>
      </w:pPr>
    </w:p>
    <w:p w14:paraId="449F9127" w14:textId="77777777" w:rsidR="00AA4B93" w:rsidRPr="006672EC" w:rsidRDefault="00AA4B93" w:rsidP="00AA4B93">
      <w:pPr>
        <w:spacing w:after="0" w:line="320" w:lineRule="atLeast"/>
        <w:jc w:val="center"/>
        <w:rPr>
          <w:rFonts w:eastAsia="Times New Roman" w:cstheme="minorHAnsi"/>
          <w:b/>
          <w:sz w:val="28"/>
          <w:szCs w:val="28"/>
        </w:rPr>
      </w:pPr>
      <w:r>
        <w:rPr>
          <w:b/>
          <w:sz w:val="28"/>
        </w:rPr>
        <w:t>Artículo 8</w:t>
      </w:r>
    </w:p>
    <w:p w14:paraId="389064A1" w14:textId="77777777" w:rsidR="00225CB9" w:rsidRDefault="00AA4B93" w:rsidP="00225CB9">
      <w:pPr>
        <w:spacing w:after="0" w:line="320" w:lineRule="atLeast"/>
        <w:jc w:val="center"/>
        <w:rPr>
          <w:rFonts w:eastAsia="Times New Roman" w:cstheme="minorHAnsi"/>
          <w:b/>
          <w:sz w:val="28"/>
          <w:szCs w:val="28"/>
        </w:rPr>
      </w:pPr>
      <w:r>
        <w:rPr>
          <w:b/>
          <w:sz w:val="28"/>
        </w:rPr>
        <w:t>Principios básicos de determinación</w:t>
      </w:r>
      <w:r>
        <w:rPr>
          <w:b/>
          <w:sz w:val="28"/>
        </w:rPr>
        <w:br/>
      </w:r>
    </w:p>
    <w:p w14:paraId="167137B4" w14:textId="77777777" w:rsidR="00225CB9" w:rsidRPr="00F81EB4" w:rsidRDefault="00225CB9" w:rsidP="00225CB9">
      <w:pPr>
        <w:spacing w:after="0" w:line="320" w:lineRule="atLeast"/>
        <w:rPr>
          <w:rFonts w:eastAsia="Times New Roman" w:cstheme="minorHAnsi"/>
          <w:b/>
          <w:sz w:val="28"/>
          <w:szCs w:val="28"/>
        </w:rPr>
      </w:pPr>
      <w:r>
        <w:rPr>
          <w:sz w:val="24"/>
        </w:rPr>
        <w:t>La determinación se realiza con una visión general basada en los siguientes principios básicos:</w:t>
      </w:r>
    </w:p>
    <w:p w14:paraId="1072A53F" w14:textId="77777777" w:rsidR="00AA4B93" w:rsidRDefault="00225CB9" w:rsidP="00225CB9">
      <w:pPr>
        <w:pStyle w:val="ListParagraph"/>
        <w:tabs>
          <w:tab w:val="left" w:pos="4165"/>
        </w:tabs>
        <w:spacing w:after="0" w:line="320" w:lineRule="atLeast"/>
        <w:ind w:left="284"/>
        <w:rPr>
          <w:rFonts w:eastAsia="Times New Roman" w:cstheme="minorHAnsi"/>
          <w:sz w:val="24"/>
          <w:szCs w:val="24"/>
        </w:rPr>
      </w:pPr>
      <w:r>
        <w:rPr>
          <w:sz w:val="24"/>
        </w:rPr>
        <w:tab/>
      </w:r>
    </w:p>
    <w:p w14:paraId="193A25D9" w14:textId="77777777" w:rsidR="00AA4B93" w:rsidRDefault="00164A49" w:rsidP="00F81EB4">
      <w:pPr>
        <w:pStyle w:val="ListParagraph"/>
        <w:numPr>
          <w:ilvl w:val="0"/>
          <w:numId w:val="13"/>
        </w:numPr>
        <w:spacing w:after="0" w:line="320" w:lineRule="atLeast"/>
        <w:ind w:left="720"/>
        <w:rPr>
          <w:rFonts w:eastAsia="Times New Roman" w:cstheme="minorHAnsi"/>
          <w:sz w:val="24"/>
          <w:szCs w:val="24"/>
        </w:rPr>
      </w:pPr>
      <w:r>
        <w:rPr>
          <w:sz w:val="24"/>
        </w:rPr>
        <w:t>las ofertas que básicamente no cumplen los principios periodísticos reconocidos y otros requisitos del Tratado de Medios de Comunicación del Estado no son adecuadas para hacer una contribución notable a la diversidad de opiniones y ofertas;</w:t>
      </w:r>
    </w:p>
    <w:p w14:paraId="66CAC601" w14:textId="77777777" w:rsidR="00AA4B93" w:rsidRDefault="00AA4B93" w:rsidP="00F81EB4">
      <w:pPr>
        <w:pStyle w:val="ListParagraph"/>
        <w:spacing w:after="0" w:line="320" w:lineRule="atLeast"/>
        <w:rPr>
          <w:rFonts w:eastAsia="Times New Roman" w:cstheme="minorHAnsi"/>
          <w:sz w:val="24"/>
          <w:szCs w:val="24"/>
          <w:lang w:eastAsia="de-DE"/>
        </w:rPr>
      </w:pPr>
    </w:p>
    <w:p w14:paraId="0C1AFBD8" w14:textId="77777777" w:rsidR="00AA4B93" w:rsidRDefault="00D95527" w:rsidP="00F81EB4">
      <w:pPr>
        <w:pStyle w:val="ListParagraph"/>
        <w:numPr>
          <w:ilvl w:val="0"/>
          <w:numId w:val="13"/>
        </w:numPr>
        <w:spacing w:after="0" w:line="320" w:lineRule="atLeast"/>
        <w:ind w:left="720"/>
        <w:rPr>
          <w:rFonts w:eastAsia="Times New Roman" w:cstheme="minorHAnsi"/>
          <w:sz w:val="24"/>
          <w:szCs w:val="24"/>
        </w:rPr>
      </w:pPr>
      <w:r>
        <w:rPr>
          <w:sz w:val="24"/>
        </w:rPr>
        <w:t>en la medida en la que los requisitos legales correspondientes sean pertinentes para los criterios establecidos en el artículo 7, para la determinación solo se tendrán en cuenta las medidas que vayan más allá del cumplimiento de estos proyectos legales;</w:t>
      </w:r>
    </w:p>
    <w:p w14:paraId="023C3B07" w14:textId="77777777" w:rsidR="00AA4B93" w:rsidRPr="00AA4B93" w:rsidRDefault="00AA4B93" w:rsidP="00F81EB4">
      <w:pPr>
        <w:pStyle w:val="ListParagraph"/>
        <w:ind w:left="1156"/>
        <w:rPr>
          <w:rFonts w:eastAsia="Times New Roman" w:cstheme="minorHAnsi"/>
          <w:sz w:val="24"/>
          <w:szCs w:val="24"/>
          <w:lang w:eastAsia="de-DE"/>
        </w:rPr>
      </w:pPr>
    </w:p>
    <w:p w14:paraId="5BB13FCD" w14:textId="77777777" w:rsidR="00FD5182" w:rsidRPr="00D14EEB" w:rsidRDefault="00D14EEB" w:rsidP="009D766D">
      <w:pPr>
        <w:pStyle w:val="ListParagraph"/>
        <w:numPr>
          <w:ilvl w:val="0"/>
          <w:numId w:val="13"/>
        </w:numPr>
        <w:spacing w:after="0" w:line="320" w:lineRule="atLeast"/>
        <w:ind w:left="720"/>
        <w:rPr>
          <w:rFonts w:eastAsia="Times New Roman" w:cstheme="minorHAnsi"/>
          <w:sz w:val="24"/>
          <w:szCs w:val="24"/>
        </w:rPr>
      </w:pPr>
      <w:r>
        <w:rPr>
          <w:sz w:val="24"/>
        </w:rPr>
        <w:t xml:space="preserve">a la hora de determinar una contribución especial a la diversidad de opiniones y ofertas, debe darse preferencia a la cuota de tiempo de las noticias sobre acontecimientos políticos y contemporáneos y a la cuota de tiempo de la información regional y local, así como a la proporción de ofertas para los grupos destinatarios de jóvenes; </w:t>
      </w:r>
      <w:r>
        <w:rPr>
          <w:sz w:val="24"/>
        </w:rPr>
        <w:br/>
      </w:r>
    </w:p>
    <w:p w14:paraId="39E98786" w14:textId="77777777" w:rsidR="00AA4B93" w:rsidRDefault="00AA4B93" w:rsidP="00F81EB4">
      <w:pPr>
        <w:pStyle w:val="ListParagraph"/>
        <w:numPr>
          <w:ilvl w:val="0"/>
          <w:numId w:val="13"/>
        </w:numPr>
        <w:spacing w:after="0" w:line="320" w:lineRule="atLeast"/>
        <w:ind w:left="720"/>
        <w:rPr>
          <w:rFonts w:eastAsia="Times New Roman" w:cstheme="minorHAnsi"/>
          <w:sz w:val="24"/>
          <w:szCs w:val="24"/>
        </w:rPr>
      </w:pPr>
      <w:r>
        <w:rPr>
          <w:sz w:val="24"/>
        </w:rPr>
        <w:t>en el caso de las ofertas de radiodifusión definidas en el artículo 84, apartado 3, punto 1, del Tratado de Medios de Comunicación del Estado, debe tenerse en cuenta la regularidad de la emisión, la duración y el tiempo de programación de los programas pertinentes en relación con los criterios establecidos en el artículo 7, apartados 1, 2, 4 y 7;</w:t>
      </w:r>
    </w:p>
    <w:p w14:paraId="4F00E74F" w14:textId="77777777" w:rsidR="00AA4B93" w:rsidRDefault="00AA4B93" w:rsidP="00F81EB4">
      <w:pPr>
        <w:pStyle w:val="ListParagraph"/>
        <w:spacing w:after="0" w:line="320" w:lineRule="atLeast"/>
        <w:rPr>
          <w:rFonts w:eastAsia="Times New Roman" w:cstheme="minorHAnsi"/>
          <w:sz w:val="24"/>
          <w:szCs w:val="24"/>
          <w:lang w:eastAsia="de-DE"/>
        </w:rPr>
      </w:pPr>
    </w:p>
    <w:p w14:paraId="70B6B469" w14:textId="77777777" w:rsidR="00AA4B93" w:rsidRDefault="00AA4B93" w:rsidP="00F81EB4">
      <w:pPr>
        <w:pStyle w:val="ListParagraph"/>
        <w:numPr>
          <w:ilvl w:val="0"/>
          <w:numId w:val="13"/>
        </w:numPr>
        <w:spacing w:after="0" w:line="320" w:lineRule="atLeast"/>
        <w:ind w:left="720"/>
        <w:rPr>
          <w:rFonts w:eastAsia="Times New Roman" w:cstheme="minorHAnsi"/>
          <w:sz w:val="24"/>
          <w:szCs w:val="24"/>
        </w:rPr>
      </w:pPr>
      <w:r>
        <w:rPr>
          <w:sz w:val="24"/>
        </w:rPr>
        <w:lastRenderedPageBreak/>
        <w:t>en el caso de las ofertas de radiodifusión definidas en el artículo 84, apartado 4, del Tratado de Medios de Comunicación del Estado, debe tenerse en cuenta la actualización periódica, el plazo u otro ámbito de aplicación, así como la colocación y accesibilidad en la oferta de radiodifusión en relación con los criterios establecidos en el artículo 7, apartados 1, 2, 4 y 7.</w:t>
      </w:r>
    </w:p>
    <w:p w14:paraId="2C3423DF" w14:textId="77777777" w:rsidR="00AA4B93" w:rsidRDefault="00AA4B93" w:rsidP="00F81EB4">
      <w:pPr>
        <w:pStyle w:val="ListParagraph"/>
        <w:spacing w:after="0" w:line="320" w:lineRule="atLeast"/>
        <w:rPr>
          <w:rFonts w:eastAsia="Times New Roman" w:cstheme="minorHAnsi"/>
          <w:sz w:val="24"/>
          <w:szCs w:val="24"/>
          <w:lang w:eastAsia="de-DE"/>
        </w:rPr>
      </w:pPr>
    </w:p>
    <w:p w14:paraId="6750E213" w14:textId="77777777" w:rsidR="007A7DA2" w:rsidRDefault="00D95527" w:rsidP="009D766D">
      <w:pPr>
        <w:pStyle w:val="ListParagraph"/>
        <w:numPr>
          <w:ilvl w:val="0"/>
          <w:numId w:val="13"/>
        </w:numPr>
        <w:spacing w:after="0" w:line="320" w:lineRule="atLeast"/>
        <w:ind w:left="720"/>
        <w:rPr>
          <w:rFonts w:eastAsia="Times New Roman" w:cstheme="minorHAnsi"/>
          <w:sz w:val="24"/>
          <w:szCs w:val="24"/>
        </w:rPr>
      </w:pPr>
      <w:r>
        <w:rPr>
          <w:sz w:val="24"/>
        </w:rPr>
        <w:t>como parte de la determinación de una mayor proporción de personal capacitado, tal como se define en el artículo 7, apartado 5, que tiene un efecto positivo en el grado particular de contribución a la diversidad de opiniones y ofertas, solo deben tenerse en cuenta la proporción entre el personal capacitado y el personal en prácticas de al menos tres a uno.</w:t>
      </w:r>
    </w:p>
    <w:p w14:paraId="24FDD85B" w14:textId="77777777" w:rsidR="00370B9E" w:rsidRDefault="00370B9E">
      <w:pPr>
        <w:rPr>
          <w:rFonts w:eastAsia="Times New Roman" w:cstheme="minorHAnsi"/>
          <w:sz w:val="24"/>
          <w:szCs w:val="24"/>
          <w:lang w:eastAsia="de-DE"/>
        </w:rPr>
      </w:pPr>
    </w:p>
    <w:p w14:paraId="7EE53ABD" w14:textId="77777777" w:rsidR="00370B9E" w:rsidRPr="000663C3" w:rsidRDefault="00370B9E" w:rsidP="00370B9E">
      <w:pPr>
        <w:spacing w:after="0" w:line="320" w:lineRule="atLeast"/>
        <w:jc w:val="center"/>
        <w:rPr>
          <w:rFonts w:ascii="Verdana" w:eastAsia="Times New Roman" w:hAnsi="Verdana" w:cs="Times New Roman"/>
          <w:b/>
          <w:sz w:val="20"/>
          <w:szCs w:val="20"/>
          <w:lang w:eastAsia="de-DE"/>
        </w:rPr>
      </w:pPr>
    </w:p>
    <w:p w14:paraId="3B0B4E16" w14:textId="77777777" w:rsidR="00370B9E" w:rsidRPr="002C7BC4" w:rsidRDefault="00370B9E" w:rsidP="00370B9E">
      <w:pPr>
        <w:spacing w:after="0" w:line="320" w:lineRule="atLeast"/>
        <w:jc w:val="center"/>
        <w:rPr>
          <w:rFonts w:eastAsia="Times New Roman" w:cstheme="minorHAnsi"/>
          <w:b/>
          <w:sz w:val="28"/>
          <w:szCs w:val="28"/>
        </w:rPr>
      </w:pPr>
      <w:r>
        <w:rPr>
          <w:b/>
          <w:sz w:val="28"/>
        </w:rPr>
        <w:t>Artículo 9</w:t>
      </w:r>
    </w:p>
    <w:p w14:paraId="3BBF6B59" w14:textId="77777777" w:rsidR="00370B9E" w:rsidRPr="002C7BC4" w:rsidRDefault="00373314" w:rsidP="00370B9E">
      <w:pPr>
        <w:spacing w:after="0" w:line="320" w:lineRule="atLeast"/>
        <w:jc w:val="center"/>
        <w:rPr>
          <w:rFonts w:eastAsia="Times New Roman" w:cstheme="minorHAnsi"/>
          <w:b/>
          <w:sz w:val="28"/>
          <w:szCs w:val="28"/>
        </w:rPr>
      </w:pPr>
      <w:r>
        <w:rPr>
          <w:b/>
          <w:sz w:val="28"/>
        </w:rPr>
        <w:t>Aplicación</w:t>
      </w:r>
    </w:p>
    <w:p w14:paraId="39860881" w14:textId="77777777" w:rsidR="00370B9E" w:rsidRPr="00B26619" w:rsidRDefault="00370B9E" w:rsidP="00370B9E">
      <w:pPr>
        <w:spacing w:after="0" w:line="320" w:lineRule="atLeast"/>
        <w:jc w:val="both"/>
        <w:rPr>
          <w:rFonts w:eastAsia="Times New Roman" w:cstheme="minorHAnsi"/>
          <w:sz w:val="24"/>
          <w:szCs w:val="24"/>
          <w:lang w:eastAsia="de-DE"/>
        </w:rPr>
      </w:pPr>
    </w:p>
    <w:p w14:paraId="6601082A" w14:textId="1D798F15" w:rsidR="00BD0CDA" w:rsidRPr="00373314" w:rsidRDefault="00BD0CDA" w:rsidP="00BD0CDA">
      <w:pPr>
        <w:spacing w:after="0" w:line="320" w:lineRule="atLeast"/>
        <w:jc w:val="both"/>
        <w:rPr>
          <w:rFonts w:ascii="Calibri" w:hAnsi="Calibri" w:cs="Calibri"/>
          <w:sz w:val="24"/>
          <w:szCs w:val="24"/>
        </w:rPr>
      </w:pPr>
      <w:r>
        <w:rPr>
          <w:rFonts w:ascii="Calibri" w:hAnsi="Calibri"/>
          <w:sz w:val="24"/>
        </w:rPr>
        <w:t>1. Una vez completado el procedimiento de determinación, las autoridades estatales de medios de comunicación publicarán una lista para las imágenes en movimiento (vídeo) y una lista para las ofertas de audio en el sitio web bajo la denominación general de «autoridades de medios de comunicación» para su aplicación por parte de los proveedores de interfaces de usuario.</w:t>
      </w:r>
    </w:p>
    <w:p w14:paraId="50A32227" w14:textId="77777777" w:rsidR="00BD0CDA" w:rsidRPr="00373314" w:rsidRDefault="00BD0CDA" w:rsidP="00BD0CDA">
      <w:pPr>
        <w:spacing w:after="0" w:line="320" w:lineRule="atLeast"/>
        <w:jc w:val="both"/>
        <w:rPr>
          <w:rFonts w:ascii="Calibri" w:hAnsi="Calibri" w:cs="Calibri"/>
          <w:sz w:val="24"/>
          <w:szCs w:val="24"/>
        </w:rPr>
      </w:pPr>
    </w:p>
    <w:p w14:paraId="1D62056A" w14:textId="77777777" w:rsidR="00BF4691" w:rsidRDefault="00BF4691" w:rsidP="00BF4691">
      <w:pPr>
        <w:spacing w:after="0" w:line="320" w:lineRule="atLeast"/>
        <w:jc w:val="both"/>
        <w:rPr>
          <w:rFonts w:ascii="Calibri" w:hAnsi="Calibri" w:cs="Calibri"/>
          <w:sz w:val="24"/>
          <w:szCs w:val="24"/>
        </w:rPr>
      </w:pPr>
      <w:r>
        <w:rPr>
          <w:rFonts w:ascii="Calibri" w:hAnsi="Calibri"/>
          <w:sz w:val="24"/>
        </w:rPr>
        <w:t>2. El usuario deberá poder identificar de forma fácil y permanente la clasificación y organización de las ofertas, que han sido determinadas por las autoridades estatales de medios de comunicación responsables, en las interfaces de usuario.</w:t>
      </w:r>
    </w:p>
    <w:p w14:paraId="547685C7" w14:textId="77777777" w:rsidR="00373314" w:rsidRDefault="00373314" w:rsidP="00BD0CDA">
      <w:pPr>
        <w:spacing w:after="0" w:line="320" w:lineRule="atLeast"/>
        <w:jc w:val="both"/>
        <w:rPr>
          <w:rFonts w:ascii="Calibri" w:hAnsi="Calibri" w:cs="Calibri"/>
          <w:sz w:val="24"/>
          <w:szCs w:val="24"/>
        </w:rPr>
      </w:pPr>
    </w:p>
    <w:p w14:paraId="61F70E10" w14:textId="6962D927" w:rsidR="00BD1E12" w:rsidRPr="00373314" w:rsidRDefault="00BD0CDA" w:rsidP="00BD0CDA">
      <w:pPr>
        <w:spacing w:after="0" w:line="320" w:lineRule="atLeast"/>
        <w:jc w:val="both"/>
        <w:rPr>
          <w:rFonts w:ascii="Calibri" w:hAnsi="Calibri" w:cs="Calibri"/>
          <w:sz w:val="24"/>
          <w:szCs w:val="24"/>
        </w:rPr>
      </w:pPr>
      <w:r>
        <w:rPr>
          <w:rFonts w:ascii="Calibri" w:hAnsi="Calibri"/>
          <w:sz w:val="24"/>
        </w:rPr>
        <w:t xml:space="preserve">3. El orden de las listas determinadas por la Comisión de Licencias y Supervisión (ZAK) como órgano rector de la autoridad estatal de medios de comunicación responsable es el resultado de la visión general llevada a cabo de conformidad con los artículos 7 y 8. En la medida en la que el proveedor de una interfaz de usuario muestre una secuencia en la clasificación y organización de las ofertas, se utilizarán como base las listas publicadas de conformidad con el apartado 1. </w:t>
      </w:r>
    </w:p>
    <w:p w14:paraId="5DE375CB" w14:textId="77777777" w:rsidR="00BD1E12" w:rsidRPr="00373314" w:rsidRDefault="00BD1E12" w:rsidP="00BD0CDA">
      <w:pPr>
        <w:spacing w:after="0" w:line="320" w:lineRule="atLeast"/>
        <w:jc w:val="both"/>
        <w:rPr>
          <w:rFonts w:ascii="Calibri" w:hAnsi="Calibri" w:cs="Calibri"/>
          <w:sz w:val="24"/>
          <w:szCs w:val="24"/>
        </w:rPr>
      </w:pPr>
    </w:p>
    <w:p w14:paraId="7A2AE1DB" w14:textId="77777777" w:rsidR="00370B9E" w:rsidRPr="00373314" w:rsidRDefault="00BD0CDA" w:rsidP="00BD0CDA">
      <w:pPr>
        <w:spacing w:after="0" w:line="320" w:lineRule="atLeast"/>
        <w:jc w:val="both"/>
        <w:rPr>
          <w:rFonts w:ascii="Calibri" w:hAnsi="Calibri" w:cs="Calibri"/>
          <w:sz w:val="24"/>
          <w:szCs w:val="24"/>
        </w:rPr>
      </w:pPr>
      <w:r>
        <w:rPr>
          <w:rFonts w:ascii="Calibri" w:hAnsi="Calibri"/>
          <w:sz w:val="24"/>
        </w:rPr>
        <w:t>4. La autoridad estatal de medios de comunicación responsable tiene la tarea de trabajar en pro de un acuerdo con los proveedores de los programas financiados con contribuciones estatutarias y las ofertas de radiodifusión en relación con el orden de presentación.</w:t>
      </w:r>
    </w:p>
    <w:p w14:paraId="5A278B17" w14:textId="77777777" w:rsidR="000D2934" w:rsidRDefault="000D2934">
      <w:pPr>
        <w:rPr>
          <w:rFonts w:eastAsia="Times New Roman" w:cstheme="minorHAnsi"/>
          <w:b/>
          <w:sz w:val="28"/>
          <w:szCs w:val="28"/>
          <w:u w:val="single"/>
          <w:lang w:eastAsia="de-DE"/>
        </w:rPr>
      </w:pPr>
    </w:p>
    <w:p w14:paraId="3A0FC700" w14:textId="77777777" w:rsidR="00E30CC3" w:rsidRDefault="00E30CC3" w:rsidP="00701D71">
      <w:pPr>
        <w:spacing w:after="0" w:line="320" w:lineRule="atLeast"/>
        <w:jc w:val="center"/>
        <w:rPr>
          <w:rFonts w:eastAsia="Times New Roman" w:cstheme="minorHAnsi"/>
          <w:b/>
          <w:sz w:val="28"/>
          <w:szCs w:val="28"/>
          <w:lang w:eastAsia="de-DE"/>
        </w:rPr>
      </w:pPr>
    </w:p>
    <w:p w14:paraId="0A521615" w14:textId="77777777" w:rsidR="00701D71" w:rsidRPr="002C7BC4" w:rsidRDefault="00701D71" w:rsidP="00701D71">
      <w:pPr>
        <w:spacing w:after="0" w:line="320" w:lineRule="atLeast"/>
        <w:jc w:val="center"/>
        <w:rPr>
          <w:rFonts w:eastAsia="Times New Roman" w:cstheme="minorHAnsi"/>
          <w:b/>
          <w:sz w:val="28"/>
          <w:szCs w:val="28"/>
        </w:rPr>
      </w:pPr>
      <w:r>
        <w:rPr>
          <w:b/>
          <w:sz w:val="28"/>
        </w:rPr>
        <w:t>Artículo 10</w:t>
      </w:r>
    </w:p>
    <w:p w14:paraId="0A25D742" w14:textId="77777777" w:rsidR="00701D71" w:rsidRPr="002C7BC4" w:rsidRDefault="00701D71" w:rsidP="00701D71">
      <w:pPr>
        <w:spacing w:after="0" w:line="320" w:lineRule="atLeast"/>
        <w:jc w:val="center"/>
        <w:rPr>
          <w:rFonts w:eastAsia="Times New Roman" w:cstheme="minorHAnsi"/>
          <w:b/>
          <w:sz w:val="28"/>
          <w:szCs w:val="28"/>
        </w:rPr>
      </w:pPr>
      <w:r>
        <w:rPr>
          <w:b/>
          <w:sz w:val="28"/>
        </w:rPr>
        <w:t>Entrada en vigor</w:t>
      </w:r>
    </w:p>
    <w:p w14:paraId="68BFB838" w14:textId="77777777" w:rsidR="00701D71" w:rsidRDefault="00701D71" w:rsidP="001F58C3">
      <w:pPr>
        <w:spacing w:after="0" w:line="320" w:lineRule="atLeast"/>
        <w:jc w:val="center"/>
        <w:rPr>
          <w:rFonts w:eastAsia="Times New Roman" w:cstheme="minorHAnsi"/>
          <w:b/>
          <w:sz w:val="24"/>
          <w:szCs w:val="24"/>
          <w:lang w:eastAsia="de-DE"/>
        </w:rPr>
      </w:pPr>
    </w:p>
    <w:p w14:paraId="1E0B33DB" w14:textId="44C5C1FA" w:rsidR="00701D71" w:rsidRPr="00701D71" w:rsidRDefault="00701D71" w:rsidP="00701D71">
      <w:pPr>
        <w:spacing w:after="0" w:line="320" w:lineRule="atLeast"/>
        <w:jc w:val="both"/>
        <w:rPr>
          <w:rFonts w:eastAsia="Times New Roman" w:cstheme="minorHAnsi"/>
          <w:sz w:val="24"/>
          <w:szCs w:val="24"/>
        </w:rPr>
      </w:pPr>
      <w:r>
        <w:rPr>
          <w:sz w:val="24"/>
        </w:rPr>
        <w:lastRenderedPageBreak/>
        <w:t>El presente Reglamento entrará en vigor el 1 de septiembre de 2021. Si los estatutos correspondientes no han sido promulgados y publicados por todas las autoridades estatales de medios de comunicación antes del 31 de agosto de 2021, este estatuto pasará a ser irrelevante. El presiente de la Conferencia de Directores de las Autoridades Estatales de Medios de Comunicación (DLM) publicará en el sitio web, bajo la denominación general de «autoridades de medios de comunicación», si todas las autoridades estatales de medios de comunicación han emitido y publicado los estatutos correspondientes dentro del período indicado en la frase segunda.</w:t>
      </w:r>
      <w:r w:rsidR="000464CE">
        <w:rPr>
          <w:rStyle w:val="FootnoteReference"/>
          <w:rFonts w:eastAsia="Calibri" w:cstheme="minorHAnsi"/>
        </w:rPr>
        <w:footnoteReference w:id="1"/>
      </w:r>
      <w:r>
        <w:rPr>
          <w:sz w:val="24"/>
        </w:rPr>
        <w:t xml:space="preserve">  </w:t>
      </w:r>
    </w:p>
    <w:sectPr w:rsidR="00701D71" w:rsidRPr="00701D71">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000F73" w14:textId="77777777" w:rsidR="00BE2CC6" w:rsidRDefault="00BE2CC6" w:rsidP="001D484A">
      <w:pPr>
        <w:spacing w:after="0" w:line="240" w:lineRule="auto"/>
      </w:pPr>
      <w:r>
        <w:separator/>
      </w:r>
    </w:p>
  </w:endnote>
  <w:endnote w:type="continuationSeparator" w:id="0">
    <w:p w14:paraId="0C57128B" w14:textId="77777777" w:rsidR="00BE2CC6" w:rsidRDefault="00BE2CC6" w:rsidP="001D4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4623777"/>
      <w:docPartObj>
        <w:docPartGallery w:val="Page Numbers (Bottom of Page)"/>
        <w:docPartUnique/>
      </w:docPartObj>
    </w:sdtPr>
    <w:sdtEndPr/>
    <w:sdtContent>
      <w:p w14:paraId="45379FFA" w14:textId="60C4D08E" w:rsidR="00AA4B93" w:rsidRDefault="00AA4B93">
        <w:pPr>
          <w:pStyle w:val="Footer"/>
          <w:jc w:val="right"/>
        </w:pPr>
        <w:r>
          <w:fldChar w:fldCharType="begin"/>
        </w:r>
        <w:r>
          <w:instrText>PAGE   \* MERGEFORMAT</w:instrText>
        </w:r>
        <w:r>
          <w:fldChar w:fldCharType="separate"/>
        </w:r>
        <w:r w:rsidR="000464CE">
          <w:t>6</w:t>
        </w:r>
        <w:r>
          <w:fldChar w:fldCharType="end"/>
        </w:r>
      </w:p>
    </w:sdtContent>
  </w:sdt>
  <w:p w14:paraId="02010CD8" w14:textId="77777777" w:rsidR="00AA4B93" w:rsidRDefault="00AA4B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BBFC7A" w14:textId="77777777" w:rsidR="00BE2CC6" w:rsidRDefault="00BE2CC6" w:rsidP="001D484A">
      <w:pPr>
        <w:spacing w:after="0" w:line="240" w:lineRule="auto"/>
      </w:pPr>
      <w:r>
        <w:separator/>
      </w:r>
    </w:p>
  </w:footnote>
  <w:footnote w:type="continuationSeparator" w:id="0">
    <w:p w14:paraId="212414C6" w14:textId="77777777" w:rsidR="00BE2CC6" w:rsidRDefault="00BE2CC6" w:rsidP="001D484A">
      <w:pPr>
        <w:spacing w:after="0" w:line="240" w:lineRule="auto"/>
      </w:pPr>
      <w:r>
        <w:continuationSeparator/>
      </w:r>
    </w:p>
  </w:footnote>
  <w:footnote w:id="1">
    <w:p w14:paraId="7AC26A74" w14:textId="77777777" w:rsidR="000464CE" w:rsidRDefault="000464CE" w:rsidP="000464CE">
      <w:pPr>
        <w:pStyle w:val="FootnoteText"/>
      </w:pPr>
      <w:r>
        <w:rPr>
          <w:rStyle w:val="FootnoteReference"/>
        </w:rPr>
        <w:footnoteRef/>
      </w:r>
      <w:r>
        <w:rPr>
          <w:rFonts w:asciiTheme="minorHAnsi" w:hAnsiTheme="minorHAnsi"/>
        </w:rPr>
        <w:t xml:space="preserve"> La notificación se ha realizado de conformidad con la Directiva (UE) 2015/1535 del Parlamento Europeo y del Consejo, de 9 de septiembre de 2015, por la que se establece un procedimiento de información en materia de reglamentaciones técnicas y de reglas relativas a los servicios de la sociedad de la información (DO L 241 de 17.9.2015, p.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C3D25"/>
    <w:multiLevelType w:val="hybridMultilevel"/>
    <w:tmpl w:val="3C52601E"/>
    <w:lvl w:ilvl="0" w:tplc="0407000F">
      <w:start w:val="1"/>
      <w:numFmt w:val="decimal"/>
      <w:lvlText w:val="%1."/>
      <w:lvlJc w:val="left"/>
      <w:pPr>
        <w:ind w:left="1070" w:hanging="360"/>
      </w:pPr>
      <w:rPr>
        <w:rFonts w:hint="default"/>
      </w:rPr>
    </w:lvl>
    <w:lvl w:ilvl="1" w:tplc="04070019" w:tentative="1">
      <w:start w:val="1"/>
      <w:numFmt w:val="lowerLetter"/>
      <w:lvlText w:val="%2."/>
      <w:lvlJc w:val="left"/>
      <w:pPr>
        <w:ind w:left="1790" w:hanging="360"/>
      </w:pPr>
    </w:lvl>
    <w:lvl w:ilvl="2" w:tplc="0407001B" w:tentative="1">
      <w:start w:val="1"/>
      <w:numFmt w:val="lowerRoman"/>
      <w:lvlText w:val="%3."/>
      <w:lvlJc w:val="right"/>
      <w:pPr>
        <w:ind w:left="2510" w:hanging="180"/>
      </w:pPr>
    </w:lvl>
    <w:lvl w:ilvl="3" w:tplc="0407000F" w:tentative="1">
      <w:start w:val="1"/>
      <w:numFmt w:val="decimal"/>
      <w:lvlText w:val="%4."/>
      <w:lvlJc w:val="left"/>
      <w:pPr>
        <w:ind w:left="3230" w:hanging="360"/>
      </w:pPr>
    </w:lvl>
    <w:lvl w:ilvl="4" w:tplc="04070019" w:tentative="1">
      <w:start w:val="1"/>
      <w:numFmt w:val="lowerLetter"/>
      <w:lvlText w:val="%5."/>
      <w:lvlJc w:val="left"/>
      <w:pPr>
        <w:ind w:left="3950" w:hanging="360"/>
      </w:pPr>
    </w:lvl>
    <w:lvl w:ilvl="5" w:tplc="0407001B" w:tentative="1">
      <w:start w:val="1"/>
      <w:numFmt w:val="lowerRoman"/>
      <w:lvlText w:val="%6."/>
      <w:lvlJc w:val="right"/>
      <w:pPr>
        <w:ind w:left="4670" w:hanging="180"/>
      </w:pPr>
    </w:lvl>
    <w:lvl w:ilvl="6" w:tplc="0407000F" w:tentative="1">
      <w:start w:val="1"/>
      <w:numFmt w:val="decimal"/>
      <w:lvlText w:val="%7."/>
      <w:lvlJc w:val="left"/>
      <w:pPr>
        <w:ind w:left="5390" w:hanging="360"/>
      </w:pPr>
    </w:lvl>
    <w:lvl w:ilvl="7" w:tplc="04070019" w:tentative="1">
      <w:start w:val="1"/>
      <w:numFmt w:val="lowerLetter"/>
      <w:lvlText w:val="%8."/>
      <w:lvlJc w:val="left"/>
      <w:pPr>
        <w:ind w:left="6110" w:hanging="360"/>
      </w:pPr>
    </w:lvl>
    <w:lvl w:ilvl="8" w:tplc="0407001B" w:tentative="1">
      <w:start w:val="1"/>
      <w:numFmt w:val="lowerRoman"/>
      <w:lvlText w:val="%9."/>
      <w:lvlJc w:val="right"/>
      <w:pPr>
        <w:ind w:left="6830" w:hanging="180"/>
      </w:pPr>
    </w:lvl>
  </w:abstractNum>
  <w:abstractNum w:abstractNumId="1" w15:restartNumberingAfterBreak="0">
    <w:nsid w:val="0FB123FD"/>
    <w:multiLevelType w:val="hybridMultilevel"/>
    <w:tmpl w:val="D996F92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4553237"/>
    <w:multiLevelType w:val="hybridMultilevel"/>
    <w:tmpl w:val="8E420D0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6DF2A8C"/>
    <w:multiLevelType w:val="hybridMultilevel"/>
    <w:tmpl w:val="CB0E8C2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F5A66C3"/>
    <w:multiLevelType w:val="hybridMultilevel"/>
    <w:tmpl w:val="8D068B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4B736CF"/>
    <w:multiLevelType w:val="hybridMultilevel"/>
    <w:tmpl w:val="DEA2AB8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61E08F4"/>
    <w:multiLevelType w:val="hybridMultilevel"/>
    <w:tmpl w:val="FE7EBEB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9094E7D"/>
    <w:multiLevelType w:val="hybridMultilevel"/>
    <w:tmpl w:val="B59A5C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C565EF4"/>
    <w:multiLevelType w:val="hybridMultilevel"/>
    <w:tmpl w:val="0BBEF8FE"/>
    <w:lvl w:ilvl="0" w:tplc="04070001">
      <w:start w:val="1"/>
      <w:numFmt w:val="bullet"/>
      <w:lvlText w:val=""/>
      <w:lvlJc w:val="left"/>
      <w:pPr>
        <w:ind w:left="774" w:hanging="360"/>
      </w:pPr>
      <w:rPr>
        <w:rFonts w:ascii="Symbol" w:hAnsi="Symbol" w:hint="default"/>
      </w:rPr>
    </w:lvl>
    <w:lvl w:ilvl="1" w:tplc="04070003" w:tentative="1">
      <w:start w:val="1"/>
      <w:numFmt w:val="bullet"/>
      <w:lvlText w:val="o"/>
      <w:lvlJc w:val="left"/>
      <w:pPr>
        <w:ind w:left="1494" w:hanging="360"/>
      </w:pPr>
      <w:rPr>
        <w:rFonts w:ascii="Courier New" w:hAnsi="Courier New" w:cs="Courier New" w:hint="default"/>
      </w:rPr>
    </w:lvl>
    <w:lvl w:ilvl="2" w:tplc="04070005" w:tentative="1">
      <w:start w:val="1"/>
      <w:numFmt w:val="bullet"/>
      <w:lvlText w:val=""/>
      <w:lvlJc w:val="left"/>
      <w:pPr>
        <w:ind w:left="2214" w:hanging="360"/>
      </w:pPr>
      <w:rPr>
        <w:rFonts w:ascii="Wingdings" w:hAnsi="Wingdings" w:hint="default"/>
      </w:rPr>
    </w:lvl>
    <w:lvl w:ilvl="3" w:tplc="04070001" w:tentative="1">
      <w:start w:val="1"/>
      <w:numFmt w:val="bullet"/>
      <w:lvlText w:val=""/>
      <w:lvlJc w:val="left"/>
      <w:pPr>
        <w:ind w:left="2934" w:hanging="360"/>
      </w:pPr>
      <w:rPr>
        <w:rFonts w:ascii="Symbol" w:hAnsi="Symbol" w:hint="default"/>
      </w:rPr>
    </w:lvl>
    <w:lvl w:ilvl="4" w:tplc="04070003" w:tentative="1">
      <w:start w:val="1"/>
      <w:numFmt w:val="bullet"/>
      <w:lvlText w:val="o"/>
      <w:lvlJc w:val="left"/>
      <w:pPr>
        <w:ind w:left="3654" w:hanging="360"/>
      </w:pPr>
      <w:rPr>
        <w:rFonts w:ascii="Courier New" w:hAnsi="Courier New" w:cs="Courier New" w:hint="default"/>
      </w:rPr>
    </w:lvl>
    <w:lvl w:ilvl="5" w:tplc="04070005" w:tentative="1">
      <w:start w:val="1"/>
      <w:numFmt w:val="bullet"/>
      <w:lvlText w:val=""/>
      <w:lvlJc w:val="left"/>
      <w:pPr>
        <w:ind w:left="4374" w:hanging="360"/>
      </w:pPr>
      <w:rPr>
        <w:rFonts w:ascii="Wingdings" w:hAnsi="Wingdings" w:hint="default"/>
      </w:rPr>
    </w:lvl>
    <w:lvl w:ilvl="6" w:tplc="04070001" w:tentative="1">
      <w:start w:val="1"/>
      <w:numFmt w:val="bullet"/>
      <w:lvlText w:val=""/>
      <w:lvlJc w:val="left"/>
      <w:pPr>
        <w:ind w:left="5094" w:hanging="360"/>
      </w:pPr>
      <w:rPr>
        <w:rFonts w:ascii="Symbol" w:hAnsi="Symbol" w:hint="default"/>
      </w:rPr>
    </w:lvl>
    <w:lvl w:ilvl="7" w:tplc="04070003" w:tentative="1">
      <w:start w:val="1"/>
      <w:numFmt w:val="bullet"/>
      <w:lvlText w:val="o"/>
      <w:lvlJc w:val="left"/>
      <w:pPr>
        <w:ind w:left="5814" w:hanging="360"/>
      </w:pPr>
      <w:rPr>
        <w:rFonts w:ascii="Courier New" w:hAnsi="Courier New" w:cs="Courier New" w:hint="default"/>
      </w:rPr>
    </w:lvl>
    <w:lvl w:ilvl="8" w:tplc="04070005" w:tentative="1">
      <w:start w:val="1"/>
      <w:numFmt w:val="bullet"/>
      <w:lvlText w:val=""/>
      <w:lvlJc w:val="left"/>
      <w:pPr>
        <w:ind w:left="6534" w:hanging="360"/>
      </w:pPr>
      <w:rPr>
        <w:rFonts w:ascii="Wingdings" w:hAnsi="Wingdings" w:hint="default"/>
      </w:rPr>
    </w:lvl>
  </w:abstractNum>
  <w:abstractNum w:abstractNumId="9" w15:restartNumberingAfterBreak="0">
    <w:nsid w:val="3DBF16D1"/>
    <w:multiLevelType w:val="hybridMultilevel"/>
    <w:tmpl w:val="A5E4A5A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FF71CE8"/>
    <w:multiLevelType w:val="hybridMultilevel"/>
    <w:tmpl w:val="3EACC7B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FFA1DA4"/>
    <w:multiLevelType w:val="hybridMultilevel"/>
    <w:tmpl w:val="9622032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2213D33"/>
    <w:multiLevelType w:val="hybridMultilevel"/>
    <w:tmpl w:val="3926B7A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C616750"/>
    <w:multiLevelType w:val="hybridMultilevel"/>
    <w:tmpl w:val="6554CCA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4DC96265"/>
    <w:multiLevelType w:val="hybridMultilevel"/>
    <w:tmpl w:val="BC6C22B2"/>
    <w:lvl w:ilvl="0" w:tplc="C9CC360C">
      <w:start w:val="1"/>
      <w:numFmt w:val="lowerLetter"/>
      <w:lvlText w:val="(%1)"/>
      <w:lvlJc w:val="left"/>
      <w:pPr>
        <w:ind w:left="1468" w:hanging="7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5" w15:restartNumberingAfterBreak="0">
    <w:nsid w:val="596C5C48"/>
    <w:multiLevelType w:val="hybridMultilevel"/>
    <w:tmpl w:val="05F035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2CE5198"/>
    <w:multiLevelType w:val="hybridMultilevel"/>
    <w:tmpl w:val="4CE0C6B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7A26EFD"/>
    <w:multiLevelType w:val="hybridMultilevel"/>
    <w:tmpl w:val="A2EA834C"/>
    <w:lvl w:ilvl="0" w:tplc="3E84DD34">
      <w:start w:val="1"/>
      <w:numFmt w:val="bullet"/>
      <w:lvlText w:val=""/>
      <w:lvlJc w:val="left"/>
      <w:pPr>
        <w:ind w:left="1080" w:hanging="360"/>
      </w:pPr>
      <w:rPr>
        <w:rFonts w:ascii="Wingdings" w:eastAsia="Calibri" w:hAnsi="Wingdings" w:cs="Calibri"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hint="default"/>
      </w:rPr>
    </w:lvl>
  </w:abstractNum>
  <w:num w:numId="1">
    <w:abstractNumId w:val="7"/>
  </w:num>
  <w:num w:numId="2">
    <w:abstractNumId w:val="8"/>
  </w:num>
  <w:num w:numId="3">
    <w:abstractNumId w:val="11"/>
  </w:num>
  <w:num w:numId="4">
    <w:abstractNumId w:val="13"/>
  </w:num>
  <w:num w:numId="5">
    <w:abstractNumId w:val="5"/>
  </w:num>
  <w:num w:numId="6">
    <w:abstractNumId w:val="1"/>
  </w:num>
  <w:num w:numId="7">
    <w:abstractNumId w:val="12"/>
  </w:num>
  <w:num w:numId="8">
    <w:abstractNumId w:val="10"/>
  </w:num>
  <w:num w:numId="9">
    <w:abstractNumId w:val="3"/>
  </w:num>
  <w:num w:numId="10">
    <w:abstractNumId w:val="6"/>
  </w:num>
  <w:num w:numId="11">
    <w:abstractNumId w:val="4"/>
  </w:num>
  <w:num w:numId="12">
    <w:abstractNumId w:val="14"/>
  </w:num>
  <w:num w:numId="13">
    <w:abstractNumId w:val="0"/>
  </w:num>
  <w:num w:numId="14">
    <w:abstractNumId w:val="17"/>
  </w:num>
  <w:num w:numId="15">
    <w:abstractNumId w:val="2"/>
  </w:num>
  <w:num w:numId="16">
    <w:abstractNumId w:val="16"/>
  </w:num>
  <w:num w:numId="17">
    <w:abstractNumId w:val="9"/>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7BC"/>
    <w:rsid w:val="000032DD"/>
    <w:rsid w:val="000064CB"/>
    <w:rsid w:val="000115F0"/>
    <w:rsid w:val="0001194D"/>
    <w:rsid w:val="00013261"/>
    <w:rsid w:val="0003101E"/>
    <w:rsid w:val="00037C5A"/>
    <w:rsid w:val="000464CE"/>
    <w:rsid w:val="00054978"/>
    <w:rsid w:val="000663C3"/>
    <w:rsid w:val="00067D79"/>
    <w:rsid w:val="000868B3"/>
    <w:rsid w:val="000A061C"/>
    <w:rsid w:val="000B207B"/>
    <w:rsid w:val="000C42A7"/>
    <w:rsid w:val="000C685E"/>
    <w:rsid w:val="000C720D"/>
    <w:rsid w:val="000D2934"/>
    <w:rsid w:val="000F173F"/>
    <w:rsid w:val="001041FB"/>
    <w:rsid w:val="00124452"/>
    <w:rsid w:val="00127AEC"/>
    <w:rsid w:val="00136A0D"/>
    <w:rsid w:val="001532C1"/>
    <w:rsid w:val="00153F2F"/>
    <w:rsid w:val="00164A49"/>
    <w:rsid w:val="00182BFA"/>
    <w:rsid w:val="00183169"/>
    <w:rsid w:val="0018318F"/>
    <w:rsid w:val="001835AF"/>
    <w:rsid w:val="001B036F"/>
    <w:rsid w:val="001C34EF"/>
    <w:rsid w:val="001D484A"/>
    <w:rsid w:val="001E5FFE"/>
    <w:rsid w:val="001F0CCE"/>
    <w:rsid w:val="001F58C3"/>
    <w:rsid w:val="001F6A76"/>
    <w:rsid w:val="002007EC"/>
    <w:rsid w:val="0021674B"/>
    <w:rsid w:val="0021723B"/>
    <w:rsid w:val="00220AC9"/>
    <w:rsid w:val="00225CB9"/>
    <w:rsid w:val="00230C4B"/>
    <w:rsid w:val="00250EC5"/>
    <w:rsid w:val="00270262"/>
    <w:rsid w:val="002709EF"/>
    <w:rsid w:val="00274CAF"/>
    <w:rsid w:val="0027771D"/>
    <w:rsid w:val="00282708"/>
    <w:rsid w:val="002A3743"/>
    <w:rsid w:val="002C7BC4"/>
    <w:rsid w:val="002D0476"/>
    <w:rsid w:val="002E2854"/>
    <w:rsid w:val="002E57B1"/>
    <w:rsid w:val="002F73C6"/>
    <w:rsid w:val="00301916"/>
    <w:rsid w:val="00370B9E"/>
    <w:rsid w:val="00373314"/>
    <w:rsid w:val="00381450"/>
    <w:rsid w:val="00393404"/>
    <w:rsid w:val="003B4C24"/>
    <w:rsid w:val="003F31B3"/>
    <w:rsid w:val="00416F29"/>
    <w:rsid w:val="00424F1A"/>
    <w:rsid w:val="004545BF"/>
    <w:rsid w:val="00465886"/>
    <w:rsid w:val="00472791"/>
    <w:rsid w:val="00477B8F"/>
    <w:rsid w:val="00482340"/>
    <w:rsid w:val="004919E2"/>
    <w:rsid w:val="004B4D8D"/>
    <w:rsid w:val="004C219B"/>
    <w:rsid w:val="004F1DC1"/>
    <w:rsid w:val="004F6A31"/>
    <w:rsid w:val="0050150A"/>
    <w:rsid w:val="005020AE"/>
    <w:rsid w:val="005219F8"/>
    <w:rsid w:val="00537F08"/>
    <w:rsid w:val="00537FB2"/>
    <w:rsid w:val="0054222E"/>
    <w:rsid w:val="00546FB9"/>
    <w:rsid w:val="00560C7C"/>
    <w:rsid w:val="005666A9"/>
    <w:rsid w:val="005700F4"/>
    <w:rsid w:val="00591CAB"/>
    <w:rsid w:val="005B768A"/>
    <w:rsid w:val="005C07B7"/>
    <w:rsid w:val="005C1407"/>
    <w:rsid w:val="005C179E"/>
    <w:rsid w:val="005D131C"/>
    <w:rsid w:val="005D3623"/>
    <w:rsid w:val="005E34EB"/>
    <w:rsid w:val="005E6E51"/>
    <w:rsid w:val="00612BF0"/>
    <w:rsid w:val="00612D2D"/>
    <w:rsid w:val="00625CBC"/>
    <w:rsid w:val="0064609D"/>
    <w:rsid w:val="00665EC3"/>
    <w:rsid w:val="006672EC"/>
    <w:rsid w:val="00681344"/>
    <w:rsid w:val="00681C35"/>
    <w:rsid w:val="006830D1"/>
    <w:rsid w:val="006903A5"/>
    <w:rsid w:val="006B13C8"/>
    <w:rsid w:val="006C19EC"/>
    <w:rsid w:val="006D0727"/>
    <w:rsid w:val="006E5784"/>
    <w:rsid w:val="00701D71"/>
    <w:rsid w:val="0071358E"/>
    <w:rsid w:val="007146F9"/>
    <w:rsid w:val="0073115B"/>
    <w:rsid w:val="00737BD3"/>
    <w:rsid w:val="00744038"/>
    <w:rsid w:val="0076089E"/>
    <w:rsid w:val="00767050"/>
    <w:rsid w:val="00771C16"/>
    <w:rsid w:val="0077452B"/>
    <w:rsid w:val="0079430A"/>
    <w:rsid w:val="007A56A0"/>
    <w:rsid w:val="007A7AB9"/>
    <w:rsid w:val="007A7DA2"/>
    <w:rsid w:val="007C2419"/>
    <w:rsid w:val="007D2632"/>
    <w:rsid w:val="007F62B2"/>
    <w:rsid w:val="008122B0"/>
    <w:rsid w:val="00817EC0"/>
    <w:rsid w:val="00821AF0"/>
    <w:rsid w:val="00822470"/>
    <w:rsid w:val="008378E3"/>
    <w:rsid w:val="00851A06"/>
    <w:rsid w:val="008A13E9"/>
    <w:rsid w:val="008B277B"/>
    <w:rsid w:val="008D1567"/>
    <w:rsid w:val="008D2E3F"/>
    <w:rsid w:val="008D2F24"/>
    <w:rsid w:val="008D31C2"/>
    <w:rsid w:val="008F276F"/>
    <w:rsid w:val="008F602E"/>
    <w:rsid w:val="008F7751"/>
    <w:rsid w:val="0090457B"/>
    <w:rsid w:val="009104B6"/>
    <w:rsid w:val="00915F82"/>
    <w:rsid w:val="009266F2"/>
    <w:rsid w:val="00931F42"/>
    <w:rsid w:val="0093532C"/>
    <w:rsid w:val="00950F48"/>
    <w:rsid w:val="0095583E"/>
    <w:rsid w:val="00956BF6"/>
    <w:rsid w:val="00981C56"/>
    <w:rsid w:val="009B6748"/>
    <w:rsid w:val="009D1DDC"/>
    <w:rsid w:val="009D5BA8"/>
    <w:rsid w:val="009D766D"/>
    <w:rsid w:val="009E37B9"/>
    <w:rsid w:val="009E565D"/>
    <w:rsid w:val="009F0A52"/>
    <w:rsid w:val="00A10DF9"/>
    <w:rsid w:val="00A2144C"/>
    <w:rsid w:val="00A219ED"/>
    <w:rsid w:val="00A27CC0"/>
    <w:rsid w:val="00A31150"/>
    <w:rsid w:val="00A42418"/>
    <w:rsid w:val="00A442F3"/>
    <w:rsid w:val="00A656FA"/>
    <w:rsid w:val="00A77BBA"/>
    <w:rsid w:val="00AA4B93"/>
    <w:rsid w:val="00AC0FD6"/>
    <w:rsid w:val="00AC0FF3"/>
    <w:rsid w:val="00AD53E0"/>
    <w:rsid w:val="00AF2822"/>
    <w:rsid w:val="00AF2DCC"/>
    <w:rsid w:val="00AF60B4"/>
    <w:rsid w:val="00B03274"/>
    <w:rsid w:val="00B11381"/>
    <w:rsid w:val="00B124D7"/>
    <w:rsid w:val="00B17513"/>
    <w:rsid w:val="00B24DEA"/>
    <w:rsid w:val="00B26619"/>
    <w:rsid w:val="00B669BA"/>
    <w:rsid w:val="00B736A7"/>
    <w:rsid w:val="00B82613"/>
    <w:rsid w:val="00B8563F"/>
    <w:rsid w:val="00BC306E"/>
    <w:rsid w:val="00BC3887"/>
    <w:rsid w:val="00BC72F5"/>
    <w:rsid w:val="00BD0CDA"/>
    <w:rsid w:val="00BD1E12"/>
    <w:rsid w:val="00BD6728"/>
    <w:rsid w:val="00BE2B40"/>
    <w:rsid w:val="00BE2CC6"/>
    <w:rsid w:val="00BF4691"/>
    <w:rsid w:val="00C03C27"/>
    <w:rsid w:val="00C040C9"/>
    <w:rsid w:val="00C13CF9"/>
    <w:rsid w:val="00C21B77"/>
    <w:rsid w:val="00C46A39"/>
    <w:rsid w:val="00C62E73"/>
    <w:rsid w:val="00C70EC0"/>
    <w:rsid w:val="00C87777"/>
    <w:rsid w:val="00CE3778"/>
    <w:rsid w:val="00CF6DBA"/>
    <w:rsid w:val="00D121FC"/>
    <w:rsid w:val="00D14EEB"/>
    <w:rsid w:val="00D175BD"/>
    <w:rsid w:val="00D363CB"/>
    <w:rsid w:val="00D51335"/>
    <w:rsid w:val="00D55BCA"/>
    <w:rsid w:val="00D769EE"/>
    <w:rsid w:val="00D864D5"/>
    <w:rsid w:val="00D909FE"/>
    <w:rsid w:val="00D95527"/>
    <w:rsid w:val="00DA0853"/>
    <w:rsid w:val="00DC5338"/>
    <w:rsid w:val="00DD56B1"/>
    <w:rsid w:val="00DE6554"/>
    <w:rsid w:val="00E051D4"/>
    <w:rsid w:val="00E10192"/>
    <w:rsid w:val="00E20C43"/>
    <w:rsid w:val="00E24440"/>
    <w:rsid w:val="00E30CC3"/>
    <w:rsid w:val="00E407BC"/>
    <w:rsid w:val="00E45AD5"/>
    <w:rsid w:val="00E54B09"/>
    <w:rsid w:val="00E80DAE"/>
    <w:rsid w:val="00E90A3C"/>
    <w:rsid w:val="00EA0BEA"/>
    <w:rsid w:val="00EA314A"/>
    <w:rsid w:val="00EE1CE0"/>
    <w:rsid w:val="00EE4979"/>
    <w:rsid w:val="00EE6BF4"/>
    <w:rsid w:val="00F21E4B"/>
    <w:rsid w:val="00F36BA7"/>
    <w:rsid w:val="00F54EBD"/>
    <w:rsid w:val="00F65566"/>
    <w:rsid w:val="00F7057B"/>
    <w:rsid w:val="00F81EB4"/>
    <w:rsid w:val="00F91BBA"/>
    <w:rsid w:val="00F94327"/>
    <w:rsid w:val="00FB3EAC"/>
    <w:rsid w:val="00FC0C8B"/>
    <w:rsid w:val="00FC378D"/>
    <w:rsid w:val="00FD51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F4F25"/>
  <w15:chartTrackingRefBased/>
  <w15:docId w15:val="{2074EB3F-4E46-451F-932C-D60A7720F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07BC"/>
    <w:pPr>
      <w:ind w:left="720"/>
      <w:contextualSpacing/>
    </w:pPr>
  </w:style>
  <w:style w:type="character" w:styleId="CommentReference">
    <w:name w:val="annotation reference"/>
    <w:basedOn w:val="DefaultParagraphFont"/>
    <w:uiPriority w:val="99"/>
    <w:semiHidden/>
    <w:unhideWhenUsed/>
    <w:rsid w:val="00537FB2"/>
    <w:rPr>
      <w:sz w:val="16"/>
      <w:szCs w:val="16"/>
    </w:rPr>
  </w:style>
  <w:style w:type="paragraph" w:styleId="CommentText">
    <w:name w:val="annotation text"/>
    <w:basedOn w:val="Normal"/>
    <w:link w:val="CommentTextChar"/>
    <w:uiPriority w:val="99"/>
    <w:unhideWhenUsed/>
    <w:rsid w:val="00537FB2"/>
    <w:pPr>
      <w:spacing w:after="0" w:line="240" w:lineRule="auto"/>
    </w:pPr>
    <w:rPr>
      <w:rFonts w:ascii="Verdana" w:eastAsia="Times New Roman" w:hAnsi="Verdana" w:cs="Times New Roman"/>
      <w:sz w:val="20"/>
      <w:szCs w:val="20"/>
      <w:lang w:eastAsia="de-DE"/>
    </w:rPr>
  </w:style>
  <w:style w:type="character" w:customStyle="1" w:styleId="CommentTextChar">
    <w:name w:val="Comment Text Char"/>
    <w:basedOn w:val="DefaultParagraphFont"/>
    <w:link w:val="CommentText"/>
    <w:uiPriority w:val="99"/>
    <w:rsid w:val="00537FB2"/>
    <w:rPr>
      <w:rFonts w:ascii="Verdana" w:eastAsia="Times New Roman" w:hAnsi="Verdana" w:cs="Times New Roman"/>
      <w:sz w:val="20"/>
      <w:szCs w:val="20"/>
      <w:lang w:eastAsia="de-DE"/>
    </w:rPr>
  </w:style>
  <w:style w:type="paragraph" w:styleId="BalloonText">
    <w:name w:val="Balloon Text"/>
    <w:basedOn w:val="Normal"/>
    <w:link w:val="BalloonTextChar"/>
    <w:uiPriority w:val="99"/>
    <w:semiHidden/>
    <w:unhideWhenUsed/>
    <w:rsid w:val="00537F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7FB2"/>
    <w:rPr>
      <w:rFonts w:ascii="Segoe UI" w:hAnsi="Segoe UI" w:cs="Segoe UI"/>
      <w:sz w:val="18"/>
      <w:szCs w:val="18"/>
    </w:rPr>
  </w:style>
  <w:style w:type="paragraph" w:styleId="Header">
    <w:name w:val="header"/>
    <w:basedOn w:val="Normal"/>
    <w:link w:val="HeaderChar"/>
    <w:uiPriority w:val="99"/>
    <w:unhideWhenUsed/>
    <w:rsid w:val="001D484A"/>
    <w:pPr>
      <w:tabs>
        <w:tab w:val="center" w:pos="4536"/>
        <w:tab w:val="right" w:pos="9072"/>
      </w:tabs>
      <w:spacing w:after="0" w:line="240" w:lineRule="auto"/>
    </w:pPr>
  </w:style>
  <w:style w:type="character" w:customStyle="1" w:styleId="HeaderChar">
    <w:name w:val="Header Char"/>
    <w:basedOn w:val="DefaultParagraphFont"/>
    <w:link w:val="Header"/>
    <w:uiPriority w:val="99"/>
    <w:rsid w:val="001D484A"/>
  </w:style>
  <w:style w:type="paragraph" w:styleId="Footer">
    <w:name w:val="footer"/>
    <w:basedOn w:val="Normal"/>
    <w:link w:val="FooterChar"/>
    <w:uiPriority w:val="99"/>
    <w:unhideWhenUsed/>
    <w:rsid w:val="001D484A"/>
    <w:pPr>
      <w:tabs>
        <w:tab w:val="center" w:pos="4536"/>
        <w:tab w:val="right" w:pos="9072"/>
      </w:tabs>
      <w:spacing w:after="0" w:line="240" w:lineRule="auto"/>
    </w:pPr>
  </w:style>
  <w:style w:type="character" w:customStyle="1" w:styleId="FooterChar">
    <w:name w:val="Footer Char"/>
    <w:basedOn w:val="DefaultParagraphFont"/>
    <w:link w:val="Footer"/>
    <w:uiPriority w:val="99"/>
    <w:rsid w:val="001D484A"/>
  </w:style>
  <w:style w:type="paragraph" w:styleId="CommentSubject">
    <w:name w:val="annotation subject"/>
    <w:basedOn w:val="CommentText"/>
    <w:next w:val="CommentText"/>
    <w:link w:val="CommentSubjectChar"/>
    <w:uiPriority w:val="99"/>
    <w:semiHidden/>
    <w:unhideWhenUsed/>
    <w:rsid w:val="00D909FE"/>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D909FE"/>
    <w:rPr>
      <w:rFonts w:ascii="Verdana" w:eastAsia="Times New Roman" w:hAnsi="Verdana" w:cs="Times New Roman"/>
      <w:b/>
      <w:bCs/>
      <w:sz w:val="20"/>
      <w:szCs w:val="20"/>
      <w:lang w:eastAsia="de-DE"/>
    </w:rPr>
  </w:style>
  <w:style w:type="paragraph" w:styleId="Revision">
    <w:name w:val="Revision"/>
    <w:hidden/>
    <w:uiPriority w:val="99"/>
    <w:semiHidden/>
    <w:rsid w:val="00D363CB"/>
    <w:pPr>
      <w:spacing w:after="0" w:line="240" w:lineRule="auto"/>
    </w:pPr>
  </w:style>
  <w:style w:type="character" w:customStyle="1" w:styleId="highlight">
    <w:name w:val="highlight"/>
    <w:basedOn w:val="DefaultParagraphFont"/>
    <w:rsid w:val="00FC378D"/>
  </w:style>
  <w:style w:type="paragraph" w:customStyle="1" w:styleId="Default">
    <w:name w:val="Default"/>
    <w:rsid w:val="00FC378D"/>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rsid w:val="000464CE"/>
    <w:pPr>
      <w:spacing w:after="0" w:line="240" w:lineRule="auto"/>
    </w:pPr>
    <w:rPr>
      <w:rFonts w:ascii="Times New Roman" w:eastAsia="Times New Roman" w:hAnsi="Times New Roman" w:cs="Times New Roman"/>
      <w:sz w:val="20"/>
      <w:szCs w:val="20"/>
      <w:lang w:eastAsia="de-DE"/>
    </w:rPr>
  </w:style>
  <w:style w:type="character" w:customStyle="1" w:styleId="FootnoteTextChar">
    <w:name w:val="Footnote Text Char"/>
    <w:basedOn w:val="DefaultParagraphFont"/>
    <w:link w:val="FootnoteText"/>
    <w:rsid w:val="000464CE"/>
    <w:rPr>
      <w:rFonts w:ascii="Times New Roman" w:eastAsia="Times New Roman" w:hAnsi="Times New Roman" w:cs="Times New Roman"/>
      <w:sz w:val="20"/>
      <w:szCs w:val="20"/>
      <w:lang w:eastAsia="de-DE"/>
    </w:rPr>
  </w:style>
  <w:style w:type="character" w:styleId="FootnoteReference">
    <w:name w:val="footnote reference"/>
    <w:basedOn w:val="DefaultParagraphFont"/>
    <w:rsid w:val="000464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872470">
      <w:bodyDiv w:val="1"/>
      <w:marLeft w:val="0"/>
      <w:marRight w:val="0"/>
      <w:marTop w:val="0"/>
      <w:marBottom w:val="0"/>
      <w:divBdr>
        <w:top w:val="none" w:sz="0" w:space="0" w:color="auto"/>
        <w:left w:val="none" w:sz="0" w:space="0" w:color="auto"/>
        <w:bottom w:val="none" w:sz="0" w:space="0" w:color="auto"/>
        <w:right w:val="none" w:sz="0" w:space="0" w:color="auto"/>
      </w:divBdr>
    </w:div>
    <w:div w:id="116265336">
      <w:bodyDiv w:val="1"/>
      <w:marLeft w:val="0"/>
      <w:marRight w:val="0"/>
      <w:marTop w:val="0"/>
      <w:marBottom w:val="0"/>
      <w:divBdr>
        <w:top w:val="none" w:sz="0" w:space="0" w:color="auto"/>
        <w:left w:val="none" w:sz="0" w:space="0" w:color="auto"/>
        <w:bottom w:val="none" w:sz="0" w:space="0" w:color="auto"/>
        <w:right w:val="none" w:sz="0" w:space="0" w:color="auto"/>
      </w:divBdr>
    </w:div>
    <w:div w:id="266355256">
      <w:bodyDiv w:val="1"/>
      <w:marLeft w:val="0"/>
      <w:marRight w:val="0"/>
      <w:marTop w:val="0"/>
      <w:marBottom w:val="0"/>
      <w:divBdr>
        <w:top w:val="none" w:sz="0" w:space="0" w:color="auto"/>
        <w:left w:val="none" w:sz="0" w:space="0" w:color="auto"/>
        <w:bottom w:val="none" w:sz="0" w:space="0" w:color="auto"/>
        <w:right w:val="none" w:sz="0" w:space="0" w:color="auto"/>
      </w:divBdr>
    </w:div>
    <w:div w:id="1725252825">
      <w:bodyDiv w:val="1"/>
      <w:marLeft w:val="0"/>
      <w:marRight w:val="0"/>
      <w:marTop w:val="0"/>
      <w:marBottom w:val="0"/>
      <w:divBdr>
        <w:top w:val="none" w:sz="0" w:space="0" w:color="auto"/>
        <w:left w:val="none" w:sz="0" w:space="0" w:color="auto"/>
        <w:bottom w:val="none" w:sz="0" w:space="0" w:color="auto"/>
        <w:right w:val="none" w:sz="0" w:space="0" w:color="auto"/>
      </w:divBdr>
    </w:div>
    <w:div w:id="207365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02766-8010-482E-9ECD-1A43510CC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2135</Words>
  <Characters>12172</Characters>
  <Application>Microsoft Office Word</Application>
  <DocSecurity>0</DocSecurity>
  <Lines>101</Lines>
  <Paragraphs>28</Paragraphs>
  <ScaleCrop>false</ScaleCrop>
  <HeadingPairs>
    <vt:vector size="2" baseType="variant">
      <vt:variant>
        <vt:lpstr>Titel</vt:lpstr>
      </vt:variant>
      <vt:variant>
        <vt:i4>1</vt:i4>
      </vt:variant>
    </vt:vector>
  </HeadingPairs>
  <TitlesOfParts>
    <vt:vector size="1" baseType="lpstr">
      <vt:lpstr/>
    </vt:vector>
  </TitlesOfParts>
  <Company>HP Inc.</Company>
  <LinksUpToDate>false</LinksUpToDate>
  <CharactersWithSpaces>14279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Foersterling,Matthias Dr.</dc:creator>
  <cp:keywords/>
  <dc:description/>
  <cp:lastModifiedBy>Dimitris Dimitriadis</cp:lastModifiedBy>
  <cp:revision>8</cp:revision>
  <cp:lastPrinted>2021-01-25T10:29:00Z</cp:lastPrinted>
  <dcterms:created xsi:type="dcterms:W3CDTF">2021-04-01T05:34:00Z</dcterms:created>
  <dcterms:modified xsi:type="dcterms:W3CDTF">2021-04-13T16:00:00Z</dcterms:modified>
</cp:coreProperties>
</file>