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Lægemiddelstyrelsens bestemmelser om parallelimporterede humanmedicinske lægemidler</w:t>
      </w:r>
    </w:p>
    <w:p w14:paraId="246EEEEE" w14:textId="6CA454AB" w:rsidR="00BB03EE" w:rsidRDefault="0086714A" w:rsidP="0086714A">
      <w:pPr>
        <w:pStyle w:val="HSLF-FS-Beslutsinfo"/>
      </w:pPr>
      <w:r>
        <w:t>vedtaget den XX xx 2021.</w:t>
      </w:r>
    </w:p>
    <w:p w14:paraId="4E241320" w14:textId="54548C3E" w:rsidR="004F4CCF" w:rsidRDefault="00433373" w:rsidP="0086714A">
      <w:pPr>
        <w:pStyle w:val="HSLF-FS-Brdtext"/>
      </w:pPr>
      <w:r>
        <w:t>I henhold til kapitel 9, § 11, i lægemiddelbekendtgørelsen (2015:458) fastsætter Lægemiddelstyrelsen herved</w:t>
      </w:r>
      <w:r w:rsidR="00943E19">
        <w:rPr>
          <w:rStyle w:val="FootnoteReference"/>
        </w:rPr>
        <w:footnoteReference w:id="1"/>
      </w:r>
      <w:r>
        <w:t xml:space="preserve"> følgende:</w:t>
      </w:r>
    </w:p>
    <w:p w14:paraId="40282447" w14:textId="1A63E6DC" w:rsidR="004315EF" w:rsidRPr="003C3708" w:rsidRDefault="004315EF" w:rsidP="003C3708">
      <w:pPr>
        <w:pStyle w:val="HSLF-FS-Rubrik-2"/>
      </w:pPr>
      <w:r>
        <w:t>Anvendelsesområde</w:t>
      </w:r>
    </w:p>
    <w:p w14:paraId="43B4D568" w14:textId="33FF8A54" w:rsidR="003C3708" w:rsidRPr="003C3708" w:rsidRDefault="00ED6DD8" w:rsidP="003C3708">
      <w:pPr>
        <w:pStyle w:val="HSLF-FS-Brdtext"/>
        <w:rPr>
          <w:sz w:val="24"/>
          <w:szCs w:val="24"/>
        </w:rPr>
      </w:pPr>
      <w:r>
        <w:rPr>
          <w:b/>
        </w:rPr>
        <w:t>§ 1</w:t>
      </w:r>
      <w:r>
        <w:t xml:space="preserve"> Disse regler gælder for indførsel af et parallelimporteret humanmedicinsk lægemiddel. </w:t>
      </w:r>
    </w:p>
    <w:p w14:paraId="0F413F36" w14:textId="73CF5F55" w:rsidR="003C3708" w:rsidRPr="00BE016C" w:rsidRDefault="003C3708" w:rsidP="00BE016C">
      <w:pPr>
        <w:pStyle w:val="HSLF-FS-Brdtextindragfrstaraden"/>
      </w:pPr>
      <w:r>
        <w:t>Disse forordninger finder ikke anvendelse på humanmedicinske lægemidler, for hvilke ansøgningen om godkendelse er blevet gennemgået i overensstemmelse med Europa-Parlamentets og Rådets forordning (EF) nr. 726/2004 af 31. marts 2004 om fastlæggelse af fællesskabsprocedurer for godkendelse og overvågning af human- og veterinærmedicinske lægemidler og om oprettelse af et europæisk lægemiddelagentur.</w:t>
      </w:r>
    </w:p>
    <w:p w14:paraId="4A80A3E8" w14:textId="02D1B0F7" w:rsidR="003C3708" w:rsidRPr="003C3708" w:rsidRDefault="003C3708" w:rsidP="00C96192">
      <w:pPr>
        <w:pStyle w:val="HSLF-FS-Rubrik-2"/>
        <w:rPr>
          <w:bCs/>
        </w:rPr>
      </w:pPr>
      <w:r>
        <w:t>Definitioner</w:t>
      </w:r>
    </w:p>
    <w:p w14:paraId="0A72EFEB" w14:textId="5E3C0889" w:rsidR="00940C6F" w:rsidRDefault="00940C6F" w:rsidP="003C3708">
      <w:pPr>
        <w:pStyle w:val="HSLF-FS-Brdtextindragfrstaraden"/>
        <w:ind w:firstLine="0"/>
      </w:pPr>
      <w:r>
        <w:rPr>
          <w:b/>
        </w:rPr>
        <w:t>§ 2</w:t>
      </w:r>
      <w:r>
        <w:t xml:space="preserve"> De udtryk og begreber, der anvendes i lægemiddelloven</w:t>
      </w:r>
    </w:p>
    <w:p w14:paraId="04DC6BA2" w14:textId="77777777" w:rsidR="00940C6F" w:rsidRDefault="00940C6F" w:rsidP="003C3708">
      <w:pPr>
        <w:pStyle w:val="HSLF-FS-Brdtextindragfrstaraden"/>
        <w:ind w:firstLine="0"/>
      </w:pPr>
      <w:r>
        <w:t xml:space="preserve">(2015:315) har samme betydning i disse forordninger. </w:t>
      </w:r>
    </w:p>
    <w:p w14:paraId="1D091889" w14:textId="083F2529" w:rsidR="003C3708" w:rsidRPr="00BE016C" w:rsidRDefault="00940C6F" w:rsidP="00BE016C">
      <w:pPr>
        <w:pStyle w:val="HSLF-FS-Brdtextindragfrstaraden"/>
      </w:pPr>
      <w:r>
        <w:t>Ved anvendelsen af disse forordninger gælder følgende definitioner:</w:t>
      </w:r>
    </w:p>
    <w:p w14:paraId="4386FD47" w14:textId="64D64BCA" w:rsidR="00940C6F" w:rsidRPr="00BE016C" w:rsidRDefault="00940C6F" w:rsidP="007C2C81">
      <w:pPr>
        <w:pStyle w:val="HSLF-FS-Brdtextindragfrstaraden"/>
      </w:pPr>
      <w:r>
        <w:rPr>
          <w:i/>
        </w:rPr>
        <w:t>parallelimport</w:t>
      </w:r>
      <w:r>
        <w:t xml:space="preserve"> indrejse i Sverige fra et land inden for Det Europæiske Økonomiske Samarbejdsområde (EØS) af et humanmedicinsk lægemiddel, der er godkendt til salg i Sverige og i udgangslandet, men indførslen håndteres af en anden enhed end fremstilleren eller indehaveren af markedsføringstilladelsen</w:t>
      </w:r>
    </w:p>
    <w:p w14:paraId="19F16786" w14:textId="6540C502" w:rsidR="00940C6F" w:rsidRPr="00BE016C" w:rsidRDefault="00940C6F" w:rsidP="007C2C81">
      <w:pPr>
        <w:pStyle w:val="HSLF-FS-Brdtextindragfrstaraden"/>
      </w:pPr>
      <w:r>
        <w:rPr>
          <w:i/>
        </w:rPr>
        <w:lastRenderedPageBreak/>
        <w:t>parallelimportør</w:t>
      </w:r>
      <w:r>
        <w:t xml:space="preserve"> indehaveren af markedsføringstilladelsen for et parallelimporteret humanmedicinsk lægemiddel </w:t>
      </w:r>
    </w:p>
    <w:p w14:paraId="4A759F7F" w14:textId="2F131841" w:rsidR="00F34CB6" w:rsidRPr="00BE016C" w:rsidRDefault="00940C6F" w:rsidP="007C2C81">
      <w:pPr>
        <w:pStyle w:val="HSLF-FS-Brdtextindragfrstaraden"/>
      </w:pPr>
      <w:r>
        <w:rPr>
          <w:i/>
        </w:rPr>
        <w:t>direkte importeret humanmedicinsk lægemiddel</w:t>
      </w:r>
      <w:r>
        <w:t xml:space="preserve"> det lægemiddel, som det parallelimporterede humanmedicinske lægemiddel henviser til i ansøgningen. </w:t>
      </w:r>
    </w:p>
    <w:p w14:paraId="5F711D83" w14:textId="64AA579B" w:rsidR="00FA0F3C" w:rsidRDefault="00646823" w:rsidP="00FA0F3C">
      <w:pPr>
        <w:pStyle w:val="HSLF-FS-Rubrik-2"/>
      </w:pPr>
      <w:r>
        <w:t>Autorisation</w:t>
      </w:r>
    </w:p>
    <w:p w14:paraId="3C655A84" w14:textId="3F878C50" w:rsidR="007732D0" w:rsidRPr="007732D0" w:rsidRDefault="00C445C5" w:rsidP="007732D0">
      <w:pPr>
        <w:pStyle w:val="HSLF-FS-Brdtext"/>
      </w:pPr>
      <w:r>
        <w:rPr>
          <w:b/>
        </w:rPr>
        <w:t xml:space="preserve">§ 3 </w:t>
      </w:r>
      <w:r>
        <w:t xml:space="preserve">Et parallelimporteret humanmedicinsk lægemiddel må ikke markedsføres, før der er udstedt tilladelse. </w:t>
      </w:r>
    </w:p>
    <w:p w14:paraId="51E8069F" w14:textId="6EC36889" w:rsidR="00646823" w:rsidRDefault="00C445C5" w:rsidP="00BE016C">
      <w:pPr>
        <w:pStyle w:val="HSLF-FS-Brdtextindragfrstaraden"/>
      </w:pPr>
      <w:r>
        <w:t xml:space="preserve">En markedsføringstilladelse for et parallelimporteret humanmedicinsk lægemiddel er gyldig i fem år. Efter ansøgningen kan tilladelsen derefter forlænges på ubestemt tid. Det, der er anført på ansøgningen om fornyelse i kapitel 4, § 17 i lægemiddelloven (2015:315), finder anvendelse på en sådan ansøgning.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For at få udstedt markedsføringstilladelse for parallelimporterede humanmedicinske lægemidler skal følgende være opfyldt: </w:t>
      </w:r>
    </w:p>
    <w:p w14:paraId="78F2E1FC" w14:textId="11663A88" w:rsidR="00D8693F" w:rsidRDefault="007C2C81" w:rsidP="007C2C81">
      <w:pPr>
        <w:pStyle w:val="HSLF-FS-Brdtextindragfrstaraden"/>
      </w:pPr>
      <w:r>
        <w:t>1) det direkte importerede humanmedicinske lægemiddel er allerede godkendt til markedsføring i Sverige, når Lægemiddelstyrelsen modtager ansøgningen</w:t>
      </w:r>
    </w:p>
    <w:p w14:paraId="6F54A6D9" w14:textId="772D8B99" w:rsidR="00D8693F" w:rsidRDefault="007C2C81" w:rsidP="007C2C81">
      <w:pPr>
        <w:pStyle w:val="HSLF-FS-Brdtextindragfrstaraden"/>
      </w:pPr>
      <w:r>
        <w:t xml:space="preserve">2) det parallelimporterede humanmedicinske lægemiddel har markedsføringstilladelse i udgangslandet </w:t>
      </w:r>
    </w:p>
    <w:p w14:paraId="7CAAA569" w14:textId="069A8D5A" w:rsidR="00D8693F" w:rsidRDefault="007C2C81" w:rsidP="007C2C81">
      <w:pPr>
        <w:pStyle w:val="HSLF-FS-Brdtextindragfrstaraden"/>
      </w:pPr>
      <w:r>
        <w:t xml:space="preserve">3. Udpassagelandet er en EØS-medlemsstat, og </w:t>
      </w:r>
    </w:p>
    <w:p w14:paraId="1E03DBE1" w14:textId="558CD31C" w:rsidR="00D57B04" w:rsidRDefault="007C2C81" w:rsidP="007C2C81">
      <w:pPr>
        <w:pStyle w:val="HSLF-FS-Brdtextindragfrstaraden"/>
      </w:pPr>
      <w:r>
        <w:t>4) det parallelimporterede humanmedicinske lægemiddel svarer tilstrækkeligt til det direkte importerede humanmedicinske lægemiddel.</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En ansøgning om markedsføringstilladelse for parallelimporterede humanmedicinske lægemidler skal indeholde: </w:t>
      </w:r>
    </w:p>
    <w:p w14:paraId="44DA9400" w14:textId="1FC51AA4" w:rsidR="00993A39" w:rsidRDefault="007C2C81" w:rsidP="007C2C81">
      <w:pPr>
        <w:pStyle w:val="HSLF-FS-Brdtextindragfrstaraden"/>
      </w:pPr>
      <w:r>
        <w:t xml:space="preserve">1. oplysninger og dokumentation som specificeret i bilaget til forordningerne </w:t>
      </w:r>
    </w:p>
    <w:p w14:paraId="419C2964" w14:textId="77A3603F" w:rsidR="00D8693F" w:rsidRPr="00993A39" w:rsidRDefault="007C2C81" w:rsidP="007C2C81">
      <w:pPr>
        <w:pStyle w:val="HSLF-FS-Brdtextindragfrstaraden"/>
      </w:pPr>
      <w:r>
        <w:t xml:space="preserve">2) forslag til mærkning af den indre emballage </w:t>
      </w:r>
    </w:p>
    <w:p w14:paraId="7C0BA453" w14:textId="560BF230" w:rsidR="00D8693F" w:rsidRPr="00993A39" w:rsidRDefault="007C2C81" w:rsidP="007C2C81">
      <w:pPr>
        <w:pStyle w:val="HSLF-FS-Brdtextindragfrstaraden"/>
      </w:pPr>
      <w:r>
        <w:t xml:space="preserve">3. foreslået indlægsseddel, og </w:t>
      </w:r>
    </w:p>
    <w:p w14:paraId="0CFEA5D0" w14:textId="209D1807" w:rsidR="00BE016C" w:rsidRDefault="007C2C81" w:rsidP="007C2C81">
      <w:pPr>
        <w:pStyle w:val="HSLF-FS-Brdtextindragfrstaraden"/>
      </w:pPr>
      <w:r>
        <w:t xml:space="preserve">4. En kopi af alle emballager og emballagestørrelser, fra udgangslandet, beregnet til indrejse i Sverige. </w:t>
      </w:r>
    </w:p>
    <w:p w14:paraId="096B4409" w14:textId="6ECA526F" w:rsidR="00993A39" w:rsidRDefault="00D8693F" w:rsidP="00BE016C">
      <w:pPr>
        <w:pStyle w:val="HSLF-FS-Brdtextindragfrstaraden"/>
      </w:pPr>
      <w:r>
        <w:t xml:space="preserve">Der kræves særskilte ansøgninger for hvert udrejseland. </w:t>
      </w:r>
    </w:p>
    <w:p w14:paraId="26E87D79" w14:textId="76BBD1B2" w:rsidR="00D8693F" w:rsidRPr="00993A39" w:rsidRDefault="00D8693F" w:rsidP="00BE016C">
      <w:pPr>
        <w:pStyle w:val="HSLF-FS-Brdtextindragfrstaraden"/>
      </w:pPr>
      <w:r>
        <w:t xml:space="preserve">Lægemiddelstyrelsen gennemgår ansøgninger om markedsføringstilladelse for parallelimporterede humanmedicinske lægemidler, når ansøgningsgebyret er betalt. </w:t>
      </w:r>
    </w:p>
    <w:p w14:paraId="18053560" w14:textId="5EF14C14" w:rsidR="00993A39" w:rsidRPr="00993A39" w:rsidRDefault="00993A39" w:rsidP="00993A39">
      <w:pPr>
        <w:pStyle w:val="HSLF-FS-Rubrik-2"/>
      </w:pPr>
      <w:r>
        <w:t>Anvendelse af humane biologiske stoffer</w:t>
      </w:r>
    </w:p>
    <w:p w14:paraId="7D23B598" w14:textId="2162C899" w:rsidR="00D8693F" w:rsidRDefault="00993A39" w:rsidP="00993A39">
      <w:pPr>
        <w:pStyle w:val="HSLF-FS-Brdtext"/>
      </w:pPr>
      <w:r>
        <w:rPr>
          <w:b/>
        </w:rPr>
        <w:t xml:space="preserve">§ 6 </w:t>
      </w:r>
      <w:r>
        <w:t xml:space="preserve">Ud over det, der er angivet i § 5, kræver udstedelse af markedsføringstilladelse for parallelimporterede humanmedicinske lægemidler fremstillet af blod eller plasma fra mennesker </w:t>
      </w:r>
      <w:r>
        <w:lastRenderedPageBreak/>
        <w:t>dokumentation vedrørende udgangsmaterialer, sporbarhed og systemer til indberetning af alvorlige hændelser i forbindelse med potentielle smitterisici. Der kan også anmodes om en sådan dokumentation, når ansøgningen vedrører andre menneskelige biologiske stoffer.</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Ansøgningsdokumenter i henhold til §§ 5 og 6 skal være skrevet på svensk eller engelsk.</w:t>
      </w:r>
    </w:p>
    <w:p w14:paraId="1CBA2373" w14:textId="2BEEACD9" w:rsidR="00C96192" w:rsidRPr="00C96192" w:rsidRDefault="00C96192" w:rsidP="00C96192">
      <w:pPr>
        <w:pStyle w:val="HSLF-FS-Rubrik-2"/>
      </w:pPr>
      <w:r>
        <w:t xml:space="preserve">Meddelelse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De, der agter at parallelimportere et humanmedicinsk lægemiddel, skal underrette indehaveren af markedsføringstilladelsen for det direkte importerede humanmedicinske lægemiddel herom. Anmeldelsen skal finde sted, inden det parallelimporterede humanmedicinske lægemiddel markedsføres i Sverige.</w:t>
      </w:r>
    </w:p>
    <w:p w14:paraId="3BBDD876" w14:textId="1E41FBDB" w:rsidR="00C96192" w:rsidRDefault="00C96192" w:rsidP="00C96192">
      <w:pPr>
        <w:pStyle w:val="HSLF-FS-Rubrik-2"/>
      </w:pPr>
      <w:r>
        <w:t>Særlig meddelelse om parallelimport fra visse lande</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Hvis parallelimportøren har til hensigt at importere humanmedicinske lægemidler fra Bulgarien, Estland, Kroatien, Letland, Litauen, Polen, Rumænien, Slovakiet, Slovenien, Tjekkiet eller Ungarn, og det direkte importerede humanmedicinske lægemiddel er beskyttet af patenter eller supplerende beskyttelsescertifikat, skal patenthaveren eller den, der er omfattet af patentet eller det supplerende beskyttelsescertifikat, underrettes herom senest 30 dage før ansøgningen indgives til Lægemiddelstyrelsen. Underretningen finder sted, medmindre der på tidspunktet for ansøgningen om markedsføringstilladelse blev givet samme mulighed for patentbeskyttelse eller et supplerende beskyttelsescertifikat for det humanmedicinske lægemiddel i udgangslandet som for det direkte importerede humanmedicinske lægemiddel. </w:t>
      </w:r>
    </w:p>
    <w:p w14:paraId="4EBBEDAE" w14:textId="77777777" w:rsidR="00C96192" w:rsidRPr="00C96192" w:rsidRDefault="00C96192" w:rsidP="00C96192">
      <w:pPr>
        <w:pStyle w:val="HSLF-FS-Rubrik-2"/>
      </w:pPr>
      <w:r>
        <w:t xml:space="preserve">Gebyrer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Bestemmelser vedrørende gebyrer findes i forordningen (2010:1167) om gebyrer for statslig kontrol med lægemidler.</w:t>
      </w:r>
    </w:p>
    <w:p w14:paraId="5E4625DC" w14:textId="77777777" w:rsidR="008E0BB7" w:rsidRDefault="008E0BB7" w:rsidP="008E0BB7">
      <w:pPr>
        <w:pStyle w:val="HSLF-FS-Rubrik-2"/>
      </w:pPr>
      <w:r>
        <w:t xml:space="preserve">Resuméer af produktegenskaber </w:t>
      </w:r>
    </w:p>
    <w:p w14:paraId="4879FB44" w14:textId="69BB98B3" w:rsidR="008E0BB7" w:rsidRDefault="008E0BB7" w:rsidP="003E763F">
      <w:pPr>
        <w:pStyle w:val="HSLF-FS-Brdtextindragfrstaraden"/>
        <w:spacing w:line="240" w:lineRule="auto"/>
        <w:ind w:firstLine="0"/>
      </w:pPr>
      <w:r>
        <w:rPr>
          <w:b/>
        </w:rPr>
        <w:t>§ 11</w:t>
      </w:r>
      <w:r>
        <w:t xml:space="preserve"> Produktresuméet for det direkte importerede humanmedicinske lægemiddel gælder også tilsvarende for det parallelimporterede humanmedicinske lægemiddel. </w:t>
      </w:r>
    </w:p>
    <w:p w14:paraId="0262828E" w14:textId="6DA76E30" w:rsidR="008E0BB7" w:rsidRDefault="008E0BB7" w:rsidP="006828FD">
      <w:pPr>
        <w:pStyle w:val="HSLF-FS-Brdtextindragfrstaraden"/>
      </w:pPr>
      <w:r>
        <w:t xml:space="preserve">Hvis det direkte importerede humanmedicinske lægemiddel ikke længere er godkendt til markedsføring i Sverige, og det ikke indeholder et produktresumé, indgiver parallelimportøren en ansøgning om at skifte til et andet passende produktresumé. </w:t>
      </w:r>
    </w:p>
    <w:p w14:paraId="64CC7F95" w14:textId="4B4B24CF" w:rsidR="00013C90" w:rsidRDefault="008E0BB7" w:rsidP="009C696F">
      <w:pPr>
        <w:pStyle w:val="HSLF-FS-Brdtextindragfrstaraden"/>
      </w:pPr>
      <w:r>
        <w:lastRenderedPageBreak/>
        <w:t>Hvis der ikke findes et egnet produktresumé i henhold til stk. 2, skal parallelimportøren indsende et resumé af produktegenskaberne på svensk for det parallelimporterede humanmedicinske lægemiddel. Når der udarbejdes et produktresumé, skal det formateres i overensstemmelse med [HSLF-FS 2021:xx) om markedsføringstilladelse for humanmedicinske lægemidler.</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Etikettering og indlægsseddel</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Mærkning og navn formateres i overensstemmelse med [forordningerne fra Lægemiddelstyrelsen (HSLF-FS 2021:xx) om etikettering og indlægssedler for humanmedicinske lægemidler]. Desuden skal følgende overholdes.</w:t>
      </w:r>
    </w:p>
    <w:p w14:paraId="4B08A15A" w14:textId="77777777" w:rsidR="003F4B7D" w:rsidRDefault="003F4B7D" w:rsidP="003F4B7D">
      <w:pPr>
        <w:pStyle w:val="HSLF-FS-Brdtextindragfrstaraden"/>
      </w:pPr>
      <w:r>
        <w:t xml:space="preserve">1. Umiddelbar og ydre emballage skal være forsynet med navn og adresse på fabrikanten, parallelimportøren og ompakningsvirksomheden. I stedet for fabrikantens navn og adresse kan der angives et relevant navn. </w:t>
      </w:r>
    </w:p>
    <w:p w14:paraId="40E0DA30" w14:textId="0F35B829" w:rsidR="00FB7D99" w:rsidRDefault="003F4B7D" w:rsidP="003F4B7D">
      <w:pPr>
        <w:pStyle w:val="HSLF-FS-Brdtextindragfrstaraden"/>
      </w:pPr>
      <w:r>
        <w:t xml:space="preserve">2. Hvis det parallelimporterede humanmedicinske lægemiddel på nogen måde afviger fra det direkte importerede humanmedicinske lægemiddel, skal den ydre emballage mærkes med tekst i overensstemmelse hermed. </w:t>
      </w:r>
    </w:p>
    <w:p w14:paraId="476EACF4" w14:textId="7E57E8A4" w:rsidR="00FB7D99" w:rsidRDefault="008E0BB7" w:rsidP="006828FD">
      <w:pPr>
        <w:pStyle w:val="HSLF-FS-Brdtextindragfrstaraden"/>
      </w:pPr>
      <w:r>
        <w:t xml:space="preserve">Med undtagelse af stk. 1, nr. 1, må den indre emballage i form af blisterkort og anden lille indre emballage kun være forsynet med de oplysninger, der er angivet i §§ 3-4 [HSLF-FS 2021:xx] og parallelimportørens navn. </w:t>
      </w:r>
    </w:p>
    <w:p w14:paraId="48B7FB75" w14:textId="6CEE253F" w:rsidR="008E0BB7" w:rsidRPr="00FB7D99" w:rsidRDefault="008E0BB7" w:rsidP="006828FD">
      <w:pPr>
        <w:pStyle w:val="HSLF-FS-Brdtextindragfrstaraden"/>
      </w:pPr>
      <w:r>
        <w:t>Emballagen kan være forsynet med udenlandsk tekst, hvis tekstens indhold ikke er i strid med det, der står på etiketten på svensk.</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Indlægsseddel formateres i overensstemmelse med [HSLF-FS 2021:xx) om etikettering og indlægssedler for humanmedicinske lægemidler]. Indholdet af indlægssedlen skal følge indlægssedlen for det direkte importerede humanmedicinske lægemiddel, men tilpasses til det parallelimporterede humanmedicinske lægemiddel. </w:t>
      </w:r>
    </w:p>
    <w:p w14:paraId="320F43CC" w14:textId="18B3DC58" w:rsidR="008E0BB7" w:rsidRDefault="00FB7D99" w:rsidP="00290C54">
      <w:pPr>
        <w:pStyle w:val="HSLF-FS-Brdtextindragfrstaraden"/>
        <w:rPr>
          <w:b/>
          <w:sz w:val="23"/>
          <w:szCs w:val="23"/>
        </w:rPr>
      </w:pPr>
      <w:r>
        <w:t>Ud over fabrikantens navn og adresse skal navn og adresse på parallelimportøren og ompakningsvirksomheden også fremgå af indlægssedlen. I stedet for fabrikantens navn og adresse kan der angives et relevant navn.</w:t>
      </w:r>
    </w:p>
    <w:p w14:paraId="2AAFFEDA" w14:textId="7B80763D" w:rsidR="00FB7D99" w:rsidRPr="00FB7D99" w:rsidRDefault="00290C54" w:rsidP="000A25FC">
      <w:pPr>
        <w:pStyle w:val="HSLF-FS-Rubrik-2"/>
      </w:pPr>
      <w:r>
        <w:t xml:space="preserve">Navnet på det humanmedicinske lægemiddel </w:t>
      </w:r>
    </w:p>
    <w:p w14:paraId="7D3512EF" w14:textId="6DC83553" w:rsidR="008E0BB7" w:rsidRDefault="00FB7D99" w:rsidP="003E763F">
      <w:pPr>
        <w:pStyle w:val="HSLF-FS-Brdtextindragfrstaraden"/>
        <w:spacing w:line="240" w:lineRule="auto"/>
        <w:ind w:firstLine="0"/>
        <w:rPr>
          <w:b/>
          <w:sz w:val="23"/>
          <w:szCs w:val="23"/>
        </w:rPr>
      </w:pPr>
      <w:r>
        <w:rPr>
          <w:b/>
        </w:rPr>
        <w:t xml:space="preserve">§ 14 </w:t>
      </w:r>
      <w:r>
        <w:t xml:space="preserve">Ud over det, der er anført vedrørende navnet på det humanmedicinske lægemiddel i § 1 [HSLF-FS 2021:xx) om etikettering og indlægssedler til humanmedicinske lægemidler, kan det parallelimporterede humanmedicinske lægemiddel have samme navn som det direkte importerede humanmedicinske lægemiddel. </w:t>
      </w:r>
    </w:p>
    <w:p w14:paraId="794E867C" w14:textId="77777777" w:rsidR="000A25FC" w:rsidRPr="000A25FC" w:rsidRDefault="000A25FC" w:rsidP="000A25FC">
      <w:pPr>
        <w:pStyle w:val="HSLF-FS-Rubrik-2"/>
      </w:pPr>
      <w:r>
        <w:lastRenderedPageBreak/>
        <w:t xml:space="preserve">Holdbarhed og opbevaring </w:t>
      </w:r>
    </w:p>
    <w:p w14:paraId="0710B930" w14:textId="7F9BD9E7" w:rsidR="000A25FC" w:rsidRDefault="000A25FC" w:rsidP="003E763F">
      <w:pPr>
        <w:pStyle w:val="HSLF-FS-Brdtextindragfrstaraden"/>
        <w:spacing w:line="240" w:lineRule="auto"/>
        <w:ind w:firstLine="0"/>
      </w:pPr>
      <w:r>
        <w:rPr>
          <w:b/>
        </w:rPr>
        <w:t>§ 15</w:t>
      </w:r>
      <w:r>
        <w:t xml:space="preserve"> Et parallelimporteret humanmedicinsk lægemiddel skal have samme holdbarhed som det humanmedicinske lægemiddel i udgangslandet, medmindre betingelserne i det enkelte tilfælde bestemmer andet. Holdbarheden skal angives for uåbnede emballager og, hvor det er relevant, for åbnet emballage. Hvis det humanmedicinske lægemiddel skal udfyldes af apoteker, skal holdbarhedsperioden for den åbne emballage altid angives. </w:t>
      </w:r>
    </w:p>
    <w:p w14:paraId="44C7A83A" w14:textId="67503CB7" w:rsidR="000A25FC" w:rsidRPr="00290C54" w:rsidRDefault="000A25FC" w:rsidP="00290C54">
      <w:pPr>
        <w:pStyle w:val="HSLF-FS-Brdtextindragfrstaraden"/>
      </w:pPr>
      <w:r>
        <w:t xml:space="preserve">I tilfælde, hvor en sekundær emballage åbnes under ompakningen, og dette påvirker stabiliteten af det humanmedicinske lægemiddel, skal holdbarheden i den nye emballage dokumenteres og angives. </w:t>
      </w:r>
    </w:p>
    <w:p w14:paraId="249CDA8A" w14:textId="377748F5" w:rsidR="008E0BB7" w:rsidRPr="00290C54" w:rsidRDefault="000A25FC" w:rsidP="00290C54">
      <w:pPr>
        <w:pStyle w:val="HSLF-FS-Brdtextindragfrstaraden"/>
      </w:pPr>
      <w:r>
        <w:t>Det parallelimporterede humanmedicinske lægemiddel skal have samme opbevaringsvejledning som det direkte importerede humanmedicinske lægemiddel, medmindre betingelserne i det konkrete tilfælde kræver andet.</w:t>
      </w:r>
    </w:p>
    <w:p w14:paraId="7DE657BA" w14:textId="77777777" w:rsidR="000A25FC" w:rsidRDefault="000A25FC" w:rsidP="000A25FC">
      <w:pPr>
        <w:pStyle w:val="HSLF-FS-Rubrik-2"/>
      </w:pPr>
      <w:r>
        <w:t xml:space="preserve">Indberetning af bivirkninger </w:t>
      </w:r>
    </w:p>
    <w:p w14:paraId="104B7DFF" w14:textId="024946B8" w:rsidR="000A25FC" w:rsidRDefault="000A25FC" w:rsidP="003E763F">
      <w:pPr>
        <w:pStyle w:val="HSLF-FS-Brdtextindragfrstaraden"/>
        <w:spacing w:line="240" w:lineRule="auto"/>
        <w:ind w:firstLine="0"/>
      </w:pPr>
      <w:r>
        <w:rPr>
          <w:b/>
        </w:rPr>
        <w:t>§ 16</w:t>
      </w:r>
      <w:r>
        <w:t xml:space="preserve"> parallelimportøren skal indberette alle formodede bivirkninger i forbindelse med det parallelimporterede humanmedicinske lægemiddel til enheden med markedsføringstilladelse i Sverige for det direkte importerede humanmedicinske lægemiddel. </w:t>
      </w:r>
    </w:p>
    <w:p w14:paraId="24B618C9" w14:textId="4D8E993E" w:rsidR="008F3292" w:rsidRPr="00290C54" w:rsidRDefault="000A25FC" w:rsidP="00290C54">
      <w:pPr>
        <w:pStyle w:val="HSLF-FS-Brdtextindragfrstaraden"/>
      </w:pPr>
      <w:r>
        <w:t xml:space="preserve">Bivirkningsrapporten sendes i stedet til enheden med markedsføringstilladelse i udgangslandet for det humanmedicinske lægemiddel, hvis </w:t>
      </w:r>
    </w:p>
    <w:p w14:paraId="4371C89C" w14:textId="0C7F327B" w:rsidR="000A25FC" w:rsidRDefault="003F4B7D" w:rsidP="003F4B7D">
      <w:pPr>
        <w:pStyle w:val="HSLF-FS-Brdtextindragfrstaraden"/>
      </w:pPr>
      <w:r>
        <w:t xml:space="preserve">den enhed, der har markedsføringstilladelse for det direkte importerede humanmedicinske lægemiddel, ikke også har markedsføringstilladelse i udgangslandet for det humanmedicinske lægemiddel, eller </w:t>
      </w:r>
    </w:p>
    <w:p w14:paraId="06143F8F" w14:textId="06C05CA6" w:rsidR="000A25FC" w:rsidRDefault="003F4B7D" w:rsidP="003F4B7D">
      <w:pPr>
        <w:pStyle w:val="HSLF-FS-Brdtextindragfrstaraden"/>
      </w:pPr>
      <w:r>
        <w:t xml:space="preserve">— det direkte importerede humanmedicinske lægemiddel er ikke længere tilladt til markedsføring i Sverige. </w:t>
      </w:r>
    </w:p>
    <w:p w14:paraId="24DE6638" w14:textId="24E9A8A4" w:rsidR="000A25FC" w:rsidRDefault="000A25FC" w:rsidP="00290C54">
      <w:pPr>
        <w:pStyle w:val="HSLF-FS-Brdtextindragfrstaraden"/>
      </w:pPr>
      <w:r>
        <w:t xml:space="preserve">Formodede bivirkninger skal indberettes så hurtigt som muligt, efter at parallelimportøren er blevet gjort bekendt med sådanne oplysninger. En bivirkningsrapport til en modtager i Sverige skal sendes inden for syv dage. En bivirkningsrapport til en modtager i et andet land skal oversættes til engelsk eller et andet sprog, som modtageren forstår, og sendes inden for ti dage. Hvis modtageren af bivirkningsrapporten anmoder om supplerende oplysninger, skal parallelimportøren altid give sådanne oplysninger. </w:t>
      </w:r>
    </w:p>
    <w:p w14:paraId="5C8B5B90" w14:textId="26F662AA" w:rsidR="008F3292" w:rsidRDefault="008F3292" w:rsidP="008F3292">
      <w:pPr>
        <w:pStyle w:val="HSLF-FS-Rubrik-2"/>
      </w:pPr>
      <w:r>
        <w:t xml:space="preserve">Fremstillingstilladelse og god fremstillingspraksis </w:t>
      </w:r>
    </w:p>
    <w:p w14:paraId="0F97AC9B" w14:textId="11B01259" w:rsidR="006E4323" w:rsidRPr="007C0355" w:rsidRDefault="008F3292" w:rsidP="003E763F">
      <w:pPr>
        <w:pStyle w:val="HSLF-FS-Brdtextindragfrstaraden"/>
        <w:spacing w:line="240" w:lineRule="auto"/>
        <w:ind w:firstLine="0"/>
      </w:pPr>
      <w:r>
        <w:rPr>
          <w:b/>
        </w:rPr>
        <w:t>§ 17</w:t>
      </w:r>
      <w:r>
        <w:t xml:space="preserve"> Ompakning eller ometikettering kræver en særlig fremstillingstilladelse udstedt i en stat inden for Det Europæiske Økonomiske Samarbejdsområde. Bestemmelser herom findes i </w:t>
      </w:r>
      <w:r>
        <w:lastRenderedPageBreak/>
        <w:t xml:space="preserve">[forordningerne fra Lægemiddelstyrelsen (HSLF-FS 2021:xx) om tilladelse til fremstilling og import af lægemidler]. </w:t>
      </w:r>
    </w:p>
    <w:p w14:paraId="02B2FF9E" w14:textId="55E1DF14" w:rsidR="008F3292" w:rsidRDefault="008F3292" w:rsidP="006E4323">
      <w:pPr>
        <w:pStyle w:val="HSLF-FS-Brdtextindragfrstaraden"/>
      </w:pPr>
      <w:r>
        <w:t xml:space="preserve">Ompakning og ometikettering skal ske i overensstemmelse med Lægemiddelstyrelsens forskrifter (LVFS 2004:6) om god fremstillingspraksis, og således at det humanmedicinske lægemiddels oprindelige karakter ikke påvirkes. </w:t>
      </w:r>
    </w:p>
    <w:p w14:paraId="0A73CF5B" w14:textId="77777777" w:rsidR="008F3292" w:rsidRDefault="008F3292" w:rsidP="008F3292">
      <w:pPr>
        <w:pStyle w:val="HSLF-FS-Rubrik-2"/>
      </w:pPr>
      <w:r>
        <w:t xml:space="preserve">Engroshandel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I henhold til kapitel 3, § 1, i lov om handel med lægemidler (2009:366) om handel med lægemidler må engroshandel med lægemidler kun udføres af personer, der er godkendt hertil. Yderligere bestemmelser findes i [forordningerne fra Lægemiddelstyrelsen (HSLF-FS 2021:xx) om engroshandel med lægemidler]. </w:t>
      </w:r>
    </w:p>
    <w:p w14:paraId="360AECBE" w14:textId="0C72E25D" w:rsidR="007123B4" w:rsidRPr="007123B4" w:rsidRDefault="009316D3" w:rsidP="007123B4">
      <w:pPr>
        <w:pStyle w:val="HSLF-FS-Rubrik-2"/>
      </w:pPr>
      <w:r>
        <w:t xml:space="preserve">Narkotiske lægemidler til human brug </w:t>
      </w:r>
    </w:p>
    <w:p w14:paraId="4031F41B" w14:textId="10107744" w:rsidR="007123B4" w:rsidRDefault="007123B4" w:rsidP="007123B4">
      <w:pPr>
        <w:pStyle w:val="HSLF-FS-Brdtext"/>
      </w:pPr>
      <w:r>
        <w:rPr>
          <w:b/>
        </w:rPr>
        <w:t>§ 19</w:t>
      </w:r>
      <w:r>
        <w:t xml:space="preserve"> Lægemiddelstyrelsens forordninger (LVFS 2011:9) om kontrol med narkotika indeholder bestemmelser om håndtering af narkotika.</w:t>
      </w:r>
    </w:p>
    <w:p w14:paraId="17F65349" w14:textId="2066661A" w:rsidR="007123B4" w:rsidRDefault="007123B4" w:rsidP="007123B4">
      <w:pPr>
        <w:pStyle w:val="HSLF-FS-Rubrik-2"/>
      </w:pPr>
      <w:r>
        <w:t xml:space="preserve">Salg af parallelimporterede vacciner og blodprodukter til human brug </w:t>
      </w:r>
    </w:p>
    <w:p w14:paraId="2AFF90DC" w14:textId="54B5CB77" w:rsidR="008F3292" w:rsidRPr="007123B4" w:rsidRDefault="007123B4" w:rsidP="007123B4">
      <w:pPr>
        <w:pStyle w:val="HSLF-FS-Brdtextindragfrstaraden"/>
        <w:ind w:firstLine="0"/>
      </w:pPr>
      <w:r>
        <w:rPr>
          <w:b/>
        </w:rPr>
        <w:t>§ 20</w:t>
      </w:r>
      <w:r>
        <w:t xml:space="preserve"> Lægemiddelstyrelsens forordninger (HSLF-FS 2015:14) om markedsføring af produktionsbatcher af vacciner og blodprodukter til human brug indeholder bestemmelser om produktionsbatcher af vacciner og blodprodukter til human brug, der skal sælges på det svenske marked. </w:t>
      </w:r>
    </w:p>
    <w:p w14:paraId="2CA1CC04" w14:textId="7FD4BDCA" w:rsidR="007123B4" w:rsidRDefault="007123B4" w:rsidP="007123B4">
      <w:pPr>
        <w:pStyle w:val="HSLF-FS-Rubrik-2"/>
      </w:pPr>
      <w:r>
        <w:t>Ændringer og tilbagekaldelser</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parallelimportøren skal holde sig underrettet om enhver ændring af det humanmedicinske lægemiddel, der er godkendt i udgangslandet, eller det direkte importerede humanmedicinske lægemiddel, som kan være af betydning for markedsføringstilladelsen for det parallelimporterede humanmedicinske lægemiddel. Parallelimportøren holder Lægemiddelstyrelsen underrettet om sådanne ændringer.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 22</w:t>
      </w:r>
      <w:r>
        <w:t xml:space="preserve"> parallelimportøren ansøger om de nødvendige ændringer i markedsføringstilladelsen for det parallelimporterede humanmedicinske lægemiddel. </w:t>
      </w:r>
    </w:p>
    <w:p w14:paraId="4910B7CC" w14:textId="6F5BCDE4" w:rsidR="007123B4" w:rsidRDefault="007123B4" w:rsidP="007123B4">
      <w:pPr>
        <w:pStyle w:val="HSLF-FS-Brdtextindragfrstaraden"/>
      </w:pPr>
      <w:r>
        <w:t xml:space="preserve">I tilfælde af væsentlige ændringer i tilladelsen i udgangslandet må det ændrede parallelimporterede humanmedicinske lægemiddel først sælges, når de tilsvarende ændringer er godkendt af Lægemiddelstyrelsen.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lastRenderedPageBreak/>
        <w:t xml:space="preserve">§ 23 </w:t>
      </w:r>
      <w:r>
        <w:t xml:space="preserve">Hvis markedsføringstilladelsen for det parallelimporterede humanmedicinske lægemiddel i udgangslandet eller for det direkte importerede humanmedicinske lægemiddel i Sverige tilbagekaldes af hensyn til kvalitet, virkning eller sikkerhed, tilbagekaldes markedsføringstilladelsen for det parallelimporterede humanmedicinske lægemiddel også. </w:t>
      </w:r>
    </w:p>
    <w:p w14:paraId="1F883E64" w14:textId="518B5776" w:rsidR="007123B4" w:rsidRDefault="0091535B" w:rsidP="007C0355">
      <w:pPr>
        <w:pStyle w:val="HSLF-FS-Brdtextindragfrstaraden"/>
      </w:pPr>
      <w:r>
        <w:t xml:space="preserve">En markedsføringstilladelse for parallelimporterede humanmedicinske lægemidler kan tilbagekaldes i henhold til kapitel 11, § 2, i lægemiddelloven (2015:315), også i andre tilfælde end dem, der er nævnt i stk. 1. </w:t>
      </w:r>
    </w:p>
    <w:p w14:paraId="55C307F2" w14:textId="77777777" w:rsidR="007E61A7" w:rsidRDefault="007E61A7" w:rsidP="007E61A7">
      <w:pPr>
        <w:pStyle w:val="HSLF-FS-Rubrik-2"/>
      </w:pPr>
      <w:r>
        <w:t xml:space="preserve">Dispensation </w:t>
      </w:r>
    </w:p>
    <w:p w14:paraId="089664DD" w14:textId="02B58EA2" w:rsidR="00153F3E" w:rsidRDefault="007E61A7" w:rsidP="003E763F">
      <w:pPr>
        <w:pStyle w:val="HSLF-FS-Brdtextindragfrstaraden"/>
        <w:spacing w:line="240" w:lineRule="auto"/>
        <w:ind w:firstLine="0"/>
      </w:pPr>
      <w:r>
        <w:rPr>
          <w:b/>
        </w:rPr>
        <w:t>§ 24</w:t>
      </w:r>
      <w:r>
        <w:t xml:space="preserve"> Lægemiddelstyrelsen kan, hvis der er særlige grunde, udstede en undtagelse (undtagelse) fra bestemmelserne i disse forordninger. Der kan dog ikke indrømmes fritagelser, hvis det ville medføre en tilsidesættelse af Sveriges forpligtelser i henhold til EU-retten.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Disse forskrifter træder i kraft den 28. januar 2022.</w:t>
      </w:r>
    </w:p>
    <w:p w14:paraId="33DB6D78" w14:textId="77777777" w:rsidR="00735042" w:rsidRDefault="00735042" w:rsidP="00735042">
      <w:pPr>
        <w:pStyle w:val="HSLF-FS-Brdtextindragfrstaraden"/>
      </w:pPr>
      <w:r>
        <w:t>2. Forordningerne ophæver Lægemiddelstyrelsens forordninger (LVFS 2012:19) om parallelimporterede lægemidler.</w:t>
      </w:r>
    </w:p>
    <w:p w14:paraId="0EAC64C7" w14:textId="4D1C2588" w:rsidR="00420658" w:rsidRPr="00420658" w:rsidRDefault="00735042" w:rsidP="00735042">
      <w:pPr>
        <w:pStyle w:val="HSLF-FS-Brdtextindragfrstaraden"/>
      </w:pPr>
      <w:r>
        <w:t>3. Tilladelser udstedt i henhold til Lægemiddelstyrelsens forskrifter (LVFS 2012:19) på parallelimporterede lægemidler er gyldige som tilladelser i overensstemmelse med de nye regler.</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Agenturet for Medicinske Produkter</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Bilag</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Ansøgninger om markedsføringstilladelse for parallelimporterede humanmedicinske lægemidler skal ledsages af følgende oplysninger og dokumentation: </w:t>
      </w:r>
    </w:p>
    <w:p w14:paraId="514029D8" w14:textId="09560852" w:rsidR="007E61A7" w:rsidRDefault="00F11B34" w:rsidP="00F11B34">
      <w:pPr>
        <w:pStyle w:val="HSLF-FS-Brdtextindragfrstaraden"/>
      </w:pPr>
      <w:r>
        <w:t xml:space="preserve">1. Ansøgerens navn eller firmanavn og postadresse samt kontaktoplysninger på en udpeget kontaktperson for ansøgningen. </w:t>
      </w:r>
    </w:p>
    <w:p w14:paraId="78C7D29E" w14:textId="45857F42" w:rsidR="007E61A7" w:rsidRDefault="00F11B34" w:rsidP="00F11B34">
      <w:pPr>
        <w:pStyle w:val="HSLF-FS-Brdtextindragfrstaraden"/>
      </w:pPr>
      <w:r>
        <w:t xml:space="preserve">2. Navn og postadresse på de lokale repræsentanter. </w:t>
      </w:r>
    </w:p>
    <w:p w14:paraId="6E6F4A97" w14:textId="6CCF807F" w:rsidR="007E61A7" w:rsidRDefault="00F11B34" w:rsidP="00F11B34">
      <w:pPr>
        <w:pStyle w:val="HSLF-FS-Brdtextindragfrstaraden"/>
      </w:pPr>
      <w:r>
        <w:t xml:space="preserve">3. Navnet på det humanmedicinske lægemiddel, lægemiddelform, styrke og indgivelsesmåde. </w:t>
      </w:r>
    </w:p>
    <w:p w14:paraId="55C449F3" w14:textId="57258547" w:rsidR="007E61A7" w:rsidRDefault="00F11B34" w:rsidP="00F11B34">
      <w:pPr>
        <w:pStyle w:val="HSLF-FS-Brdtextindragfrstaraden"/>
      </w:pPr>
      <w:r>
        <w:t xml:space="preserve">4. Det EØS-land, hvorfra det humanmedicinske lægemiddel skal forlades. </w:t>
      </w:r>
    </w:p>
    <w:p w14:paraId="085E440B" w14:textId="39BE4E98" w:rsidR="007E61A7" w:rsidRDefault="00F11B34" w:rsidP="00F11B34">
      <w:pPr>
        <w:pStyle w:val="HSLF-FS-Brdtextindragfrstaraden"/>
      </w:pPr>
      <w:r>
        <w:t xml:space="preserve">5. Oplysninger om, at der er givet eller vil blive givet meddelelse i henhold til forordningens § 8. </w:t>
      </w:r>
    </w:p>
    <w:p w14:paraId="75DF96D8" w14:textId="03425D6C" w:rsidR="007E61A7" w:rsidRDefault="00F11B34" w:rsidP="00F11B34">
      <w:pPr>
        <w:pStyle w:val="HSLF-FS-Brdtextindragfrstaraden"/>
      </w:pPr>
      <w:r>
        <w:t xml:space="preserve">6. Oplysning om, at underretning efter forordningens § 9 skal finde sted, og om en sådan meddelelse allerede har fundet sted. </w:t>
      </w:r>
    </w:p>
    <w:p w14:paraId="3BDB4718" w14:textId="71F61822" w:rsidR="007E61A7" w:rsidRDefault="00F11B34" w:rsidP="00F11B34">
      <w:pPr>
        <w:pStyle w:val="HSLF-FS-Brdtextindragfrstaraden"/>
      </w:pPr>
      <w:r>
        <w:t xml:space="preserve">7. Navn, dispenseringsform og styrke på det humanmedicinske lægemiddel i udgangslandet og nummeret på markedsføringstilladelsen i udgangslandet. </w:t>
      </w:r>
    </w:p>
    <w:p w14:paraId="3E0A7832" w14:textId="2EC413BE" w:rsidR="007E61A7" w:rsidRDefault="00F11B34" w:rsidP="00F11B34">
      <w:pPr>
        <w:pStyle w:val="HSLF-FS-Brdtextindragfrstaraden"/>
      </w:pPr>
      <w:r>
        <w:t xml:space="preserve">8. Navn og adresse på indehaveren af markedsføringstilladelsen i udgangslandet og tilsvarende oplysninger til fremstilleren. </w:t>
      </w:r>
    </w:p>
    <w:p w14:paraId="714DF124" w14:textId="5C59A4CB" w:rsidR="007E61A7" w:rsidRDefault="00F11B34" w:rsidP="00F11B34">
      <w:pPr>
        <w:pStyle w:val="HSLF-FS-Brdtextindragfrstaraden"/>
      </w:pPr>
      <w:r>
        <w:t xml:space="preserve">9. Det direkte importerede humanmedicinske lægemiddels navn, lægemiddelform, styrke og markedsføringstilladelsesnummer. </w:t>
      </w:r>
    </w:p>
    <w:p w14:paraId="7BBE27A8" w14:textId="53BFAAF9" w:rsidR="007E61A7" w:rsidRDefault="00F11B34" w:rsidP="00F11B34">
      <w:pPr>
        <w:pStyle w:val="HSLF-FS-Brdtextindragfrstaraden"/>
      </w:pPr>
      <w:r>
        <w:t xml:space="preserve">10. Navn og adresse på indehaveren af markedsføringstilladelsen for det direkte importerede humanmedicinske lægemiddel. </w:t>
      </w:r>
    </w:p>
    <w:p w14:paraId="4546F84D" w14:textId="1045E18F" w:rsidR="007E61A7" w:rsidRDefault="00F11B34" w:rsidP="00F11B34">
      <w:pPr>
        <w:pStyle w:val="HSLF-FS-Brdtextindragfrstaraden"/>
      </w:pPr>
      <w:r>
        <w:t xml:space="preserve">11. Beskrivelse af forskellene mellem det direkte importerede humanmedicinske lægemiddel og det parallelimporterede humanmedicinske lægemiddel. </w:t>
      </w:r>
    </w:p>
    <w:p w14:paraId="64BE3E65" w14:textId="77DB415E" w:rsidR="007E61A7" w:rsidRDefault="00F11B34" w:rsidP="00F11B34">
      <w:pPr>
        <w:pStyle w:val="HSLF-FS-Brdtextindragfrstaraden"/>
      </w:pPr>
      <w:r>
        <w:t xml:space="preserve">12. En detaljeret beskrivelse af, hvordan ommærkningen eller ompakningen af det humanmedicinske lægemiddel skal finde sted. </w:t>
      </w:r>
    </w:p>
    <w:p w14:paraId="6DAFAC5B" w14:textId="6A68B83B" w:rsidR="007E61A7" w:rsidRDefault="00F11B34" w:rsidP="00F11B34">
      <w:pPr>
        <w:pStyle w:val="HSLF-FS-Brdtextindragfrstaraden"/>
      </w:pPr>
      <w:r>
        <w:t xml:space="preserve">13. Oplysninger om instruktioner og kvalitetskontrol i forbindelse med modtagelse, opbevaring, ompakning, frigivelse og transport af parallelimporterede humanmedicinske lægemidler og systemer til tilbagekaldelse. </w:t>
      </w:r>
    </w:p>
    <w:p w14:paraId="5F99D126" w14:textId="472C485B" w:rsidR="00642B0F" w:rsidRDefault="00F11B34" w:rsidP="00F11B34">
      <w:pPr>
        <w:pStyle w:val="HSLF-FS-Brdtextindragfrstaraden"/>
      </w:pPr>
      <w:r>
        <w:t xml:space="preserve">14. Navn, adresse og fremstillingstilladelse og, hvis det er relevant, en skriftlig aftale for den eller de virksomheder, der udfører ompakningen/ommærkningen. </w:t>
      </w:r>
    </w:p>
    <w:p w14:paraId="42B81F88" w14:textId="6A3D8C3C" w:rsidR="00642B0F" w:rsidRDefault="00F11B34" w:rsidP="00F11B34">
      <w:pPr>
        <w:pStyle w:val="HSLF-FS-Brdtextindragfrstaraden"/>
      </w:pPr>
      <w:r>
        <w:t xml:space="preserve">15. Oplysninger om emballage for det parallelimporterede humanmedicinske lægemiddel i form af emballagestørrelser og emballage/lægemiddelbeholdere. </w:t>
      </w:r>
    </w:p>
    <w:p w14:paraId="0E3D4B52" w14:textId="2275E4B1" w:rsidR="007E61A7" w:rsidRPr="007E61A7" w:rsidRDefault="00F11B34" w:rsidP="00F11B34">
      <w:pPr>
        <w:pStyle w:val="HSLF-FS-Brdtextindragfrstaraden"/>
      </w:pPr>
      <w:r>
        <w:t>16. Holdbarhed (for uåbnet og åbnet emballage) og, hvis det er relevant, holdbarheden efter afslutningen af det parallelimporterede humanmedicinske lægemiddel og tilsvarende instruktioner om opbevaring af det parallelimporterede humanmedicinske lægemiddel.</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kan downloades eller bestilles via</w:t>
      </w:r>
    </w:p>
    <w:p w14:paraId="2228B341" w14:textId="77777777" w:rsidR="00577C10" w:rsidRPr="00054DAD" w:rsidRDefault="00577C10" w:rsidP="00B9475C">
      <w:pPr>
        <w:pStyle w:val="HSLF-FS-Bestllningsinformation"/>
      </w:pPr>
      <w:r>
        <w:t>internettet: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Kontakt</w:t>
      </w:r>
      <w:r>
        <w:br/>
        <w:t>Xxxxxxxxxxx</w:t>
      </w:r>
      <w:r>
        <w:br/>
        <w:t>Adresse</w:t>
      </w:r>
      <w:r>
        <w:br/>
        <w:t>Telefon: xx xxxxxxxxx Fax: xx xxxxxxxxx</w:t>
      </w:r>
    </w:p>
    <w:p w14:paraId="2548EFCB" w14:textId="77777777" w:rsidR="00673671" w:rsidRPr="0088553E" w:rsidRDefault="00673671" w:rsidP="00B9475C">
      <w:pPr>
        <w:pStyle w:val="HSLF-FS-Kontaktinformation"/>
        <w:rPr>
          <w:lang w:val="fr-FR"/>
        </w:rPr>
      </w:pPr>
      <w:r w:rsidRPr="0088553E">
        <w:rPr>
          <w:lang w:val="fr-FR"/>
        </w:rPr>
        <w:t>email: xxxxxxxx@xxxxxxx.xx</w:t>
      </w:r>
    </w:p>
    <w:p w14:paraId="7A240DDE" w14:textId="77777777" w:rsidR="00E44C93" w:rsidRPr="0088553E" w:rsidRDefault="00673671" w:rsidP="00B9475C">
      <w:pPr>
        <w:pStyle w:val="HSLF-FS-Kontaktinformation"/>
        <w:rPr>
          <w:lang w:val="fr-FR"/>
        </w:rPr>
      </w:pPr>
      <w:proofErr w:type="spellStart"/>
      <w:r w:rsidRPr="0088553E">
        <w:rPr>
          <w:lang w:val="fr-FR"/>
        </w:rPr>
        <w:t>internettet</w:t>
      </w:r>
      <w:proofErr w:type="spellEnd"/>
      <w:r w:rsidRPr="0088553E">
        <w:rPr>
          <w:lang w:val="fr-FR"/>
        </w:rPr>
        <w:t>: www.xxxxxxxxxxxxx.xx</w:t>
      </w:r>
    </w:p>
    <w:p w14:paraId="5434F6A8" w14:textId="77777777" w:rsidR="00673671" w:rsidRPr="0088553E" w:rsidRDefault="00673671" w:rsidP="00673671">
      <w:pPr>
        <w:pStyle w:val="HSLF-FS-Brdtextindragfrstaraden"/>
        <w:rPr>
          <w:lang w:val="fr-FR"/>
        </w:rPr>
      </w:pPr>
    </w:p>
    <w:p w14:paraId="05DED749" w14:textId="60FC851A" w:rsidR="00876360" w:rsidRPr="00E44C93" w:rsidRDefault="00B8133C" w:rsidP="00615514">
      <w:pPr>
        <w:pStyle w:val="HSLF-FS-Tryckort"/>
      </w:pPr>
      <w:r>
        <w:t>Trykkeri: Trykkeri og udgivelsesår</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567D" w14:textId="77777777" w:rsidR="005C4A10" w:rsidRDefault="005C4A10" w:rsidP="00290019">
      <w:r>
        <w:separator/>
      </w:r>
    </w:p>
  </w:endnote>
  <w:endnote w:type="continuationSeparator" w:id="0">
    <w:p w14:paraId="04DD301D" w14:textId="77777777" w:rsidR="005C4A10" w:rsidRDefault="005C4A10"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Sidnumm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250D" w14:textId="77777777" w:rsidR="005C4A10" w:rsidRDefault="005C4A10" w:rsidP="00290019">
      <w:r>
        <w:separator/>
      </w:r>
    </w:p>
  </w:footnote>
  <w:footnote w:type="continuationSeparator" w:id="0">
    <w:p w14:paraId="132C9D6A" w14:textId="77777777" w:rsidR="005C4A10" w:rsidRDefault="005C4A10" w:rsidP="00290019">
      <w:r>
        <w:continuationSeparator/>
      </w:r>
    </w:p>
  </w:footnote>
  <w:footnote w:id="1">
    <w:p w14:paraId="4A95157E" w14:textId="78B16520" w:rsidR="00943E19" w:rsidRDefault="00943E19" w:rsidP="00A97DE9">
      <w:pPr>
        <w:pStyle w:val="FootnoteText"/>
      </w:pPr>
      <w:r>
        <w:rPr>
          <w:rStyle w:val="FootnoteReference"/>
        </w:rPr>
        <w:footnoteRef/>
      </w:r>
      <w:r>
        <w:t xml:space="preserve"> Meddelelse er indgivet i overensstemmelse med direktiv (EU) </w:t>
      </w:r>
      <w:r w:rsidR="00A97DE9">
        <w:t xml:space="preserve">Europa-Parlamentets og Rådets direktiv 2015/1535 af 9. september 2015 om en informationsprocedure med hensyn til tekniske forskrifter samt forskrifter for Informationssamfundstjenester.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88553E">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FORSLAG"/>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 xml:space="preserve">HSLF-FS</w:t>
                    </w:r>
                    <w:r>
                      <w:br/>
                    </w:r>
                    <w:r>
                      <w:t xml:space="preserve">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88553E"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UDKAST"/>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 xml:space="preserve">HSLF-FS</w:t>
                    </w:r>
                    <w:r>
                      <w:br/>
                    </w:r>
                    <w:r>
                      <w:t xml:space="preserve">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88553E"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UDKAST"/>
          <w10:wrap anchorx="margin" anchory="margin"/>
        </v:shape>
      </w:pict>
    </w:r>
    <w:r w:rsidR="00964D75">
      <w:t xml:space="preserve">Fælles </w:t>
    </w:r>
    <w:r w:rsidR="00964D75">
      <w:t>vedtægter for sundhedspleje, lægehjælp, sociale tjenester, lægemidler, folkesundhed osv.</w:t>
    </w:r>
  </w:p>
  <w:p w14:paraId="1EDBB6C7" w14:textId="77777777" w:rsidR="00DB331A" w:rsidRPr="00964D75" w:rsidRDefault="004D7ACB" w:rsidP="004641D8">
    <w:pPr>
      <w:pStyle w:val="HSLF-FS-Dokmentinformation"/>
      <w:rPr>
        <w:sz w:val="16"/>
        <w:szCs w:val="16"/>
      </w:rPr>
    </w:pPr>
    <w:r>
      <w:rPr>
        <w:noProof/>
      </w:rPr>
      <mc:AlternateContent>
        <mc:Choice Requires="wps">
          <w:drawing>
            <wp:anchor distT="0" distB="0" distL="114300" distR="114300" simplePos="0" relativeHeight="251666432" behindDoc="0" locked="0" layoutInCell="1" allowOverlap="1" wp14:anchorId="40A7A495" wp14:editId="7A61CF87">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Udgivet den xx. juli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 xml:space="preserve">HSLF-FS</w:t>
                    </w:r>
                    <w:r>
                      <w:br/>
                    </w:r>
                    <w:r>
                      <w:t xml:space="preserve">2021:xx</w:t>
                    </w:r>
                  </w:p>
                  <w:p w14:paraId="6AF479A5" w14:textId="77777777" w:rsidR="00DB331A" w:rsidRPr="00142095" w:rsidRDefault="00DB331A" w:rsidP="00DB331A">
                    <w:pPr>
                      <w:pStyle w:val="HSLF-FS-Utkom-fr-trycket"/>
                    </w:pPr>
                    <w:r>
                      <w:t xml:space="preserve">Udgivet den xx. juli 20xx</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563615C" wp14:editId="209ACEE1">
              <wp:simplePos x="0" y="0"/>
              <wp:positionH relativeFrom="column">
                <wp:posOffset>3810</wp:posOffset>
              </wp:positionH>
              <wp:positionV relativeFrom="paragraph">
                <wp:posOffset>501015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CA2B2B"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9.45pt" to="37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" strokecolor="black [3213]"/>
          </w:pict>
        </mc:Fallback>
      </mc:AlternateContent>
    </w:r>
    <w:r>
      <w:t>ISSN xxx-xxxx, artikelnummer xxxxxxxx</w:t>
    </w:r>
    <w:r>
      <w:br/>
      <w:t>Udgiver:</w:t>
    </w:r>
    <w:r>
      <w:rPr>
        <w:sz w:val="16"/>
      </w:rPr>
      <w:t xml:space="preserve"> Chef for den juridiske afdeling – Pär Ödman, Sundheds- og Velfærdsstyrelsen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8553E"/>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4</TotalTime>
  <Pages>10</Pages>
  <Words>1924</Words>
  <Characters>13772</Characters>
  <Application>Microsoft Office Word</Application>
  <DocSecurity>0</DocSecurity>
  <Lines>114</Lines>
  <Paragraphs>31</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6</cp:revision>
  <cp:lastPrinted>2013-04-29T08:38:00Z</cp:lastPrinted>
  <dcterms:created xsi:type="dcterms:W3CDTF">2021-06-28T07:31:00Z</dcterms:created>
  <dcterms:modified xsi:type="dcterms:W3CDTF">2021-07-06T07:19:00Z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