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Règlement de l’Agence des produits médicaux sur les médicaments à usage humain importés parallèlement ;</w:t>
      </w:r>
    </w:p>
    <w:p w14:paraId="246EEEEE" w14:textId="6CA454AB" w:rsidR="00BB03EE" w:rsidRDefault="0086714A" w:rsidP="0086714A">
      <w:pPr>
        <w:pStyle w:val="HSLF-FS-Beslutsinfo"/>
      </w:pPr>
      <w:proofErr w:type="gramStart"/>
      <w:r>
        <w:t>adoptée</w:t>
      </w:r>
      <w:proofErr w:type="gramEnd"/>
      <w:r>
        <w:t xml:space="preserve"> le XX </w:t>
      </w:r>
      <w:proofErr w:type="spellStart"/>
      <w:r>
        <w:t>xx</w:t>
      </w:r>
      <w:proofErr w:type="spellEnd"/>
      <w:r>
        <w:t xml:space="preserve"> 2021.</w:t>
      </w:r>
    </w:p>
    <w:p w14:paraId="4E241320" w14:textId="54548C3E" w:rsidR="004F4CCF" w:rsidRDefault="00433373" w:rsidP="0086714A">
      <w:pPr>
        <w:pStyle w:val="HSLF-FS-Brdtext"/>
      </w:pPr>
      <w:r>
        <w:t>En vertu du chapitre 9, § 11 de l’ordonnance sur les médicaments (2015:458), l’Agence des produits médicaux établit ce qui suit</w:t>
      </w:r>
      <w:r w:rsidR="00943E19">
        <w:rPr>
          <w:rStyle w:val="FootnoteReference"/>
        </w:rPr>
        <w:footnoteReference w:id="1"/>
      </w:r>
      <w:r>
        <w:t xml:space="preserve"> .</w:t>
      </w:r>
    </w:p>
    <w:p w14:paraId="40282447" w14:textId="1A63E6DC" w:rsidR="004315EF" w:rsidRPr="003C3708" w:rsidRDefault="004315EF" w:rsidP="003C3708">
      <w:pPr>
        <w:pStyle w:val="HSLF-FS-Rubrik-2"/>
      </w:pPr>
      <w:r>
        <w:t>Champ d'application</w:t>
      </w:r>
    </w:p>
    <w:p w14:paraId="43B4D568" w14:textId="33FF8A54" w:rsidR="003C3708" w:rsidRPr="003C3708" w:rsidRDefault="00ED6DD8" w:rsidP="003C3708">
      <w:pPr>
        <w:pStyle w:val="HSLF-FS-Brdtext"/>
        <w:rPr>
          <w:sz w:val="24"/>
          <w:szCs w:val="24"/>
        </w:rPr>
      </w:pPr>
      <w:r>
        <w:rPr>
          <w:b/>
        </w:rPr>
        <w:t>§ 1</w:t>
      </w:r>
      <w:r>
        <w:t xml:space="preserve"> Le présent règlement s’applique à l’entrée d’un médicament à usage humain importé parallèlement. </w:t>
      </w:r>
    </w:p>
    <w:p w14:paraId="0F413F36" w14:textId="73CF5F55" w:rsidR="003C3708" w:rsidRPr="00BE016C" w:rsidRDefault="003C3708" w:rsidP="00BE016C">
      <w:pPr>
        <w:pStyle w:val="HSLF-FS-Brdtextindragfrstaraden"/>
      </w:pPr>
      <w:r>
        <w:t>Le présent règlement ne s’applique pas aux médicaments à usage humain pour lesquels la demande d’autorisation a été réexaminée conformément au règlement (CE) no 726/2004 du Parlement européen et du Conseil du 31 mars 2004 établissant des procédures communautaires pour l'autorisation et la surveillance en ce qui concerne les médicaments à usage humain et à usage vétérinaire, et instituant une Agence européenne des médicaments.</w:t>
      </w:r>
    </w:p>
    <w:p w14:paraId="4A80A3E8" w14:textId="02D1B0F7" w:rsidR="003C3708" w:rsidRPr="003C3708" w:rsidRDefault="003C3708" w:rsidP="00C96192">
      <w:pPr>
        <w:pStyle w:val="HSLF-FS-Rubrik-2"/>
        <w:rPr>
          <w:bCs/>
        </w:rPr>
      </w:pPr>
      <w:r>
        <w:t>Définitions</w:t>
      </w:r>
    </w:p>
    <w:p w14:paraId="0A72EFEB" w14:textId="5E3C0889" w:rsidR="00940C6F" w:rsidRDefault="00940C6F" w:rsidP="003C3708">
      <w:pPr>
        <w:pStyle w:val="HSLF-FS-Brdtextindragfrstaraden"/>
        <w:ind w:firstLine="0"/>
      </w:pPr>
      <w:r>
        <w:rPr>
          <w:b/>
        </w:rPr>
        <w:t>§ 2</w:t>
      </w:r>
      <w:r>
        <w:t xml:space="preserve"> Les termes et concepts utilisés dans la loi sur les médicaments</w:t>
      </w:r>
    </w:p>
    <w:p w14:paraId="04DC6BA2" w14:textId="77777777" w:rsidR="00940C6F" w:rsidRDefault="00940C6F" w:rsidP="003C3708">
      <w:pPr>
        <w:pStyle w:val="HSLF-FS-Brdtextindragfrstaraden"/>
        <w:ind w:firstLine="0"/>
      </w:pPr>
      <w:r>
        <w:t xml:space="preserve">(2015:315) ont les mêmes significations dans le présent règlement. </w:t>
      </w:r>
    </w:p>
    <w:p w14:paraId="1D091889" w14:textId="083F2529" w:rsidR="003C3708" w:rsidRPr="00BE016C" w:rsidRDefault="00940C6F" w:rsidP="00BE016C">
      <w:pPr>
        <w:pStyle w:val="HSLF-FS-Brdtextindragfrstaraden"/>
      </w:pPr>
      <w:r>
        <w:t>Dans les présentes dispositions réglementaires, les définitions suivantes s'appliquent :</w:t>
      </w:r>
    </w:p>
    <w:p w14:paraId="4386FD47" w14:textId="64D64BCA" w:rsidR="00940C6F" w:rsidRPr="00BE016C" w:rsidRDefault="00940C6F" w:rsidP="007C2C81">
      <w:pPr>
        <w:pStyle w:val="HSLF-FS-Brdtextindragfrstaraden"/>
      </w:pPr>
      <w:proofErr w:type="gramStart"/>
      <w:r>
        <w:rPr>
          <w:i/>
        </w:rPr>
        <w:t>importation</w:t>
      </w:r>
      <w:proofErr w:type="gramEnd"/>
      <w:r>
        <w:rPr>
          <w:i/>
        </w:rPr>
        <w:t xml:space="preserve"> parallèle</w:t>
      </w:r>
      <w:r>
        <w:t xml:space="preserve"> entrée en Suède en provenance d’un pays de l’Espace économique européen (EEE) d’un médicament à usage </w:t>
      </w:r>
      <w:r>
        <w:lastRenderedPageBreak/>
        <w:t>humain dont la vente est autorisée en Suède et dans le pays de sortie, mais qui est traité par une entité autre que le fabricant ou le titulaire de l’autorisation de mise sur le marché,</w:t>
      </w:r>
    </w:p>
    <w:p w14:paraId="19F16786" w14:textId="6540C502" w:rsidR="00940C6F" w:rsidRPr="00BE016C" w:rsidRDefault="00940C6F" w:rsidP="007C2C81">
      <w:pPr>
        <w:pStyle w:val="HSLF-FS-Brdtextindragfrstaraden"/>
      </w:pPr>
      <w:proofErr w:type="gramStart"/>
      <w:r>
        <w:rPr>
          <w:i/>
        </w:rPr>
        <w:t>importateur</w:t>
      </w:r>
      <w:proofErr w:type="gramEnd"/>
      <w:r>
        <w:rPr>
          <w:i/>
        </w:rPr>
        <w:t xml:space="preserve"> parallèle</w:t>
      </w:r>
      <w:r>
        <w:t xml:space="preserve"> le titulaire de l’autorisation de mise sur le marché d’un médicament à usage humain importé parallèlement, </w:t>
      </w:r>
    </w:p>
    <w:p w14:paraId="4A759F7F" w14:textId="2F131841" w:rsidR="00F34CB6" w:rsidRPr="00BE016C" w:rsidRDefault="00940C6F" w:rsidP="007C2C81">
      <w:pPr>
        <w:pStyle w:val="HSLF-FS-Brdtextindragfrstaraden"/>
      </w:pPr>
      <w:proofErr w:type="gramStart"/>
      <w:r>
        <w:rPr>
          <w:i/>
        </w:rPr>
        <w:t>médicament</w:t>
      </w:r>
      <w:proofErr w:type="gramEnd"/>
      <w:r>
        <w:rPr>
          <w:i/>
        </w:rPr>
        <w:t xml:space="preserve"> à usage humain directement importé</w:t>
      </w:r>
      <w:r>
        <w:t xml:space="preserve"> le médicament auquel le médicament à usage humain importé parallèlement fait référence dans la demande. </w:t>
      </w:r>
    </w:p>
    <w:p w14:paraId="5F711D83" w14:textId="64AA579B" w:rsidR="00FA0F3C" w:rsidRDefault="00646823" w:rsidP="00FA0F3C">
      <w:pPr>
        <w:pStyle w:val="HSLF-FS-Rubrik-2"/>
      </w:pPr>
      <w:r>
        <w:t>Autorisation</w:t>
      </w:r>
    </w:p>
    <w:p w14:paraId="3C655A84" w14:textId="3F878C50" w:rsidR="007732D0" w:rsidRPr="007732D0" w:rsidRDefault="00C445C5" w:rsidP="007732D0">
      <w:pPr>
        <w:pStyle w:val="HSLF-FS-Brdtext"/>
      </w:pPr>
      <w:r>
        <w:rPr>
          <w:b/>
        </w:rPr>
        <w:t xml:space="preserve">§ 3 </w:t>
      </w:r>
      <w:r>
        <w:t xml:space="preserve">Un médicament à usage humain importé parallèlement ne peut être mis sur le marché tant que l’autorisation n’a pas été accordée. </w:t>
      </w:r>
    </w:p>
    <w:p w14:paraId="51E8069F" w14:textId="6EC36889" w:rsidR="00646823" w:rsidRDefault="00C445C5" w:rsidP="00BE016C">
      <w:pPr>
        <w:pStyle w:val="HSLF-FS-Brdtextindragfrstaraden"/>
      </w:pPr>
      <w:r>
        <w:t xml:space="preserve">Une autorisation de mise sur le marché pour un médicament à usage humain importé parallèlement est valable pour une période de cinq ans. Après la demande, l’autorisation peut alors être prolongée indéfiniment. Cette demande est soumise aux dispositions relatives aux demandes de renouvellement du chapitre 4, § 17 de la loi sur les médicaments (2015:315).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 4</w:t>
      </w:r>
      <w:r>
        <w:t xml:space="preserve"> Pour obtenir l’autorisation de mise sur le marché de médicaments à usage humain importés parallèlement, les conditions suivantes doivent être remplies : </w:t>
      </w:r>
    </w:p>
    <w:p w14:paraId="78F2E1FC" w14:textId="11663A88" w:rsidR="00D8693F" w:rsidRDefault="007C2C81" w:rsidP="007C2C81">
      <w:pPr>
        <w:pStyle w:val="HSLF-FS-Brdtextindragfrstaraden"/>
      </w:pPr>
      <w:r>
        <w:t>1. le médicament à usage humain directement importé est déjà autorisé à être commercialisé en Suède lorsque l’Agence des produits médicaux reçoit la demande,</w:t>
      </w:r>
    </w:p>
    <w:p w14:paraId="6F54A6D9" w14:textId="772D8B99" w:rsidR="00D8693F" w:rsidRDefault="007C2C81" w:rsidP="007C2C81">
      <w:pPr>
        <w:pStyle w:val="HSLF-FS-Brdtextindragfrstaraden"/>
      </w:pPr>
      <w:r>
        <w:t xml:space="preserve">2. le médicament à usage humain importé parallèlement dispose d’une autorisation de mise sur le marché dans le pays de sortie, </w:t>
      </w:r>
    </w:p>
    <w:p w14:paraId="7CAAA569" w14:textId="069A8D5A" w:rsidR="00D8693F" w:rsidRDefault="007C2C81" w:rsidP="007C2C81">
      <w:pPr>
        <w:pStyle w:val="HSLF-FS-Brdtextindragfrstaraden"/>
      </w:pPr>
      <w:r>
        <w:t xml:space="preserve">3. le pays de sortie est un État membre de l’EEE, et </w:t>
      </w:r>
    </w:p>
    <w:p w14:paraId="1E03DBE1" w14:textId="558CD31C" w:rsidR="00D57B04" w:rsidRDefault="007C2C81" w:rsidP="007C2C81">
      <w:pPr>
        <w:pStyle w:val="HSLF-FS-Brdtextindragfrstaraden"/>
      </w:pPr>
      <w:r>
        <w:t>4. le médicament à usage humain importé parallèlement est suffisamment similaire au médicament à usage humain directement importé.</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 5</w:t>
      </w:r>
      <w:r>
        <w:t xml:space="preserve"> Une demande d’autorisation de mise sur le marché de médicaments à usage humain importés parallèlement doit comprendre : </w:t>
      </w:r>
    </w:p>
    <w:p w14:paraId="44DA9400" w14:textId="1FC51AA4" w:rsidR="00993A39" w:rsidRDefault="007C2C81" w:rsidP="007C2C81">
      <w:pPr>
        <w:pStyle w:val="HSLF-FS-Brdtextindragfrstaraden"/>
      </w:pPr>
      <w:r>
        <w:t xml:space="preserve">1. information et documentation telles que spécifiées dans l'annexe du règlement, </w:t>
      </w:r>
    </w:p>
    <w:p w14:paraId="419C2964" w14:textId="77A3603F" w:rsidR="00D8693F" w:rsidRPr="00993A39" w:rsidRDefault="007C2C81" w:rsidP="007C2C81">
      <w:pPr>
        <w:pStyle w:val="HSLF-FS-Brdtextindragfrstaraden"/>
      </w:pPr>
      <w:r>
        <w:t xml:space="preserve">2. proposition d’étiquetage des emballages primaires, </w:t>
      </w:r>
    </w:p>
    <w:p w14:paraId="7C0BA453" w14:textId="560BF230" w:rsidR="00D8693F" w:rsidRPr="00993A39" w:rsidRDefault="007C2C81" w:rsidP="007C2C81">
      <w:pPr>
        <w:pStyle w:val="HSLF-FS-Brdtextindragfrstaraden"/>
      </w:pPr>
      <w:r>
        <w:t xml:space="preserve">3. la proposition de notice, et </w:t>
      </w:r>
    </w:p>
    <w:p w14:paraId="0CFEA5D0" w14:textId="209D1807" w:rsidR="00BE016C" w:rsidRDefault="007C2C81" w:rsidP="007C2C81">
      <w:pPr>
        <w:pStyle w:val="HSLF-FS-Brdtextindragfrstaraden"/>
      </w:pPr>
      <w:r>
        <w:t xml:space="preserve">4. une copie de tous les emballages et dimensions des emballages, en provenance du pays de sortie, destinés à entrer en Suède. </w:t>
      </w:r>
    </w:p>
    <w:p w14:paraId="096B4409" w14:textId="6ECA526F" w:rsidR="00993A39" w:rsidRDefault="00D8693F" w:rsidP="00BE016C">
      <w:pPr>
        <w:pStyle w:val="HSLF-FS-Brdtextindragfrstaraden"/>
      </w:pPr>
      <w:r>
        <w:t xml:space="preserve">Des demandes distinctes sont requises pour chaque pays de sortie. </w:t>
      </w:r>
    </w:p>
    <w:p w14:paraId="26E87D79" w14:textId="76BBD1B2" w:rsidR="00D8693F" w:rsidRPr="00993A39" w:rsidRDefault="00D8693F" w:rsidP="00BE016C">
      <w:pPr>
        <w:pStyle w:val="HSLF-FS-Brdtextindragfrstaraden"/>
      </w:pPr>
      <w:r>
        <w:t xml:space="preserve">L’Agence des produits médicaux examine les demandes d’autorisation de mise sur le marché de médicaments à usage humain importés parallèlement une fois que les frais de demande ont été acquittés. </w:t>
      </w:r>
    </w:p>
    <w:p w14:paraId="18053560" w14:textId="5EF14C14" w:rsidR="00993A39" w:rsidRPr="00993A39" w:rsidRDefault="00993A39" w:rsidP="00993A39">
      <w:pPr>
        <w:pStyle w:val="HSLF-FS-Rubrik-2"/>
      </w:pPr>
      <w:r>
        <w:lastRenderedPageBreak/>
        <w:t>Application dans le domaine de la biologie humaine</w:t>
      </w:r>
    </w:p>
    <w:p w14:paraId="7D23B598" w14:textId="2162C899" w:rsidR="00D8693F" w:rsidRDefault="00993A39" w:rsidP="00993A39">
      <w:pPr>
        <w:pStyle w:val="HSLF-FS-Brdtext"/>
      </w:pPr>
      <w:r>
        <w:rPr>
          <w:b/>
        </w:rPr>
        <w:t xml:space="preserve">§ 6 </w:t>
      </w:r>
      <w:r>
        <w:t>En plus de ce qui est spécifié au § 5, l’octroi d’une autorisation de mise sur le marché pour les médicaments à usage humain importés parallèlement et fabriqués à partir de sang ou de plasma provenant d’êtres humains nécessite de fournir des documents concernant les matériaux de départ, la traçabilité et les systèmes de signalement d’événements graves liés à des risques de contagion potentiels. Ces documents peuvent également être demandés lorsque la demande porte sur d’autres produits biologiques humains.</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 xml:space="preserve">§ 7 </w:t>
      </w:r>
      <w:r>
        <w:t>Conformément aux paragraphes 5 et 6, les documents de demande doivent être rédigés en suédois ou en anglais.</w:t>
      </w:r>
    </w:p>
    <w:p w14:paraId="1CBA2373" w14:textId="2BEEACD9" w:rsidR="00C96192" w:rsidRPr="00C96192" w:rsidRDefault="00C96192" w:rsidP="00C96192">
      <w:pPr>
        <w:pStyle w:val="HSLF-FS-Rubrik-2"/>
      </w:pPr>
      <w:r>
        <w:t xml:space="preserve">Notification </w:t>
      </w:r>
    </w:p>
    <w:p w14:paraId="4CA2F203" w14:textId="6C843A2C" w:rsidR="00C96192" w:rsidRDefault="00C96192" w:rsidP="003E763F">
      <w:pPr>
        <w:pStyle w:val="HSLF-FS-Brdtextindragfrstaraden"/>
        <w:spacing w:line="240" w:lineRule="auto"/>
        <w:ind w:firstLine="0"/>
        <w:rPr>
          <w:b/>
          <w:sz w:val="23"/>
          <w:szCs w:val="23"/>
        </w:rPr>
      </w:pPr>
      <w:r>
        <w:rPr>
          <w:b/>
        </w:rPr>
        <w:t>§ 8</w:t>
      </w:r>
      <w:r>
        <w:t xml:space="preserve"> Ceux qui ont l’intention d’importer parallèlement un médicament à usage humain doivent notifier leur intention au titulaire de l’autorisation de mise sur le marché du médicament à usage humain directement importé. La notification a lieu avant la mise sur le marché du médicament à usage humain importé parallèlement en Suède.</w:t>
      </w:r>
    </w:p>
    <w:p w14:paraId="3BBDD876" w14:textId="1E41FBDB" w:rsidR="00C96192" w:rsidRDefault="00C96192" w:rsidP="00C96192">
      <w:pPr>
        <w:pStyle w:val="HSLF-FS-Rubrik-2"/>
      </w:pPr>
      <w:r>
        <w:t>Notification spécifique pour les importations parallèles en provenance de certains pays</w:t>
      </w:r>
    </w:p>
    <w:p w14:paraId="271E0127" w14:textId="0744D18F" w:rsidR="00C96192" w:rsidRDefault="00C96192" w:rsidP="003E763F">
      <w:pPr>
        <w:pStyle w:val="HSLF-FS-Brdtextindragfrstaraden"/>
        <w:spacing w:line="240" w:lineRule="auto"/>
        <w:ind w:firstLine="0"/>
        <w:rPr>
          <w:b/>
          <w:sz w:val="23"/>
          <w:szCs w:val="23"/>
        </w:rPr>
      </w:pPr>
      <w:r>
        <w:rPr>
          <w:b/>
        </w:rPr>
        <w:t>§ 9</w:t>
      </w:r>
      <w:r>
        <w:t xml:space="preserve"> Si l’importateur parallèle a l’intention d’importer des médicaments à usage humain en provenance de Bulgarie, d’Estonie, de Croatie, de Lettonie, de Lituanie, de Pologne, de Roumanie, de Slovaquie, de Slovénie, de République tchèque ou de Hongrie et que le médicament à usage humain directement importé est protégé par des brevets ou un certificat complémentaire de protection (CCP), le titulaire ou bénéficiaire du brevet ou du CCP est notifié au plus tard 30 jours avant la présentation de la demande à l’Agence des produits médicaux. La notification n’est pas exigée lorsque la même possibilité de protection par brevet ou CCP ai été prévue pour le médicament à usage humain dans le pays de sortie et pour le médicament à usage humain directement importé au moment de sa demande d’autorisation. </w:t>
      </w:r>
    </w:p>
    <w:p w14:paraId="4EBBEDAE" w14:textId="77777777" w:rsidR="00C96192" w:rsidRPr="00C96192" w:rsidRDefault="00C96192" w:rsidP="00C96192">
      <w:pPr>
        <w:pStyle w:val="HSLF-FS-Rubrik-2"/>
      </w:pPr>
      <w:r>
        <w:t xml:space="preserve">Redevance </w:t>
      </w:r>
    </w:p>
    <w:p w14:paraId="5F02B637" w14:textId="6289BF54" w:rsidR="00C96192" w:rsidRDefault="00C96192" w:rsidP="003E763F">
      <w:pPr>
        <w:pStyle w:val="HSLF-FS-Brdtextindragfrstaraden"/>
        <w:spacing w:line="240" w:lineRule="auto"/>
        <w:ind w:firstLine="0"/>
        <w:rPr>
          <w:b/>
          <w:sz w:val="23"/>
          <w:szCs w:val="23"/>
        </w:rPr>
      </w:pPr>
      <w:r>
        <w:rPr>
          <w:b/>
        </w:rPr>
        <w:t>§ 10</w:t>
      </w:r>
      <w:r>
        <w:t xml:space="preserve"> Des dispositions concernant les redevances figurent dans le règlement (2010:1167) sur les redevances pour le contrôle par l’État des médicaments.</w:t>
      </w:r>
    </w:p>
    <w:p w14:paraId="5E4625DC" w14:textId="77777777" w:rsidR="008E0BB7" w:rsidRDefault="008E0BB7" w:rsidP="008E0BB7">
      <w:pPr>
        <w:pStyle w:val="HSLF-FS-Rubrik-2"/>
      </w:pPr>
      <w:r>
        <w:lastRenderedPageBreak/>
        <w:t xml:space="preserve">Résumés des caractéristiques du produit </w:t>
      </w:r>
    </w:p>
    <w:p w14:paraId="4879FB44" w14:textId="69BB98B3" w:rsidR="008E0BB7" w:rsidRDefault="008E0BB7" w:rsidP="003E763F">
      <w:pPr>
        <w:pStyle w:val="HSLF-FS-Brdtextindragfrstaraden"/>
        <w:spacing w:line="240" w:lineRule="auto"/>
        <w:ind w:firstLine="0"/>
      </w:pPr>
      <w:r>
        <w:rPr>
          <w:b/>
        </w:rPr>
        <w:t>§ 11</w:t>
      </w:r>
      <w:r>
        <w:t xml:space="preserve"> Le résumé des caractéristiques du médicament à usage humain directement importé est également valable, mutatis mutandis, pour le médicament à usage humain importé parallèlement. </w:t>
      </w:r>
    </w:p>
    <w:p w14:paraId="0262828E" w14:textId="6DA76E30" w:rsidR="008E0BB7" w:rsidRDefault="008E0BB7" w:rsidP="006828FD">
      <w:pPr>
        <w:pStyle w:val="HSLF-FS-Brdtextindragfrstaraden"/>
      </w:pPr>
      <w:r>
        <w:t xml:space="preserve">Si le médicament à usage humain directement importé n’est plus autorisé à être commercialisé en Suède et qu’il ne contient pas de résumé des caractéristiques du produit, l’importateur parallèle présente une demande de passage à un autre résumé approprié des caractéristiques du produit. </w:t>
      </w:r>
    </w:p>
    <w:p w14:paraId="64CC7F95" w14:textId="4B4B24CF" w:rsidR="00013C90" w:rsidRDefault="008E0BB7" w:rsidP="009C696F">
      <w:pPr>
        <w:pStyle w:val="HSLF-FS-Brdtextindragfrstaraden"/>
      </w:pPr>
      <w:r>
        <w:t>S’il n’existe pas de résumé approprié des caractéristiques du produit conformément au deuxième alinéa, l’importateur parallèle présente un résumé des caractéristiques du produit en suédois pour le médicament à usage humain importé parallèlement. Lorsqu’un résumé des caractéristiques du produit est établi, il est formaté conformément [à la réglementation de l’Agence des produits médicaux (HSLF-FS 2021:xx) relative à l’autorisation de mise sur le marché des médicaments à usage humain].</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Étiquetage et notice</w:t>
      </w:r>
    </w:p>
    <w:p w14:paraId="0C51A248" w14:textId="3B7E3855" w:rsidR="008E0BB7" w:rsidRPr="00FB7D99" w:rsidRDefault="008E0BB7" w:rsidP="003E763F">
      <w:pPr>
        <w:pStyle w:val="HSLF-FS-Brdtextindragfrstaraden"/>
        <w:spacing w:line="240" w:lineRule="auto"/>
        <w:ind w:firstLine="0"/>
        <w:rPr>
          <w:b/>
          <w:sz w:val="23"/>
          <w:szCs w:val="23"/>
        </w:rPr>
      </w:pPr>
      <w:r>
        <w:rPr>
          <w:b/>
        </w:rPr>
        <w:t>§ 12</w:t>
      </w:r>
      <w:r>
        <w:t xml:space="preserve"> L’étiquetage et le nom doivent être formatés conformément au [règlement de l’Agence des produits médicaux (HSLF-FS 2021:xx) sur l’étiquetage et les notices des médicaments à usage humain]. En outre, il convient d’observer ce qui suit.</w:t>
      </w:r>
    </w:p>
    <w:p w14:paraId="4B08A15A" w14:textId="77777777" w:rsidR="003F4B7D" w:rsidRDefault="003F4B7D" w:rsidP="003F4B7D">
      <w:pPr>
        <w:pStyle w:val="HSLF-FS-Brdtextindragfrstaraden"/>
      </w:pPr>
      <w:r>
        <w:t xml:space="preserve">1. L’emballage primaire et l’emballage extérieur doivent porter les noms et adresses du fabricant, de l’importateur parallèle et du </w:t>
      </w:r>
      <w:proofErr w:type="spellStart"/>
      <w:r>
        <w:t>reconditionneur</w:t>
      </w:r>
      <w:proofErr w:type="spellEnd"/>
      <w:r>
        <w:t xml:space="preserve">. Au lieu du nom et de l’adresse du fabricant, un nom pertinent peut être indiqué. </w:t>
      </w:r>
    </w:p>
    <w:p w14:paraId="40E0DA30" w14:textId="0F35B829" w:rsidR="00FB7D99" w:rsidRDefault="003F4B7D" w:rsidP="003F4B7D">
      <w:pPr>
        <w:pStyle w:val="HSLF-FS-Brdtextindragfrstaraden"/>
      </w:pPr>
      <w:r>
        <w:t xml:space="preserve">2. Si, à quelque titre que ce soit, le médicament à usage humain importé parallèlement s’écarte du médicament à usage humain directement importé, l’emballage extérieur doit être étiqueté avec texte en conséquence. </w:t>
      </w:r>
    </w:p>
    <w:p w14:paraId="476EACF4" w14:textId="7E57E8A4" w:rsidR="00FB7D99" w:rsidRDefault="008E0BB7" w:rsidP="006828FD">
      <w:pPr>
        <w:pStyle w:val="HSLF-FS-Brdtextindragfrstaraden"/>
      </w:pPr>
      <w:r>
        <w:t xml:space="preserve">À l’exception du point 1 du premier alinéa, les emballages primaires sous forme de plaquettes thermoformées et autres petits emballages primaires ne peuvent porter que les informations spécifiées aux §§ 3-4 [HSLF-FS 2021:xx] et le nom de l’importateur parallèle. </w:t>
      </w:r>
    </w:p>
    <w:p w14:paraId="48B7FB75" w14:textId="6CEE253F" w:rsidR="008E0BB7" w:rsidRPr="00FB7D99" w:rsidRDefault="008E0BB7" w:rsidP="006828FD">
      <w:pPr>
        <w:pStyle w:val="HSLF-FS-Brdtextindragfrstaraden"/>
      </w:pPr>
      <w:r>
        <w:t>L'emballage peut porter un texte dans une langue étrangère si son contenu n'est pas en contradiction avec celui qui figure sur l'étiquette en suédois.</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 13</w:t>
      </w:r>
      <w:r>
        <w:t xml:space="preserve"> La notice doit être formatée conformément au [règlement de l’Agence des produits médicaux (HSLF-FS 2021:xx) sur l’étiquetage et les notices des médicaments à usage humain]. Le contenu de la notice doit suivre la notice du médicament à usage humain directement </w:t>
      </w:r>
      <w:r>
        <w:lastRenderedPageBreak/>
        <w:t xml:space="preserve">importé, mais doit être adapté au médicament à usage humain importé parallèlement. </w:t>
      </w:r>
    </w:p>
    <w:p w14:paraId="320F43CC" w14:textId="18B3DC58" w:rsidR="008E0BB7" w:rsidRDefault="00FB7D99" w:rsidP="00290C54">
      <w:pPr>
        <w:pStyle w:val="HSLF-FS-Brdtextindragfrstaraden"/>
        <w:rPr>
          <w:b/>
          <w:sz w:val="23"/>
          <w:szCs w:val="23"/>
        </w:rPr>
      </w:pPr>
      <w:r>
        <w:t xml:space="preserve">Outre le nom et l’adresse du fabricant, les noms et adresses de l’importateur parallèle et du </w:t>
      </w:r>
      <w:proofErr w:type="spellStart"/>
      <w:r>
        <w:t>reconditionneur</w:t>
      </w:r>
      <w:proofErr w:type="spellEnd"/>
      <w:r>
        <w:t xml:space="preserve"> doivent également figurer sur la notice. Au lieu du nom et de l’adresse du fabricant, un nom pertinent peut être indiqué.</w:t>
      </w:r>
    </w:p>
    <w:p w14:paraId="2AAFFEDA" w14:textId="7B80763D" w:rsidR="00FB7D99" w:rsidRPr="00FB7D99" w:rsidRDefault="00290C54" w:rsidP="000A25FC">
      <w:pPr>
        <w:pStyle w:val="HSLF-FS-Rubrik-2"/>
      </w:pPr>
      <w:r>
        <w:t xml:space="preserve">Le nom du médicament à usage humain </w:t>
      </w:r>
    </w:p>
    <w:p w14:paraId="7D3512EF" w14:textId="6DC83553" w:rsidR="008E0BB7" w:rsidRDefault="00FB7D99" w:rsidP="003E763F">
      <w:pPr>
        <w:pStyle w:val="HSLF-FS-Brdtextindragfrstaraden"/>
        <w:spacing w:line="240" w:lineRule="auto"/>
        <w:ind w:firstLine="0"/>
        <w:rPr>
          <w:b/>
          <w:sz w:val="23"/>
          <w:szCs w:val="23"/>
        </w:rPr>
      </w:pPr>
      <w:r>
        <w:rPr>
          <w:b/>
        </w:rPr>
        <w:t xml:space="preserve">§ 14 </w:t>
      </w:r>
      <w:r>
        <w:t xml:space="preserve">En plus de ce qui est indiqué en ce qui concerne le nom du médicament à usage humain au § 1 [règlement de l’Agence des produits médicaux (HSLF-FS 2021:xx) sur l’étiquetage et les notices des médicaments à usage humain], le médicament à usage humain importé parallèlement peut porter le même nom que le médicament à usage humain directement importé. </w:t>
      </w:r>
    </w:p>
    <w:p w14:paraId="794E867C" w14:textId="77777777" w:rsidR="000A25FC" w:rsidRPr="000A25FC" w:rsidRDefault="000A25FC" w:rsidP="000A25FC">
      <w:pPr>
        <w:pStyle w:val="HSLF-FS-Rubrik-2"/>
      </w:pPr>
      <w:r>
        <w:t xml:space="preserve">Durée de conservation et stockage </w:t>
      </w:r>
    </w:p>
    <w:p w14:paraId="0710B930" w14:textId="7F9BD9E7" w:rsidR="000A25FC" w:rsidRDefault="000A25FC" w:rsidP="003E763F">
      <w:pPr>
        <w:pStyle w:val="HSLF-FS-Brdtextindragfrstaraden"/>
        <w:spacing w:line="240" w:lineRule="auto"/>
        <w:ind w:firstLine="0"/>
      </w:pPr>
      <w:r>
        <w:rPr>
          <w:b/>
        </w:rPr>
        <w:t>§ 15</w:t>
      </w:r>
      <w:r>
        <w:t xml:space="preserve"> Un médicament à usage humain importé parallèlement doit avoir la même durée de conservation que le médicament à usage humain dans le pays de sortie, à moins que les conditions dans le cas particulier n’en dictent autrement. La durée de conservation doit être indiquée pour les emballages non ouverts et, le cas échéant, pour les emballages ouverts. Si le médicament à usage humain doit être complété par des pharmacies, la durée de conservation de l’emballage ouvert doit toujours être indiquée. </w:t>
      </w:r>
    </w:p>
    <w:p w14:paraId="44C7A83A" w14:textId="67503CB7" w:rsidR="000A25FC" w:rsidRPr="00290C54" w:rsidRDefault="000A25FC" w:rsidP="00290C54">
      <w:pPr>
        <w:pStyle w:val="HSLF-FS-Brdtextindragfrstaraden"/>
      </w:pPr>
      <w:r>
        <w:t xml:space="preserve">Dans le cas où un emballage secondaire est ouvert pendant le réemballage et que cela affecte la stabilité du médicament à usage humain, la durée de conservation dans le nouvel emballage doit être documentée et indiquée. </w:t>
      </w:r>
    </w:p>
    <w:p w14:paraId="249CDA8A" w14:textId="377748F5" w:rsidR="008E0BB7" w:rsidRPr="00290C54" w:rsidRDefault="000A25FC" w:rsidP="00290C54">
      <w:pPr>
        <w:pStyle w:val="HSLF-FS-Brdtextindragfrstaraden"/>
      </w:pPr>
      <w:r>
        <w:t>Le médicament à usage humain importé parallèlement doit avoir les mêmes instructions de conservation que le médicament à usage humain directement importé, à moins que les conditions dans le cas particulier dictent le contraire.</w:t>
      </w:r>
    </w:p>
    <w:p w14:paraId="7DE657BA" w14:textId="77777777" w:rsidR="000A25FC" w:rsidRDefault="000A25FC" w:rsidP="000A25FC">
      <w:pPr>
        <w:pStyle w:val="HSLF-FS-Rubrik-2"/>
      </w:pPr>
      <w:r>
        <w:t xml:space="preserve">Déclaration des effets secondaires </w:t>
      </w:r>
    </w:p>
    <w:p w14:paraId="104B7DFF" w14:textId="024946B8" w:rsidR="000A25FC" w:rsidRDefault="000A25FC" w:rsidP="003E763F">
      <w:pPr>
        <w:pStyle w:val="HSLF-FS-Brdtextindragfrstaraden"/>
        <w:spacing w:line="240" w:lineRule="auto"/>
        <w:ind w:firstLine="0"/>
      </w:pPr>
      <w:r>
        <w:rPr>
          <w:b/>
        </w:rPr>
        <w:t>§ 16</w:t>
      </w:r>
      <w:r>
        <w:t xml:space="preserve"> L’importateur parallèle doit signaler à l’entité ayant obtenu une autorisation de mise sur le marché en Suède pour le médicament à usage humain directement importé tous les effets secondaires soupçonnés liés au médicament à usage humain importé parallèlement. </w:t>
      </w:r>
    </w:p>
    <w:p w14:paraId="24B618C9" w14:textId="4D8E993E" w:rsidR="008F3292" w:rsidRPr="00290C54" w:rsidRDefault="000A25FC" w:rsidP="00290C54">
      <w:pPr>
        <w:pStyle w:val="HSLF-FS-Brdtextindragfrstaraden"/>
      </w:pPr>
      <w:r>
        <w:t xml:space="preserve">Le rapport sur les effets secondaires doit plutôt être envoyé à l’entité titulaire d’une autorisation de mise sur le marché dans le pays de sortie du médicament à usage humain si : </w:t>
      </w:r>
    </w:p>
    <w:p w14:paraId="4371C89C" w14:textId="0C7F327B" w:rsidR="000A25FC" w:rsidRDefault="003F4B7D" w:rsidP="003F4B7D">
      <w:pPr>
        <w:pStyle w:val="HSLF-FS-Brdtextindragfrstaraden"/>
      </w:pPr>
      <w:r>
        <w:t xml:space="preserve">— l’entité titulaire d’une autorisation de mise sur le marché du médicament à usage humain directement importé ne dispose pas </w:t>
      </w:r>
      <w:r>
        <w:lastRenderedPageBreak/>
        <w:t xml:space="preserve">également d’une autorisation de mise sur le marché dans le pays de sortie du médicament à usage humain, </w:t>
      </w:r>
      <w:proofErr w:type="gramStart"/>
      <w:r>
        <w:t>ou</w:t>
      </w:r>
      <w:proofErr w:type="gramEnd"/>
      <w:r>
        <w:t xml:space="preserve"> </w:t>
      </w:r>
    </w:p>
    <w:p w14:paraId="06143F8F" w14:textId="06C05CA6" w:rsidR="000A25FC" w:rsidRDefault="003F4B7D" w:rsidP="003F4B7D">
      <w:pPr>
        <w:pStyle w:val="HSLF-FS-Brdtextindragfrstaraden"/>
      </w:pPr>
      <w:r>
        <w:t xml:space="preserve">— le médicament à usage humain directement importé n’est plus autorisé à être mis sur le marché en Suède. </w:t>
      </w:r>
    </w:p>
    <w:p w14:paraId="24DE6638" w14:textId="24E9A8A4" w:rsidR="000A25FC" w:rsidRDefault="000A25FC" w:rsidP="00290C54">
      <w:pPr>
        <w:pStyle w:val="HSLF-FS-Brdtextindragfrstaraden"/>
      </w:pPr>
      <w:r>
        <w:t xml:space="preserve">Les effets secondaires présumés doivent être signalés dès que possible après que l’importateur parallèle a été informé de ces informations. Un rapport sur les effets secondaires est envoyé à un destinataire en Suède dans un délai de sept jours. Un rapport sur les effets secondaires adressé à un destinataire dans un autre pays doit être traduit en anglais, ou dans une autre langue que le destinataire comprend, et envoyé dans un délai de dix jours. Si le destinataire du rapport sur les effets secondaires demande des informations supplémentaires, l’importateur parallèle fournit systématiquement ces informations. </w:t>
      </w:r>
    </w:p>
    <w:p w14:paraId="5C8B5B90" w14:textId="26F662AA" w:rsidR="008F3292" w:rsidRDefault="008F3292" w:rsidP="008F3292">
      <w:pPr>
        <w:pStyle w:val="HSLF-FS-Rubrik-2"/>
      </w:pPr>
      <w:r>
        <w:t xml:space="preserve">Autorisation de fabrication et bonnes pratiques de fabrication </w:t>
      </w:r>
    </w:p>
    <w:p w14:paraId="0F97AC9B" w14:textId="11B01259" w:rsidR="006E4323" w:rsidRPr="007C0355" w:rsidRDefault="008F3292" w:rsidP="003E763F">
      <w:pPr>
        <w:pStyle w:val="HSLF-FS-Brdtextindragfrstaraden"/>
        <w:spacing w:line="240" w:lineRule="auto"/>
        <w:ind w:firstLine="0"/>
      </w:pPr>
      <w:r>
        <w:rPr>
          <w:b/>
        </w:rPr>
        <w:t>§ 17</w:t>
      </w:r>
      <w:r>
        <w:t xml:space="preserve"> Le réemballage ou le </w:t>
      </w:r>
      <w:proofErr w:type="spellStart"/>
      <w:r>
        <w:t>réétiquetage</w:t>
      </w:r>
      <w:proofErr w:type="spellEnd"/>
      <w:r>
        <w:t xml:space="preserve"> nécessite une autorisation de fabrication spéciale délivrée dans un État de l’Espace économique européen. Des dispositions à ce sujet figurent dans [le règlement de l’Agence des produits médicaux (HSLF-FS 2021:xx) sur l’autorisation de fabrication et d’importation de médicaments]. </w:t>
      </w:r>
    </w:p>
    <w:p w14:paraId="02B2FF9E" w14:textId="55E1DF14" w:rsidR="008F3292" w:rsidRDefault="008F3292" w:rsidP="006E4323">
      <w:pPr>
        <w:pStyle w:val="HSLF-FS-Brdtextindragfrstaraden"/>
      </w:pPr>
      <w:r>
        <w:t xml:space="preserve">Le réemballage et le </w:t>
      </w:r>
      <w:proofErr w:type="spellStart"/>
      <w:r>
        <w:t>réétiquetage</w:t>
      </w:r>
      <w:proofErr w:type="spellEnd"/>
      <w:r>
        <w:t xml:space="preserve"> doivent être effectués conformément à la réglementation de l’Agence des produits médicaux (LVFS 2004:6) relative aux bonnes pratiques de fabrication et </w:t>
      </w:r>
      <w:proofErr w:type="gramStart"/>
      <w:r>
        <w:t>de manière à ce</w:t>
      </w:r>
      <w:proofErr w:type="gramEnd"/>
      <w:r>
        <w:t xml:space="preserve"> que la nature originale du médicament à usage humain ne soit pas affectée. </w:t>
      </w:r>
    </w:p>
    <w:p w14:paraId="0A73CF5B" w14:textId="77777777" w:rsidR="008F3292" w:rsidRDefault="008F3292" w:rsidP="008F3292">
      <w:pPr>
        <w:pStyle w:val="HSLF-FS-Rubrik-2"/>
      </w:pPr>
      <w:r>
        <w:t xml:space="preserve">Commerce de gros </w:t>
      </w:r>
    </w:p>
    <w:p w14:paraId="0F4425C6" w14:textId="2B113FB5" w:rsidR="008F3292" w:rsidRPr="007123B4" w:rsidRDefault="008F3292" w:rsidP="007123B4">
      <w:pPr>
        <w:pStyle w:val="HSLF-FS-Brdtextindragfrstaraden"/>
        <w:spacing w:line="240" w:lineRule="auto"/>
        <w:ind w:firstLine="0"/>
        <w:rPr>
          <w:b/>
          <w:sz w:val="23"/>
          <w:szCs w:val="23"/>
        </w:rPr>
      </w:pPr>
      <w:r>
        <w:rPr>
          <w:b/>
        </w:rPr>
        <w:t>§ 18</w:t>
      </w:r>
      <w:r>
        <w:t xml:space="preserve"> Selon le chapitre 3, § 1 de la loi (2009:366) sur le commerce des médicaments, le commerce de gros de médicaments ne peut être effectué que par ceux qui y sont autorisés. Des dispositions supplémentaires figurent dans [la réglementation de l’Agence des produits médicaux (HSLF-FS 2021:xx) sur le commerce de gros de médicaments]. </w:t>
      </w:r>
    </w:p>
    <w:p w14:paraId="360AECBE" w14:textId="0C72E25D" w:rsidR="007123B4" w:rsidRPr="007123B4" w:rsidRDefault="009316D3" w:rsidP="007123B4">
      <w:pPr>
        <w:pStyle w:val="HSLF-FS-Rubrik-2"/>
      </w:pPr>
      <w:r>
        <w:t xml:space="preserve">Narcotiques à usage humain </w:t>
      </w:r>
    </w:p>
    <w:p w14:paraId="4031F41B" w14:textId="10107744" w:rsidR="007123B4" w:rsidRDefault="007123B4" w:rsidP="007123B4">
      <w:pPr>
        <w:pStyle w:val="HSLF-FS-Brdtext"/>
      </w:pPr>
      <w:r>
        <w:rPr>
          <w:b/>
        </w:rPr>
        <w:t>§ 19</w:t>
      </w:r>
      <w:r>
        <w:t xml:space="preserve"> Le règlement de l’Agence des produits médicaux (LVFS 2011:9) sur le contrôle des stupéfiants contient des dispositions sur la manipulation des stupéfiants.</w:t>
      </w:r>
    </w:p>
    <w:p w14:paraId="17F65349" w14:textId="2066661A" w:rsidR="007123B4" w:rsidRDefault="007123B4" w:rsidP="007123B4">
      <w:pPr>
        <w:pStyle w:val="HSLF-FS-Rubrik-2"/>
      </w:pPr>
      <w:r>
        <w:t xml:space="preserve">Vente de vaccins et de produits sanguins importés parallèlement à des fins humaines </w:t>
      </w:r>
    </w:p>
    <w:p w14:paraId="2AFF90DC" w14:textId="54B5CB77" w:rsidR="008F3292" w:rsidRPr="007123B4" w:rsidRDefault="007123B4" w:rsidP="007123B4">
      <w:pPr>
        <w:pStyle w:val="HSLF-FS-Brdtextindragfrstaraden"/>
        <w:ind w:firstLine="0"/>
      </w:pPr>
      <w:r>
        <w:rPr>
          <w:b/>
        </w:rPr>
        <w:t>§ 20</w:t>
      </w:r>
      <w:r>
        <w:t xml:space="preserve"> Le règlement de l’Agence des produits médicaux (HSLF-FS 2015:14) sur la commercialisation de lots de production de vaccins et </w:t>
      </w:r>
      <w:r>
        <w:lastRenderedPageBreak/>
        <w:t xml:space="preserve">de produits sanguins à usage humain contient des dispositions sur les lots de production de vaccins et de produits sanguins à usage humain qui doivent être vendus sur le marché suédois. </w:t>
      </w:r>
    </w:p>
    <w:p w14:paraId="2CA1CC04" w14:textId="7FD4BDCA" w:rsidR="007123B4" w:rsidRDefault="007123B4" w:rsidP="007123B4">
      <w:pPr>
        <w:pStyle w:val="HSLF-FS-Rubrik-2"/>
      </w:pPr>
      <w:r>
        <w:t>Modifications et révocations</w:t>
      </w:r>
    </w:p>
    <w:p w14:paraId="5663B19E" w14:textId="659FBF44" w:rsidR="000A25FC" w:rsidRDefault="007123B4" w:rsidP="003E763F">
      <w:pPr>
        <w:pStyle w:val="HSLF-FS-Brdtextindragfrstaraden"/>
        <w:spacing w:line="240" w:lineRule="auto"/>
        <w:ind w:firstLine="0"/>
        <w:rPr>
          <w:b/>
          <w:sz w:val="23"/>
          <w:szCs w:val="23"/>
        </w:rPr>
      </w:pPr>
      <w:r>
        <w:rPr>
          <w:b/>
        </w:rPr>
        <w:t>§ 21</w:t>
      </w:r>
      <w:r>
        <w:t xml:space="preserve"> L’importateur parallèle doit rester informé de tout changement concernant le médicament à usage humain approuvé dans le pays de sortie ou le médicament à usage humain directement importé susceptible d’être important pour l’autorisation de mise sur le marché du médicament à usage humain importé parallèlement. L’importateur parallèle tient l’Agence des produits médicaux informée de ces modifications.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 22</w:t>
      </w:r>
      <w:r>
        <w:t xml:space="preserve"> L’importateur parallèle demande les modifications nécessaires de l’autorisation de mise sur le marché du médicament à usage humain importé parallèlement. </w:t>
      </w:r>
    </w:p>
    <w:p w14:paraId="4910B7CC" w14:textId="6F5BCDE4" w:rsidR="007123B4" w:rsidRDefault="007123B4" w:rsidP="007123B4">
      <w:pPr>
        <w:pStyle w:val="HSLF-FS-Brdtextindragfrstaraden"/>
      </w:pPr>
      <w:r>
        <w:t xml:space="preserve">En cas de modification importante de l’autorisation dans le pays de sortie, le médicament à usage humain importé parallèlement modifié ne peut être vendu que lorsque les modifications correspondantes ont été autorisées par l’Agence des produits médicaux.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rPr>
        <w:t xml:space="preserve">§ 23 </w:t>
      </w:r>
      <w:r>
        <w:t xml:space="preserve">Si l’autorisation de mise sur le marché du médicament à usage humain importé parallèlement dans le pays de sortie ou du médicament à usage humain directement importé en Suède est révoquée pour des raisons de qualité, d’effet ou de sécurité, l’autorisation de mise sur le marché du médicament à usage humain importé parallèlement est également révoquée. </w:t>
      </w:r>
    </w:p>
    <w:p w14:paraId="1F883E64" w14:textId="518B5776" w:rsidR="007123B4" w:rsidRDefault="0091535B" w:rsidP="007C0355">
      <w:pPr>
        <w:pStyle w:val="HSLF-FS-Brdtextindragfrstaraden"/>
      </w:pPr>
      <w:r>
        <w:t xml:space="preserve">Une autorisation de mise sur le marché de médicaments à usage humain importés parallèlement peut être révoquée conformément au chapitre 11, § 2 de la loi sur les médicaments (2015:315), même dans des cas autres que ceux visés au paragraphe premier. </w:t>
      </w:r>
    </w:p>
    <w:p w14:paraId="55C307F2" w14:textId="77777777" w:rsidR="007E61A7" w:rsidRDefault="007E61A7" w:rsidP="007E61A7">
      <w:pPr>
        <w:pStyle w:val="HSLF-FS-Rubrik-2"/>
      </w:pPr>
      <w:r>
        <w:t xml:space="preserve">Dispense </w:t>
      </w:r>
    </w:p>
    <w:p w14:paraId="089664DD" w14:textId="02B58EA2" w:rsidR="00153F3E" w:rsidRDefault="007E61A7" w:rsidP="003E763F">
      <w:pPr>
        <w:pStyle w:val="HSLF-FS-Brdtextindragfrstaraden"/>
        <w:spacing w:line="240" w:lineRule="auto"/>
        <w:ind w:firstLine="0"/>
      </w:pPr>
      <w:r>
        <w:rPr>
          <w:b/>
        </w:rPr>
        <w:t>§ 24</w:t>
      </w:r>
      <w:r>
        <w:t xml:space="preserve"> L’Agence des produits médicaux peut, pour des raisons particulières, délivrer une exemption (dispense) aux dispositions du présent règlement. Des exemptions ne peuvent toutefois pas être accordées si elles impliquent un manquement aux obligations de la Suède en vertu du droit de l’UE.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Le présent règlement entrera en vigueur le 28 janvier 2022.</w:t>
      </w:r>
    </w:p>
    <w:p w14:paraId="33DB6D78" w14:textId="77777777" w:rsidR="00735042" w:rsidRDefault="00735042" w:rsidP="00735042">
      <w:pPr>
        <w:pStyle w:val="HSLF-FS-Brdtextindragfrstaraden"/>
      </w:pPr>
      <w:r>
        <w:t>2. Le règlement abroge le règlement de l’Agence des produits médicaux (LVFS 2012:19) sur les médicaments importés parallèlement.</w:t>
      </w:r>
    </w:p>
    <w:p w14:paraId="0EAC64C7" w14:textId="4D1C2588" w:rsidR="00420658" w:rsidRPr="00420658" w:rsidRDefault="00735042" w:rsidP="00735042">
      <w:pPr>
        <w:pStyle w:val="HSLF-FS-Brdtextindragfrstaraden"/>
      </w:pPr>
      <w:r>
        <w:t>3. Les autorisations délivrées en vertu du règlement de l’Agence des produits médicaux (LVFS 2012:19) sur les médicaments importés parallèles sont valables en tant qu’autorisations conformément au nouveau règlement.</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Agence des produits médicaux</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proofErr w:type="spellStart"/>
      <w:r>
        <w:t>Joakim</w:t>
      </w:r>
      <w:proofErr w:type="spellEnd"/>
      <w:r>
        <w:t xml:space="preserve">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Annexe</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Les demandes d’autorisation de mise sur le marché de médicaments à usage humain importés parallèlement sont accompagnées des informations et de la documentation suivantes : </w:t>
      </w:r>
    </w:p>
    <w:p w14:paraId="514029D8" w14:textId="09560852" w:rsidR="007E61A7" w:rsidRDefault="00F11B34" w:rsidP="00F11B34">
      <w:pPr>
        <w:pStyle w:val="HSLF-FS-Brdtextindragfrstaraden"/>
      </w:pPr>
      <w:r>
        <w:t xml:space="preserve">1. Le nom ou le nom commercial du demandeur et son adresse postale, ainsi que les coordonnées d’une personne-ressource désignée pour la demande. </w:t>
      </w:r>
    </w:p>
    <w:p w14:paraId="78C7D29E" w14:textId="45857F42" w:rsidR="007E61A7" w:rsidRDefault="00F11B34" w:rsidP="00F11B34">
      <w:pPr>
        <w:pStyle w:val="HSLF-FS-Brdtextindragfrstaraden"/>
      </w:pPr>
      <w:r>
        <w:t xml:space="preserve">2. Nom et adresse postale des représentants locaux. </w:t>
      </w:r>
    </w:p>
    <w:p w14:paraId="6E6F4A97" w14:textId="6CCF807F" w:rsidR="007E61A7" w:rsidRDefault="00F11B34" w:rsidP="00F11B34">
      <w:pPr>
        <w:pStyle w:val="HSLF-FS-Brdtextindragfrstaraden"/>
      </w:pPr>
      <w:r>
        <w:t xml:space="preserve">3. Le nom du médicament à usage humain, la forme pharmaceutique, le dosage et les voies d’administration. </w:t>
      </w:r>
    </w:p>
    <w:p w14:paraId="55C449F3" w14:textId="57258547" w:rsidR="007E61A7" w:rsidRDefault="00F11B34" w:rsidP="00F11B34">
      <w:pPr>
        <w:pStyle w:val="HSLF-FS-Brdtextindragfrstaraden"/>
      </w:pPr>
      <w:r>
        <w:t xml:space="preserve">4. Le pays de l’EEE dont le médicament à usage humain doit sortir. </w:t>
      </w:r>
    </w:p>
    <w:p w14:paraId="085E440B" w14:textId="39BE4E98" w:rsidR="007E61A7" w:rsidRDefault="00F11B34" w:rsidP="00F11B34">
      <w:pPr>
        <w:pStyle w:val="HSLF-FS-Brdtextindragfrstaraden"/>
      </w:pPr>
      <w:r>
        <w:t xml:space="preserve">5. Information indiquant que la notification prévue à l'article 8 du règlement a été fournie ou sera fournie. </w:t>
      </w:r>
    </w:p>
    <w:p w14:paraId="75DF96D8" w14:textId="03425D6C" w:rsidR="007E61A7" w:rsidRDefault="00F11B34" w:rsidP="00F11B34">
      <w:pPr>
        <w:pStyle w:val="HSLF-FS-Brdtextindragfrstaraden"/>
      </w:pPr>
      <w:r>
        <w:t xml:space="preserve">6. Information indiquant que la notification prévue à l'article 9 du règlement doit avoir lieu et si cette notification a déjà eu lieu. </w:t>
      </w:r>
    </w:p>
    <w:p w14:paraId="3BDB4718" w14:textId="71F61822" w:rsidR="007E61A7" w:rsidRDefault="00F11B34" w:rsidP="00F11B34">
      <w:pPr>
        <w:pStyle w:val="HSLF-FS-Brdtextindragfrstaraden"/>
      </w:pPr>
      <w:r>
        <w:t xml:space="preserve">7. Le nom, la forme pharmaceutique et le dosage du médicament à usage humain dans le pays de sortie et le numéro d’autorisation de mise sur le marché dans le pays de sortie. </w:t>
      </w:r>
    </w:p>
    <w:p w14:paraId="3E0A7832" w14:textId="2EC413BE" w:rsidR="007E61A7" w:rsidRDefault="00F11B34" w:rsidP="00F11B34">
      <w:pPr>
        <w:pStyle w:val="HSLF-FS-Brdtextindragfrstaraden"/>
      </w:pPr>
      <w:r>
        <w:t xml:space="preserve">8. Le nom et l’adresse du titulaire de l’autorisation de mise sur le marché dans le pays de sortie et les informations correspondantes pour le fabricant. </w:t>
      </w:r>
    </w:p>
    <w:p w14:paraId="714DF124" w14:textId="5C59A4CB" w:rsidR="007E61A7" w:rsidRDefault="00F11B34" w:rsidP="00F11B34">
      <w:pPr>
        <w:pStyle w:val="HSLF-FS-Brdtextindragfrstaraden"/>
      </w:pPr>
      <w:r>
        <w:t xml:space="preserve">9. Nom, forme pharmaceutique, dosage et numéro d’autorisation de mise sur le marché du médicament à usage humain directement importé. </w:t>
      </w:r>
    </w:p>
    <w:p w14:paraId="7BBE27A8" w14:textId="53BFAAF9" w:rsidR="007E61A7" w:rsidRDefault="00F11B34" w:rsidP="00F11B34">
      <w:pPr>
        <w:pStyle w:val="HSLF-FS-Brdtextindragfrstaraden"/>
      </w:pPr>
      <w:r>
        <w:t xml:space="preserve">10. Le nom et l’adresse du titulaire de l’autorisation de mise sur le marché du médicament à usage humain directement importé. </w:t>
      </w:r>
    </w:p>
    <w:p w14:paraId="4546F84D" w14:textId="1045E18F" w:rsidR="007E61A7" w:rsidRDefault="00F11B34" w:rsidP="00F11B34">
      <w:pPr>
        <w:pStyle w:val="HSLF-FS-Brdtextindragfrstaraden"/>
      </w:pPr>
      <w:r>
        <w:t xml:space="preserve">11. Description des différences entre le médicament à usage humain directement importé et le médicament à usage humain importé parallèlement. </w:t>
      </w:r>
    </w:p>
    <w:p w14:paraId="64BE3E65" w14:textId="77DB415E" w:rsidR="007E61A7" w:rsidRDefault="00F11B34" w:rsidP="00F11B34">
      <w:pPr>
        <w:pStyle w:val="HSLF-FS-Brdtextindragfrstaraden"/>
      </w:pPr>
      <w:r>
        <w:t xml:space="preserve">12. Une description détaillée de la manière dont le </w:t>
      </w:r>
      <w:proofErr w:type="spellStart"/>
      <w:r>
        <w:t>réétiquetage</w:t>
      </w:r>
      <w:proofErr w:type="spellEnd"/>
      <w:r>
        <w:t xml:space="preserve"> ou le réemballage du médicament à usage humain doivent être effectués. </w:t>
      </w:r>
    </w:p>
    <w:p w14:paraId="6DAFAC5B" w14:textId="6A68B83B" w:rsidR="007E61A7" w:rsidRDefault="00F11B34" w:rsidP="00F11B34">
      <w:pPr>
        <w:pStyle w:val="HSLF-FS-Brdtextindragfrstaraden"/>
      </w:pPr>
      <w:r>
        <w:t xml:space="preserve">13. Informations sur les instructions et les contrôles de qualité pour la réception, le stockage, le réemballage, la libération et le transport des médicaments importés parallèles à usage humain et les systèmes de rappel. </w:t>
      </w:r>
    </w:p>
    <w:p w14:paraId="5F99D126" w14:textId="472C485B" w:rsidR="00642B0F" w:rsidRDefault="00F11B34" w:rsidP="00F11B34">
      <w:pPr>
        <w:pStyle w:val="HSLF-FS-Brdtextindragfrstaraden"/>
      </w:pPr>
      <w:r>
        <w:t xml:space="preserve">14. Nom, adresse et autorisation de fabrication et, s’il y a lieu, accord écrit pour la ou les entreprises qui effectuent le ou les réemballages ou le </w:t>
      </w:r>
      <w:proofErr w:type="spellStart"/>
      <w:r>
        <w:t>réétiquetage</w:t>
      </w:r>
      <w:proofErr w:type="spellEnd"/>
      <w:r>
        <w:t xml:space="preserve">. </w:t>
      </w:r>
    </w:p>
    <w:p w14:paraId="42B81F88" w14:textId="6A3D8C3C" w:rsidR="00642B0F" w:rsidRDefault="00F11B34" w:rsidP="00F11B34">
      <w:pPr>
        <w:pStyle w:val="HSLF-FS-Brdtextindragfrstaraden"/>
      </w:pPr>
      <w:r>
        <w:t xml:space="preserve">15. Informations sur l’emballage du médicament à usage humain importé parallèlement sous forme de tailles d’emballage et de récipients d’emballage/pharmaceutiques. </w:t>
      </w:r>
    </w:p>
    <w:p w14:paraId="0E3D4B52" w14:textId="2275E4B1" w:rsidR="007E61A7" w:rsidRPr="007E61A7" w:rsidRDefault="00F11B34" w:rsidP="00F11B34">
      <w:pPr>
        <w:pStyle w:val="HSLF-FS-Brdtextindragfrstaraden"/>
      </w:pPr>
      <w:r>
        <w:t xml:space="preserve">16. Durée de conservation (pour l’emballage non ouvert et ouvert) et, le cas échéant, durée de conservation après l’achèvement du médicament à usage humain importé parallèlement et instructions </w:t>
      </w:r>
      <w:r>
        <w:lastRenderedPageBreak/>
        <w:t>correspondantes pour le stockage du médicament à usage humain importé parallèlement.</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HSLF-FS peut être téléchargé ou commandé via</w:t>
      </w:r>
    </w:p>
    <w:p w14:paraId="2228B341" w14:textId="77777777" w:rsidR="00577C10" w:rsidRPr="00054DAD" w:rsidRDefault="00577C10" w:rsidP="00B9475C">
      <w:pPr>
        <w:pStyle w:val="HSLF-FS-Bestllningsinformation"/>
      </w:pPr>
      <w:proofErr w:type="gramStart"/>
      <w:r>
        <w:t>internet</w:t>
      </w:r>
      <w:proofErr w:type="gramEnd"/>
      <w:r>
        <w:t xml:space="preserve"> : www.xxxxxxxxxxxxx.xx</w:t>
      </w:r>
    </w:p>
    <w:p w14:paraId="0E71970A" w14:textId="77777777" w:rsidR="00577C10" w:rsidRPr="00054DAD" w:rsidRDefault="00577C10" w:rsidP="00B9475C">
      <w:pPr>
        <w:pStyle w:val="HSLF-FS-Bestllningsinformation"/>
      </w:pPr>
      <w:proofErr w:type="gramStart"/>
      <w:r>
        <w:t>e-mail</w:t>
      </w:r>
      <w:proofErr w:type="gramEnd"/>
      <w:r>
        <w:t xml:space="preserve"> :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D41091">
      <w:pPr>
        <w:pStyle w:val="HSLF-FS-Kontaktinformation"/>
        <w:jc w:val="left"/>
      </w:pPr>
      <w:r>
        <w:t>Personne de contact</w:t>
      </w:r>
      <w:r>
        <w:br/>
      </w:r>
      <w:proofErr w:type="spellStart"/>
      <w:r>
        <w:t>Xxxxxxxxxxx</w:t>
      </w:r>
      <w:proofErr w:type="spellEnd"/>
      <w:r>
        <w:br/>
        <w:t>Adresse</w:t>
      </w:r>
      <w:r>
        <w:br/>
        <w:t xml:space="preserve">Téléphone : XX </w:t>
      </w:r>
      <w:proofErr w:type="spellStart"/>
      <w:r>
        <w:t>xxxxxxxxxx</w:t>
      </w:r>
      <w:proofErr w:type="spellEnd"/>
      <w:r>
        <w:t xml:space="preserve"> Télécopieur : XX </w:t>
      </w:r>
      <w:proofErr w:type="spellStart"/>
      <w:r>
        <w:t>xxxxxxxxxxxxxx</w:t>
      </w:r>
      <w:proofErr w:type="spellEnd"/>
    </w:p>
    <w:p w14:paraId="2548EFCB" w14:textId="77777777" w:rsidR="00673671" w:rsidRPr="00D41091" w:rsidRDefault="00673671" w:rsidP="00B9475C">
      <w:pPr>
        <w:pStyle w:val="HSLF-FS-Kontaktinformation"/>
        <w:rPr>
          <w:lang w:val="pt-PT"/>
        </w:rPr>
      </w:pPr>
      <w:r w:rsidRPr="00D41091">
        <w:rPr>
          <w:lang w:val="pt-PT"/>
        </w:rPr>
        <w:t>e-mail : xxxxxxxx@xxxxxxx.xx</w:t>
      </w:r>
    </w:p>
    <w:p w14:paraId="7A240DDE" w14:textId="77777777" w:rsidR="00E44C93" w:rsidRPr="00D41091" w:rsidRDefault="00673671" w:rsidP="00B9475C">
      <w:pPr>
        <w:pStyle w:val="HSLF-FS-Kontaktinformation"/>
        <w:rPr>
          <w:lang w:val="pt-PT"/>
        </w:rPr>
      </w:pPr>
      <w:r w:rsidRPr="00D41091">
        <w:rPr>
          <w:lang w:val="pt-PT"/>
        </w:rPr>
        <w:t>internet : www.xxxxxxxxxxxxx.xx</w:t>
      </w:r>
    </w:p>
    <w:p w14:paraId="5434F6A8" w14:textId="77777777" w:rsidR="00673671" w:rsidRPr="00964D75" w:rsidRDefault="00673671" w:rsidP="00673671">
      <w:pPr>
        <w:pStyle w:val="HSLF-FS-Brdtextindragfrstaraden"/>
        <w:rPr>
          <w:lang w:val="pt-PT"/>
        </w:rPr>
      </w:pPr>
    </w:p>
    <w:p w14:paraId="05DED749" w14:textId="60FC851A" w:rsidR="00876360" w:rsidRPr="00E44C93" w:rsidRDefault="00B8133C" w:rsidP="00615514">
      <w:pPr>
        <w:pStyle w:val="HSLF-FS-Tryckort"/>
      </w:pPr>
      <w:r>
        <w:t>Site d’impression : Imprimerie et année de publication</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567D" w14:textId="77777777" w:rsidR="005C4A10" w:rsidRDefault="005C4A10" w:rsidP="00290019">
      <w:r>
        <w:separator/>
      </w:r>
    </w:p>
  </w:endnote>
  <w:endnote w:type="continuationSeparator" w:id="0">
    <w:p w14:paraId="04DD301D" w14:textId="77777777" w:rsidR="005C4A10" w:rsidRDefault="005C4A10"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Sidnumm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Sidnumm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proofErr w:type="spellStart"/>
    <w:proofErr w:type="gramStart"/>
    <w:r>
      <w:t>fgfdgfgd</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250D" w14:textId="77777777" w:rsidR="005C4A10" w:rsidRDefault="005C4A10" w:rsidP="00290019">
      <w:r>
        <w:separator/>
      </w:r>
    </w:p>
  </w:footnote>
  <w:footnote w:type="continuationSeparator" w:id="0">
    <w:p w14:paraId="132C9D6A" w14:textId="77777777" w:rsidR="005C4A10" w:rsidRDefault="005C4A10" w:rsidP="00290019">
      <w:r>
        <w:continuationSeparator/>
      </w:r>
    </w:p>
  </w:footnote>
  <w:footnote w:id="1">
    <w:p w14:paraId="46E18692" w14:textId="77777777" w:rsidR="00A97DE9" w:rsidRDefault="00943E19" w:rsidP="00A97DE9">
      <w:pPr>
        <w:pStyle w:val="FootnoteText"/>
      </w:pPr>
      <w:r>
        <w:rPr>
          <w:rStyle w:val="FootnoteReference"/>
        </w:rPr>
        <w:footnoteRef/>
      </w:r>
      <w:r>
        <w:t xml:space="preserve"> La notification a été soumise conformément à la directive (UE) </w:t>
      </w:r>
    </w:p>
    <w:p w14:paraId="4A95157E" w14:textId="7D77C70C" w:rsidR="00943E19" w:rsidRDefault="00A97DE9" w:rsidP="00A97DE9">
      <w:pPr>
        <w:pStyle w:val="FootnoteText"/>
      </w:pPr>
      <w:r>
        <w:t xml:space="preserve">2015/1535 du Parlement européen et du Conseil du 9 septembre 2015 prévoyant une procédure d'information dans le domaine des réglementations techniques et des règles relatives aux services de la société de l'information.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D41091">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PROJET"/>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 xml:space="preserve">HSLF-FS</w:t>
                    </w:r>
                    <w:r>
                      <w:br/>
                    </w:r>
                    <w:r>
                      <w:t xml:space="preserve">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D41091"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PROJET"/>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 xml:space="preserve">HSLF-FS</w:t>
                    </w:r>
                    <w:r>
                      <w:br/>
                    </w:r>
                    <w:r>
                      <w:t xml:space="preserve">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D41091"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PROJET"/>
          <w10:wrap anchorx="margin" anchory="margin"/>
        </v:shape>
      </w:pict>
    </w:r>
    <w:r w:rsidR="00964D75">
      <w:t>Code commun des statuts concernant les soins de santé, les soins médicaux, les services sociaux, les médicaments, la santé publique, etc.</w:t>
    </w:r>
  </w:p>
  <w:p w14:paraId="1EDBB6C7" w14:textId="40886ACB" w:rsidR="00DB331A" w:rsidRPr="00964D75" w:rsidRDefault="00D41091" w:rsidP="004641D8">
    <w:pPr>
      <w:pStyle w:val="HSLF-FS-Dokmentinformation"/>
      <w:rPr>
        <w:sz w:val="16"/>
        <w:szCs w:val="16"/>
      </w:rPr>
    </w:pPr>
    <w:r>
      <w:rPr>
        <w:noProof/>
      </w:rPr>
      <mc:AlternateContent>
        <mc:Choice Requires="wps">
          <w:drawing>
            <wp:anchor distT="0" distB="0" distL="114300" distR="114300" simplePos="0" relativeHeight="251665408" behindDoc="0" locked="0" layoutInCell="1" allowOverlap="1" wp14:anchorId="1563615C" wp14:editId="7B4C5FE5">
              <wp:simplePos x="0" y="0"/>
              <wp:positionH relativeFrom="column">
                <wp:posOffset>3810</wp:posOffset>
              </wp:positionH>
              <wp:positionV relativeFrom="paragraph">
                <wp:posOffset>610197</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78F335"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8.05pt" to="374.1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40A7A495" wp14:editId="0AB97070">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Publié le xx juillet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Publié le xx juillet 20xx</w:t>
                    </w:r>
                  </w:p>
                </w:txbxContent>
              </v:textbox>
            </v:shape>
          </w:pict>
        </mc:Fallback>
      </mc:AlternateContent>
    </w:r>
    <w:r w:rsidR="004D7ACB">
      <w:t xml:space="preserve">ISSN </w:t>
    </w:r>
    <w:r w:rsidR="004D7ACB">
      <w:rPr>
        <w:sz w:val="16"/>
      </w:rPr>
      <w:t>xxx-</w:t>
    </w:r>
    <w:proofErr w:type="spellStart"/>
    <w:r w:rsidR="004D7ACB">
      <w:rPr>
        <w:sz w:val="16"/>
      </w:rPr>
      <w:t>xxxx</w:t>
    </w:r>
    <w:proofErr w:type="spellEnd"/>
    <w:r w:rsidR="004D7ACB">
      <w:rPr>
        <w:sz w:val="16"/>
      </w:rPr>
      <w:t xml:space="preserve">, numéro de l'article </w:t>
    </w:r>
    <w:proofErr w:type="spellStart"/>
    <w:r w:rsidR="004D7ACB">
      <w:rPr>
        <w:sz w:val="16"/>
      </w:rPr>
      <w:t>xxxxxxxx</w:t>
    </w:r>
    <w:proofErr w:type="spellEnd"/>
    <w:r w:rsidR="004D7ACB">
      <w:rPr>
        <w:sz w:val="16"/>
      </w:rPr>
      <w:br/>
      <w:t xml:space="preserve">Éditeur : Chef du département juridique – </w:t>
    </w:r>
    <w:proofErr w:type="spellStart"/>
    <w:r w:rsidR="004D7ACB">
      <w:rPr>
        <w:sz w:val="16"/>
      </w:rPr>
      <w:t>Pär</w:t>
    </w:r>
    <w:proofErr w:type="spellEnd"/>
    <w:r w:rsidR="004D7ACB">
      <w:rPr>
        <w:sz w:val="16"/>
      </w:rPr>
      <w:t xml:space="preserve"> </w:t>
    </w:r>
    <w:proofErr w:type="spellStart"/>
    <w:r w:rsidR="004D7ACB">
      <w:rPr>
        <w:sz w:val="16"/>
      </w:rPr>
      <w:t>Ödman</w:t>
    </w:r>
    <w:proofErr w:type="spellEnd"/>
    <w:r w:rsidR="004D7ACB">
      <w:rPr>
        <w:sz w:val="16"/>
      </w:rPr>
      <w:t>, Conseil national de la santé et de la protection sociale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091"/>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3</TotalTime>
  <Pages>10</Pages>
  <Words>2721</Words>
  <Characters>15058</Characters>
  <Application>Microsoft Office Word</Application>
  <DocSecurity>0</DocSecurity>
  <Lines>125</Lines>
  <Paragraphs>35</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6</cp:revision>
  <cp:lastPrinted>2013-04-29T08:38:00Z</cp:lastPrinted>
  <dcterms:created xsi:type="dcterms:W3CDTF">2021-06-28T07:31:00Z</dcterms:created>
  <dcterms:modified xsi:type="dcterms:W3CDTF">2021-07-06T10:13:00Z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