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EC67" w14:textId="23ADCAB1" w:rsidR="00B83B97" w:rsidRDefault="00142095" w:rsidP="00F566F1">
      <w:pPr>
        <w:pStyle w:val="HSLF-FS-Rubrik-1"/>
      </w:pPr>
      <w:r>
        <w:t>Przepisy Agencji ds. Produktów Leczniczych dotyczące importowanych równolegle produktów leczniczych stosowanych u ludzi;</w:t>
      </w:r>
    </w:p>
    <w:p w14:paraId="246EEEEE" w14:textId="6CA454AB" w:rsidR="00BB03EE" w:rsidRDefault="0086714A" w:rsidP="0086714A">
      <w:pPr>
        <w:pStyle w:val="HSLF-FS-Beslutsinfo"/>
      </w:pPr>
      <w:r>
        <w:t>przyjęte w dniu XX xx 2021 r.</w:t>
      </w:r>
    </w:p>
    <w:p w14:paraId="4E241320" w14:textId="54548C3E" w:rsidR="004F4CCF" w:rsidRDefault="00433373" w:rsidP="0086714A">
      <w:pPr>
        <w:pStyle w:val="HSLF-FS-Brdtext"/>
      </w:pPr>
      <w:r>
        <w:t>Na mocy rozdziału 9 § 11 rozporządzenia w sprawie produktów leczniczych (2015:458) Agencja ds. Produktów Leczniczych ustanawia niniejszym</w:t>
      </w:r>
      <w:r w:rsidR="00943E19">
        <w:rPr>
          <w:rStyle w:val="FootnoteReference"/>
        </w:rPr>
        <w:footnoteReference w:id="1"/>
      </w:r>
      <w:r>
        <w:t>, co następuje.</w:t>
      </w:r>
    </w:p>
    <w:p w14:paraId="40282447" w14:textId="1A63E6DC" w:rsidR="004315EF" w:rsidRPr="003C3708" w:rsidRDefault="004315EF" w:rsidP="003C3708">
      <w:pPr>
        <w:pStyle w:val="HSLF-FS-Rubrik-2"/>
      </w:pPr>
      <w:r>
        <w:t>Zakres</w:t>
      </w:r>
    </w:p>
    <w:p w14:paraId="43B4D568" w14:textId="33FF8A54" w:rsidR="003C3708" w:rsidRPr="003C3708" w:rsidRDefault="00ED6DD8" w:rsidP="003C3708">
      <w:pPr>
        <w:pStyle w:val="HSLF-FS-Brdtext"/>
        <w:rPr>
          <w:sz w:val="24"/>
          <w:szCs w:val="24"/>
        </w:rPr>
      </w:pPr>
      <w:r>
        <w:rPr>
          <w:b/>
        </w:rPr>
        <w:t>§ 1</w:t>
      </w:r>
      <w:r>
        <w:t xml:space="preserve"> Niniejsze przepisy mają zastosowanie do wprowadzanego do obrotu importowanego równolegle produktu leczniczego stosowanego u ludzi. </w:t>
      </w:r>
    </w:p>
    <w:p w14:paraId="0F413F36" w14:textId="73CF5F55" w:rsidR="003C3708" w:rsidRPr="00BE016C" w:rsidRDefault="003C3708" w:rsidP="00BE016C">
      <w:pPr>
        <w:pStyle w:val="HSLF-FS-Brdtextindragfrstaraden"/>
      </w:pPr>
      <w:r>
        <w:t>Niniejsze przepisy nie mają zastosowania do produktów leczniczych stosowanych u ludzi, w odniesieniu do których wniosek o pozwolenie został poddany przeglądowi zgodnie z rozporządzeniem (WE) nr 726/2004 Parlamentu Europejskiego i Rady z dnia 31 marca 2004 r. ustanawiającym wspólnotowe procedury wydawania pozwoleń dla produktów leczniczych stosowanych u ludzi i do celów weterynaryjnych i nadzoru nad nimi oraz ustanawiające Europejską Agencję Leków.</w:t>
      </w:r>
    </w:p>
    <w:p w14:paraId="4A80A3E8" w14:textId="02D1B0F7" w:rsidR="003C3708" w:rsidRPr="003C3708" w:rsidRDefault="003C3708" w:rsidP="00C96192">
      <w:pPr>
        <w:pStyle w:val="HSLF-FS-Rubrik-2"/>
        <w:rPr>
          <w:bCs/>
        </w:rPr>
      </w:pPr>
      <w:r>
        <w:t>Definicje</w:t>
      </w:r>
    </w:p>
    <w:p w14:paraId="0A72EFEB" w14:textId="5E3C0889" w:rsidR="00940C6F" w:rsidRDefault="00940C6F" w:rsidP="003C3708">
      <w:pPr>
        <w:pStyle w:val="HSLF-FS-Brdtextindragfrstaraden"/>
        <w:ind w:firstLine="0"/>
      </w:pPr>
      <w:r>
        <w:rPr>
          <w:b/>
        </w:rPr>
        <w:t>§ 2</w:t>
      </w:r>
      <w:r>
        <w:t xml:space="preserve"> Terminy i pojęcia użyte w ustawie o produktach leczniczych</w:t>
      </w:r>
    </w:p>
    <w:p w14:paraId="04DC6BA2" w14:textId="77777777" w:rsidR="00940C6F" w:rsidRDefault="00940C6F" w:rsidP="003C3708">
      <w:pPr>
        <w:pStyle w:val="HSLF-FS-Brdtextindragfrstaraden"/>
        <w:ind w:firstLine="0"/>
      </w:pPr>
      <w:r>
        <w:t xml:space="preserve">(2015:315) mają te same znaczenia w niniejszych przepisach. </w:t>
      </w:r>
    </w:p>
    <w:p w14:paraId="1D091889" w14:textId="083F2529" w:rsidR="003C3708" w:rsidRPr="00BE016C" w:rsidRDefault="00940C6F" w:rsidP="00BE016C">
      <w:pPr>
        <w:pStyle w:val="HSLF-FS-Brdtextindragfrstaraden"/>
      </w:pPr>
      <w:r>
        <w:t>Do celów niniejszych przepisów stosuje się następujące definicje</w:t>
      </w:r>
    </w:p>
    <w:p w14:paraId="4386FD47" w14:textId="64D64BCA" w:rsidR="00940C6F" w:rsidRPr="00BE016C" w:rsidRDefault="00940C6F" w:rsidP="007C2C81">
      <w:pPr>
        <w:pStyle w:val="HSLF-FS-Brdtextindragfrstaraden"/>
      </w:pPr>
      <w:r>
        <w:rPr>
          <w:i/>
        </w:rPr>
        <w:lastRenderedPageBreak/>
        <w:t>import równoległy</w:t>
      </w:r>
      <w:r>
        <w:t xml:space="preserve"> wprowadzenie do obrotu w Szwecji z państwa należącego do Europejskiego Obszaru Gospodarczego (EOG) produktu leczniczego stosowanego u ludzi dopuszczonego do sprzedaży w Szwecji i w kraju pochodzenia przy czym wprowadzeniem do obrotu zajmuje się podmiot inny niż producent lub posiadacz pozwolenia na dopuszczenie do obrotu,</w:t>
      </w:r>
    </w:p>
    <w:p w14:paraId="19F16786" w14:textId="6540C502" w:rsidR="00940C6F" w:rsidRPr="00BE016C" w:rsidRDefault="00940C6F" w:rsidP="007C2C81">
      <w:pPr>
        <w:pStyle w:val="HSLF-FS-Brdtextindragfrstaraden"/>
      </w:pPr>
      <w:r>
        <w:rPr>
          <w:i/>
        </w:rPr>
        <w:t>równoległy importer</w:t>
      </w:r>
      <w:r>
        <w:t xml:space="preserve"> posiadacz pozwolenia na dopuszczenie do obrotu importowanego równolegle produktu leczniczego stosowanego u ludzi, </w:t>
      </w:r>
    </w:p>
    <w:p w14:paraId="4A759F7F" w14:textId="2F131841" w:rsidR="00F34CB6" w:rsidRPr="00BE016C" w:rsidRDefault="00940C6F" w:rsidP="007C2C81">
      <w:pPr>
        <w:pStyle w:val="HSLF-FS-Brdtextindragfrstaraden"/>
      </w:pPr>
      <w:r>
        <w:rPr>
          <w:i/>
        </w:rPr>
        <w:t>importowany bezpośrednio produkt leczniczy stosowany u ludzi</w:t>
      </w:r>
      <w:r>
        <w:t xml:space="preserve"> produkt leczniczy, do którego importowany równolegle produkt leczniczy stosowany u ludzi odnosi się we wniosku. </w:t>
      </w:r>
    </w:p>
    <w:p w14:paraId="5F711D83" w14:textId="64AA579B" w:rsidR="00FA0F3C" w:rsidRDefault="00646823" w:rsidP="00FA0F3C">
      <w:pPr>
        <w:pStyle w:val="HSLF-FS-Rubrik-2"/>
      </w:pPr>
      <w:r>
        <w:t>Pozwolenie na dopuszczenie do obrotu</w:t>
      </w:r>
    </w:p>
    <w:p w14:paraId="3C655A84" w14:textId="3F878C50" w:rsidR="007732D0" w:rsidRPr="007732D0" w:rsidRDefault="00C445C5" w:rsidP="007732D0">
      <w:pPr>
        <w:pStyle w:val="HSLF-FS-Brdtext"/>
      </w:pPr>
      <w:r>
        <w:rPr>
          <w:b/>
        </w:rPr>
        <w:t xml:space="preserve">§ 3 </w:t>
      </w:r>
      <w:r>
        <w:t xml:space="preserve">Importowany równolegle produkt leczniczy stosowany u ludzi nie może być wprowadzany do obrotu przed wydaniem pozwolenia. </w:t>
      </w:r>
    </w:p>
    <w:p w14:paraId="51E8069F" w14:textId="6EC36889" w:rsidR="00646823" w:rsidRDefault="00C445C5" w:rsidP="00BE016C">
      <w:pPr>
        <w:pStyle w:val="HSLF-FS-Brdtextindragfrstaraden"/>
      </w:pPr>
      <w:r>
        <w:t xml:space="preserve">Pozwolenie na dopuszczenie do obrotu importowanego równolegle produktu leczniczego stosowanego u ludzi jest ważne przez okres pięciu lat. Po złożeniu wniosku pozwolenie może zostać przedłużone na czas nieokreślony. Do takiego wniosku stosuje się treść zawarta we wniosku o przedłużenie pozwolenia w rozdziale 4 § 17 ustawy o produktach leczniczych (2015:315). </w:t>
      </w:r>
    </w:p>
    <w:p w14:paraId="4A29F239" w14:textId="301BBFE6" w:rsidR="00D8693F" w:rsidRDefault="00D8693F" w:rsidP="00646823">
      <w:pPr>
        <w:pStyle w:val="HSLF-FS-Brdtextindragfrstaraden"/>
        <w:ind w:firstLine="0"/>
      </w:pPr>
    </w:p>
    <w:p w14:paraId="34F752EB" w14:textId="041BB553" w:rsidR="00D8693F" w:rsidRDefault="00D8693F" w:rsidP="00646823">
      <w:pPr>
        <w:pStyle w:val="HSLF-FS-Brdtextindragfrstaraden"/>
        <w:ind w:firstLine="0"/>
      </w:pPr>
      <w:r>
        <w:rPr>
          <w:b/>
        </w:rPr>
        <w:t>§ 4</w:t>
      </w:r>
      <w:r>
        <w:t xml:space="preserve"> Aby uzyskać pozwolenie na dopuszczenie do obrotu importowanych równolegle produktów leczniczych stosowanych u ludzi muszą być spełnione następujące wymogi: </w:t>
      </w:r>
    </w:p>
    <w:p w14:paraId="78F2E1FC" w14:textId="11663A88" w:rsidR="00D8693F" w:rsidRDefault="007C2C81" w:rsidP="007C2C81">
      <w:pPr>
        <w:pStyle w:val="HSLF-FS-Brdtextindragfrstaraden"/>
      </w:pPr>
      <w:r>
        <w:t>1) importowany bezpośrednio produkt leczniczy stosowany u ludzi jest już dopuszczony do obrotu w Szwecji w chwili otrzymania wniosku przez Agencję ds. Produktów Leczniczych,</w:t>
      </w:r>
    </w:p>
    <w:p w14:paraId="6F54A6D9" w14:textId="772D8B99" w:rsidR="00D8693F" w:rsidRDefault="007C2C81" w:rsidP="007C2C81">
      <w:pPr>
        <w:pStyle w:val="HSLF-FS-Brdtextindragfrstaraden"/>
      </w:pPr>
      <w:r>
        <w:t xml:space="preserve">2) importowany równolegle produkt leczniczy stosowany u ludzi posiada pozwolenie na dopuszczenie do obrotu w kraju pochodzenia, </w:t>
      </w:r>
    </w:p>
    <w:p w14:paraId="7CAAA569" w14:textId="069A8D5A" w:rsidR="00D8693F" w:rsidRDefault="007C2C81" w:rsidP="007C2C81">
      <w:pPr>
        <w:pStyle w:val="HSLF-FS-Brdtextindragfrstaraden"/>
      </w:pPr>
      <w:r>
        <w:t xml:space="preserve">3) kraj pochodzenia jest Państwem Członkowskim EOG, oraz </w:t>
      </w:r>
    </w:p>
    <w:p w14:paraId="1E03DBE1" w14:textId="558CD31C" w:rsidR="00D57B04" w:rsidRDefault="007C2C81" w:rsidP="007C2C81">
      <w:pPr>
        <w:pStyle w:val="HSLF-FS-Brdtextindragfrstaraden"/>
      </w:pPr>
      <w:r>
        <w:t>4) importowany równolegle produkt leczniczy stosowany u ludzi jest wystarczająco podobny do importowanego bezpośrednio produktu leczniczego stosowanego u ludzi.</w:t>
      </w:r>
    </w:p>
    <w:p w14:paraId="16724989" w14:textId="77777777" w:rsidR="00A00AA3" w:rsidRDefault="00A00AA3" w:rsidP="00A00AA3">
      <w:pPr>
        <w:pStyle w:val="HSLF-FS-Strecksats"/>
        <w:numPr>
          <w:ilvl w:val="0"/>
          <w:numId w:val="0"/>
        </w:numPr>
        <w:ind w:left="360"/>
      </w:pPr>
    </w:p>
    <w:p w14:paraId="6CED7165" w14:textId="6DCF99A9" w:rsidR="00D8693F" w:rsidRDefault="00993A39" w:rsidP="003E763F">
      <w:pPr>
        <w:pStyle w:val="HSLF-FS-Brdtextindragfrstaraden"/>
        <w:spacing w:line="240" w:lineRule="auto"/>
        <w:ind w:firstLine="0"/>
      </w:pPr>
      <w:r>
        <w:rPr>
          <w:b/>
        </w:rPr>
        <w:t>§ 5</w:t>
      </w:r>
      <w:r>
        <w:t xml:space="preserve"> Wniosek o pozwolenie na dopuszczenie do obrotu importowanych równolegle produktów leczniczych stosowanych u ludzi zawiera: </w:t>
      </w:r>
    </w:p>
    <w:p w14:paraId="44DA9400" w14:textId="1FC51AA4" w:rsidR="00993A39" w:rsidRDefault="007C2C81" w:rsidP="007C2C81">
      <w:pPr>
        <w:pStyle w:val="HSLF-FS-Brdtextindragfrstaraden"/>
      </w:pPr>
      <w:r>
        <w:t xml:space="preserve">1. informacje i dokumentację określone w załączniku do przepisów, </w:t>
      </w:r>
    </w:p>
    <w:p w14:paraId="419C2964" w14:textId="77A3603F" w:rsidR="00D8693F" w:rsidRPr="00993A39" w:rsidRDefault="007C2C81" w:rsidP="007C2C81">
      <w:pPr>
        <w:pStyle w:val="HSLF-FS-Brdtextindragfrstaraden"/>
      </w:pPr>
      <w:r>
        <w:t xml:space="preserve">2. proponowaną etykietę opakowania bezpośredniego, </w:t>
      </w:r>
    </w:p>
    <w:p w14:paraId="7C0BA453" w14:textId="560BF230" w:rsidR="00D8693F" w:rsidRPr="00993A39" w:rsidRDefault="007C2C81" w:rsidP="007C2C81">
      <w:pPr>
        <w:pStyle w:val="HSLF-FS-Brdtextindragfrstaraden"/>
      </w:pPr>
      <w:r>
        <w:t xml:space="preserve">3. proponowaną ulotkę dla pacjenta, oraz </w:t>
      </w:r>
    </w:p>
    <w:p w14:paraId="0CFEA5D0" w14:textId="209D1807" w:rsidR="00BE016C" w:rsidRDefault="007C2C81" w:rsidP="007C2C81">
      <w:pPr>
        <w:pStyle w:val="HSLF-FS-Brdtextindragfrstaraden"/>
      </w:pPr>
      <w:r>
        <w:t xml:space="preserve">4. jeden egzemplarz wszystkich opakowań i rozmiarów opakowań z kraju pochodzenia, przeznaczonych do importu do Szwecji. </w:t>
      </w:r>
    </w:p>
    <w:p w14:paraId="096B4409" w14:textId="6ECA526F" w:rsidR="00993A39" w:rsidRDefault="00D8693F" w:rsidP="00BE016C">
      <w:pPr>
        <w:pStyle w:val="HSLF-FS-Brdtextindragfrstaraden"/>
      </w:pPr>
      <w:r>
        <w:t xml:space="preserve">Dla każdego kraju pochodzenia wymagane są oddzielne wnioski. </w:t>
      </w:r>
    </w:p>
    <w:p w14:paraId="26E87D79" w14:textId="76BBD1B2" w:rsidR="00D8693F" w:rsidRPr="00993A39" w:rsidRDefault="00D8693F" w:rsidP="00BE016C">
      <w:pPr>
        <w:pStyle w:val="HSLF-FS-Brdtextindragfrstaraden"/>
      </w:pPr>
      <w:r>
        <w:lastRenderedPageBreak/>
        <w:t xml:space="preserve">Agencja ds. Produktów Leczniczych rozpatruje wnioski o pozwolenie na dopuszczenie do obrotu importowanych równolegle produktów leczniczych stosowanych u ludzi po uiszczeniu opłaty za wniosek. </w:t>
      </w:r>
    </w:p>
    <w:p w14:paraId="18053560" w14:textId="5EF14C14" w:rsidR="00993A39" w:rsidRPr="00993A39" w:rsidRDefault="00993A39" w:rsidP="00993A39">
      <w:pPr>
        <w:pStyle w:val="HSLF-FS-Rubrik-2"/>
      </w:pPr>
      <w:r>
        <w:t>Wniosek dotyczący substancji biologicznych pochodzenia ludzkiego</w:t>
      </w:r>
    </w:p>
    <w:p w14:paraId="7D23B598" w14:textId="2162C899" w:rsidR="00D8693F" w:rsidRDefault="00993A39" w:rsidP="00993A39">
      <w:pPr>
        <w:pStyle w:val="HSLF-FS-Brdtext"/>
      </w:pPr>
      <w:r>
        <w:rPr>
          <w:b/>
        </w:rPr>
        <w:t xml:space="preserve">§ 6 </w:t>
      </w:r>
      <w:r>
        <w:t>Oprócz tego, co jest wyszczególnione w § 5, udzielenie pozwolenia na dopuszczenie do obrotu importowanych równolegle produktów leczniczych stosowanych u ludzi wytwarzanych z krwi lub osocza ludzkiego wymaga dokumentacji dotyczącej materiałów wyjściowych, identyfikowalności i systemów zgłaszania poważnych zdarzeń związanych z potencjalnym ryzykiem zakażenia. Taka dokumentacja może być również wymagana, jeżeli wniosek dotyczy innych substancji biologicznych pochodzenia ludzkiego.</w:t>
      </w:r>
    </w:p>
    <w:p w14:paraId="66D44292" w14:textId="780AC74F" w:rsidR="00C96192" w:rsidRDefault="00C96192" w:rsidP="00C96192">
      <w:pPr>
        <w:pStyle w:val="HSLF-FS-Brdtextindragfrstaraden"/>
        <w:ind w:firstLine="0"/>
      </w:pPr>
    </w:p>
    <w:p w14:paraId="713ED2BC" w14:textId="52A3BD52" w:rsidR="00D8693F" w:rsidRPr="00C96192" w:rsidRDefault="00C96192" w:rsidP="00C96192">
      <w:pPr>
        <w:pStyle w:val="HSLF-FS-Brdtextindragfrstaraden"/>
        <w:ind w:firstLine="0"/>
      </w:pPr>
      <w:r>
        <w:rPr>
          <w:b/>
        </w:rPr>
        <w:t xml:space="preserve">§ 7 </w:t>
      </w:r>
      <w:r>
        <w:t>Dokumenty wniosku, o których mowa w §§ 5 i 6 są sporządzane w języku szwedzkim lub angielskim.</w:t>
      </w:r>
    </w:p>
    <w:p w14:paraId="1CBA2373" w14:textId="2BEEACD9" w:rsidR="00C96192" w:rsidRPr="00C96192" w:rsidRDefault="00C96192" w:rsidP="00C96192">
      <w:pPr>
        <w:pStyle w:val="HSLF-FS-Rubrik-2"/>
      </w:pPr>
      <w:r>
        <w:t xml:space="preserve">Powiadomienie </w:t>
      </w:r>
    </w:p>
    <w:p w14:paraId="4CA2F203" w14:textId="6C843A2C" w:rsidR="00C96192" w:rsidRDefault="00C96192" w:rsidP="003E763F">
      <w:pPr>
        <w:pStyle w:val="HSLF-FS-Brdtextindragfrstaraden"/>
        <w:spacing w:line="240" w:lineRule="auto"/>
        <w:ind w:firstLine="0"/>
        <w:rPr>
          <w:b/>
          <w:sz w:val="23"/>
          <w:szCs w:val="23"/>
        </w:rPr>
      </w:pPr>
      <w:r>
        <w:rPr>
          <w:b/>
        </w:rPr>
        <w:t>§ 8</w:t>
      </w:r>
      <w:r>
        <w:t xml:space="preserve"> Osoby, które zamierzają importować równolegle produkty lecznicze stosowane u ludzi, powiadamiają o swoim zamiarze posiadacza pozwolenia na dopuszczenie do obrotu importowanego bezpośrednio produktu leczniczego stosowanego u ludzi. Powiadomienie odbywa się przed wprowadzeniem importowanego równolegle produktu leczniczego stosowanego u ludzi do obrotu w Szwecji.</w:t>
      </w:r>
    </w:p>
    <w:p w14:paraId="3BBDD876" w14:textId="1E41FBDB" w:rsidR="00C96192" w:rsidRDefault="00C96192" w:rsidP="00C96192">
      <w:pPr>
        <w:pStyle w:val="HSLF-FS-Rubrik-2"/>
      </w:pPr>
      <w:r>
        <w:t>Szczegółowe powiadomienie dotyczące importu równoległego z niektórych krajów</w:t>
      </w:r>
    </w:p>
    <w:p w14:paraId="271E0127" w14:textId="0744D18F" w:rsidR="00C96192" w:rsidRDefault="00C96192" w:rsidP="003E763F">
      <w:pPr>
        <w:pStyle w:val="HSLF-FS-Brdtextindragfrstaraden"/>
        <w:spacing w:line="240" w:lineRule="auto"/>
        <w:ind w:firstLine="0"/>
        <w:rPr>
          <w:b/>
          <w:sz w:val="23"/>
          <w:szCs w:val="23"/>
        </w:rPr>
      </w:pPr>
      <w:r>
        <w:rPr>
          <w:b/>
        </w:rPr>
        <w:t>§ 9</w:t>
      </w:r>
      <w:r>
        <w:t xml:space="preserve"> Jeżeli importer równoległy zamierza importować produkty lecznicze stosowane u ludzi z Bułgarii, Estonii, Chorwacji, Łotwy, Litwy, Polski, Rumunii, Słowacji, Słowenii, Republiki Czeskiej lub Węgier, a importowany bezpośrednio produkt leczniczy stosowany u ludzi jest chroniony patentami lub dodatkowym świadectwem ochronnym (SPC), posiadacz patentu lub beneficjent patentu lub dodatkowego świadectwa ochronnego zostaje powiadomiony nie później niż 30 dni przed złożeniem wniosku do Agencji Produktów Medycznych. Powiadomienie ma miejsce, chyba że w kraju pochodzenia zapewniono taką samą możliwość ochrony patentowej lub dodatkowego świadectwa ochronnego dla produktu leczniczego stosowanego u ludzi, jak w przypadku importowanego bezpośrednio produktu leczniczego stosowanego u ludzi w chwili składania wniosku o pozwolenie. </w:t>
      </w:r>
    </w:p>
    <w:p w14:paraId="4EBBEDAE" w14:textId="77777777" w:rsidR="00C96192" w:rsidRPr="00C96192" w:rsidRDefault="00C96192" w:rsidP="00C96192">
      <w:pPr>
        <w:pStyle w:val="HSLF-FS-Rubrik-2"/>
      </w:pPr>
      <w:r>
        <w:lastRenderedPageBreak/>
        <w:t xml:space="preserve">Opłaty </w:t>
      </w:r>
    </w:p>
    <w:p w14:paraId="5F02B637" w14:textId="6289BF54" w:rsidR="00C96192" w:rsidRDefault="00C96192" w:rsidP="003E763F">
      <w:pPr>
        <w:pStyle w:val="HSLF-FS-Brdtextindragfrstaraden"/>
        <w:spacing w:line="240" w:lineRule="auto"/>
        <w:ind w:firstLine="0"/>
        <w:rPr>
          <w:b/>
          <w:sz w:val="23"/>
          <w:szCs w:val="23"/>
        </w:rPr>
      </w:pPr>
      <w:r>
        <w:rPr>
          <w:b/>
        </w:rPr>
        <w:t>§ 10</w:t>
      </w:r>
      <w:r>
        <w:t xml:space="preserve"> Przepisy dotyczące opłat są zamieszczone się w rozporządzeniu (2010:1167) w sprawie opłat z tytułu państwowej kontroli produktów leczniczych.</w:t>
      </w:r>
    </w:p>
    <w:p w14:paraId="5E4625DC" w14:textId="77777777" w:rsidR="008E0BB7" w:rsidRDefault="008E0BB7" w:rsidP="008E0BB7">
      <w:pPr>
        <w:pStyle w:val="HSLF-FS-Rubrik-2"/>
      </w:pPr>
      <w:r>
        <w:t xml:space="preserve">Charakterystyki produktu </w:t>
      </w:r>
    </w:p>
    <w:p w14:paraId="4879FB44" w14:textId="69BB98B3" w:rsidR="008E0BB7" w:rsidRDefault="008E0BB7" w:rsidP="003E763F">
      <w:pPr>
        <w:pStyle w:val="HSLF-FS-Brdtextindragfrstaraden"/>
        <w:spacing w:line="240" w:lineRule="auto"/>
        <w:ind w:firstLine="0"/>
      </w:pPr>
      <w:r>
        <w:rPr>
          <w:b/>
        </w:rPr>
        <w:t>§ 11</w:t>
      </w:r>
      <w:r>
        <w:t xml:space="preserve"> Charakterystyka importowanego bezpośrednio produktu leczniczego stosowanego u ludzi obowiązuje odpowiednio w odniesieniu do importowanego równolegle produktu leczniczego stosowanego u ludzi. </w:t>
      </w:r>
    </w:p>
    <w:p w14:paraId="0262828E" w14:textId="6DA76E30" w:rsidR="008E0BB7" w:rsidRDefault="008E0BB7" w:rsidP="006828FD">
      <w:pPr>
        <w:pStyle w:val="HSLF-FS-Brdtextindragfrstaraden"/>
      </w:pPr>
      <w:r>
        <w:t xml:space="preserve">Jeżeli importowany bezpośrednio produkt leczniczy stosowany u ludzi nie jest już dopuszczony do obrotu w Szwecji i nie posiada charakterystyki produktu, importer równoległy składa wniosek o zastosowanie innej odpowiedniej charakterystyki produktu leczniczego. </w:t>
      </w:r>
    </w:p>
    <w:p w14:paraId="64CC7F95" w14:textId="4B4B24CF" w:rsidR="00013C90" w:rsidRDefault="008E0BB7" w:rsidP="009C696F">
      <w:pPr>
        <w:pStyle w:val="HSLF-FS-Brdtextindragfrstaraden"/>
      </w:pPr>
      <w:r>
        <w:t>Jeżeli nie istnieje odpowiednia charakterystyka produktu leczniczego zgodnie z ustępem drugim, importer równoległy przedkłada charakterystykę produktu leczniczego w języku szwedzkim dla importowanego równolegle produktu leczniczego stosowanego u ludzi. Po sporządzeniu charakterystyki produktu leczniczego należy ją sformatować zgodnie z [przepisami Agencji ds. Produktów Leczniczych (HSLF-FS 2021:xx) w sprawie pozwoleń na dopuszczenie do obrotu produktów leczniczych stosowanych u ludzi].</w:t>
      </w:r>
      <w:r>
        <w:rPr>
          <w:highlight w:val="yellow"/>
        </w:rPr>
        <w:t xml:space="preserve"> </w:t>
      </w:r>
      <w:bookmarkStart w:id="0" w:name="_Hlk75183108"/>
    </w:p>
    <w:bookmarkEnd w:id="0"/>
    <w:p w14:paraId="5F3C2624" w14:textId="38DAC53B" w:rsidR="00C96192" w:rsidRPr="009C696F" w:rsidRDefault="00C96192" w:rsidP="009C696F">
      <w:pPr>
        <w:pStyle w:val="HSLF-FS-Brdtextindragfrstaraden"/>
      </w:pPr>
    </w:p>
    <w:p w14:paraId="5A514A6A" w14:textId="21D242A8" w:rsidR="008E0BB7" w:rsidRDefault="008E0BB7" w:rsidP="00013C90">
      <w:pPr>
        <w:pStyle w:val="HSLF-FS-Rubrik-2"/>
      </w:pPr>
      <w:r>
        <w:t>Oznakowanie i ulotka dla pacjenta</w:t>
      </w:r>
    </w:p>
    <w:p w14:paraId="0C51A248" w14:textId="3B7E3855" w:rsidR="008E0BB7" w:rsidRPr="00FB7D99" w:rsidRDefault="008E0BB7" w:rsidP="003E763F">
      <w:pPr>
        <w:pStyle w:val="HSLF-FS-Brdtextindragfrstaraden"/>
        <w:spacing w:line="240" w:lineRule="auto"/>
        <w:ind w:firstLine="0"/>
        <w:rPr>
          <w:b/>
          <w:sz w:val="23"/>
          <w:szCs w:val="23"/>
        </w:rPr>
      </w:pPr>
      <w:r>
        <w:rPr>
          <w:b/>
        </w:rPr>
        <w:t>§ 12</w:t>
      </w:r>
      <w:r>
        <w:t xml:space="preserve"> Oznakowanie i nazwa są formatowane zgodnie z [przepisami Agencji ds. Produktów Leczniczych (HSLF-FS 2021:xx) w sprawie oznakowania i ulotek dołączanych do opakowania produktów leczniczych stosowanych u ludzi]. Ponadto należy przestrzegać następujących zasad.</w:t>
      </w:r>
    </w:p>
    <w:p w14:paraId="4B08A15A" w14:textId="77777777" w:rsidR="003F4B7D" w:rsidRDefault="003F4B7D" w:rsidP="003F4B7D">
      <w:pPr>
        <w:pStyle w:val="HSLF-FS-Brdtextindragfrstaraden"/>
      </w:pPr>
      <w:r>
        <w:t xml:space="preserve">1. Bezpośrednie i zewnętrzne opakowanie zawiera nazwy i adresy producenta, importera równoległego i podmiotu przepakowującego. Zamiast nazwy i adresu producenta można podać stosowną nazwę. </w:t>
      </w:r>
    </w:p>
    <w:p w14:paraId="40E0DA30" w14:textId="0F35B829" w:rsidR="00FB7D99" w:rsidRDefault="003F4B7D" w:rsidP="003F4B7D">
      <w:pPr>
        <w:pStyle w:val="HSLF-FS-Brdtextindragfrstaraden"/>
      </w:pPr>
      <w:r>
        <w:t xml:space="preserve">2. Jeżeli importowany równolegle produkt leczniczy stosowany u ludzi w jakimkolwiek stopniu odbiega od importowanego bezpośrednio produktu leczniczego stosowanego u ludzi, opakowanie zewnętrzne jest oznakowane odpowiednim tekstem. </w:t>
      </w:r>
    </w:p>
    <w:p w14:paraId="476EACF4" w14:textId="7E57E8A4" w:rsidR="00FB7D99" w:rsidRDefault="008E0BB7" w:rsidP="006828FD">
      <w:pPr>
        <w:pStyle w:val="HSLF-FS-Brdtextindragfrstaraden"/>
      </w:pPr>
      <w:r>
        <w:t xml:space="preserve">Z wyjątkiem ust. 1 pkt 1 opakowania bezpośrednie w postaci blistrów i innych małych opakowań bezpośrednich mogą być opatrzone jedynie informacjami określonymi w § 3-4 [HSLF-FS 2021:xx] oraz nazwą importera równoległego. </w:t>
      </w:r>
    </w:p>
    <w:p w14:paraId="48B7FB75" w14:textId="6CEE253F" w:rsidR="008E0BB7" w:rsidRPr="00FB7D99" w:rsidRDefault="008E0BB7" w:rsidP="006828FD">
      <w:pPr>
        <w:pStyle w:val="HSLF-FS-Brdtextindragfrstaraden"/>
      </w:pPr>
      <w:r>
        <w:t>Opakowanie może być opatrzone tekstem obcym, jeżeli treść tekstu nie jest sprzeczna z treścią podaną na etykiecie w języku szwedzkim.</w:t>
      </w:r>
    </w:p>
    <w:p w14:paraId="345CE227" w14:textId="77777777" w:rsidR="00E73B6B" w:rsidRDefault="00E73B6B" w:rsidP="003E763F">
      <w:pPr>
        <w:pStyle w:val="HSLF-FS-Brdtextindragfrstaraden"/>
        <w:spacing w:line="240" w:lineRule="auto"/>
        <w:ind w:firstLine="0"/>
        <w:rPr>
          <w:b/>
          <w:color w:val="auto"/>
          <w:sz w:val="23"/>
        </w:rPr>
      </w:pPr>
    </w:p>
    <w:p w14:paraId="4718EA6B" w14:textId="3FB53EF8" w:rsidR="00290C54" w:rsidRDefault="00FB7D99" w:rsidP="003E763F">
      <w:pPr>
        <w:pStyle w:val="HSLF-FS-Brdtextindragfrstaraden"/>
        <w:spacing w:line="240" w:lineRule="auto"/>
        <w:ind w:firstLine="0"/>
      </w:pPr>
      <w:r>
        <w:rPr>
          <w:b/>
        </w:rPr>
        <w:t>§ 13</w:t>
      </w:r>
      <w:r>
        <w:t xml:space="preserve"> Ulotka dołączana do opakowania jest sformatowana zgodnie z [przepisami Agencji ds. Produktów Leczniczych (HSLF-FS 2021:xx) w sprawie oznakowania i ulotek dołączanych do opakowania produktów leczniczych stosowanych u ludzi]. Zawartość ulotki dołączanej do opakowania powinna być zgodna z ulotką dołączoną do opakowania dla importowanego bezpośrednio produktu leczniczego stosowanego u ludzi, ale musi być dostosowana do importowanego równolegle produktu leczniczego stosowanego u ludzi. </w:t>
      </w:r>
    </w:p>
    <w:p w14:paraId="320F43CC" w14:textId="18B3DC58" w:rsidR="008E0BB7" w:rsidRDefault="00FB7D99" w:rsidP="00290C54">
      <w:pPr>
        <w:pStyle w:val="HSLF-FS-Brdtextindragfrstaraden"/>
        <w:rPr>
          <w:b/>
          <w:sz w:val="23"/>
          <w:szCs w:val="23"/>
        </w:rPr>
      </w:pPr>
      <w:r>
        <w:t>Oprócz nazwy i adresu producenta na ulotce załącza się również nazwy i adresy importera równoległego i podmiotu przepakowującego. Zamiast nazwy i adresu producenta można podać stosowną nazwę.</w:t>
      </w:r>
    </w:p>
    <w:p w14:paraId="2AAFFEDA" w14:textId="7B80763D" w:rsidR="00FB7D99" w:rsidRPr="00FB7D99" w:rsidRDefault="00290C54" w:rsidP="000A25FC">
      <w:pPr>
        <w:pStyle w:val="HSLF-FS-Rubrik-2"/>
      </w:pPr>
      <w:r>
        <w:t xml:space="preserve">Nazwa produktu leczniczego stosowanego u ludzi </w:t>
      </w:r>
    </w:p>
    <w:p w14:paraId="7D3512EF" w14:textId="6DC83553" w:rsidR="008E0BB7" w:rsidRDefault="00FB7D99" w:rsidP="003E763F">
      <w:pPr>
        <w:pStyle w:val="HSLF-FS-Brdtextindragfrstaraden"/>
        <w:spacing w:line="240" w:lineRule="auto"/>
        <w:ind w:firstLine="0"/>
        <w:rPr>
          <w:b/>
          <w:sz w:val="23"/>
          <w:szCs w:val="23"/>
        </w:rPr>
      </w:pPr>
      <w:r>
        <w:rPr>
          <w:b/>
        </w:rPr>
        <w:t xml:space="preserve">§ 14 </w:t>
      </w:r>
      <w:r>
        <w:t xml:space="preserve">Oprócz tego, co określa § 1 [przepisy Agencji ds. Produktów Leczniczych (HSLF-FS 2021:xx) w sprawie oznakowania i ulotek dołączanych do opakowania produktów leczniczych stosowanych u ludzi] importowany równolegle produkt leczniczy stosowany u ludzi może mieć tę samą nazwę co importowany bezpośrednio produkt leczniczy stosowany u ludzi. </w:t>
      </w:r>
    </w:p>
    <w:p w14:paraId="794E867C" w14:textId="77777777" w:rsidR="000A25FC" w:rsidRPr="000A25FC" w:rsidRDefault="000A25FC" w:rsidP="000A25FC">
      <w:pPr>
        <w:pStyle w:val="HSLF-FS-Rubrik-2"/>
      </w:pPr>
      <w:r>
        <w:t xml:space="preserve">Okres przydatności i przechowywanie </w:t>
      </w:r>
    </w:p>
    <w:p w14:paraId="0710B930" w14:textId="7F9BD9E7" w:rsidR="000A25FC" w:rsidRDefault="000A25FC" w:rsidP="003E763F">
      <w:pPr>
        <w:pStyle w:val="HSLF-FS-Brdtextindragfrstaraden"/>
        <w:spacing w:line="240" w:lineRule="auto"/>
        <w:ind w:firstLine="0"/>
      </w:pPr>
      <w:r>
        <w:rPr>
          <w:b/>
        </w:rPr>
        <w:t>§ 15</w:t>
      </w:r>
      <w:r>
        <w:t xml:space="preserve"> Importowany równolegle produkt leczniczy stosowany u ludzi ma taki sam okres przydatności jak produkt leczniczy stosowany u ludzi w kraju pochodzenia, chyba że warunki w danym przypadku stanowią inaczej. Podaje się okres przydatności nieotwartego opakowania oraz, w stosownych przypadkach, otwartego opakowania. Jeżeli produkt leczniczy stosowany u ludzi ma być uzupełniany przez apteki, zawsze podaje się okres przydatności otwartego opakowania. </w:t>
      </w:r>
    </w:p>
    <w:p w14:paraId="44C7A83A" w14:textId="67503CB7" w:rsidR="000A25FC" w:rsidRPr="00290C54" w:rsidRDefault="000A25FC" w:rsidP="00290C54">
      <w:pPr>
        <w:pStyle w:val="HSLF-FS-Brdtextindragfrstaraden"/>
      </w:pPr>
      <w:r>
        <w:t xml:space="preserve">W przypadkach, gdy opakowanie wtórne jest otwierane podczas przepakowywania i wpływa to na stabilność produktu leczniczego stosowanego u ludzi, należy udokumentować i określić okres przydatności nowego opakowania. </w:t>
      </w:r>
    </w:p>
    <w:p w14:paraId="249CDA8A" w14:textId="377748F5" w:rsidR="008E0BB7" w:rsidRPr="00290C54" w:rsidRDefault="000A25FC" w:rsidP="00290C54">
      <w:pPr>
        <w:pStyle w:val="HSLF-FS-Brdtextindragfrstaraden"/>
      </w:pPr>
      <w:r>
        <w:t>Importowany równolegle produkt leczniczy stosowany u ludzi musi posiadać takie same instrukcje przechowywania jak importowany bezpośrednio produkt leczniczy stosowany u ludzi, chyba że warunki w danym przypadku stanowią inaczej.</w:t>
      </w:r>
    </w:p>
    <w:p w14:paraId="7DE657BA" w14:textId="77777777" w:rsidR="000A25FC" w:rsidRDefault="000A25FC" w:rsidP="000A25FC">
      <w:pPr>
        <w:pStyle w:val="HSLF-FS-Rubrik-2"/>
      </w:pPr>
      <w:r>
        <w:t xml:space="preserve">Zgłaszanie skutków ubocznych </w:t>
      </w:r>
    </w:p>
    <w:p w14:paraId="104B7DFF" w14:textId="024946B8" w:rsidR="000A25FC" w:rsidRDefault="000A25FC" w:rsidP="003E763F">
      <w:pPr>
        <w:pStyle w:val="HSLF-FS-Brdtextindragfrstaraden"/>
        <w:spacing w:line="240" w:lineRule="auto"/>
        <w:ind w:firstLine="0"/>
      </w:pPr>
      <w:r>
        <w:rPr>
          <w:b/>
        </w:rPr>
        <w:t>§ 16</w:t>
      </w:r>
      <w:r>
        <w:t xml:space="preserve"> Importer równoległy zgłasza wszelkie podejrzewane skutki uboczne związane z importowanym równolegle produktem leczniczym stosowanym u ludzi podmiotowi posiadającemu </w:t>
      </w:r>
      <w:r>
        <w:lastRenderedPageBreak/>
        <w:t xml:space="preserve">pozwolenie na dopuszczenie do obrotu w Szwecji importowanego bezpośrednio produktu leczniczego stosowanego u ludzi. </w:t>
      </w:r>
    </w:p>
    <w:p w14:paraId="24B618C9" w14:textId="4D8E993E" w:rsidR="008F3292" w:rsidRPr="00290C54" w:rsidRDefault="000A25FC" w:rsidP="00290C54">
      <w:pPr>
        <w:pStyle w:val="HSLF-FS-Brdtextindragfrstaraden"/>
      </w:pPr>
      <w:r>
        <w:t xml:space="preserve">Zgłoszenie dotyczące skutków ubocznych jest natomiast przesyłane do podmiotu posiadającego pozwolenie na dopuszczenie do obrotu w kraju pochodzenia produktu leczniczego stosowanego u ludzi jeżeli </w:t>
      </w:r>
    </w:p>
    <w:p w14:paraId="4371C89C" w14:textId="0C7F327B" w:rsidR="000A25FC" w:rsidRDefault="003F4B7D" w:rsidP="003F4B7D">
      <w:pPr>
        <w:pStyle w:val="HSLF-FS-Brdtextindragfrstaraden"/>
      </w:pPr>
      <w:r>
        <w:t xml:space="preserve">– podmiot posiadający pozwolenie na dopuszczenie do obrotu importowanego bezpośrednio produktu leczniczego stosowanego u ludzi nie posiada również pozwolenia na dopuszczenie do obrotu w kraju pochodzenia produktu leczniczego stosowanego u ludzi, lub </w:t>
      </w:r>
    </w:p>
    <w:p w14:paraId="06143F8F" w14:textId="06C05CA6" w:rsidR="000A25FC" w:rsidRDefault="003F4B7D" w:rsidP="003F4B7D">
      <w:pPr>
        <w:pStyle w:val="HSLF-FS-Brdtextindragfrstaraden"/>
      </w:pPr>
      <w:r>
        <w:t xml:space="preserve">– importowany bezpośrednio produkt leczniczy stosowany u ludzi nie jest już dopuszczony do obrotu w Szwecji. </w:t>
      </w:r>
    </w:p>
    <w:p w14:paraId="24DE6638" w14:textId="24E9A8A4" w:rsidR="000A25FC" w:rsidRDefault="000A25FC" w:rsidP="00290C54">
      <w:pPr>
        <w:pStyle w:val="HSLF-FS-Brdtextindragfrstaraden"/>
      </w:pPr>
      <w:r>
        <w:t xml:space="preserve">Podejrzewane skutki uboczne należy zgłaszać jak najszybciej po przekazaniu takich informacji importerowi równoległemu. Zgłoszenie skutków ubocznych do odbiorcy w Szwecji jest przesyłane w ciągu siedmiu dni. Zgłoszenie skutków ubocznych odbiorcy w innym kraju jest tłumaczone na język angielski lub inny język zrozumiały dla odbiorcy i wysyłane w ciągu dziesięciu dni. Jeżeli odbiorca zgłoszenia o skutkach ubocznych zażąda informacji uzupełniających, importer równoległy dostarcza takie informacje. </w:t>
      </w:r>
    </w:p>
    <w:p w14:paraId="5C8B5B90" w14:textId="26F662AA" w:rsidR="008F3292" w:rsidRDefault="008F3292" w:rsidP="008F3292">
      <w:pPr>
        <w:pStyle w:val="HSLF-FS-Rubrik-2"/>
      </w:pPr>
      <w:r>
        <w:t xml:space="preserve">Pozwolenie na wytwarzanie i dobra praktyka wytwarzania </w:t>
      </w:r>
    </w:p>
    <w:p w14:paraId="0F97AC9B" w14:textId="11B01259" w:rsidR="006E4323" w:rsidRPr="007C0355" w:rsidRDefault="008F3292" w:rsidP="003E763F">
      <w:pPr>
        <w:pStyle w:val="HSLF-FS-Brdtextindragfrstaraden"/>
        <w:spacing w:line="240" w:lineRule="auto"/>
        <w:ind w:firstLine="0"/>
      </w:pPr>
      <w:r>
        <w:rPr>
          <w:b/>
        </w:rPr>
        <w:t>§ 17</w:t>
      </w:r>
      <w:r>
        <w:t xml:space="preserve"> Przepakowywanie lub ponowne oznakowanie wymaga specjalnego pozwolenia na wytwarzanie wydanego w państwie należącym do Europejskiego Obszaru Gospodarczego. Przepisy w tym zakresie można znaleźć w [przepisach Agencji ds. Produktów Leczniczych (HSLF-FS 2021:xx) w sprawie pozwoleń na wytwarzanie i import produktów leczniczych]. </w:t>
      </w:r>
    </w:p>
    <w:p w14:paraId="02B2FF9E" w14:textId="55E1DF14" w:rsidR="008F3292" w:rsidRDefault="008F3292" w:rsidP="006E4323">
      <w:pPr>
        <w:pStyle w:val="HSLF-FS-Brdtextindragfrstaraden"/>
      </w:pPr>
      <w:r>
        <w:t xml:space="preserve">Przepakowywanie i ponowne oznakowanie odbywa się zgodnie z przepisami Agencji ds. Produktów Leczniczych (LVFS 2004:6) w sprawie dobrej praktyki wytwarzania i w taki sposób, aby nie miało to wpływu na pierwotny charakter produktu leczniczego stosowanego u ludzi. </w:t>
      </w:r>
    </w:p>
    <w:p w14:paraId="0A73CF5B" w14:textId="77777777" w:rsidR="008F3292" w:rsidRDefault="008F3292" w:rsidP="008F3292">
      <w:pPr>
        <w:pStyle w:val="HSLF-FS-Rubrik-2"/>
      </w:pPr>
      <w:r>
        <w:t xml:space="preserve">Sprzedaż hurtowa </w:t>
      </w:r>
    </w:p>
    <w:p w14:paraId="0F4425C6" w14:textId="2B113FB5" w:rsidR="008F3292" w:rsidRPr="007123B4" w:rsidRDefault="008F3292" w:rsidP="007123B4">
      <w:pPr>
        <w:pStyle w:val="HSLF-FS-Brdtextindragfrstaraden"/>
        <w:spacing w:line="240" w:lineRule="auto"/>
        <w:ind w:firstLine="0"/>
        <w:rPr>
          <w:b/>
          <w:sz w:val="23"/>
          <w:szCs w:val="23"/>
        </w:rPr>
      </w:pPr>
      <w:r>
        <w:rPr>
          <w:b/>
        </w:rPr>
        <w:t>§ 18</w:t>
      </w:r>
      <w:r>
        <w:t xml:space="preserve"> Zgodnie z rozdziałem 3, § 1 ustawy (2009:366) o handlu produktami leczniczymi, handel hurtowy produktami leczniczymi może być prowadzony wyłącznie przez podmioty do tego dopuszczone. Dodatkowe przepisy można znaleźć w [przepisach Agencji ds. Produktów Leczniczych (HSLF-FS 2021:xx) w sprawie handlu hurtowego produktami leczniczymi]. </w:t>
      </w:r>
    </w:p>
    <w:p w14:paraId="360AECBE" w14:textId="0C72E25D" w:rsidR="007123B4" w:rsidRPr="007123B4" w:rsidRDefault="009316D3" w:rsidP="007123B4">
      <w:pPr>
        <w:pStyle w:val="HSLF-FS-Rubrik-2"/>
      </w:pPr>
      <w:r>
        <w:lastRenderedPageBreak/>
        <w:t xml:space="preserve">Produkty lecznicze odurzające stosowane u ludzi </w:t>
      </w:r>
    </w:p>
    <w:p w14:paraId="4031F41B" w14:textId="10107744" w:rsidR="007123B4" w:rsidRDefault="007123B4" w:rsidP="007123B4">
      <w:pPr>
        <w:pStyle w:val="HSLF-FS-Brdtext"/>
      </w:pPr>
      <w:r>
        <w:rPr>
          <w:b/>
        </w:rPr>
        <w:t>§ 19</w:t>
      </w:r>
      <w:r>
        <w:t xml:space="preserve"> Przepisy Agencji ds. Produktów Medycznych (LVFS 2011:9) w sprawie kontroli środków odurzających zawierają przepisy dotyczące postępowania z produktami leczniczymi odurzającymi.</w:t>
      </w:r>
    </w:p>
    <w:p w14:paraId="17F65349" w14:textId="2066661A" w:rsidR="007123B4" w:rsidRDefault="007123B4" w:rsidP="007123B4">
      <w:pPr>
        <w:pStyle w:val="HSLF-FS-Rubrik-2"/>
      </w:pPr>
      <w:r>
        <w:t xml:space="preserve">Sprzedaż importowanych równoległych szczepionek i produktów z krwi stosowanych u ludzi </w:t>
      </w:r>
    </w:p>
    <w:p w14:paraId="2AFF90DC" w14:textId="54B5CB77" w:rsidR="008F3292" w:rsidRPr="007123B4" w:rsidRDefault="007123B4" w:rsidP="007123B4">
      <w:pPr>
        <w:pStyle w:val="HSLF-FS-Brdtextindragfrstaraden"/>
        <w:ind w:firstLine="0"/>
      </w:pPr>
      <w:r>
        <w:rPr>
          <w:b/>
        </w:rPr>
        <w:t>§ 20</w:t>
      </w:r>
      <w:r>
        <w:t xml:space="preserve"> Przepisy Agencji ds. Produktów Medycznych (HSLF-FS 2015:14) dotyczące wprowadzania do obrotu partii produkcyjnych szczepionek i produktów z krwi stosowanych u ludzi zawierają przepisy dotyczące partii produkcyjnych szczepionek i produktów z krwi stosowanych u ludzi, które mają być sprzedawane na rynku szwedzkim. </w:t>
      </w:r>
    </w:p>
    <w:p w14:paraId="2CA1CC04" w14:textId="7FD4BDCA" w:rsidR="007123B4" w:rsidRDefault="007123B4" w:rsidP="007123B4">
      <w:pPr>
        <w:pStyle w:val="HSLF-FS-Rubrik-2"/>
      </w:pPr>
      <w:r>
        <w:t>Zmiany i unieważnienia</w:t>
      </w:r>
    </w:p>
    <w:p w14:paraId="5663B19E" w14:textId="659FBF44" w:rsidR="000A25FC" w:rsidRDefault="007123B4" w:rsidP="003E763F">
      <w:pPr>
        <w:pStyle w:val="HSLF-FS-Brdtextindragfrstaraden"/>
        <w:spacing w:line="240" w:lineRule="auto"/>
        <w:ind w:firstLine="0"/>
        <w:rPr>
          <w:b/>
          <w:sz w:val="23"/>
          <w:szCs w:val="23"/>
        </w:rPr>
      </w:pPr>
      <w:r>
        <w:rPr>
          <w:b/>
        </w:rPr>
        <w:t>§ 21</w:t>
      </w:r>
      <w:r>
        <w:t xml:space="preserve"> Importer równoległy jest informowany o wszelkich zmianach w produkcie leczniczym stosowanym u ludzi zatwierdzonych w kraju pochodzenia lub importowanym bezpośrednio produkcie leczniczym stosowanym u ludzi, które mogą mieć znaczenie dla pozwolenia na dopuszczenie do obrotu importowanego równolegle produktu leczniczego stosowanego u ludzi. Importer równoległy informuje Agencję ds. Produktów Leczniczych o takich zmianach. </w:t>
      </w:r>
    </w:p>
    <w:p w14:paraId="2611398C" w14:textId="7DD98593" w:rsidR="007123B4" w:rsidRDefault="007123B4" w:rsidP="003E763F">
      <w:pPr>
        <w:pStyle w:val="HSLF-FS-Brdtextindragfrstaraden"/>
        <w:spacing w:line="240" w:lineRule="auto"/>
        <w:ind w:firstLine="0"/>
        <w:rPr>
          <w:b/>
          <w:sz w:val="23"/>
          <w:szCs w:val="23"/>
        </w:rPr>
      </w:pPr>
    </w:p>
    <w:p w14:paraId="59697DFA" w14:textId="7D781821" w:rsidR="007123B4" w:rsidRDefault="007123B4" w:rsidP="003E763F">
      <w:pPr>
        <w:pStyle w:val="HSLF-FS-Brdtextindragfrstaraden"/>
        <w:spacing w:line="240" w:lineRule="auto"/>
        <w:ind w:firstLine="0"/>
      </w:pPr>
      <w:r>
        <w:rPr>
          <w:b/>
        </w:rPr>
        <w:t>§ 22</w:t>
      </w:r>
      <w:r>
        <w:t xml:space="preserve"> Importer równoległy składa wniosek o wprowadzenie niezbędnych zmian w pozwoleniu na dopuszczenie do obrotu importowanego równolegle produktu leczniczego stosowanego u ludzi. </w:t>
      </w:r>
    </w:p>
    <w:p w14:paraId="4910B7CC" w14:textId="6F5BCDE4" w:rsidR="007123B4" w:rsidRDefault="007123B4" w:rsidP="007123B4">
      <w:pPr>
        <w:pStyle w:val="HSLF-FS-Brdtextindragfrstaraden"/>
      </w:pPr>
      <w:r>
        <w:t xml:space="preserve">W przypadku istotnych zmian w pozwoleniu w kraju pochodzenia, zmieniony importowany równolegle produkt leczniczy stosowany u ludzi nie może być sprzedawany do czasu dopuszczenia odpowiednich zmian przez Agencję ds. Produktów Leczniczych. </w:t>
      </w:r>
    </w:p>
    <w:p w14:paraId="05E40A0C" w14:textId="77777777" w:rsidR="004A72C4" w:rsidRDefault="004A72C4" w:rsidP="007E61A7">
      <w:pPr>
        <w:pStyle w:val="HSLF-FS-Brdtextindragfrstaraden"/>
        <w:ind w:firstLine="0"/>
        <w:rPr>
          <w:b/>
          <w:bCs/>
        </w:rPr>
      </w:pPr>
    </w:p>
    <w:p w14:paraId="67706812" w14:textId="77777777" w:rsidR="0091535B" w:rsidRDefault="007123B4" w:rsidP="007E61A7">
      <w:pPr>
        <w:pStyle w:val="HSLF-FS-Brdtextindragfrstaraden"/>
        <w:ind w:firstLine="0"/>
      </w:pPr>
      <w:r>
        <w:rPr>
          <w:b/>
        </w:rPr>
        <w:t xml:space="preserve">§ 23 </w:t>
      </w:r>
      <w:r>
        <w:t xml:space="preserve">Jeżeli pozwolenie na dopuszczenie do obrotu importowanego równolegle produktu leczniczego stosowanego u ludzi w kraju pochodzenia lub dla importowanego bezpośrednio produktu leczniczego stosowanego u ludzi w Szwecji zostaje cofnięte z powodów dotyczących jakości, skutku lub bezpieczeństwa, pozwolenie na dopuszczenie do obrotu importowanego równolegle produktu leczniczego stosowanego u ludzi również zostaje cofnięte. </w:t>
      </w:r>
    </w:p>
    <w:p w14:paraId="1F883E64" w14:textId="518B5776" w:rsidR="007123B4" w:rsidRDefault="0091535B" w:rsidP="007C0355">
      <w:pPr>
        <w:pStyle w:val="HSLF-FS-Brdtextindragfrstaraden"/>
      </w:pPr>
      <w:r>
        <w:t xml:space="preserve">Pozwolenie na dopuszczenie do obrotu importowanych równolegle produktów leczniczych stosowanych u ludzi może zostać cofnięte zgodnie z rozdziałem 11 § 2 ustawy o produktach leczniczych (2015:315) nawet w przypadkach innych niż określone w ust. 1. </w:t>
      </w:r>
    </w:p>
    <w:p w14:paraId="55C307F2" w14:textId="77777777" w:rsidR="007E61A7" w:rsidRDefault="007E61A7" w:rsidP="007E61A7">
      <w:pPr>
        <w:pStyle w:val="HSLF-FS-Rubrik-2"/>
      </w:pPr>
      <w:r>
        <w:lastRenderedPageBreak/>
        <w:t xml:space="preserve">Odstąpienie </w:t>
      </w:r>
    </w:p>
    <w:p w14:paraId="089664DD" w14:textId="02B58EA2" w:rsidR="00153F3E" w:rsidRDefault="007E61A7" w:rsidP="003E763F">
      <w:pPr>
        <w:pStyle w:val="HSLF-FS-Brdtextindragfrstaraden"/>
        <w:spacing w:line="240" w:lineRule="auto"/>
        <w:ind w:firstLine="0"/>
      </w:pPr>
      <w:r>
        <w:rPr>
          <w:b/>
        </w:rPr>
        <w:t>§ 24</w:t>
      </w:r>
      <w:r>
        <w:t xml:space="preserve"> Agencja ds. Produktów Medycznych może, jeśli istnieją szczególne powody, wydać wyłączenie (odstąpienie) od postanowień niniejszych przepisów. Wyłączenia nie mogą jednak zostać przyznane, jeżeli wiązałyby się z naruszeniem zobowiązań Szwecji wynikających z prawa Unii Europejskiej. </w:t>
      </w:r>
    </w:p>
    <w:p w14:paraId="0A2D93B4" w14:textId="77777777" w:rsidR="00153F3E" w:rsidRDefault="00153F3E">
      <w:pPr>
        <w:spacing w:after="0" w:line="240" w:lineRule="auto"/>
        <w:rPr>
          <w:color w:val="000000" w:themeColor="text1"/>
          <w:sz w:val="21"/>
        </w:rPr>
      </w:pPr>
      <w:r>
        <w:br w:type="page"/>
      </w:r>
    </w:p>
    <w:p w14:paraId="2EAB1227" w14:textId="73E44093" w:rsidR="007E61A7" w:rsidRDefault="007E61A7" w:rsidP="003E763F">
      <w:pPr>
        <w:pStyle w:val="HSLF-FS-Brdtextindragfrstaraden"/>
        <w:spacing w:line="240" w:lineRule="auto"/>
        <w:ind w:firstLine="0"/>
      </w:pPr>
    </w:p>
    <w:p w14:paraId="7A8BBE2D" w14:textId="77777777" w:rsidR="007E61A7" w:rsidRDefault="007E61A7" w:rsidP="007E61A7">
      <w:pPr>
        <w:widowControl w:val="0"/>
        <w:autoSpaceDE w:val="0"/>
        <w:autoSpaceDN w:val="0"/>
        <w:adjustRightInd w:val="0"/>
      </w:pPr>
      <w:r>
        <w:t>_______________</w:t>
      </w:r>
    </w:p>
    <w:p w14:paraId="04664836" w14:textId="0D3C16B5" w:rsidR="007E61A7" w:rsidRPr="0013703D" w:rsidRDefault="00735042" w:rsidP="00735042">
      <w:pPr>
        <w:pStyle w:val="HSLF-FS-Brdtextindragfrstaraden"/>
      </w:pPr>
      <w:r>
        <w:t>1. Niniejsze przepisy wchodzą w życie z dniem 28 stycznia 2022 r.</w:t>
      </w:r>
    </w:p>
    <w:p w14:paraId="33DB6D78" w14:textId="77777777" w:rsidR="00735042" w:rsidRDefault="00735042" w:rsidP="00735042">
      <w:pPr>
        <w:pStyle w:val="HSLF-FS-Brdtextindragfrstaraden"/>
      </w:pPr>
      <w:r>
        <w:t>2. Przepisy uchylają przepisy Agencji ds. Produktów Leczniczych (LVFS 2012:19) w sprawie importowanych równolegle produktów leczniczych.</w:t>
      </w:r>
    </w:p>
    <w:p w14:paraId="0EAC64C7" w14:textId="4D1C2588" w:rsidR="00420658" w:rsidRPr="00420658" w:rsidRDefault="00735042" w:rsidP="00735042">
      <w:pPr>
        <w:pStyle w:val="HSLF-FS-Brdtextindragfrstaraden"/>
      </w:pPr>
      <w:r>
        <w:t>3. Pozwolenia wydane na mocy przepisów Agencji ds. Produktów Leczniczych (LVFS 2012:19) w sprawie produktów leczniczych importowanych równolegle są ważne jako pozwolenia zgodnie z nowymi przepisami.</w:t>
      </w:r>
    </w:p>
    <w:p w14:paraId="5D51CD3C" w14:textId="263B5D00" w:rsidR="007E61A7" w:rsidRDefault="007E61A7" w:rsidP="007E61A7">
      <w:pPr>
        <w:pStyle w:val="HSLF-FS-Brdtextindragfrstaraden"/>
        <w:ind w:firstLine="0"/>
        <w:rPr>
          <w:lang w:eastAsia="en-US" w:bidi="en-US"/>
        </w:rPr>
      </w:pPr>
    </w:p>
    <w:p w14:paraId="10EE73D1" w14:textId="77777777" w:rsidR="007E61A7" w:rsidRPr="00DA6942" w:rsidRDefault="007E61A7" w:rsidP="007E61A7">
      <w:pPr>
        <w:pStyle w:val="HSLF-FS-Brdtextindragfrstaraden"/>
        <w:ind w:firstLine="0"/>
      </w:pPr>
      <w:r>
        <w:t>Agencja ds. Produktów Medycznych</w:t>
      </w:r>
    </w:p>
    <w:p w14:paraId="26DDD83E" w14:textId="77777777" w:rsidR="007E61A7" w:rsidRPr="00646823" w:rsidRDefault="007E61A7" w:rsidP="007E61A7">
      <w:pPr>
        <w:pStyle w:val="HSLF-FS-Rubrik-3"/>
        <w:rPr>
          <w:highlight w:val="yellow"/>
        </w:rPr>
      </w:pPr>
    </w:p>
    <w:p w14:paraId="27BD88A8" w14:textId="77777777" w:rsidR="007E61A7" w:rsidRPr="009F2798" w:rsidRDefault="007E61A7" w:rsidP="007E61A7">
      <w:pPr>
        <w:pStyle w:val="HSLF-FS-Brdtextindragfrstaraden"/>
        <w:ind w:firstLine="0"/>
      </w:pPr>
    </w:p>
    <w:p w14:paraId="363131A6" w14:textId="1ADFB3BA" w:rsidR="007E61A7" w:rsidRDefault="00421953" w:rsidP="007E61A7">
      <w:pPr>
        <w:pStyle w:val="HSLF-FS-Beslutande"/>
      </w:pPr>
      <w:r>
        <w:t>Nils Gunnar Billinger</w:t>
      </w:r>
    </w:p>
    <w:p w14:paraId="4E6B998C" w14:textId="385C5EE6" w:rsidR="007E61A7" w:rsidRDefault="00421953" w:rsidP="00421953">
      <w:pPr>
        <w:pStyle w:val="HSLF-FS-Kontrasignering"/>
      </w:pPr>
      <w:r>
        <w:t>Joakim Brandberg</w:t>
      </w:r>
    </w:p>
    <w:p w14:paraId="7366BBE6" w14:textId="47434929" w:rsidR="007E61A7" w:rsidRPr="00704454" w:rsidRDefault="00704454" w:rsidP="00704454">
      <w:pPr>
        <w:spacing w:after="0" w:line="240" w:lineRule="auto"/>
        <w:rPr>
          <w:color w:val="000000" w:themeColor="text1"/>
          <w:sz w:val="21"/>
        </w:rPr>
      </w:pPr>
      <w:r>
        <w:br w:type="page"/>
      </w:r>
    </w:p>
    <w:p w14:paraId="22C3C0F2" w14:textId="2C3FF8C5" w:rsidR="007E61A7" w:rsidRPr="00642B0F" w:rsidRDefault="00642B0F" w:rsidP="00642B0F">
      <w:pPr>
        <w:pStyle w:val="HSLF-FS-Rubrik-3"/>
        <w:rPr>
          <w:b w:val="0"/>
          <w:bCs/>
        </w:rPr>
      </w:pPr>
      <w:r>
        <w:rPr>
          <w:b w:val="0"/>
        </w:rPr>
        <w:lastRenderedPageBreak/>
        <w:t>Załącznik</w:t>
      </w:r>
    </w:p>
    <w:p w14:paraId="527CB7EE" w14:textId="15A8F7F6" w:rsidR="007E61A7" w:rsidRDefault="007E61A7" w:rsidP="007E61A7">
      <w:pPr>
        <w:pStyle w:val="HSLF-FS-Brdtextindragfrstaraden"/>
        <w:ind w:firstLine="0"/>
        <w:rPr>
          <w:lang w:eastAsia="en-US" w:bidi="en-US"/>
        </w:rPr>
      </w:pPr>
    </w:p>
    <w:p w14:paraId="2FFAC467" w14:textId="77777777" w:rsidR="00F11B34" w:rsidRDefault="007E61A7" w:rsidP="00F11B34">
      <w:pPr>
        <w:pStyle w:val="HSLF-FS-Brdtextindragfrstaraden"/>
        <w:ind w:firstLine="0"/>
      </w:pPr>
      <w:r>
        <w:t xml:space="preserve">Do wniosków o pozwolenie na dopuszczenie do obrotu importowanych równolegle produktów leczniczych stosowanych u ludzi dołącza się następujące informacje i dokumentację: </w:t>
      </w:r>
    </w:p>
    <w:p w14:paraId="514029D8" w14:textId="09560852" w:rsidR="007E61A7" w:rsidRDefault="00F11B34" w:rsidP="00F11B34">
      <w:pPr>
        <w:pStyle w:val="HSLF-FS-Brdtextindragfrstaraden"/>
      </w:pPr>
      <w:r>
        <w:t xml:space="preserve">1. Imię i nazwisko lub nazwa handlowa wnioskodawcy oraz adres pocztowy, a także dane kontaktowe osoby wyznaczonej do kontaktów w celu złożenia wniosku. </w:t>
      </w:r>
    </w:p>
    <w:p w14:paraId="78C7D29E" w14:textId="45857F42" w:rsidR="007E61A7" w:rsidRDefault="00F11B34" w:rsidP="00F11B34">
      <w:pPr>
        <w:pStyle w:val="HSLF-FS-Brdtextindragfrstaraden"/>
      </w:pPr>
      <w:r>
        <w:t xml:space="preserve">2. Imię i nazwisko oraz adres pocztowy lokalnych przedstawicieli. </w:t>
      </w:r>
    </w:p>
    <w:p w14:paraId="6E6F4A97" w14:textId="6CCF807F" w:rsidR="007E61A7" w:rsidRDefault="00F11B34" w:rsidP="00F11B34">
      <w:pPr>
        <w:pStyle w:val="HSLF-FS-Brdtextindragfrstaraden"/>
      </w:pPr>
      <w:r>
        <w:t xml:space="preserve">3. Nazwa produktu leczniczego stosowanego u ludzi, postać farmaceutyczna, moc i drogi podania. </w:t>
      </w:r>
    </w:p>
    <w:p w14:paraId="55C449F3" w14:textId="57258547" w:rsidR="007E61A7" w:rsidRDefault="00F11B34" w:rsidP="00F11B34">
      <w:pPr>
        <w:pStyle w:val="HSLF-FS-Brdtextindragfrstaraden"/>
      </w:pPr>
      <w:r>
        <w:t xml:space="preserve">4. Kraj EOG, z którego eksportowany jest produkt leczniczy stosowany u ludzi. </w:t>
      </w:r>
    </w:p>
    <w:p w14:paraId="085E440B" w14:textId="39BE4E98" w:rsidR="007E61A7" w:rsidRDefault="00F11B34" w:rsidP="00F11B34">
      <w:pPr>
        <w:pStyle w:val="HSLF-FS-Brdtextindragfrstaraden"/>
      </w:pPr>
      <w:r>
        <w:t xml:space="preserve">5. Informacja, że powiadomienie zgodnie z § 8 rozporządzenia zostało lub zostanie dostarczone. </w:t>
      </w:r>
    </w:p>
    <w:p w14:paraId="75DF96D8" w14:textId="03425D6C" w:rsidR="007E61A7" w:rsidRDefault="00F11B34" w:rsidP="00F11B34">
      <w:pPr>
        <w:pStyle w:val="HSLF-FS-Brdtextindragfrstaraden"/>
      </w:pPr>
      <w:r>
        <w:t xml:space="preserve">6. Informacja o tym, że powiadomienie zgodnie z § 9 rozporządzenia ma miejsce i czy takie powiadomienie miało już miejsce. </w:t>
      </w:r>
    </w:p>
    <w:p w14:paraId="3BDB4718" w14:textId="71F61822" w:rsidR="007E61A7" w:rsidRDefault="00F11B34" w:rsidP="00F11B34">
      <w:pPr>
        <w:pStyle w:val="HSLF-FS-Brdtextindragfrstaraden"/>
      </w:pPr>
      <w:r>
        <w:t xml:space="preserve">7. Nazwa, postać farmaceutyczna i moc produktu leczniczego stosowanego u ludzi w kraju pochodzenia oraz numer pozwolenia na dopuszczenie do obrotu w kraju pochodzenia. </w:t>
      </w:r>
    </w:p>
    <w:p w14:paraId="3E0A7832" w14:textId="2EC413BE" w:rsidR="007E61A7" w:rsidRDefault="00F11B34" w:rsidP="00F11B34">
      <w:pPr>
        <w:pStyle w:val="HSLF-FS-Brdtextindragfrstaraden"/>
      </w:pPr>
      <w:r>
        <w:t xml:space="preserve">8. Nazwa i adres posiadacza pozwolenia na dopuszczenie do obrotu w kraju pochodzenia oraz odpowiednie informacje dla producenta. </w:t>
      </w:r>
    </w:p>
    <w:p w14:paraId="714DF124" w14:textId="5C59A4CB" w:rsidR="007E61A7" w:rsidRDefault="00F11B34" w:rsidP="00F11B34">
      <w:pPr>
        <w:pStyle w:val="HSLF-FS-Brdtextindragfrstaraden"/>
      </w:pPr>
      <w:r>
        <w:t xml:space="preserve">9. Nazwa, postać farmaceutyczna, moc i numer pozwolenia na dopuszczenie do obrotu importowanego bezpośrednio produktu leczniczego stosowanego u ludzi. </w:t>
      </w:r>
    </w:p>
    <w:p w14:paraId="7BBE27A8" w14:textId="53BFAAF9" w:rsidR="007E61A7" w:rsidRDefault="00F11B34" w:rsidP="00F11B34">
      <w:pPr>
        <w:pStyle w:val="HSLF-FS-Brdtextindragfrstaraden"/>
      </w:pPr>
      <w:r>
        <w:t xml:space="preserve">10. Nazwa i adres posiadacza pozwolenia na dopuszczenie do obrotu importowanego bezpośrednio produktu leczniczego stosowanego u ludzi. </w:t>
      </w:r>
    </w:p>
    <w:p w14:paraId="4546F84D" w14:textId="1045E18F" w:rsidR="007E61A7" w:rsidRDefault="00F11B34" w:rsidP="00F11B34">
      <w:pPr>
        <w:pStyle w:val="HSLF-FS-Brdtextindragfrstaraden"/>
      </w:pPr>
      <w:r>
        <w:t xml:space="preserve">11. Opis różnic między importowanym bezpośrednio produktem leczniczym stosowanym u ludzi a importowanym równolegle produktem leczniczym stosowanym u ludzi. </w:t>
      </w:r>
    </w:p>
    <w:p w14:paraId="64BE3E65" w14:textId="77DB415E" w:rsidR="007E61A7" w:rsidRDefault="00F11B34" w:rsidP="00F11B34">
      <w:pPr>
        <w:pStyle w:val="HSLF-FS-Brdtextindragfrstaraden"/>
      </w:pPr>
      <w:r>
        <w:t xml:space="preserve">12. Szczegółowy opis sposobu ponownego oznakowania lub przepakowania produktu leczniczego stosowanego u ludzi. </w:t>
      </w:r>
    </w:p>
    <w:p w14:paraId="6DAFAC5B" w14:textId="6A68B83B" w:rsidR="007E61A7" w:rsidRDefault="00F11B34" w:rsidP="00F11B34">
      <w:pPr>
        <w:pStyle w:val="HSLF-FS-Brdtextindragfrstaraden"/>
      </w:pPr>
      <w:r>
        <w:t xml:space="preserve">13. Informacje na temat instrukcji i kontroli jakości w zakresie przyjmowania, przechowywania, przepakowywania, zwalniania i transportu importowanych równolegle produktów leczniczych stosowanych u ludzi oraz systemów wycofywania z obrotu. </w:t>
      </w:r>
    </w:p>
    <w:p w14:paraId="5F99D126" w14:textId="472C485B" w:rsidR="00642B0F" w:rsidRDefault="00F11B34" w:rsidP="00F11B34">
      <w:pPr>
        <w:pStyle w:val="HSLF-FS-Brdtextindragfrstaraden"/>
      </w:pPr>
      <w:r>
        <w:t xml:space="preserve">14. Nazwa, adres i pozwolenie na wytwarzanie oraz, w stosownych przypadkach, pisemna zgoda dla przedsiębiorstwa lub przedsiębiorstw, które dokonują przepakowywania/ponownego oznakowania. </w:t>
      </w:r>
    </w:p>
    <w:p w14:paraId="42B81F88" w14:textId="6A3D8C3C" w:rsidR="00642B0F" w:rsidRDefault="00F11B34" w:rsidP="00F11B34">
      <w:pPr>
        <w:pStyle w:val="HSLF-FS-Brdtextindragfrstaraden"/>
      </w:pPr>
      <w:r>
        <w:t xml:space="preserve">15. Informacje dotyczące opakowania importowanego równolegle produktu leczniczego stosowanego u ludzi określające rozmiary opakowań i pojemników farmaceutycznych. </w:t>
      </w:r>
    </w:p>
    <w:p w14:paraId="0E3D4B52" w14:textId="2275E4B1" w:rsidR="007E61A7" w:rsidRPr="007E61A7" w:rsidRDefault="00F11B34" w:rsidP="00F11B34">
      <w:pPr>
        <w:pStyle w:val="HSLF-FS-Brdtextindragfrstaraden"/>
      </w:pPr>
      <w:r>
        <w:lastRenderedPageBreak/>
        <w:t>16. Okres przydatności (w przypadku nieotwartego i otwartego opakowania) oraz, w stosownych przypadkach, okres przydatności po zakończeniu importu równoległego produktu leczniczego stosowanego u ludzi oraz odpowiednie instrukcje przechowywania importowanego równolegle produktu leczniczego stosowanego u ludzi.</w:t>
      </w:r>
    </w:p>
    <w:p w14:paraId="168E4283" w14:textId="77777777" w:rsidR="007E61A7" w:rsidRDefault="007E61A7" w:rsidP="003E763F">
      <w:pPr>
        <w:pStyle w:val="HSLF-FS-Brdtextindragfrstaraden"/>
        <w:spacing w:line="240" w:lineRule="auto"/>
        <w:ind w:firstLine="0"/>
        <w:rPr>
          <w:b/>
          <w:sz w:val="23"/>
          <w:szCs w:val="23"/>
        </w:rPr>
      </w:pPr>
    </w:p>
    <w:p w14:paraId="54384E2F" w14:textId="0F1C52D2" w:rsidR="007123B4" w:rsidRDefault="007123B4" w:rsidP="003E763F">
      <w:pPr>
        <w:pStyle w:val="HSLF-FS-Brdtextindragfrstaraden"/>
        <w:spacing w:line="240" w:lineRule="auto"/>
        <w:ind w:firstLine="0"/>
        <w:rPr>
          <w:b/>
          <w:sz w:val="23"/>
          <w:szCs w:val="23"/>
        </w:rPr>
      </w:pPr>
    </w:p>
    <w:p w14:paraId="4CA1EB6D" w14:textId="77777777" w:rsidR="007123B4" w:rsidRDefault="007123B4" w:rsidP="003E763F">
      <w:pPr>
        <w:pStyle w:val="HSLF-FS-Brdtextindragfrstaraden"/>
        <w:spacing w:line="240" w:lineRule="auto"/>
        <w:ind w:firstLine="0"/>
        <w:rPr>
          <w:b/>
          <w:sz w:val="23"/>
          <w:szCs w:val="23"/>
        </w:rPr>
      </w:pPr>
    </w:p>
    <w:p w14:paraId="6C2768D0" w14:textId="3EECE36E" w:rsidR="007123B4" w:rsidRDefault="007123B4" w:rsidP="003E763F">
      <w:pPr>
        <w:pStyle w:val="HSLF-FS-Brdtextindragfrstaraden"/>
        <w:spacing w:line="240" w:lineRule="auto"/>
        <w:ind w:firstLine="0"/>
        <w:rPr>
          <w:b/>
          <w:sz w:val="23"/>
          <w:szCs w:val="23"/>
        </w:rPr>
      </w:pPr>
    </w:p>
    <w:p w14:paraId="20DDD425" w14:textId="77777777" w:rsidR="007123B4" w:rsidRDefault="007123B4" w:rsidP="003E763F">
      <w:pPr>
        <w:pStyle w:val="HSLF-FS-Brdtextindragfrstaraden"/>
        <w:spacing w:line="240" w:lineRule="auto"/>
        <w:ind w:firstLine="0"/>
        <w:rPr>
          <w:b/>
          <w:sz w:val="23"/>
          <w:szCs w:val="23"/>
        </w:rPr>
      </w:pPr>
    </w:p>
    <w:p w14:paraId="2C24FDC8" w14:textId="77777777" w:rsidR="00577C10" w:rsidRPr="0013703D" w:rsidRDefault="00577C10" w:rsidP="00B9475C">
      <w:pPr>
        <w:pStyle w:val="HSLF-FS-Bestllningsinformation"/>
      </w:pPr>
      <w:r>
        <w:t>HSLF-FS można pobrać lub zamówić w następujący sposób:</w:t>
      </w:r>
    </w:p>
    <w:p w14:paraId="2228B341" w14:textId="77777777" w:rsidR="00577C10" w:rsidRPr="00054DAD" w:rsidRDefault="00577C10" w:rsidP="00B9475C">
      <w:pPr>
        <w:pStyle w:val="HSLF-FS-Bestllningsinformation"/>
      </w:pPr>
      <w:r>
        <w:t>Internet: www.xxxxxxxxxxxxx.xx</w:t>
      </w:r>
    </w:p>
    <w:p w14:paraId="0E71970A" w14:textId="77777777" w:rsidR="00577C10" w:rsidRPr="00054DAD" w:rsidRDefault="00577C10" w:rsidP="00B9475C">
      <w:pPr>
        <w:pStyle w:val="HSLF-FS-Bestllningsinformation"/>
      </w:pPr>
      <w:r>
        <w:t>e-mail: xxxxxxxx@xxxxxxx.xx</w:t>
      </w:r>
    </w:p>
    <w:p w14:paraId="36BC069E" w14:textId="77777777" w:rsidR="00673671" w:rsidRPr="00964D75" w:rsidRDefault="00673671" w:rsidP="00B9475C">
      <w:pPr>
        <w:pStyle w:val="HSLF-FS-Bestllningsinformation"/>
      </w:pPr>
    </w:p>
    <w:p w14:paraId="6656A6C6" w14:textId="77777777" w:rsidR="00673671" w:rsidRPr="00054DAD" w:rsidRDefault="00673671" w:rsidP="00B9475C">
      <w:pPr>
        <w:pStyle w:val="HSLF-FS-Kontaktinformation"/>
      </w:pPr>
      <w:r>
        <w:t>Kontakt</w:t>
      </w:r>
      <w:r>
        <w:br/>
        <w:t>xxxxxxxxx</w:t>
      </w:r>
      <w:r>
        <w:br/>
        <w:t>Adres</w:t>
      </w:r>
      <w:r>
        <w:br/>
        <w:t>Telefon: xx xxxxxxxxx Faks: xx xxxxxxxxx</w:t>
      </w:r>
    </w:p>
    <w:p w14:paraId="2548EFCB" w14:textId="77777777" w:rsidR="00673671" w:rsidRPr="00964D75" w:rsidRDefault="00673671" w:rsidP="00B9475C">
      <w:pPr>
        <w:pStyle w:val="HSLF-FS-Kontaktinformation"/>
      </w:pPr>
      <w:r>
        <w:t>e-mail: xxxxxxxx@xxxxxxx.xx</w:t>
      </w:r>
    </w:p>
    <w:p w14:paraId="7A240DDE" w14:textId="77777777" w:rsidR="00E44C93" w:rsidRPr="00964D75" w:rsidRDefault="00673671" w:rsidP="00B9475C">
      <w:pPr>
        <w:pStyle w:val="HSLF-FS-Kontaktinformation"/>
      </w:pPr>
      <w:r>
        <w:t>internet: www.xxxxxxxxxxxxx.xx</w:t>
      </w:r>
    </w:p>
    <w:p w14:paraId="5434F6A8" w14:textId="77777777" w:rsidR="00673671" w:rsidRPr="00964D75" w:rsidRDefault="00673671" w:rsidP="00673671">
      <w:pPr>
        <w:pStyle w:val="HSLF-FS-Brdtextindragfrstaraden"/>
        <w:rPr>
          <w:lang w:val="pt-PT"/>
        </w:rPr>
      </w:pPr>
    </w:p>
    <w:p w14:paraId="05DED749" w14:textId="60FC851A" w:rsidR="00876360" w:rsidRPr="00E44C93" w:rsidRDefault="00B8133C" w:rsidP="00615514">
      <w:pPr>
        <w:pStyle w:val="HSLF-FS-Tryckort"/>
      </w:pPr>
      <w:r>
        <w:t>Druk: Drukarnia i rok publikacji</w:t>
      </w:r>
    </w:p>
    <w:sectPr w:rsidR="00876360" w:rsidRPr="00E44C93" w:rsidSect="00B839AB">
      <w:headerReference w:type="even" r:id="rId8"/>
      <w:headerReference w:type="default" r:id="rId9"/>
      <w:footerReference w:type="even" r:id="rId10"/>
      <w:footerReference w:type="default" r:id="rId11"/>
      <w:headerReference w:type="first" r:id="rId12"/>
      <w:pgSz w:w="9299" w:h="13721" w:code="9"/>
      <w:pgMar w:top="1077" w:right="2325" w:bottom="1247" w:left="1134" w:header="743" w:footer="104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237" w14:textId="77777777" w:rsidR="00A35E7B" w:rsidRDefault="00A35E7B" w:rsidP="00290019">
      <w:r>
        <w:separator/>
      </w:r>
    </w:p>
  </w:endnote>
  <w:endnote w:type="continuationSeparator" w:id="0">
    <w:p w14:paraId="32A2E36E" w14:textId="77777777" w:rsidR="00A35E7B" w:rsidRDefault="00A35E7B" w:rsidP="0029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8279" w14:textId="77777777" w:rsidR="00F35CE4" w:rsidRDefault="00F35CE4">
    <w:pPr>
      <w:pStyle w:val="Footer"/>
    </w:pPr>
    <w:r>
      <w:rPr>
        <w:noProof/>
      </w:rPr>
      <mc:AlternateContent>
        <mc:Choice Requires="wps">
          <w:drawing>
            <wp:anchor distT="0" distB="0" distL="114300" distR="114300" simplePos="0" relativeHeight="251678720" behindDoc="0" locked="0" layoutInCell="0" allowOverlap="1" wp14:anchorId="6E55605C" wp14:editId="5C5EA354">
              <wp:simplePos x="0" y="0"/>
              <wp:positionH relativeFrom="leftMargin">
                <wp:posOffset>200660</wp:posOffset>
              </wp:positionH>
              <wp:positionV relativeFrom="page">
                <wp:posOffset>7716850</wp:posOffset>
              </wp:positionV>
              <wp:extent cx="534009" cy="328930"/>
              <wp:effectExtent l="0" t="0" r="0" b="0"/>
              <wp:wrapNone/>
              <wp:docPr id="55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09"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605C" id="Rektangel 9" o:spid="_x0000_s1028" style="position:absolute;left:0;text-align:left;margin-left:15.8pt;margin-top:607.65pt;width:42.05pt;height:25.9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" o:allowincell="f" stroked="f">
              <v:textbox>
                <w:txbxContent>
                  <w:sdt>
                    <w:sdtPr>
                      <w:rPr>
                        <w:rFonts w:asciiTheme="majorHAnsi" w:eastAsiaTheme="majorEastAsia" w:hAnsiTheme="majorHAnsi" w:cstheme="majorBidi"/>
                        <w:sz w:val="48"/>
                        <w:szCs w:val="48"/>
                      </w:rPr>
                      <w:id w:val="-568422325"/>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91999500"/>
                        </w:sdtPr>
                        <w:sdtEndPr>
                          <w:rPr>
                            <w:rStyle w:val="PageNumber"/>
                            <w:rFonts w:asciiTheme="minorBidi" w:hAnsiTheme="minorBidi" w:cs="Times New Roman"/>
                            <w:sz w:val="21"/>
                            <w:szCs w:val="20"/>
                          </w:rPr>
                        </w:sdtEndPr>
                        <w:sdtContent>
                          <w:p w14:paraId="7971D124" w14:textId="77777777" w:rsidR="00F35CE4" w:rsidRPr="00F35CE4" w:rsidRDefault="00F35CE4">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2</w:t>
                            </w:r>
                            <w:r w:rsidRPr="00F35CE4">
                              <w:rPr>
                                <w:rStyle w:val="PageNumber"/>
                                <w:rFonts w:eastAsiaTheme="majorEastAsia"/>
                              </w:rPr>
                              <w:fldChar w:fldCharType="end"/>
                            </w:r>
                          </w:p>
                        </w:sdtContent>
                      </w:sdt>
                    </w:sdtContent>
                  </w:sdt>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EC3A" w14:textId="77777777" w:rsidR="000F6292" w:rsidRDefault="00F478F8">
    <w:pPr>
      <w:pStyle w:val="Footer"/>
    </w:pPr>
    <w:r>
      <w:rPr>
        <w:noProof/>
      </w:rPr>
      <mc:AlternateContent>
        <mc:Choice Requires="wps">
          <w:drawing>
            <wp:anchor distT="0" distB="0" distL="114300" distR="114300" simplePos="0" relativeHeight="251680768" behindDoc="0" locked="0" layoutInCell="0" allowOverlap="1" wp14:anchorId="35ACBBBC" wp14:editId="3EAAFC8E">
              <wp:simplePos x="0" y="0"/>
              <wp:positionH relativeFrom="leftMargin">
                <wp:posOffset>5166360</wp:posOffset>
              </wp:positionH>
              <wp:positionV relativeFrom="page">
                <wp:posOffset>7723835</wp:posOffset>
              </wp:positionV>
              <wp:extent cx="533400" cy="328930"/>
              <wp:effectExtent l="0" t="0" r="0" b="0"/>
              <wp:wrapNone/>
              <wp:docPr id="18" name="Rektange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89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CBBBC" id="_x0000_s1029" style="position:absolute;left:0;text-align:left;margin-left:406.8pt;margin-top:608.2pt;width:42pt;height:25.9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" o:allowincell="f" stroked="f">
              <v:textbox>
                <w:txbxContent>
                  <w:sdt>
                    <w:sdtPr>
                      <w:rPr>
                        <w:rFonts w:asciiTheme="majorHAnsi" w:eastAsiaTheme="majorEastAsia" w:hAnsiTheme="majorHAnsi" w:cstheme="majorBidi"/>
                        <w:sz w:val="48"/>
                        <w:szCs w:val="48"/>
                      </w:rPr>
                      <w:id w:val="423697267"/>
                    </w:sdtPr>
                    <w:sdtEndPr>
                      <w:rPr>
                        <w:rStyle w:val="PageNumber"/>
                        <w:rFonts w:asciiTheme="minorBidi" w:hAnsiTheme="minorBidi" w:cs="Times New Roman"/>
                        <w:sz w:val="21"/>
                        <w:szCs w:val="20"/>
                      </w:rPr>
                    </w:sdtEndPr>
                    <w:sdtContent>
                      <w:sdt>
                        <w:sdtPr>
                          <w:rPr>
                            <w:rFonts w:asciiTheme="majorHAnsi" w:eastAsiaTheme="majorEastAsia" w:hAnsiTheme="majorHAnsi" w:cstheme="majorBidi"/>
                            <w:sz w:val="48"/>
                            <w:szCs w:val="48"/>
                          </w:rPr>
                          <w:id w:val="1611848155"/>
                        </w:sdtPr>
                        <w:sdtEndPr>
                          <w:rPr>
                            <w:rStyle w:val="PageNumber"/>
                            <w:rFonts w:asciiTheme="minorBidi" w:hAnsiTheme="minorBidi" w:cs="Times New Roman"/>
                            <w:sz w:val="21"/>
                            <w:szCs w:val="20"/>
                          </w:rPr>
                        </w:sdtEndPr>
                        <w:sdtContent>
                          <w:p w14:paraId="7AC2193F" w14:textId="77777777" w:rsidR="00F478F8" w:rsidRPr="00F35CE4" w:rsidRDefault="00F478F8" w:rsidP="00F478F8">
                            <w:pPr>
                              <w:jc w:val="center"/>
                              <w:rPr>
                                <w:rStyle w:val="PageNumber"/>
                                <w:rFonts w:eastAsiaTheme="majorEastAsia"/>
                              </w:rPr>
                            </w:pPr>
                            <w:r w:rsidRPr="00F35CE4">
                              <w:rPr>
                                <w:rStyle w:val="PageNumber"/>
                                <w:rFonts w:eastAsiaTheme="majorEastAsia"/>
                              </w:rPr>
                              <w:fldChar w:fldCharType="begin"/>
                            </w:r>
                            <w:r w:rsidRPr="00F35CE4">
                              <w:rPr>
                                <w:rStyle w:val="PageNumber"/>
                              </w:rPr>
                              <w:instrText>PAGE   \* MERGEFORMAT</w:instrText>
                            </w:r>
                            <w:r w:rsidRPr="00F35CE4">
                              <w:rPr>
                                <w:rStyle w:val="PageNumber"/>
                                <w:rFonts w:eastAsiaTheme="majorEastAsia"/>
                              </w:rPr>
                              <w:fldChar w:fldCharType="separate"/>
                            </w:r>
                            <w:r w:rsidR="004641D8" w:rsidRPr="004641D8">
                              <w:rPr>
                                <w:rStyle w:val="PageNumber"/>
                                <w:rFonts w:eastAsiaTheme="minorEastAsia"/>
                              </w:rPr>
                              <w:t>3</w:t>
                            </w:r>
                            <w:r w:rsidRPr="00F35CE4">
                              <w:rPr>
                                <w:rStyle w:val="PageNumber"/>
                                <w:rFonts w:eastAsiaTheme="majorEastAsia"/>
                              </w:rPr>
                              <w:fldChar w:fldCharType="end"/>
                            </w:r>
                          </w:p>
                        </w:sdtContent>
                      </w:sdt>
                    </w:sdtContent>
                  </w:sdt>
                </w:txbxContent>
              </v:textbox>
              <w10:wrap anchorx="margin" anchory="page"/>
            </v:rect>
          </w:pict>
        </mc:Fallback>
      </mc:AlternateContent>
    </w:r>
    <w:r>
      <w:t>fgfdgfgd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2137" w14:textId="77777777" w:rsidR="00A35E7B" w:rsidRDefault="00A35E7B" w:rsidP="00290019">
      <w:r>
        <w:separator/>
      </w:r>
    </w:p>
  </w:footnote>
  <w:footnote w:type="continuationSeparator" w:id="0">
    <w:p w14:paraId="3F73277B" w14:textId="77777777" w:rsidR="00A35E7B" w:rsidRDefault="00A35E7B" w:rsidP="00290019">
      <w:r>
        <w:continuationSeparator/>
      </w:r>
    </w:p>
  </w:footnote>
  <w:footnote w:id="1">
    <w:p w14:paraId="46E18692" w14:textId="77777777" w:rsidR="00A97DE9" w:rsidRDefault="00943E19" w:rsidP="00A97DE9">
      <w:pPr>
        <w:pStyle w:val="FootnoteText"/>
      </w:pPr>
      <w:r>
        <w:rPr>
          <w:rStyle w:val="FootnoteReference"/>
        </w:rPr>
        <w:footnoteRef/>
      </w:r>
      <w:r>
        <w:t xml:space="preserve"> Zgłoszenie zostało przedłożone zgodnie z dyrektywą (UE) </w:t>
      </w:r>
    </w:p>
    <w:p w14:paraId="4A95157E" w14:textId="48ADB0C7" w:rsidR="00943E19" w:rsidRDefault="00A97DE9" w:rsidP="00A97DE9">
      <w:pPr>
        <w:pStyle w:val="FootnoteText"/>
      </w:pPr>
      <w:r>
        <w:t xml:space="preserve">2015/1535 Parlamentu Europejskiego i Rady z dnia 9 września 2015 r. ustanawiającą procedurę udzielania informacji w dziedzinie przepisów technicznych i zasad dotyczących usług społeczeństwa informacyjnego.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A6FC" w14:textId="69475A3D" w:rsidR="003E2932" w:rsidRDefault="00A35E7B">
    <w:pPr>
      <w:pStyle w:val="Header"/>
    </w:pPr>
    <w:r>
      <w:pict w14:anchorId="35250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8" o:spid="_x0000_s2050" type="#_x0000_t136" style="position:absolute;margin-left:0;margin-top:0;width:316.5pt;height:89.5pt;rotation:315;z-index:-251625472;mso-position-horizontal:center;mso-position-horizontal-relative:margin;mso-position-vertical:center;mso-position-vertical-relative:margin" o:allowincell="f" fillcolor="silver" stroked="f">
          <v:fill opacity=".5"/>
          <v:textpath style="font-family:&quot;Times New Roman&quot;;font-size:80pt" string="PROJEKT"/>
          <w10:wrap anchorx="margin" anchory="margin"/>
        </v:shape>
      </w:pict>
    </w:r>
    <w:r w:rsidR="00964D75">
      <w:rPr>
        <w:noProof/>
      </w:rPr>
      <mc:AlternateContent>
        <mc:Choice Requires="wps">
          <w:drawing>
            <wp:anchor distT="0" distB="0" distL="114300" distR="114300" simplePos="0" relativeHeight="251686912" behindDoc="0" locked="0" layoutInCell="1" allowOverlap="1" wp14:anchorId="5460D5DF" wp14:editId="21F9A8A0">
              <wp:simplePos x="0" y="0"/>
              <wp:positionH relativeFrom="column">
                <wp:posOffset>-1049020</wp:posOffset>
              </wp:positionH>
              <wp:positionV relativeFrom="paragraph">
                <wp:posOffset>209220</wp:posOffset>
              </wp:positionV>
              <wp:extent cx="899795" cy="504190"/>
              <wp:effectExtent l="0" t="0" r="14605" b="0"/>
              <wp:wrapNone/>
              <wp:docPr id="1" name="Textruta 1"/>
              <wp:cNvGraphicFramePr/>
              <a:graphic xmlns:a="http://schemas.openxmlformats.org/drawingml/2006/main">
                <a:graphicData uri="http://schemas.microsoft.com/office/word/2010/wordprocessingShape">
                  <wps:wsp>
                    <wps:cNvSpPr txBox="1"/>
                    <wps:spPr>
                      <a:xfrm>
                        <a:off x="0" y="0"/>
                        <a:ext cx="899795"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544588" w14:textId="2432BBBF" w:rsidR="003E2932" w:rsidRDefault="003E2932" w:rsidP="003E2932">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0D5DF" id="_x0000_t202" coordsize="21600,21600" o:spt="202" path="m,l,21600r21600,l21600,xe">
              <v:stroke joinstyle="miter"/>
              <v:path gradientshapeok="t" o:connecttype="rect"/>
            </v:shapetype>
            <v:shape id="Textruta 1" o:spid="_x0000_s1026" type="#_x0000_t202" style="position:absolute;margin-left:-82.6pt;margin-top:16.45pt;width:70.85pt;height:39.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" filled="f" stroked="f" strokeweight=".5pt">
              <v:textbox inset="0,,0">
                <w:txbxContent>
                  <w:p w14:paraId="20544588" w14:textId="2432BBBF" w:rsidR="003E2932" w:rsidRDefault="003E2932" w:rsidP="003E2932">
                    <w:pPr>
                      <w:pStyle w:val="HSLF-FS-Sidhuvud-sid-2-och-framt"/>
                    </w:pPr>
                    <w:r>
                      <w:t>HSLF-FS</w:t>
                    </w:r>
                    <w:r>
                      <w:br/>
                      <w:t>2021:xx</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4D1A" w14:textId="03631371" w:rsidR="00DF0750" w:rsidRPr="006261DC" w:rsidRDefault="00A35E7B" w:rsidP="00A61D90">
    <w:pPr>
      <w:pStyle w:val="Header"/>
    </w:pPr>
    <w:r>
      <w:pict w14:anchorId="62E84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9" o:spid="_x0000_s2051" type="#_x0000_t136" style="position:absolute;margin-left:0;margin-top:0;width:316.5pt;height:89.5pt;rotation:315;z-index:-251623424;mso-position-horizontal:center;mso-position-horizontal-relative:margin;mso-position-vertical:center;mso-position-vertical-relative:margin" o:allowincell="f" fillcolor="silver" stroked="f">
          <v:fill opacity=".5"/>
          <v:textpath style="font-family:&quot;Times New Roman&quot;;font-size:80pt" string="PROJEKT"/>
          <w10:wrap anchorx="margin" anchory="margin"/>
        </v:shape>
      </w:pict>
    </w:r>
    <w:r w:rsidR="00964D75">
      <w:rPr>
        <w:noProof/>
      </w:rPr>
      <mc:AlternateContent>
        <mc:Choice Requires="wps">
          <w:drawing>
            <wp:anchor distT="0" distB="0" distL="114300" distR="114300" simplePos="0" relativeHeight="251674624" behindDoc="0" locked="0" layoutInCell="1" allowOverlap="1" wp14:anchorId="01C6C916" wp14:editId="421D04FE">
              <wp:simplePos x="0" y="0"/>
              <wp:positionH relativeFrom="column">
                <wp:posOffset>3842385</wp:posOffset>
              </wp:positionH>
              <wp:positionV relativeFrom="paragraph">
                <wp:posOffset>178105</wp:posOffset>
              </wp:positionV>
              <wp:extent cx="899795" cy="438785"/>
              <wp:effectExtent l="0" t="0" r="14605" b="0"/>
              <wp:wrapNone/>
              <wp:docPr id="13" name="Textruta 13"/>
              <wp:cNvGraphicFramePr/>
              <a:graphic xmlns:a="http://schemas.openxmlformats.org/drawingml/2006/main">
                <a:graphicData uri="http://schemas.microsoft.com/office/word/2010/wordprocessingShape">
                  <wps:wsp>
                    <wps:cNvSpPr txBox="1"/>
                    <wps:spPr>
                      <a:xfrm>
                        <a:off x="0" y="0"/>
                        <a:ext cx="899795"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C3161" w14:textId="46E68F4B" w:rsidR="006261DC" w:rsidRDefault="006261DC" w:rsidP="003745FE">
                          <w:pPr>
                            <w:pStyle w:val="HSLF-FS-Sidhuvud-sid-2-och-framt"/>
                          </w:pPr>
                          <w:r>
                            <w:t>HSLF-FS</w:t>
                          </w:r>
                          <w:r>
                            <w:br/>
                            <w:t>2021:xx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6C916" id="_x0000_t202" coordsize="21600,21600" o:spt="202" path="m,l,21600r21600,l21600,xe">
              <v:stroke joinstyle="miter"/>
              <v:path gradientshapeok="t" o:connecttype="rect"/>
            </v:shapetype>
            <v:shape id="Textruta 13" o:spid="_x0000_s1027" type="#_x0000_t202" style="position:absolute;margin-left:302.55pt;margin-top:14pt;width:70.8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" filled="f" stroked="f" strokeweight=".5pt">
              <v:textbox inset="0,,0">
                <w:txbxContent>
                  <w:p w14:paraId="749C3161" w14:textId="46E68F4B" w:rsidR="006261DC" w:rsidRDefault="006261DC" w:rsidP="003745FE">
                    <w:pPr>
                      <w:pStyle w:val="HSLF-FS-Sidhuvud-sid-2-och-framt"/>
                    </w:pPr>
                    <w:r>
                      <w:t>HSLF-FS</w:t>
                    </w:r>
                    <w:r>
                      <w:br/>
                      <w:t>2021:xx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ABE" w14:textId="6B07C217" w:rsidR="00DB331A" w:rsidRDefault="00A35E7B" w:rsidP="00E5276B">
    <w:pPr>
      <w:pStyle w:val="HSLF-FS-Huvudrubrik"/>
    </w:pPr>
    <w:r>
      <w:pict w14:anchorId="11206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8937" o:spid="_x0000_s2049" type="#_x0000_t136" style="position:absolute;margin-left:0;margin-top:0;width:316.5pt;height:89.5pt;rotation:315;z-index:-251627520;mso-position-horizontal:center;mso-position-horizontal-relative:margin;mso-position-vertical:center;mso-position-vertical-relative:margin" o:allowincell="f" fillcolor="silver" stroked="f">
          <v:fill opacity=".5"/>
          <v:textpath style="font-family:&quot;Times New Roman&quot;;font-size:80pt" string="PROJEKT"/>
          <w10:wrap anchorx="margin" anchory="margin"/>
        </v:shape>
      </w:pict>
    </w:r>
    <w:r w:rsidR="00964D75">
      <w:t xml:space="preserve">Wspólny </w:t>
    </w:r>
    <w:r w:rsidR="00964D75">
      <w:t>zbiór przepisów w sprawie opieki zdrowotnej, opieki medycznej, usług socjalnych, produktów medycznych, zdrowia publicznego itp.</w:t>
    </w:r>
  </w:p>
  <w:p w14:paraId="1EDBB6C7" w14:textId="30DA7B01" w:rsidR="00DB331A" w:rsidRPr="00964D75" w:rsidRDefault="001C56D2" w:rsidP="004641D8">
    <w:pPr>
      <w:pStyle w:val="HSLF-FS-Dokmentinformation"/>
      <w:rPr>
        <w:sz w:val="16"/>
        <w:szCs w:val="16"/>
      </w:rPr>
    </w:pPr>
    <w:r>
      <w:rPr>
        <w:noProof/>
      </w:rPr>
      <mc:AlternateContent>
        <mc:Choice Requires="wps">
          <w:drawing>
            <wp:anchor distT="0" distB="0" distL="114300" distR="114300" simplePos="0" relativeHeight="251665408" behindDoc="0" locked="0" layoutInCell="1" allowOverlap="1" wp14:anchorId="1563615C" wp14:editId="5D1B57B4">
              <wp:simplePos x="0" y="0"/>
              <wp:positionH relativeFrom="column">
                <wp:posOffset>3810</wp:posOffset>
              </wp:positionH>
              <wp:positionV relativeFrom="paragraph">
                <wp:posOffset>623845</wp:posOffset>
              </wp:positionV>
              <wp:extent cx="4747260" cy="0"/>
              <wp:effectExtent l="0" t="0" r="15240" b="19050"/>
              <wp:wrapNone/>
              <wp:docPr id="6" name="Rak 6"/>
              <wp:cNvGraphicFramePr/>
              <a:graphic xmlns:a="http://schemas.openxmlformats.org/drawingml/2006/main">
                <a:graphicData uri="http://schemas.microsoft.com/office/word/2010/wordprocessingShape">
                  <wps:wsp>
                    <wps:cNvCnPr/>
                    <wps:spPr>
                      <a:xfrm>
                        <a:off x="0" y="0"/>
                        <a:ext cx="47472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E1885A" id="Rak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9.1pt" to="374.1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" strokecolor="black [3213]"/>
          </w:pict>
        </mc:Fallback>
      </mc:AlternateContent>
    </w:r>
    <w:r w:rsidR="004D7ACB">
      <w:rPr>
        <w:noProof/>
      </w:rPr>
      <mc:AlternateContent>
        <mc:Choice Requires="wps">
          <w:drawing>
            <wp:anchor distT="0" distB="0" distL="114300" distR="114300" simplePos="0" relativeHeight="251666432" behindDoc="0" locked="0" layoutInCell="1" allowOverlap="1" wp14:anchorId="40A7A495" wp14:editId="45EC6445">
              <wp:simplePos x="0" y="0"/>
              <wp:positionH relativeFrom="column">
                <wp:posOffset>3853815</wp:posOffset>
              </wp:positionH>
              <wp:positionV relativeFrom="paragraph">
                <wp:posOffset>765505</wp:posOffset>
              </wp:positionV>
              <wp:extent cx="899795" cy="1259840"/>
              <wp:effectExtent l="0" t="0" r="14605" b="0"/>
              <wp:wrapNone/>
              <wp:docPr id="8" name="Textruta 8"/>
              <wp:cNvGraphicFramePr/>
              <a:graphic xmlns:a="http://schemas.openxmlformats.org/drawingml/2006/main">
                <a:graphicData uri="http://schemas.microsoft.com/office/word/2010/wordprocessingShape">
                  <wps:wsp>
                    <wps:cNvSpPr txBox="1"/>
                    <wps:spPr>
                      <a:xfrm>
                        <a:off x="0" y="0"/>
                        <a:ext cx="899795" cy="1259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Opublikowano w dniu xx lipca 20xx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A495" id="_x0000_t202" coordsize="21600,21600" o:spt="202" path="m,l,21600r21600,l21600,xe">
              <v:stroke joinstyle="miter"/>
              <v:path gradientshapeok="t" o:connecttype="rect"/>
            </v:shapetype>
            <v:shape id="Textruta 8" o:spid="_x0000_s1030" type="#_x0000_t202" style="position:absolute;margin-left:303.45pt;margin-top:60.3pt;width:70.8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" filled="f" stroked="f" strokeweight=".5pt">
              <v:textbox inset="0,,0">
                <w:txbxContent>
                  <w:p w14:paraId="19263CBA" w14:textId="325E12F7" w:rsidR="00DB331A" w:rsidRDefault="00DB331A" w:rsidP="00297A97">
                    <w:pPr>
                      <w:pStyle w:val="HSLF-FS-Sidhuvud-sid-1"/>
                    </w:pPr>
                    <w:r>
                      <w:t>HSLF-FS</w:t>
                    </w:r>
                    <w:r>
                      <w:br/>
                      <w:t>2021:xx</w:t>
                    </w:r>
                  </w:p>
                  <w:p w14:paraId="6AF479A5" w14:textId="77777777" w:rsidR="00DB331A" w:rsidRPr="00142095" w:rsidRDefault="00DB331A" w:rsidP="00DB331A">
                    <w:pPr>
                      <w:pStyle w:val="HSLF-FS-Utkom-fr-trycket"/>
                    </w:pPr>
                    <w:r>
                      <w:t>Opublikowano w dniu xx lipca 20xx</w:t>
                    </w:r>
                  </w:p>
                </w:txbxContent>
              </v:textbox>
            </v:shape>
          </w:pict>
        </mc:Fallback>
      </mc:AlternateContent>
    </w:r>
    <w:r w:rsidR="004D7ACB">
      <w:t xml:space="preserve">ISSN </w:t>
    </w:r>
    <w:r w:rsidR="004D7ACB">
      <w:rPr>
        <w:sz w:val="16"/>
      </w:rPr>
      <w:t>xxx-xxxx, Numer artykułu xxxxxxx</w:t>
    </w:r>
    <w:r w:rsidR="004D7ACB">
      <w:rPr>
        <w:sz w:val="16"/>
      </w:rPr>
      <w:br/>
      <w:t>Wydawca: Kierownik Działu Prawnego – Pär Ödman, Krajowa Rada Zdrowia i Opieki Społecznej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8DB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70FA6"/>
    <w:multiLevelType w:val="hybridMultilevel"/>
    <w:tmpl w:val="EEA845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1B778EC"/>
    <w:multiLevelType w:val="hybridMultilevel"/>
    <w:tmpl w:val="55EA8E34"/>
    <w:lvl w:ilvl="0" w:tplc="EFEAAE38">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51127D"/>
    <w:multiLevelType w:val="hybridMultilevel"/>
    <w:tmpl w:val="BD3C25B4"/>
    <w:lvl w:ilvl="0" w:tplc="6248C7F6">
      <w:start w:val="1"/>
      <w:numFmt w:val="decimal"/>
      <w:pStyle w:val="HSLF-FS-Strecksats"/>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A36550"/>
    <w:multiLevelType w:val="hybridMultilevel"/>
    <w:tmpl w:val="BDB8F3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5103937"/>
    <w:multiLevelType w:val="hybridMultilevel"/>
    <w:tmpl w:val="57FE22C6"/>
    <w:lvl w:ilvl="0" w:tplc="61149922">
      <w:start w:val="1"/>
      <w:numFmt w:val="decimal"/>
      <w:suff w:val="space"/>
      <w:lvlText w:val="%1."/>
      <w:lvlJc w:val="left"/>
      <w:pPr>
        <w:ind w:left="0" w:firstLine="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5015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34EF1"/>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B5B2E76"/>
    <w:multiLevelType w:val="hybridMultilevel"/>
    <w:tmpl w:val="4732BF48"/>
    <w:lvl w:ilvl="0" w:tplc="F8FC617C">
      <w:start w:val="1"/>
      <w:numFmt w:val="lowerLetter"/>
      <w:pStyle w:val="HSLF-FS-Bokstavs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1DB091B"/>
    <w:multiLevelType w:val="multilevel"/>
    <w:tmpl w:val="DAC8E384"/>
    <w:lvl w:ilvl="0">
      <w:start w:val="1"/>
      <w:numFmt w:val="decimal"/>
      <w:lvlText w:val="%1."/>
      <w:lvlJc w:val="left"/>
      <w:pPr>
        <w:ind w:left="360" w:hanging="36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1" w15:restartNumberingAfterBreak="0">
    <w:nsid w:val="225841ED"/>
    <w:multiLevelType w:val="hybridMultilevel"/>
    <w:tmpl w:val="D100807C"/>
    <w:lvl w:ilvl="0" w:tplc="8E1071DE">
      <w:start w:val="1"/>
      <w:numFmt w:val="decimal"/>
      <w:lvlText w:val="%1 §  "/>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52F3DDF"/>
    <w:multiLevelType w:val="hybridMultilevel"/>
    <w:tmpl w:val="CE22A2F0"/>
    <w:lvl w:ilvl="0" w:tplc="52F637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305D69"/>
    <w:multiLevelType w:val="hybridMultilevel"/>
    <w:tmpl w:val="BD3C25B4"/>
    <w:lvl w:ilvl="0" w:tplc="6248C7F6">
      <w:start w:val="1"/>
      <w:numFmt w:val="decimal"/>
      <w:lvlText w:val="%1."/>
      <w:lvlJc w:val="left"/>
      <w:pPr>
        <w:ind w:left="36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2B1CC2"/>
    <w:multiLevelType w:val="hybridMultilevel"/>
    <w:tmpl w:val="B3D687FC"/>
    <w:lvl w:ilvl="0" w:tplc="6248C7F6">
      <w:start w:val="1"/>
      <w:numFmt w:val="decimal"/>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1B41AE"/>
    <w:multiLevelType w:val="hybridMultilevel"/>
    <w:tmpl w:val="AE0A54BA"/>
    <w:lvl w:ilvl="0" w:tplc="472CC7E8">
      <w:start w:val="1"/>
      <w:numFmt w:val="bullet"/>
      <w:lvlText w:val="∙"/>
      <w:lvlJc w:val="left"/>
      <w:pPr>
        <w:ind w:left="36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EA577B"/>
    <w:multiLevelType w:val="hybridMultilevel"/>
    <w:tmpl w:val="6FFC8A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D621B6"/>
    <w:multiLevelType w:val="hybridMultilevel"/>
    <w:tmpl w:val="4ADC5C18"/>
    <w:lvl w:ilvl="0" w:tplc="88A6DC0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820A2E"/>
    <w:multiLevelType w:val="hybridMultilevel"/>
    <w:tmpl w:val="AB0C681E"/>
    <w:lvl w:ilvl="0" w:tplc="C2B4E46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9C6905"/>
    <w:multiLevelType w:val="hybridMultilevel"/>
    <w:tmpl w:val="747C1C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3531A53"/>
    <w:multiLevelType w:val="multilevel"/>
    <w:tmpl w:val="245C2010"/>
    <w:lvl w:ilvl="0">
      <w:start w:val="1"/>
      <w:numFmt w:val="bullet"/>
      <w:pStyle w:val="HSLF-F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1" w15:restartNumberingAfterBreak="0">
    <w:nsid w:val="43FB3E55"/>
    <w:multiLevelType w:val="singleLevel"/>
    <w:tmpl w:val="C9FEB0DE"/>
    <w:lvl w:ilvl="0">
      <w:start w:val="1"/>
      <w:numFmt w:val="decimal"/>
      <w:lvlText w:val="%1"/>
      <w:legacy w:legacy="1" w:legacySpace="0" w:legacyIndent="454"/>
      <w:lvlJc w:val="left"/>
      <w:pPr>
        <w:ind w:left="454" w:hanging="454"/>
      </w:pPr>
    </w:lvl>
  </w:abstractNum>
  <w:abstractNum w:abstractNumId="22" w15:restartNumberingAfterBreak="0">
    <w:nsid w:val="482E4536"/>
    <w:multiLevelType w:val="hybridMultilevel"/>
    <w:tmpl w:val="7DD0FE8A"/>
    <w:lvl w:ilvl="0" w:tplc="BBA420D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91B5A31"/>
    <w:multiLevelType w:val="hybridMultilevel"/>
    <w:tmpl w:val="88603BB4"/>
    <w:lvl w:ilvl="0" w:tplc="B5ECCA20">
      <w:start w:val="1"/>
      <w:numFmt w:val="bullet"/>
      <w:pStyle w:val="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8E7420"/>
    <w:multiLevelType w:val="hybridMultilevel"/>
    <w:tmpl w:val="D69CA8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CF031E1"/>
    <w:multiLevelType w:val="hybridMultilevel"/>
    <w:tmpl w:val="71DEB8F0"/>
    <w:lvl w:ilvl="0" w:tplc="585EA454">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FE5806"/>
    <w:multiLevelType w:val="hybridMultilevel"/>
    <w:tmpl w:val="6E4E0338"/>
    <w:lvl w:ilvl="0" w:tplc="DABE64EC">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7F4F4C"/>
    <w:multiLevelType w:val="multilevel"/>
    <w:tmpl w:val="CF047EE6"/>
    <w:lvl w:ilvl="0">
      <w:start w:val="1"/>
      <w:numFmt w:val="decimal"/>
      <w:pStyle w:val="HSLF-FS-Numreradlista"/>
      <w:lvlText w:val="%1. "/>
      <w:lvlJc w:val="left"/>
      <w:pPr>
        <w:ind w:left="227" w:hanging="227"/>
      </w:pPr>
      <w:rPr>
        <w:rFonts w:hint="default"/>
      </w:rPr>
    </w:lvl>
    <w:lvl w:ilvl="1">
      <w:start w:val="1"/>
      <w:numFmt w:val="bullet"/>
      <w:lvlText w:val="−"/>
      <w:lvlJc w:val="left"/>
      <w:pPr>
        <w:tabs>
          <w:tab w:val="num" w:pos="198"/>
        </w:tabs>
        <w:ind w:left="391" w:hanging="193"/>
      </w:pPr>
      <w:rPr>
        <w:rFonts w:ascii="Arial" w:hAnsi="Arial" w:hint="default"/>
      </w:rPr>
    </w:lvl>
    <w:lvl w:ilvl="2">
      <w:start w:val="1"/>
      <w:numFmt w:val="bullet"/>
      <w:lvlText w:val="»"/>
      <w:lvlJc w:val="left"/>
      <w:pPr>
        <w:ind w:left="522" w:hanging="131"/>
      </w:pPr>
      <w:rPr>
        <w:rFonts w:ascii="Arial" w:hAnsi="Arial"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FF1DA4"/>
    <w:multiLevelType w:val="hybridMultilevel"/>
    <w:tmpl w:val="15EC7E1A"/>
    <w:lvl w:ilvl="0" w:tplc="A1525C1C">
      <w:start w:val="16"/>
      <w:numFmt w:val="bullet"/>
      <w:lvlText w:val="-"/>
      <w:lvlJc w:val="left"/>
      <w:pPr>
        <w:ind w:left="587" w:hanging="360"/>
      </w:pPr>
      <w:rPr>
        <w:rFonts w:ascii="Times New Roman" w:eastAsia="Times New Roman" w:hAnsi="Times New Roman" w:cs="Times New Roman" w:hint="default"/>
      </w:rPr>
    </w:lvl>
    <w:lvl w:ilvl="1" w:tplc="041D0003" w:tentative="1">
      <w:start w:val="1"/>
      <w:numFmt w:val="bullet"/>
      <w:lvlText w:val="o"/>
      <w:lvlJc w:val="left"/>
      <w:pPr>
        <w:ind w:left="1307" w:hanging="360"/>
      </w:pPr>
      <w:rPr>
        <w:rFonts w:ascii="Courier New" w:hAnsi="Courier New" w:cs="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cs="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cs="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29" w15:restartNumberingAfterBreak="0">
    <w:nsid w:val="72D93AEF"/>
    <w:multiLevelType w:val="hybridMultilevel"/>
    <w:tmpl w:val="33884E6E"/>
    <w:lvl w:ilvl="0" w:tplc="23420616">
      <w:start w:val="1"/>
      <w:numFmt w:val="bullet"/>
      <w:pStyle w:val="HSLF-FS-AllmnnaRd-Strecksats"/>
      <w:lvlText w:val=""/>
      <w:lvlJc w:val="left"/>
      <w:pPr>
        <w:ind w:left="947" w:hanging="360"/>
      </w:pPr>
      <w:rPr>
        <w:rFonts w:ascii="Symbol" w:hAnsi="Symbol" w:cs="Times New Roman"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30" w15:restartNumberingAfterBreak="0">
    <w:nsid w:val="74885DBF"/>
    <w:multiLevelType w:val="hybridMultilevel"/>
    <w:tmpl w:val="6B6801AC"/>
    <w:lvl w:ilvl="0" w:tplc="6DEA0CFC">
      <w:start w:val="1"/>
      <w:numFmt w:val="decimal"/>
      <w:lvlText w:val="%1."/>
      <w:lvlJc w:val="left"/>
      <w:pPr>
        <w:ind w:left="587" w:hanging="360"/>
      </w:pPr>
      <w:rPr>
        <w:rFonts w:hint="default"/>
        <w:color w:val="000000" w:themeColor="text1"/>
      </w:rPr>
    </w:lvl>
    <w:lvl w:ilvl="1" w:tplc="041D0019" w:tentative="1">
      <w:start w:val="1"/>
      <w:numFmt w:val="lowerLetter"/>
      <w:lvlText w:val="%2."/>
      <w:lvlJc w:val="left"/>
      <w:pPr>
        <w:ind w:left="1307" w:hanging="360"/>
      </w:pPr>
    </w:lvl>
    <w:lvl w:ilvl="2" w:tplc="041D001B" w:tentative="1">
      <w:start w:val="1"/>
      <w:numFmt w:val="lowerRoman"/>
      <w:lvlText w:val="%3."/>
      <w:lvlJc w:val="right"/>
      <w:pPr>
        <w:ind w:left="2027" w:hanging="180"/>
      </w:pPr>
    </w:lvl>
    <w:lvl w:ilvl="3" w:tplc="041D000F" w:tentative="1">
      <w:start w:val="1"/>
      <w:numFmt w:val="decimal"/>
      <w:lvlText w:val="%4."/>
      <w:lvlJc w:val="left"/>
      <w:pPr>
        <w:ind w:left="2747" w:hanging="360"/>
      </w:pPr>
    </w:lvl>
    <w:lvl w:ilvl="4" w:tplc="041D0019" w:tentative="1">
      <w:start w:val="1"/>
      <w:numFmt w:val="lowerLetter"/>
      <w:lvlText w:val="%5."/>
      <w:lvlJc w:val="left"/>
      <w:pPr>
        <w:ind w:left="3467" w:hanging="360"/>
      </w:pPr>
    </w:lvl>
    <w:lvl w:ilvl="5" w:tplc="041D001B" w:tentative="1">
      <w:start w:val="1"/>
      <w:numFmt w:val="lowerRoman"/>
      <w:lvlText w:val="%6."/>
      <w:lvlJc w:val="right"/>
      <w:pPr>
        <w:ind w:left="4187" w:hanging="180"/>
      </w:pPr>
    </w:lvl>
    <w:lvl w:ilvl="6" w:tplc="041D000F" w:tentative="1">
      <w:start w:val="1"/>
      <w:numFmt w:val="decimal"/>
      <w:lvlText w:val="%7."/>
      <w:lvlJc w:val="left"/>
      <w:pPr>
        <w:ind w:left="4907" w:hanging="360"/>
      </w:pPr>
    </w:lvl>
    <w:lvl w:ilvl="7" w:tplc="041D0019" w:tentative="1">
      <w:start w:val="1"/>
      <w:numFmt w:val="lowerLetter"/>
      <w:lvlText w:val="%8."/>
      <w:lvlJc w:val="left"/>
      <w:pPr>
        <w:ind w:left="5627" w:hanging="360"/>
      </w:pPr>
    </w:lvl>
    <w:lvl w:ilvl="8" w:tplc="041D001B" w:tentative="1">
      <w:start w:val="1"/>
      <w:numFmt w:val="lowerRoman"/>
      <w:lvlText w:val="%9."/>
      <w:lvlJc w:val="right"/>
      <w:pPr>
        <w:ind w:left="6347" w:hanging="180"/>
      </w:pPr>
    </w:lvl>
  </w:abstractNum>
  <w:abstractNum w:abstractNumId="31" w15:restartNumberingAfterBreak="0">
    <w:nsid w:val="7F762475"/>
    <w:multiLevelType w:val="hybridMultilevel"/>
    <w:tmpl w:val="87DC6472"/>
    <w:lvl w:ilvl="0" w:tplc="E0500BDA">
      <w:start w:val="1"/>
      <w:numFmt w:val="decimal"/>
      <w:lvlText w:val="%1."/>
      <w:lvlJc w:val="left"/>
      <w:pPr>
        <w:ind w:left="36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lvlOverride w:ilvl="0">
      <w:lvl w:ilvl="0">
        <w:start w:val="1"/>
        <w:numFmt w:val="bullet"/>
        <w:lvlText w:val=""/>
        <w:legacy w:legacy="1" w:legacySpace="0" w:legacyIndent="454"/>
        <w:lvlJc w:val="left"/>
        <w:pPr>
          <w:ind w:left="454" w:hanging="454"/>
        </w:pPr>
        <w:rPr>
          <w:rFonts w:ascii="Times" w:hAnsi="Times" w:hint="default"/>
        </w:rPr>
      </w:lvl>
    </w:lvlOverride>
  </w:num>
  <w:num w:numId="4">
    <w:abstractNumId w:val="21"/>
  </w:num>
  <w:num w:numId="5">
    <w:abstractNumId w:val="22"/>
  </w:num>
  <w:num w:numId="6">
    <w:abstractNumId w:val="23"/>
  </w:num>
  <w:num w:numId="7">
    <w:abstractNumId w:val="0"/>
  </w:num>
  <w:num w:numId="8">
    <w:abstractNumId w:val="11"/>
  </w:num>
  <w:num w:numId="9">
    <w:abstractNumId w:val="10"/>
  </w:num>
  <w:num w:numId="1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4"/>
  </w:num>
  <w:num w:numId="14">
    <w:abstractNumId w:val="20"/>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4"/>
  </w:num>
  <w:num w:numId="27">
    <w:abstractNumId w:val="13"/>
  </w:num>
  <w:num w:numId="28">
    <w:abstractNumId w:val="18"/>
  </w:num>
  <w:num w:numId="29">
    <w:abstractNumId w:val="17"/>
  </w:num>
  <w:num w:numId="30">
    <w:abstractNumId w:val="12"/>
  </w:num>
  <w:num w:numId="31">
    <w:abstractNumId w:val="2"/>
  </w:num>
  <w:num w:numId="32">
    <w:abstractNumId w:val="30"/>
  </w:num>
  <w:num w:numId="33">
    <w:abstractNumId w:val="6"/>
  </w:num>
  <w:num w:numId="34">
    <w:abstractNumId w:val="5"/>
  </w:num>
  <w:num w:numId="35">
    <w:abstractNumId w:val="16"/>
  </w:num>
  <w:num w:numId="36">
    <w:abstractNumId w:val="25"/>
  </w:num>
  <w:num w:numId="37">
    <w:abstractNumId w:val="24"/>
  </w:num>
  <w:num w:numId="38">
    <w:abstractNumId w:val="26"/>
  </w:num>
  <w:num w:numId="39">
    <w:abstractNumId w:val="28"/>
  </w:num>
  <w:num w:numId="40">
    <w:abstractNumId w:val="3"/>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autoHyphenation/>
  <w:consecutiveHyphenLimit w:val="3"/>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sdok" w:val="sosbrev"/>
  </w:docVars>
  <w:rsids>
    <w:rsidRoot w:val="00F7117C"/>
    <w:rsid w:val="00000DE5"/>
    <w:rsid w:val="000027F1"/>
    <w:rsid w:val="00013C90"/>
    <w:rsid w:val="000141C7"/>
    <w:rsid w:val="00015A42"/>
    <w:rsid w:val="00030358"/>
    <w:rsid w:val="00040F0D"/>
    <w:rsid w:val="00051D47"/>
    <w:rsid w:val="00054DAD"/>
    <w:rsid w:val="000617E2"/>
    <w:rsid w:val="0006211F"/>
    <w:rsid w:val="0006630C"/>
    <w:rsid w:val="00087376"/>
    <w:rsid w:val="00094FF3"/>
    <w:rsid w:val="000A25FC"/>
    <w:rsid w:val="000A4B18"/>
    <w:rsid w:val="000A53DB"/>
    <w:rsid w:val="000C03D3"/>
    <w:rsid w:val="000C1FE0"/>
    <w:rsid w:val="000C2D5D"/>
    <w:rsid w:val="000C7CD4"/>
    <w:rsid w:val="000D5F43"/>
    <w:rsid w:val="000D6765"/>
    <w:rsid w:val="000E02DE"/>
    <w:rsid w:val="000F159D"/>
    <w:rsid w:val="000F6292"/>
    <w:rsid w:val="000F687B"/>
    <w:rsid w:val="000F6D88"/>
    <w:rsid w:val="00102643"/>
    <w:rsid w:val="00102713"/>
    <w:rsid w:val="00102AC6"/>
    <w:rsid w:val="00111649"/>
    <w:rsid w:val="00120C8F"/>
    <w:rsid w:val="00120F2E"/>
    <w:rsid w:val="00124525"/>
    <w:rsid w:val="00135F78"/>
    <w:rsid w:val="0013703D"/>
    <w:rsid w:val="00142095"/>
    <w:rsid w:val="00142E26"/>
    <w:rsid w:val="001505DF"/>
    <w:rsid w:val="00153F3E"/>
    <w:rsid w:val="0015523A"/>
    <w:rsid w:val="00155D51"/>
    <w:rsid w:val="001570BD"/>
    <w:rsid w:val="0016329F"/>
    <w:rsid w:val="00165502"/>
    <w:rsid w:val="00166A4C"/>
    <w:rsid w:val="00183700"/>
    <w:rsid w:val="00192E63"/>
    <w:rsid w:val="001A3ABA"/>
    <w:rsid w:val="001A477A"/>
    <w:rsid w:val="001B67D3"/>
    <w:rsid w:val="001B68EB"/>
    <w:rsid w:val="001C56D2"/>
    <w:rsid w:val="001C7B27"/>
    <w:rsid w:val="001E6061"/>
    <w:rsid w:val="001E76A7"/>
    <w:rsid w:val="00204738"/>
    <w:rsid w:val="00211C20"/>
    <w:rsid w:val="00212593"/>
    <w:rsid w:val="0021662E"/>
    <w:rsid w:val="00221F53"/>
    <w:rsid w:val="00222CBB"/>
    <w:rsid w:val="00225E0F"/>
    <w:rsid w:val="0022738E"/>
    <w:rsid w:val="0024022B"/>
    <w:rsid w:val="0024439E"/>
    <w:rsid w:val="00256D42"/>
    <w:rsid w:val="00261114"/>
    <w:rsid w:val="00264944"/>
    <w:rsid w:val="00274315"/>
    <w:rsid w:val="002772FF"/>
    <w:rsid w:val="00284495"/>
    <w:rsid w:val="00286C3A"/>
    <w:rsid w:val="00290019"/>
    <w:rsid w:val="00290C54"/>
    <w:rsid w:val="00297A97"/>
    <w:rsid w:val="002B4EE5"/>
    <w:rsid w:val="002C0DA6"/>
    <w:rsid w:val="002C5226"/>
    <w:rsid w:val="002D06EA"/>
    <w:rsid w:val="002D182B"/>
    <w:rsid w:val="002D717E"/>
    <w:rsid w:val="002E5FC8"/>
    <w:rsid w:val="002E7C7A"/>
    <w:rsid w:val="002F0A80"/>
    <w:rsid w:val="00302010"/>
    <w:rsid w:val="0030765D"/>
    <w:rsid w:val="00307663"/>
    <w:rsid w:val="00317B76"/>
    <w:rsid w:val="00322348"/>
    <w:rsid w:val="00322754"/>
    <w:rsid w:val="003230C8"/>
    <w:rsid w:val="00326FD4"/>
    <w:rsid w:val="00327FFC"/>
    <w:rsid w:val="003326CD"/>
    <w:rsid w:val="0033542D"/>
    <w:rsid w:val="003452AC"/>
    <w:rsid w:val="003650AC"/>
    <w:rsid w:val="003666D1"/>
    <w:rsid w:val="00371E1C"/>
    <w:rsid w:val="003745FE"/>
    <w:rsid w:val="003802B8"/>
    <w:rsid w:val="00384CD6"/>
    <w:rsid w:val="00386ED3"/>
    <w:rsid w:val="003946D6"/>
    <w:rsid w:val="003A76E1"/>
    <w:rsid w:val="003B0D9F"/>
    <w:rsid w:val="003B2F27"/>
    <w:rsid w:val="003B5410"/>
    <w:rsid w:val="003C3708"/>
    <w:rsid w:val="003C4B24"/>
    <w:rsid w:val="003C62FA"/>
    <w:rsid w:val="003C795A"/>
    <w:rsid w:val="003D5A75"/>
    <w:rsid w:val="003D7233"/>
    <w:rsid w:val="003E05C5"/>
    <w:rsid w:val="003E09D7"/>
    <w:rsid w:val="003E2932"/>
    <w:rsid w:val="003E3388"/>
    <w:rsid w:val="003E763F"/>
    <w:rsid w:val="003F1AE5"/>
    <w:rsid w:val="003F222C"/>
    <w:rsid w:val="003F4B7D"/>
    <w:rsid w:val="003F4C48"/>
    <w:rsid w:val="00403F57"/>
    <w:rsid w:val="00411C22"/>
    <w:rsid w:val="00411F1F"/>
    <w:rsid w:val="00412DA1"/>
    <w:rsid w:val="00420658"/>
    <w:rsid w:val="00421953"/>
    <w:rsid w:val="004315EF"/>
    <w:rsid w:val="00431E6E"/>
    <w:rsid w:val="00433373"/>
    <w:rsid w:val="0043385E"/>
    <w:rsid w:val="004340AD"/>
    <w:rsid w:val="0043652F"/>
    <w:rsid w:val="00460BBD"/>
    <w:rsid w:val="00461C13"/>
    <w:rsid w:val="004641D8"/>
    <w:rsid w:val="0046468A"/>
    <w:rsid w:val="00475A3F"/>
    <w:rsid w:val="004765A2"/>
    <w:rsid w:val="00476674"/>
    <w:rsid w:val="004767E3"/>
    <w:rsid w:val="0048760C"/>
    <w:rsid w:val="004A4064"/>
    <w:rsid w:val="004A715F"/>
    <w:rsid w:val="004A72C4"/>
    <w:rsid w:val="004C0F0F"/>
    <w:rsid w:val="004C65B7"/>
    <w:rsid w:val="004C73D5"/>
    <w:rsid w:val="004D2D2B"/>
    <w:rsid w:val="004D3D07"/>
    <w:rsid w:val="004D4987"/>
    <w:rsid w:val="004D7ACB"/>
    <w:rsid w:val="004F0D96"/>
    <w:rsid w:val="004F4CCF"/>
    <w:rsid w:val="00501579"/>
    <w:rsid w:val="00501DA6"/>
    <w:rsid w:val="0051358A"/>
    <w:rsid w:val="005229C8"/>
    <w:rsid w:val="00530D6D"/>
    <w:rsid w:val="0053578C"/>
    <w:rsid w:val="00535B05"/>
    <w:rsid w:val="00536E2F"/>
    <w:rsid w:val="005469C2"/>
    <w:rsid w:val="00547CF0"/>
    <w:rsid w:val="0055285D"/>
    <w:rsid w:val="005543A1"/>
    <w:rsid w:val="00563AAA"/>
    <w:rsid w:val="00571510"/>
    <w:rsid w:val="00577749"/>
    <w:rsid w:val="00577C10"/>
    <w:rsid w:val="005925B3"/>
    <w:rsid w:val="0059304E"/>
    <w:rsid w:val="005A37C1"/>
    <w:rsid w:val="005A51C0"/>
    <w:rsid w:val="005B0CC3"/>
    <w:rsid w:val="005B1C48"/>
    <w:rsid w:val="005B20E3"/>
    <w:rsid w:val="005B304E"/>
    <w:rsid w:val="005B45B4"/>
    <w:rsid w:val="005B49B0"/>
    <w:rsid w:val="005B631A"/>
    <w:rsid w:val="005C3281"/>
    <w:rsid w:val="005C4A10"/>
    <w:rsid w:val="005C5F81"/>
    <w:rsid w:val="005C62D9"/>
    <w:rsid w:val="005D1BD8"/>
    <w:rsid w:val="005D2F33"/>
    <w:rsid w:val="005D31C3"/>
    <w:rsid w:val="005D5AF8"/>
    <w:rsid w:val="005E1619"/>
    <w:rsid w:val="005E2297"/>
    <w:rsid w:val="006019D8"/>
    <w:rsid w:val="006073A5"/>
    <w:rsid w:val="00615514"/>
    <w:rsid w:val="00617094"/>
    <w:rsid w:val="0062014E"/>
    <w:rsid w:val="006209DC"/>
    <w:rsid w:val="00624471"/>
    <w:rsid w:val="006261DC"/>
    <w:rsid w:val="00631058"/>
    <w:rsid w:val="006377DD"/>
    <w:rsid w:val="00642B0F"/>
    <w:rsid w:val="00646823"/>
    <w:rsid w:val="006472A3"/>
    <w:rsid w:val="0065031B"/>
    <w:rsid w:val="0065064F"/>
    <w:rsid w:val="00651AC5"/>
    <w:rsid w:val="00664736"/>
    <w:rsid w:val="006654DD"/>
    <w:rsid w:val="00673671"/>
    <w:rsid w:val="006812F9"/>
    <w:rsid w:val="006828FD"/>
    <w:rsid w:val="00684585"/>
    <w:rsid w:val="00687C7B"/>
    <w:rsid w:val="00694A4F"/>
    <w:rsid w:val="00697A06"/>
    <w:rsid w:val="006A4E6D"/>
    <w:rsid w:val="006A730E"/>
    <w:rsid w:val="006B0820"/>
    <w:rsid w:val="006B36E7"/>
    <w:rsid w:val="006B7482"/>
    <w:rsid w:val="006C3032"/>
    <w:rsid w:val="006C5CAB"/>
    <w:rsid w:val="006D1646"/>
    <w:rsid w:val="006E138E"/>
    <w:rsid w:val="006E31C0"/>
    <w:rsid w:val="006E4323"/>
    <w:rsid w:val="006E5047"/>
    <w:rsid w:val="00704454"/>
    <w:rsid w:val="0070524A"/>
    <w:rsid w:val="007104FD"/>
    <w:rsid w:val="007123B4"/>
    <w:rsid w:val="00712FD2"/>
    <w:rsid w:val="00724AFE"/>
    <w:rsid w:val="00733113"/>
    <w:rsid w:val="00735042"/>
    <w:rsid w:val="007370F1"/>
    <w:rsid w:val="007509B1"/>
    <w:rsid w:val="0075279A"/>
    <w:rsid w:val="00753F87"/>
    <w:rsid w:val="007564B2"/>
    <w:rsid w:val="007732D0"/>
    <w:rsid w:val="00775505"/>
    <w:rsid w:val="007818B1"/>
    <w:rsid w:val="00782EF0"/>
    <w:rsid w:val="0078586C"/>
    <w:rsid w:val="00786B38"/>
    <w:rsid w:val="007933D1"/>
    <w:rsid w:val="007A0F43"/>
    <w:rsid w:val="007B2F4F"/>
    <w:rsid w:val="007C0355"/>
    <w:rsid w:val="007C2C81"/>
    <w:rsid w:val="007C5C0C"/>
    <w:rsid w:val="007D1526"/>
    <w:rsid w:val="007D204B"/>
    <w:rsid w:val="007D35CB"/>
    <w:rsid w:val="007D742B"/>
    <w:rsid w:val="007D7477"/>
    <w:rsid w:val="007E61A7"/>
    <w:rsid w:val="007F423A"/>
    <w:rsid w:val="007F4284"/>
    <w:rsid w:val="00802CB7"/>
    <w:rsid w:val="008045D8"/>
    <w:rsid w:val="00807EED"/>
    <w:rsid w:val="0082427B"/>
    <w:rsid w:val="0082470E"/>
    <w:rsid w:val="00830AC2"/>
    <w:rsid w:val="0083759A"/>
    <w:rsid w:val="00846234"/>
    <w:rsid w:val="00852CB6"/>
    <w:rsid w:val="0086714A"/>
    <w:rsid w:val="00876360"/>
    <w:rsid w:val="00880837"/>
    <w:rsid w:val="00882EB0"/>
    <w:rsid w:val="0088362A"/>
    <w:rsid w:val="00883A6C"/>
    <w:rsid w:val="0089379B"/>
    <w:rsid w:val="00897725"/>
    <w:rsid w:val="008A3502"/>
    <w:rsid w:val="008A620D"/>
    <w:rsid w:val="008B089D"/>
    <w:rsid w:val="008B1C20"/>
    <w:rsid w:val="008B3CFB"/>
    <w:rsid w:val="008B4853"/>
    <w:rsid w:val="008B6447"/>
    <w:rsid w:val="008B7218"/>
    <w:rsid w:val="008C1647"/>
    <w:rsid w:val="008E0BB7"/>
    <w:rsid w:val="008E2DA0"/>
    <w:rsid w:val="008F3292"/>
    <w:rsid w:val="008F578D"/>
    <w:rsid w:val="008F63B4"/>
    <w:rsid w:val="00901CDE"/>
    <w:rsid w:val="0091535B"/>
    <w:rsid w:val="00927A7F"/>
    <w:rsid w:val="009316D3"/>
    <w:rsid w:val="00940C6F"/>
    <w:rsid w:val="00943E19"/>
    <w:rsid w:val="0094455D"/>
    <w:rsid w:val="0095218D"/>
    <w:rsid w:val="0095592E"/>
    <w:rsid w:val="009626ED"/>
    <w:rsid w:val="00964D75"/>
    <w:rsid w:val="009667CA"/>
    <w:rsid w:val="00967451"/>
    <w:rsid w:val="00977B01"/>
    <w:rsid w:val="00980F92"/>
    <w:rsid w:val="0099066D"/>
    <w:rsid w:val="009911D2"/>
    <w:rsid w:val="00993A39"/>
    <w:rsid w:val="009A1FE8"/>
    <w:rsid w:val="009C1CA6"/>
    <w:rsid w:val="009C696F"/>
    <w:rsid w:val="009D1329"/>
    <w:rsid w:val="009D23D1"/>
    <w:rsid w:val="009D38B5"/>
    <w:rsid w:val="009D4878"/>
    <w:rsid w:val="009E70B3"/>
    <w:rsid w:val="009F2798"/>
    <w:rsid w:val="009F4D7D"/>
    <w:rsid w:val="009F5A5C"/>
    <w:rsid w:val="009F702D"/>
    <w:rsid w:val="00A00AA3"/>
    <w:rsid w:val="00A00D1C"/>
    <w:rsid w:val="00A056B0"/>
    <w:rsid w:val="00A23EF2"/>
    <w:rsid w:val="00A27A96"/>
    <w:rsid w:val="00A310CB"/>
    <w:rsid w:val="00A31A74"/>
    <w:rsid w:val="00A31F46"/>
    <w:rsid w:val="00A34449"/>
    <w:rsid w:val="00A35E7B"/>
    <w:rsid w:val="00A4569C"/>
    <w:rsid w:val="00A50C99"/>
    <w:rsid w:val="00A50E56"/>
    <w:rsid w:val="00A51BE4"/>
    <w:rsid w:val="00A56FA6"/>
    <w:rsid w:val="00A60604"/>
    <w:rsid w:val="00A60B5B"/>
    <w:rsid w:val="00A61D90"/>
    <w:rsid w:val="00A73E08"/>
    <w:rsid w:val="00A82F2D"/>
    <w:rsid w:val="00A844FF"/>
    <w:rsid w:val="00A914FD"/>
    <w:rsid w:val="00A97DE9"/>
    <w:rsid w:val="00AA0527"/>
    <w:rsid w:val="00AA3167"/>
    <w:rsid w:val="00AA67E1"/>
    <w:rsid w:val="00AB0D13"/>
    <w:rsid w:val="00AB493D"/>
    <w:rsid w:val="00AC5EE5"/>
    <w:rsid w:val="00AC6314"/>
    <w:rsid w:val="00AD521C"/>
    <w:rsid w:val="00AD588F"/>
    <w:rsid w:val="00AE2986"/>
    <w:rsid w:val="00AE5BD2"/>
    <w:rsid w:val="00AF7EBA"/>
    <w:rsid w:val="00B20987"/>
    <w:rsid w:val="00B322C5"/>
    <w:rsid w:val="00B37324"/>
    <w:rsid w:val="00B402D1"/>
    <w:rsid w:val="00B43040"/>
    <w:rsid w:val="00B44EDD"/>
    <w:rsid w:val="00B47717"/>
    <w:rsid w:val="00B7226B"/>
    <w:rsid w:val="00B749AF"/>
    <w:rsid w:val="00B8133C"/>
    <w:rsid w:val="00B8268C"/>
    <w:rsid w:val="00B83962"/>
    <w:rsid w:val="00B839AB"/>
    <w:rsid w:val="00B83B97"/>
    <w:rsid w:val="00B855A1"/>
    <w:rsid w:val="00B872A7"/>
    <w:rsid w:val="00B92A2C"/>
    <w:rsid w:val="00B93913"/>
    <w:rsid w:val="00B946E1"/>
    <w:rsid w:val="00B9475C"/>
    <w:rsid w:val="00B94A17"/>
    <w:rsid w:val="00B9767B"/>
    <w:rsid w:val="00BA16EF"/>
    <w:rsid w:val="00BA1B61"/>
    <w:rsid w:val="00BB03EE"/>
    <w:rsid w:val="00BC0A68"/>
    <w:rsid w:val="00BE016C"/>
    <w:rsid w:val="00BE07AC"/>
    <w:rsid w:val="00BE1A57"/>
    <w:rsid w:val="00BF3848"/>
    <w:rsid w:val="00BF4F11"/>
    <w:rsid w:val="00BF6306"/>
    <w:rsid w:val="00BF7D56"/>
    <w:rsid w:val="00C00D0B"/>
    <w:rsid w:val="00C03828"/>
    <w:rsid w:val="00C03C9F"/>
    <w:rsid w:val="00C05B33"/>
    <w:rsid w:val="00C1255A"/>
    <w:rsid w:val="00C13DB1"/>
    <w:rsid w:val="00C172E7"/>
    <w:rsid w:val="00C22997"/>
    <w:rsid w:val="00C26EEA"/>
    <w:rsid w:val="00C3121E"/>
    <w:rsid w:val="00C351D6"/>
    <w:rsid w:val="00C354BC"/>
    <w:rsid w:val="00C371D5"/>
    <w:rsid w:val="00C445C5"/>
    <w:rsid w:val="00C50968"/>
    <w:rsid w:val="00C545F6"/>
    <w:rsid w:val="00C66DE6"/>
    <w:rsid w:val="00C761D9"/>
    <w:rsid w:val="00C76C03"/>
    <w:rsid w:val="00C93A1C"/>
    <w:rsid w:val="00C96192"/>
    <w:rsid w:val="00CA1ADA"/>
    <w:rsid w:val="00CA613C"/>
    <w:rsid w:val="00CA6B7E"/>
    <w:rsid w:val="00CA7917"/>
    <w:rsid w:val="00CC7F1A"/>
    <w:rsid w:val="00CD0291"/>
    <w:rsid w:val="00CD653E"/>
    <w:rsid w:val="00CE4C19"/>
    <w:rsid w:val="00CE6C68"/>
    <w:rsid w:val="00CF4487"/>
    <w:rsid w:val="00CF78C4"/>
    <w:rsid w:val="00CF79ED"/>
    <w:rsid w:val="00D06A43"/>
    <w:rsid w:val="00D10310"/>
    <w:rsid w:val="00D255FF"/>
    <w:rsid w:val="00D25E58"/>
    <w:rsid w:val="00D30902"/>
    <w:rsid w:val="00D3124C"/>
    <w:rsid w:val="00D31840"/>
    <w:rsid w:val="00D41AF7"/>
    <w:rsid w:val="00D43CB5"/>
    <w:rsid w:val="00D54A38"/>
    <w:rsid w:val="00D5555F"/>
    <w:rsid w:val="00D56613"/>
    <w:rsid w:val="00D57B04"/>
    <w:rsid w:val="00D57B74"/>
    <w:rsid w:val="00D60671"/>
    <w:rsid w:val="00D61A7A"/>
    <w:rsid w:val="00D65026"/>
    <w:rsid w:val="00D65332"/>
    <w:rsid w:val="00D67284"/>
    <w:rsid w:val="00D7063B"/>
    <w:rsid w:val="00D77D42"/>
    <w:rsid w:val="00D8693F"/>
    <w:rsid w:val="00D9039C"/>
    <w:rsid w:val="00D94668"/>
    <w:rsid w:val="00D94D6A"/>
    <w:rsid w:val="00D96F05"/>
    <w:rsid w:val="00DA318E"/>
    <w:rsid w:val="00DA443F"/>
    <w:rsid w:val="00DA4BE6"/>
    <w:rsid w:val="00DA4CA4"/>
    <w:rsid w:val="00DA5200"/>
    <w:rsid w:val="00DA6129"/>
    <w:rsid w:val="00DB11F6"/>
    <w:rsid w:val="00DB331A"/>
    <w:rsid w:val="00DC0142"/>
    <w:rsid w:val="00DC32A2"/>
    <w:rsid w:val="00DC39F9"/>
    <w:rsid w:val="00DE014F"/>
    <w:rsid w:val="00DE026C"/>
    <w:rsid w:val="00DE5FA3"/>
    <w:rsid w:val="00DF0750"/>
    <w:rsid w:val="00DF23D8"/>
    <w:rsid w:val="00DF2EEC"/>
    <w:rsid w:val="00E012D3"/>
    <w:rsid w:val="00E15781"/>
    <w:rsid w:val="00E1687E"/>
    <w:rsid w:val="00E175A9"/>
    <w:rsid w:val="00E37443"/>
    <w:rsid w:val="00E44C93"/>
    <w:rsid w:val="00E45894"/>
    <w:rsid w:val="00E4779D"/>
    <w:rsid w:val="00E50352"/>
    <w:rsid w:val="00E5276B"/>
    <w:rsid w:val="00E52BE7"/>
    <w:rsid w:val="00E613C9"/>
    <w:rsid w:val="00E6362F"/>
    <w:rsid w:val="00E647AA"/>
    <w:rsid w:val="00E65874"/>
    <w:rsid w:val="00E70422"/>
    <w:rsid w:val="00E709DC"/>
    <w:rsid w:val="00E71C4D"/>
    <w:rsid w:val="00E73B6B"/>
    <w:rsid w:val="00E83160"/>
    <w:rsid w:val="00E92962"/>
    <w:rsid w:val="00EA1712"/>
    <w:rsid w:val="00EA1C39"/>
    <w:rsid w:val="00EA443D"/>
    <w:rsid w:val="00EB2861"/>
    <w:rsid w:val="00EB6280"/>
    <w:rsid w:val="00EC0E3B"/>
    <w:rsid w:val="00EC6733"/>
    <w:rsid w:val="00ED6DD8"/>
    <w:rsid w:val="00EE4E2B"/>
    <w:rsid w:val="00EE66A6"/>
    <w:rsid w:val="00EF37EA"/>
    <w:rsid w:val="00F01E1C"/>
    <w:rsid w:val="00F04C6B"/>
    <w:rsid w:val="00F11B34"/>
    <w:rsid w:val="00F152B6"/>
    <w:rsid w:val="00F25B0B"/>
    <w:rsid w:val="00F266E7"/>
    <w:rsid w:val="00F34CB6"/>
    <w:rsid w:val="00F35084"/>
    <w:rsid w:val="00F35CE4"/>
    <w:rsid w:val="00F4701E"/>
    <w:rsid w:val="00F478F8"/>
    <w:rsid w:val="00F566F1"/>
    <w:rsid w:val="00F609C9"/>
    <w:rsid w:val="00F65899"/>
    <w:rsid w:val="00F67EE4"/>
    <w:rsid w:val="00F707C2"/>
    <w:rsid w:val="00F7117C"/>
    <w:rsid w:val="00F851A7"/>
    <w:rsid w:val="00F86CE9"/>
    <w:rsid w:val="00F9532B"/>
    <w:rsid w:val="00FA0F3C"/>
    <w:rsid w:val="00FB7D99"/>
    <w:rsid w:val="00FD5E36"/>
    <w:rsid w:val="00FF411E"/>
    <w:rsid w:val="00FF7C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2291BC"/>
  <w15:docId w15:val="{E636A94F-1F41-499A-B97A-42DE5370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D742B"/>
    <w:pPr>
      <w:spacing w:after="120" w:line="264" w:lineRule="atLeast"/>
    </w:pPr>
    <w:rPr>
      <w:sz w:val="22"/>
    </w:rPr>
  </w:style>
  <w:style w:type="paragraph" w:styleId="Heading1">
    <w:name w:val="heading 1"/>
    <w:basedOn w:val="Normal"/>
    <w:next w:val="Normal"/>
    <w:semiHidden/>
    <w:qFormat/>
    <w:rsid w:val="00563AAA"/>
    <w:pPr>
      <w:keepNext/>
      <w:suppressAutoHyphens/>
      <w:spacing w:after="160" w:line="336" w:lineRule="atLeast"/>
      <w:outlineLvl w:val="0"/>
    </w:pPr>
    <w:rPr>
      <w:rFonts w:asciiTheme="majorHAnsi" w:hAnsiTheme="majorHAnsi"/>
      <w:b/>
      <w:kern w:val="28"/>
      <w:sz w:val="28"/>
    </w:rPr>
  </w:style>
  <w:style w:type="paragraph" w:styleId="Heading2">
    <w:name w:val="heading 2"/>
    <w:basedOn w:val="Normal"/>
    <w:next w:val="Normal"/>
    <w:semiHidden/>
    <w:qFormat/>
    <w:rsid w:val="00563AAA"/>
    <w:pPr>
      <w:keepNext/>
      <w:suppressAutoHyphens/>
      <w:spacing w:after="0"/>
      <w:outlineLvl w:val="1"/>
    </w:pPr>
    <w:rPr>
      <w:rFonts w:asciiTheme="majorHAnsi" w:hAnsiTheme="majorHAnsi"/>
      <w:b/>
    </w:rPr>
  </w:style>
  <w:style w:type="paragraph" w:styleId="Heading3">
    <w:name w:val="heading 3"/>
    <w:basedOn w:val="Normal"/>
    <w:next w:val="Normal"/>
    <w:semiHidden/>
    <w:qFormat/>
    <w:rsid w:val="00563AAA"/>
    <w:pPr>
      <w:keepNext/>
      <w:suppressAutoHyphens/>
      <w:spacing w:after="0"/>
      <w:outlineLvl w:val="2"/>
    </w:pPr>
    <w:rPr>
      <w:i/>
    </w:rPr>
  </w:style>
  <w:style w:type="paragraph" w:styleId="Heading4">
    <w:name w:val="heading 4"/>
    <w:basedOn w:val="Normal"/>
    <w:next w:val="Normal"/>
    <w:semiHidden/>
    <w:rsid w:val="007933D1"/>
    <w:pPr>
      <w:keepNext/>
      <w:spacing w:before="240" w:after="60"/>
      <w:outlineLvl w:val="3"/>
    </w:pPr>
    <w:rPr>
      <w:b/>
      <w:i/>
    </w:rPr>
  </w:style>
  <w:style w:type="paragraph" w:styleId="Heading9">
    <w:name w:val="heading 9"/>
    <w:basedOn w:val="Normal"/>
    <w:next w:val="Normal"/>
    <w:link w:val="Heading9Char"/>
    <w:uiPriority w:val="9"/>
    <w:semiHidden/>
    <w:unhideWhenUsed/>
    <w:qFormat/>
    <w:rsid w:val="003C370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4E2B"/>
  </w:style>
  <w:style w:type="paragraph" w:styleId="Footer">
    <w:name w:val="footer"/>
    <w:basedOn w:val="Normal"/>
    <w:link w:val="FooterChar"/>
    <w:uiPriority w:val="99"/>
    <w:unhideWhenUsed/>
    <w:rsid w:val="00C371D5"/>
    <w:pPr>
      <w:tabs>
        <w:tab w:val="left" w:pos="0"/>
        <w:tab w:val="left" w:pos="2608"/>
        <w:tab w:val="left" w:pos="5216"/>
        <w:tab w:val="left" w:pos="7371"/>
      </w:tabs>
      <w:spacing w:after="0" w:line="192" w:lineRule="exact"/>
      <w:ind w:left="-2552"/>
    </w:pPr>
    <w:rPr>
      <w:rFonts w:ascii="Century Gothic" w:hAnsi="Century Gothic"/>
      <w:sz w:val="16"/>
    </w:rPr>
  </w:style>
  <w:style w:type="character" w:styleId="PageNumber">
    <w:name w:val="page number"/>
    <w:basedOn w:val="DefaultParagraphFont"/>
    <w:uiPriority w:val="21"/>
    <w:rsid w:val="00F35CE4"/>
    <w:rPr>
      <w:rFonts w:asciiTheme="minorBidi" w:hAnsiTheme="minorBidi"/>
      <w:color w:val="auto"/>
      <w:sz w:val="21"/>
    </w:rPr>
  </w:style>
  <w:style w:type="paragraph" w:styleId="BalloonText">
    <w:name w:val="Balloon Text"/>
    <w:basedOn w:val="Normal"/>
    <w:link w:val="BalloonTextChar"/>
    <w:uiPriority w:val="99"/>
    <w:semiHidden/>
    <w:rsid w:val="0046468A"/>
    <w:rPr>
      <w:rFonts w:ascii="Tahoma" w:hAnsi="Tahoma" w:cs="Tahoma"/>
      <w:sz w:val="16"/>
      <w:szCs w:val="16"/>
    </w:rPr>
  </w:style>
  <w:style w:type="character" w:customStyle="1" w:styleId="BalloonTextChar">
    <w:name w:val="Balloon Text Char"/>
    <w:link w:val="BalloonText"/>
    <w:uiPriority w:val="99"/>
    <w:semiHidden/>
    <w:rsid w:val="006C3032"/>
    <w:rPr>
      <w:rFonts w:ascii="Tahoma" w:hAnsi="Tahoma" w:cs="Tahoma"/>
      <w:sz w:val="16"/>
      <w:szCs w:val="16"/>
    </w:rPr>
  </w:style>
  <w:style w:type="table" w:styleId="TableGrid">
    <w:name w:val="Table Grid"/>
    <w:aliases w:val="HSLF-FS-Tabell"/>
    <w:basedOn w:val="TableNormal"/>
    <w:uiPriority w:val="59"/>
    <w:rsid w:val="00DA5200"/>
    <w:rPr>
      <w:sz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rPr>
        <w:rFonts w:ascii="Times New Roman" w:hAnsi="Times New Roman"/>
        <w:b w:val="0"/>
        <w:sz w:val="19"/>
      </w:rPr>
    </w:tblStylePr>
    <w:tblStylePr w:type="band1Horz">
      <w:rPr>
        <w:rFonts w:ascii="Times New Roman" w:hAnsi="Times New Roman"/>
        <w:sz w:val="19"/>
      </w:rPr>
    </w:tblStylePr>
    <w:tblStylePr w:type="band2Horz">
      <w:rPr>
        <w:rFonts w:ascii="Times New Roman" w:hAnsi="Times New Roman"/>
        <w:sz w:val="19"/>
      </w:rPr>
    </w:tblStylePr>
  </w:style>
  <w:style w:type="character" w:customStyle="1" w:styleId="FooterChar">
    <w:name w:val="Footer Char"/>
    <w:link w:val="Footer"/>
    <w:uiPriority w:val="99"/>
    <w:rsid w:val="006019D8"/>
    <w:rPr>
      <w:rFonts w:ascii="Century Gothic" w:hAnsi="Century Gothic"/>
      <w:sz w:val="16"/>
    </w:rPr>
  </w:style>
  <w:style w:type="character" w:customStyle="1" w:styleId="HeaderChar">
    <w:name w:val="Header Char"/>
    <w:link w:val="Header"/>
    <w:semiHidden/>
    <w:rsid w:val="00C03828"/>
    <w:rPr>
      <w:sz w:val="22"/>
    </w:rPr>
  </w:style>
  <w:style w:type="paragraph" w:customStyle="1" w:styleId="SoSAvsndaradress">
    <w:name w:val="SoS_Avsändaradress"/>
    <w:basedOn w:val="Header"/>
    <w:uiPriority w:val="98"/>
    <w:semiHidden/>
    <w:rsid w:val="00C03828"/>
    <w:pPr>
      <w:spacing w:after="0" w:line="240" w:lineRule="exact"/>
    </w:pPr>
    <w:rPr>
      <w:noProof/>
      <w:sz w:val="20"/>
    </w:rPr>
  </w:style>
  <w:style w:type="character" w:styleId="PlaceholderText">
    <w:name w:val="Placeholder Text"/>
    <w:basedOn w:val="DefaultParagraphFont"/>
    <w:uiPriority w:val="99"/>
    <w:semiHidden/>
    <w:rsid w:val="00C545F6"/>
    <w:rPr>
      <w:color w:val="808080"/>
    </w:rPr>
  </w:style>
  <w:style w:type="paragraph" w:styleId="ListBullet">
    <w:name w:val="List Bullet"/>
    <w:basedOn w:val="Header"/>
    <w:uiPriority w:val="99"/>
    <w:semiHidden/>
    <w:qFormat/>
    <w:rsid w:val="00C03828"/>
    <w:pPr>
      <w:numPr>
        <w:numId w:val="6"/>
      </w:numPr>
      <w:ind w:left="306" w:hanging="306"/>
      <w:contextualSpacing/>
    </w:pPr>
  </w:style>
  <w:style w:type="paragraph" w:styleId="Date">
    <w:name w:val="Date"/>
    <w:basedOn w:val="Normal"/>
    <w:next w:val="Normal"/>
    <w:link w:val="DateChar"/>
    <w:uiPriority w:val="99"/>
    <w:semiHidden/>
    <w:rsid w:val="00C03828"/>
    <w:pPr>
      <w:spacing w:after="0" w:line="200" w:lineRule="exact"/>
    </w:pPr>
  </w:style>
  <w:style w:type="character" w:customStyle="1" w:styleId="DateChar">
    <w:name w:val="Date Char"/>
    <w:basedOn w:val="DefaultParagraphFont"/>
    <w:link w:val="Date"/>
    <w:uiPriority w:val="99"/>
    <w:semiHidden/>
    <w:rsid w:val="006C3032"/>
    <w:rPr>
      <w:sz w:val="22"/>
    </w:rPr>
  </w:style>
  <w:style w:type="character" w:styleId="Hyperlink">
    <w:name w:val="Hyperlink"/>
    <w:basedOn w:val="DefaultParagraphFont"/>
    <w:uiPriority w:val="99"/>
    <w:semiHidden/>
    <w:rsid w:val="000E02DE"/>
    <w:rPr>
      <w:color w:val="auto"/>
      <w:u w:val="none"/>
    </w:rPr>
  </w:style>
  <w:style w:type="paragraph" w:styleId="EnvelopeAddress">
    <w:name w:val="envelope address"/>
    <w:basedOn w:val="Normal"/>
    <w:uiPriority w:val="99"/>
    <w:semiHidden/>
    <w:qFormat/>
    <w:rsid w:val="00C03828"/>
    <w:pPr>
      <w:spacing w:after="0"/>
    </w:pPr>
  </w:style>
  <w:style w:type="paragraph" w:customStyle="1" w:styleId="HSLF-FS-Brdtext">
    <w:name w:val="HSLF-FS-Brödtext"/>
    <w:basedOn w:val="Normal"/>
    <w:next w:val="HSLF-FS-Brdtextindragfrstaraden"/>
    <w:uiPriority w:val="6"/>
    <w:qFormat/>
    <w:rsid w:val="00615514"/>
    <w:pPr>
      <w:spacing w:after="0" w:line="250" w:lineRule="exact"/>
      <w:jc w:val="both"/>
    </w:pPr>
    <w:rPr>
      <w:sz w:val="21"/>
    </w:rPr>
  </w:style>
  <w:style w:type="paragraph" w:customStyle="1" w:styleId="HSLF-FS-Huvudrubrik">
    <w:name w:val="HSLF-FS-Huvudrubrik"/>
    <w:basedOn w:val="Heading1"/>
    <w:next w:val="HSLF-FS-Brdtext"/>
    <w:rsid w:val="00DF0750"/>
    <w:pPr>
      <w:spacing w:after="0" w:line="380" w:lineRule="exact"/>
    </w:pPr>
    <w:rPr>
      <w:rFonts w:ascii="Times New Roman" w:hAnsi="Times New Roman"/>
      <w:sz w:val="34"/>
    </w:rPr>
  </w:style>
  <w:style w:type="paragraph" w:customStyle="1" w:styleId="HSLF-FS-Rubrik-2">
    <w:name w:val="HSLF-FS-Rubrik-2"/>
    <w:basedOn w:val="Heading2"/>
    <w:next w:val="HSLF-FS-Brdtext"/>
    <w:uiPriority w:val="4"/>
    <w:qFormat/>
    <w:rsid w:val="004315EF"/>
    <w:pPr>
      <w:spacing w:before="284" w:after="96" w:line="270" w:lineRule="exact"/>
    </w:pPr>
    <w:rPr>
      <w:rFonts w:ascii="Times New Roman" w:hAnsi="Times New Roman"/>
      <w:sz w:val="23"/>
    </w:rPr>
  </w:style>
  <w:style w:type="paragraph" w:customStyle="1" w:styleId="SoSSidfot">
    <w:name w:val="SoS_Sidfot"/>
    <w:basedOn w:val="Footer"/>
    <w:uiPriority w:val="3"/>
    <w:semiHidden/>
    <w:rsid w:val="00BE1A57"/>
    <w:pPr>
      <w:tabs>
        <w:tab w:val="clear" w:pos="0"/>
        <w:tab w:val="clear" w:pos="2608"/>
        <w:tab w:val="clear" w:pos="5216"/>
      </w:tabs>
      <w:ind w:left="0"/>
    </w:pPr>
  </w:style>
  <w:style w:type="paragraph" w:customStyle="1" w:styleId="SoSMottagaradress">
    <w:name w:val="SoS_Mottagaradress"/>
    <w:basedOn w:val="EnvelopeAddress"/>
    <w:uiPriority w:val="2"/>
    <w:semiHidden/>
    <w:rsid w:val="00411F1F"/>
  </w:style>
  <w:style w:type="paragraph" w:customStyle="1" w:styleId="HSLF-FS-Beslutsinfo">
    <w:name w:val="HSLF-FS-Beslutsinfo"/>
    <w:basedOn w:val="Normal"/>
    <w:next w:val="HSLF-FS-Brdtext"/>
    <w:uiPriority w:val="5"/>
    <w:rsid w:val="00615514"/>
    <w:pPr>
      <w:spacing w:before="213" w:after="216" w:line="250" w:lineRule="exact"/>
    </w:pPr>
    <w:rPr>
      <w:sz w:val="21"/>
    </w:rPr>
  </w:style>
  <w:style w:type="paragraph" w:customStyle="1" w:styleId="Diarienummer">
    <w:name w:val="Diarienummer"/>
    <w:basedOn w:val="Normal"/>
    <w:semiHidden/>
    <w:qFormat/>
    <w:rsid w:val="00AA3167"/>
    <w:pPr>
      <w:spacing w:after="0" w:line="200" w:lineRule="exact"/>
    </w:pPr>
  </w:style>
  <w:style w:type="paragraph" w:customStyle="1" w:styleId="HSLF-FS-Dokmentinformation">
    <w:name w:val="HSLF-FS-Dokmentinformation"/>
    <w:basedOn w:val="Normal"/>
    <w:uiPriority w:val="1"/>
    <w:rsid w:val="00142095"/>
    <w:pPr>
      <w:spacing w:before="284" w:after="113" w:line="200" w:lineRule="exact"/>
    </w:pPr>
    <w:rPr>
      <w:sz w:val="17"/>
    </w:rPr>
  </w:style>
  <w:style w:type="paragraph" w:customStyle="1" w:styleId="HSLF-FS-Rubrik-1">
    <w:name w:val="HSLF-FS-Rubrik-1"/>
    <w:basedOn w:val="Normal"/>
    <w:next w:val="HSLF-FS-Beslutsinfo"/>
    <w:uiPriority w:val="4"/>
    <w:qFormat/>
    <w:rsid w:val="00DF0750"/>
    <w:pPr>
      <w:spacing w:before="454" w:after="0" w:line="300" w:lineRule="exact"/>
    </w:pPr>
    <w:rPr>
      <w:b/>
      <w:noProof/>
      <w:sz w:val="26"/>
    </w:rPr>
  </w:style>
  <w:style w:type="character" w:styleId="FollowedHyperlink">
    <w:name w:val="FollowedHyperlink"/>
    <w:basedOn w:val="DefaultParagraphFont"/>
    <w:uiPriority w:val="99"/>
    <w:semiHidden/>
    <w:rsid w:val="008E2DA0"/>
    <w:rPr>
      <w:color w:val="000000" w:themeColor="followedHyperlink"/>
      <w:u w:val="single"/>
    </w:rPr>
  </w:style>
  <w:style w:type="paragraph" w:customStyle="1" w:styleId="HSLF-FS-Brdtextindragfrstaraden">
    <w:name w:val="HSLF-FS-Brödtext indrag första raden"/>
    <w:basedOn w:val="HSLF-FS-Brdtext"/>
    <w:uiPriority w:val="8"/>
    <w:qFormat/>
    <w:rsid w:val="00615514"/>
    <w:pPr>
      <w:ind w:firstLine="227"/>
    </w:pPr>
    <w:rPr>
      <w:color w:val="000000" w:themeColor="text1"/>
    </w:rPr>
  </w:style>
  <w:style w:type="paragraph" w:customStyle="1" w:styleId="HSLF-FS-Utkom-fr-trycket">
    <w:name w:val="HSLF-FS-Utkom-fr-trycket"/>
    <w:basedOn w:val="Normal"/>
    <w:uiPriority w:val="3"/>
    <w:rsid w:val="00142095"/>
    <w:pPr>
      <w:spacing w:before="142" w:after="0" w:line="200" w:lineRule="exact"/>
    </w:pPr>
    <w:rPr>
      <w:sz w:val="17"/>
      <w:szCs w:val="17"/>
    </w:rPr>
  </w:style>
  <w:style w:type="paragraph" w:customStyle="1" w:styleId="HSLF-FS-Sidhuvud-sid-2-och-framt">
    <w:name w:val="HSLF-FS-Sidhuvud-sid-2-och-framåt"/>
    <w:basedOn w:val="HSLF-FS-Rubrik-1"/>
    <w:uiPriority w:val="2"/>
    <w:rsid w:val="00DB331A"/>
    <w:pPr>
      <w:spacing w:before="0" w:line="270" w:lineRule="exact"/>
    </w:pPr>
    <w:rPr>
      <w:sz w:val="23"/>
    </w:rPr>
  </w:style>
  <w:style w:type="paragraph" w:customStyle="1" w:styleId="HSLF-FS-Sidhuvud-sid-1">
    <w:name w:val="HSLF-FS-Sidhuvud-sid-1"/>
    <w:basedOn w:val="HSLF-FS-Sidhuvud-sid-2-och-framt"/>
    <w:uiPriority w:val="2"/>
    <w:rsid w:val="00297A97"/>
    <w:pPr>
      <w:spacing w:line="300" w:lineRule="exact"/>
    </w:pPr>
    <w:rPr>
      <w:sz w:val="26"/>
    </w:rPr>
  </w:style>
  <w:style w:type="paragraph" w:customStyle="1" w:styleId="HSLF-FS-Tabellrubrik">
    <w:name w:val="HSLF-FS-Tabellrubrik"/>
    <w:basedOn w:val="HSLF-FS-Brdtext"/>
    <w:next w:val="HSLF-FS-Brdtext"/>
    <w:uiPriority w:val="10"/>
    <w:rsid w:val="006A730E"/>
    <w:pPr>
      <w:spacing w:before="120" w:after="40"/>
    </w:pPr>
    <w:rPr>
      <w:b/>
      <w:sz w:val="20"/>
    </w:rPr>
  </w:style>
  <w:style w:type="paragraph" w:customStyle="1" w:styleId="HSLF-FS-Tabellhuvud">
    <w:name w:val="HSLF-FS-Tabellhuvud"/>
    <w:basedOn w:val="HSLF-FS-Brdtext"/>
    <w:uiPriority w:val="11"/>
    <w:rsid w:val="00D65026"/>
    <w:pPr>
      <w:spacing w:before="40" w:after="40" w:line="220" w:lineRule="exact"/>
    </w:pPr>
    <w:rPr>
      <w:b/>
      <w:sz w:val="18"/>
    </w:rPr>
  </w:style>
  <w:style w:type="paragraph" w:customStyle="1" w:styleId="HSLF-FS-Tabelltext">
    <w:name w:val="HSLF-FS-Tabelltext"/>
    <w:basedOn w:val="HSLF-FS-Tabellhuvud"/>
    <w:uiPriority w:val="12"/>
    <w:rsid w:val="00F04C6B"/>
    <w:pPr>
      <w:spacing w:before="20" w:after="20"/>
    </w:pPr>
    <w:rPr>
      <w:b w:val="0"/>
    </w:rPr>
  </w:style>
  <w:style w:type="paragraph" w:customStyle="1" w:styleId="HSLF-FS-Tabelltext-hgerjusterad">
    <w:name w:val="HSLF-FS-Tabelltext-högerjusterad"/>
    <w:basedOn w:val="HSLF-FS-Tabelltext"/>
    <w:uiPriority w:val="12"/>
    <w:rsid w:val="00F04C6B"/>
    <w:pPr>
      <w:jc w:val="right"/>
    </w:pPr>
  </w:style>
  <w:style w:type="paragraph" w:customStyle="1" w:styleId="HSLF-FS-Rubrik-3">
    <w:name w:val="HSLF-FS-Rubrik-3"/>
    <w:basedOn w:val="HSLF-FS-Rubrik-2"/>
    <w:next w:val="HSLF-FS-Brdtext"/>
    <w:uiPriority w:val="4"/>
    <w:qFormat/>
    <w:rsid w:val="005B1C48"/>
    <w:pPr>
      <w:spacing w:after="85" w:line="250" w:lineRule="exact"/>
    </w:pPr>
    <w:rPr>
      <w:i/>
      <w:sz w:val="22"/>
    </w:rPr>
  </w:style>
  <w:style w:type="paragraph" w:customStyle="1" w:styleId="HSLF-FS-Rubrik-4">
    <w:name w:val="HSLF-FS-Rubrik-4"/>
    <w:basedOn w:val="HSLF-FS-Rubrik-3"/>
    <w:next w:val="HSLF-FS-Brdtext"/>
    <w:uiPriority w:val="4"/>
    <w:rsid w:val="005B1C48"/>
    <w:pPr>
      <w:spacing w:before="227" w:after="57"/>
    </w:pPr>
    <w:rPr>
      <w:b w:val="0"/>
      <w:i w:val="0"/>
    </w:rPr>
  </w:style>
  <w:style w:type="paragraph" w:customStyle="1" w:styleId="HSLF-FS-Rubrik-5">
    <w:name w:val="HSLF-FS-Rubrik-5"/>
    <w:basedOn w:val="HSLF-FS-Rubrik-4"/>
    <w:next w:val="HSLF-FS-Brdtext"/>
    <w:uiPriority w:val="4"/>
    <w:rsid w:val="005B1C48"/>
    <w:pPr>
      <w:spacing w:line="240" w:lineRule="exact"/>
    </w:pPr>
    <w:rPr>
      <w:i/>
      <w:sz w:val="21"/>
    </w:rPr>
  </w:style>
  <w:style w:type="paragraph" w:customStyle="1" w:styleId="HSLF-FS-Bokstavslista">
    <w:name w:val="HSLF-FS-Bokstavslista"/>
    <w:basedOn w:val="Normal"/>
    <w:uiPriority w:val="9"/>
    <w:rsid w:val="00876360"/>
    <w:pPr>
      <w:numPr>
        <w:numId w:val="12"/>
      </w:numPr>
      <w:spacing w:after="57" w:line="250" w:lineRule="exact"/>
      <w:ind w:left="227" w:hanging="227"/>
      <w:contextualSpacing/>
      <w:jc w:val="both"/>
    </w:pPr>
    <w:rPr>
      <w:color w:val="000000" w:themeColor="text1"/>
      <w:sz w:val="21"/>
    </w:rPr>
  </w:style>
  <w:style w:type="paragraph" w:customStyle="1" w:styleId="HSLF-FS-Strecksats">
    <w:name w:val="HSLF-FS-Strecksats"/>
    <w:basedOn w:val="Normal"/>
    <w:uiPriority w:val="9"/>
    <w:qFormat/>
    <w:rsid w:val="00876360"/>
    <w:pPr>
      <w:numPr>
        <w:numId w:val="13"/>
      </w:numPr>
      <w:spacing w:after="57" w:line="250" w:lineRule="exact"/>
      <w:contextualSpacing/>
      <w:jc w:val="both"/>
    </w:pPr>
    <w:rPr>
      <w:color w:val="000000" w:themeColor="text1"/>
      <w:sz w:val="21"/>
    </w:rPr>
  </w:style>
  <w:style w:type="paragraph" w:customStyle="1" w:styleId="HSLF-FS-Tabellunderrubrik">
    <w:name w:val="HSLF-FS-Tabellunderrubrik"/>
    <w:basedOn w:val="HSLF-FS-Tabellrubrik"/>
    <w:uiPriority w:val="10"/>
    <w:rsid w:val="006A730E"/>
    <w:pPr>
      <w:spacing w:before="0"/>
    </w:pPr>
    <w:rPr>
      <w:b w:val="0"/>
      <w:sz w:val="18"/>
    </w:rPr>
  </w:style>
  <w:style w:type="paragraph" w:customStyle="1" w:styleId="HSLF-FS-Tabellklla">
    <w:name w:val="HSLF-FS-Tabellkälla"/>
    <w:basedOn w:val="HSLF-FS-Brdtext"/>
    <w:uiPriority w:val="13"/>
    <w:rsid w:val="00015A42"/>
    <w:pPr>
      <w:spacing w:before="57" w:after="57"/>
    </w:pPr>
    <w:rPr>
      <w:sz w:val="18"/>
    </w:rPr>
  </w:style>
  <w:style w:type="paragraph" w:customStyle="1" w:styleId="HSLF-FS-Bilaga">
    <w:name w:val="HSLF-FS-Bilaga"/>
    <w:basedOn w:val="HSLF-FS-Brdtext"/>
    <w:uiPriority w:val="15"/>
    <w:qFormat/>
    <w:rsid w:val="00015A42"/>
    <w:rPr>
      <w:sz w:val="22"/>
    </w:rPr>
  </w:style>
  <w:style w:type="paragraph" w:customStyle="1" w:styleId="HSLF-FS-Tryckort">
    <w:name w:val="HSLF-FS-Tryckort"/>
    <w:basedOn w:val="HSLF-FS-Brdtext"/>
    <w:uiPriority w:val="20"/>
    <w:rsid w:val="00015A42"/>
    <w:pPr>
      <w:spacing w:line="190" w:lineRule="exact"/>
    </w:pPr>
    <w:rPr>
      <w:sz w:val="16"/>
    </w:rPr>
  </w:style>
  <w:style w:type="paragraph" w:customStyle="1" w:styleId="HSLF-FS-AllmnnaRd-Rubrik">
    <w:name w:val="HSLF-FS-AllmännaRåd-Rubrik"/>
    <w:basedOn w:val="HSLF-FS-Brdtext"/>
    <w:uiPriority w:val="16"/>
    <w:qFormat/>
    <w:rsid w:val="00A00D1C"/>
    <w:pPr>
      <w:spacing w:before="170" w:after="85"/>
      <w:ind w:left="227"/>
    </w:pPr>
    <w:rPr>
      <w:i/>
    </w:rPr>
  </w:style>
  <w:style w:type="paragraph" w:customStyle="1" w:styleId="HSLF-FS-AllmnnaRd-Brdtext">
    <w:name w:val="HSLF-FS-AllmännaRåd-Brödtext"/>
    <w:basedOn w:val="HSLF-FS-AllmnnaRd-Rubrik"/>
    <w:uiPriority w:val="17"/>
    <w:qFormat/>
    <w:rsid w:val="00A00D1C"/>
    <w:pPr>
      <w:spacing w:before="0" w:after="0"/>
    </w:pPr>
    <w:rPr>
      <w:i w:val="0"/>
    </w:rPr>
  </w:style>
  <w:style w:type="paragraph" w:customStyle="1" w:styleId="HSLF-FS-AllmnnaRd-Brdtextmedindrag">
    <w:name w:val="HSLF-FS-AllmännaRåd-Brödtext med indrag"/>
    <w:basedOn w:val="HSLF-FS-AllmnnaRd-Brdtext"/>
    <w:uiPriority w:val="17"/>
    <w:qFormat/>
    <w:rsid w:val="005B1C48"/>
    <w:pPr>
      <w:ind w:firstLine="227"/>
    </w:pPr>
  </w:style>
  <w:style w:type="paragraph" w:customStyle="1" w:styleId="HSLF-FS-AllmnnaRd-Strecksats">
    <w:name w:val="HSLF-FS-AllmännaRåd-Strecksats"/>
    <w:basedOn w:val="HSLF-FS-Strecksats"/>
    <w:uiPriority w:val="17"/>
    <w:qFormat/>
    <w:rsid w:val="006E5047"/>
    <w:pPr>
      <w:numPr>
        <w:numId w:val="15"/>
      </w:numPr>
      <w:spacing w:after="0"/>
      <w:ind w:left="454" w:hanging="227"/>
    </w:pPr>
  </w:style>
  <w:style w:type="paragraph" w:styleId="FootnoteText">
    <w:name w:val="footnote text"/>
    <w:basedOn w:val="Normal"/>
    <w:link w:val="FootnoteTextChar"/>
    <w:uiPriority w:val="99"/>
    <w:semiHidden/>
    <w:unhideWhenUsed/>
    <w:rsid w:val="00A00D1C"/>
    <w:pPr>
      <w:spacing w:after="0" w:line="240" w:lineRule="auto"/>
    </w:pPr>
    <w:rPr>
      <w:sz w:val="20"/>
    </w:rPr>
  </w:style>
  <w:style w:type="character" w:customStyle="1" w:styleId="FootnoteTextChar">
    <w:name w:val="Footnote Text Char"/>
    <w:basedOn w:val="DefaultParagraphFont"/>
    <w:link w:val="FootnoteText"/>
    <w:uiPriority w:val="99"/>
    <w:semiHidden/>
    <w:rsid w:val="00A00D1C"/>
  </w:style>
  <w:style w:type="character" w:styleId="FootnoteReference">
    <w:name w:val="footnote reference"/>
    <w:basedOn w:val="DefaultParagraphFont"/>
    <w:uiPriority w:val="99"/>
    <w:semiHidden/>
    <w:unhideWhenUsed/>
    <w:rsid w:val="00A00D1C"/>
    <w:rPr>
      <w:vertAlign w:val="superscript"/>
    </w:rPr>
  </w:style>
  <w:style w:type="paragraph" w:customStyle="1" w:styleId="HSLF-FS-Fotnot">
    <w:name w:val="HSLF-FS-Fotnot"/>
    <w:basedOn w:val="FootnoteText"/>
    <w:uiPriority w:val="14"/>
    <w:qFormat/>
    <w:rsid w:val="00A00D1C"/>
    <w:pPr>
      <w:spacing w:line="190" w:lineRule="exact"/>
    </w:pPr>
    <w:rPr>
      <w:sz w:val="16"/>
    </w:rPr>
  </w:style>
  <w:style w:type="paragraph" w:customStyle="1" w:styleId="HSLF-FS-Punktlista">
    <w:name w:val="HSLF-FS-Punktlista"/>
    <w:basedOn w:val="Normal"/>
    <w:uiPriority w:val="9"/>
    <w:rsid w:val="00897725"/>
    <w:pPr>
      <w:numPr>
        <w:numId w:val="14"/>
      </w:numPr>
      <w:spacing w:after="57" w:line="240" w:lineRule="exact"/>
      <w:ind w:left="227" w:hanging="227"/>
      <w:contextualSpacing/>
    </w:pPr>
    <w:rPr>
      <w:sz w:val="21"/>
    </w:rPr>
  </w:style>
  <w:style w:type="paragraph" w:customStyle="1" w:styleId="HSLF-FS-Beslutande">
    <w:name w:val="HSLF-FS-Beslutande"/>
    <w:basedOn w:val="HSLF-FS-Brdtext"/>
    <w:uiPriority w:val="18"/>
    <w:rsid w:val="00307663"/>
    <w:rPr>
      <w:caps/>
    </w:rPr>
  </w:style>
  <w:style w:type="paragraph" w:customStyle="1" w:styleId="HSLF-FS-Kontrasignering">
    <w:name w:val="HSLF-FS-Kontrasignering"/>
    <w:basedOn w:val="HSLF-FS-Brdtext"/>
    <w:next w:val="HSLF-FS-Brdtext"/>
    <w:uiPriority w:val="18"/>
    <w:rsid w:val="00307663"/>
    <w:pPr>
      <w:ind w:left="3062"/>
    </w:pPr>
  </w:style>
  <w:style w:type="paragraph" w:customStyle="1" w:styleId="HSLF-FS-Bestllningsinformation">
    <w:name w:val="HSLF-FS-Beställningsinformation"/>
    <w:basedOn w:val="HSLF-FS-Brdtext"/>
    <w:uiPriority w:val="19"/>
    <w:rsid w:val="00615514"/>
    <w:pPr>
      <w:spacing w:line="230" w:lineRule="exact"/>
    </w:pPr>
    <w:rPr>
      <w:sz w:val="19"/>
    </w:rPr>
  </w:style>
  <w:style w:type="paragraph" w:customStyle="1" w:styleId="HSLF-FS-Kontaktinformation">
    <w:name w:val="HSLF-FS-Kontaktinformation"/>
    <w:basedOn w:val="HSLF-FS-Brdtext"/>
    <w:uiPriority w:val="19"/>
    <w:rsid w:val="00615514"/>
    <w:pPr>
      <w:spacing w:line="230" w:lineRule="exact"/>
    </w:pPr>
    <w:rPr>
      <w:sz w:val="19"/>
    </w:rPr>
  </w:style>
  <w:style w:type="paragraph" w:customStyle="1" w:styleId="HSLF-FS-Numreradlista">
    <w:name w:val="HSLF-FS-Numrerad lista"/>
    <w:basedOn w:val="Normal"/>
    <w:uiPriority w:val="9"/>
    <w:rsid w:val="00880837"/>
    <w:pPr>
      <w:numPr>
        <w:numId w:val="17"/>
      </w:numPr>
      <w:spacing w:after="57" w:line="250" w:lineRule="exact"/>
      <w:contextualSpacing/>
      <w:jc w:val="both"/>
    </w:pPr>
    <w:rPr>
      <w:color w:val="000000" w:themeColor="text1"/>
      <w:sz w:val="21"/>
    </w:rPr>
  </w:style>
  <w:style w:type="paragraph" w:styleId="Quote">
    <w:name w:val="Quote"/>
    <w:basedOn w:val="Normal"/>
    <w:next w:val="Normal"/>
    <w:link w:val="QuoteChar"/>
    <w:uiPriority w:val="29"/>
    <w:rsid w:val="003E763F"/>
    <w:pPr>
      <w:spacing w:after="0" w:line="240" w:lineRule="auto"/>
    </w:pPr>
    <w:rPr>
      <w:rFonts w:asciiTheme="minorHAnsi" w:eastAsiaTheme="minorHAnsi" w:hAnsiTheme="minorHAnsi"/>
      <w:i/>
      <w:sz w:val="20"/>
      <w:szCs w:val="24"/>
      <w:lang w:eastAsia="en-US" w:bidi="en-US"/>
    </w:rPr>
  </w:style>
  <w:style w:type="character" w:customStyle="1" w:styleId="QuoteChar">
    <w:name w:val="Quote Char"/>
    <w:basedOn w:val="DefaultParagraphFont"/>
    <w:link w:val="Quote"/>
    <w:uiPriority w:val="29"/>
    <w:rsid w:val="003E763F"/>
    <w:rPr>
      <w:rFonts w:asciiTheme="minorHAnsi" w:eastAsiaTheme="minorHAnsi" w:hAnsiTheme="minorHAnsi"/>
      <w:i/>
      <w:szCs w:val="24"/>
      <w:lang w:eastAsia="en-US" w:bidi="en-US"/>
    </w:rPr>
  </w:style>
  <w:style w:type="character" w:styleId="CommentReference">
    <w:name w:val="annotation reference"/>
    <w:basedOn w:val="DefaultParagraphFont"/>
    <w:uiPriority w:val="99"/>
    <w:semiHidden/>
    <w:unhideWhenUsed/>
    <w:rsid w:val="00C1255A"/>
    <w:rPr>
      <w:sz w:val="16"/>
      <w:szCs w:val="16"/>
    </w:rPr>
  </w:style>
  <w:style w:type="paragraph" w:styleId="CommentText">
    <w:name w:val="annotation text"/>
    <w:basedOn w:val="Normal"/>
    <w:link w:val="CommentTextChar"/>
    <w:uiPriority w:val="99"/>
    <w:semiHidden/>
    <w:unhideWhenUsed/>
    <w:rsid w:val="00C1255A"/>
    <w:pPr>
      <w:spacing w:line="240" w:lineRule="auto"/>
    </w:pPr>
    <w:rPr>
      <w:sz w:val="20"/>
    </w:rPr>
  </w:style>
  <w:style w:type="character" w:customStyle="1" w:styleId="CommentTextChar">
    <w:name w:val="Comment Text Char"/>
    <w:basedOn w:val="DefaultParagraphFont"/>
    <w:link w:val="CommentText"/>
    <w:uiPriority w:val="99"/>
    <w:semiHidden/>
    <w:rsid w:val="00C1255A"/>
  </w:style>
  <w:style w:type="paragraph" w:styleId="CommentSubject">
    <w:name w:val="annotation subject"/>
    <w:basedOn w:val="CommentText"/>
    <w:next w:val="CommentText"/>
    <w:link w:val="CommentSubjectChar"/>
    <w:uiPriority w:val="99"/>
    <w:semiHidden/>
    <w:unhideWhenUsed/>
    <w:rsid w:val="00C1255A"/>
    <w:rPr>
      <w:b/>
      <w:bCs/>
    </w:rPr>
  </w:style>
  <w:style w:type="character" w:customStyle="1" w:styleId="CommentSubjectChar">
    <w:name w:val="Comment Subject Char"/>
    <w:basedOn w:val="CommentTextChar"/>
    <w:link w:val="CommentSubject"/>
    <w:uiPriority w:val="99"/>
    <w:semiHidden/>
    <w:rsid w:val="00C1255A"/>
    <w:rPr>
      <w:b/>
      <w:bCs/>
    </w:rPr>
  </w:style>
  <w:style w:type="character" w:customStyle="1" w:styleId="Heading9Char">
    <w:name w:val="Heading 9 Char"/>
    <w:basedOn w:val="DefaultParagraphFont"/>
    <w:link w:val="Heading9"/>
    <w:uiPriority w:val="1"/>
    <w:semiHidden/>
    <w:rsid w:val="003C3708"/>
    <w:rPr>
      <w:rFonts w:asciiTheme="majorHAnsi" w:eastAsiaTheme="majorEastAsia" w:hAnsiTheme="majorHAnsi" w:cstheme="majorBidi"/>
      <w:i/>
      <w:iCs/>
      <w:color w:val="272727" w:themeColor="text1" w:themeTint="D8"/>
      <w:sz w:val="21"/>
      <w:szCs w:val="21"/>
    </w:rPr>
  </w:style>
  <w:style w:type="paragraph" w:customStyle="1" w:styleId="Default">
    <w:name w:val="Default"/>
    <w:rsid w:val="003C3708"/>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28793">
      <w:bodyDiv w:val="1"/>
      <w:marLeft w:val="0"/>
      <w:marRight w:val="0"/>
      <w:marTop w:val="0"/>
      <w:marBottom w:val="0"/>
      <w:divBdr>
        <w:top w:val="none" w:sz="0" w:space="0" w:color="auto"/>
        <w:left w:val="none" w:sz="0" w:space="0" w:color="auto"/>
        <w:bottom w:val="none" w:sz="0" w:space="0" w:color="auto"/>
        <w:right w:val="none" w:sz="0" w:space="0" w:color="auto"/>
      </w:divBdr>
    </w:div>
    <w:div w:id="932207653">
      <w:bodyDiv w:val="1"/>
      <w:marLeft w:val="0"/>
      <w:marRight w:val="0"/>
      <w:marTop w:val="0"/>
      <w:marBottom w:val="0"/>
      <w:divBdr>
        <w:top w:val="none" w:sz="0" w:space="0" w:color="auto"/>
        <w:left w:val="none" w:sz="0" w:space="0" w:color="auto"/>
        <w:bottom w:val="none" w:sz="0" w:space="0" w:color="auto"/>
        <w:right w:val="none" w:sz="0" w:space="0" w:color="auto"/>
      </w:divBdr>
    </w:div>
    <w:div w:id="1295528081">
      <w:bodyDiv w:val="1"/>
      <w:marLeft w:val="0"/>
      <w:marRight w:val="0"/>
      <w:marTop w:val="0"/>
      <w:marBottom w:val="0"/>
      <w:divBdr>
        <w:top w:val="none" w:sz="0" w:space="0" w:color="auto"/>
        <w:left w:val="none" w:sz="0" w:space="0" w:color="auto"/>
        <w:bottom w:val="none" w:sz="0" w:space="0" w:color="auto"/>
        <w:right w:val="none" w:sz="0" w:space="0" w:color="auto"/>
      </w:divBdr>
    </w:div>
    <w:div w:id="1427921366">
      <w:bodyDiv w:val="1"/>
      <w:marLeft w:val="0"/>
      <w:marRight w:val="0"/>
      <w:marTop w:val="0"/>
      <w:marBottom w:val="0"/>
      <w:divBdr>
        <w:top w:val="none" w:sz="0" w:space="0" w:color="auto"/>
        <w:left w:val="none" w:sz="0" w:space="0" w:color="auto"/>
        <w:bottom w:val="none" w:sz="0" w:space="0" w:color="auto"/>
        <w:right w:val="none" w:sz="0" w:space="0" w:color="auto"/>
      </w:divBdr>
    </w:div>
    <w:div w:id="16382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inm\AppData\Local\Microsoft\Windows\INetCache\Content.Outlook\VPNYNDEB\HSLF-FS-mall-20161101.dotx" TargetMode="External"/></Relationships>
</file>

<file path=word/theme/theme1.xml><?xml version="1.0" encoding="utf-8"?>
<a:theme xmlns:a="http://schemas.openxmlformats.org/drawingml/2006/main" name="SOC_Tema">
  <a:themeElements>
    <a:clrScheme name="Anpassat 3">
      <a:dk1>
        <a:sysClr val="windowText" lastClr="000000"/>
      </a:dk1>
      <a:lt1>
        <a:srgbClr val="DAD7CB"/>
      </a:lt1>
      <a:dk2>
        <a:srgbClr val="8D6E97"/>
      </a:dk2>
      <a:lt2>
        <a:srgbClr val="4A7729"/>
      </a:lt2>
      <a:accent1>
        <a:srgbClr val="A6BCC6"/>
      </a:accent1>
      <a:accent2>
        <a:srgbClr val="7D9AAA"/>
      </a:accent2>
      <a:accent3>
        <a:srgbClr val="D3BF96"/>
      </a:accent3>
      <a:accent4>
        <a:srgbClr val="002B45"/>
      </a:accent4>
      <a:accent5>
        <a:srgbClr val="857363"/>
      </a:accent5>
      <a:accent6>
        <a:srgbClr val="452325"/>
      </a:accent6>
      <a:hlink>
        <a:srgbClr val="000000"/>
      </a:hlink>
      <a:folHlink>
        <a:srgbClr val="000000"/>
      </a:folHlink>
    </a:clrScheme>
    <a:fontScheme name="Anpassat 44">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76BC-FDBF-45CA-B2A7-A314EECA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HSLF-FS-mall-20161101.dotx</Template>
  <TotalTime>4</TotalTime>
  <Pages>1</Pages>
  <Words>2684</Words>
  <Characters>15300</Characters>
  <Application>Microsoft Office Word</Application>
  <DocSecurity>0</DocSecurity>
  <Lines>127</Lines>
  <Paragraphs>35</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Malmström Malin</dc:creator>
  <cp:lastModifiedBy>Dimitris Dimitriadis</cp:lastModifiedBy>
  <cp:revision>7</cp:revision>
  <cp:lastPrinted>2013-04-29T08:38:00Z</cp:lastPrinted>
  <dcterms:created xsi:type="dcterms:W3CDTF">2021-06-28T07:31:00Z</dcterms:created>
  <dcterms:modified xsi:type="dcterms:W3CDTF">2021-07-05T15:23:00Z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09001be6847e2322</vt:lpwstr>
  </property>
  <property fmtid="{D5CDD505-2E9C-101B-9397-08002B2CF9AE}" pid="3" name="product_name">
    <vt:lpwstr>d2</vt:lpwstr>
  </property>
</Properties>
</file>