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0B0" w:rsidRPr="00814C17" w:rsidRDefault="002B40B0" w:rsidP="002B40B0">
      <w:pPr>
        <w:spacing w:after="120"/>
        <w:jc w:val="center"/>
        <w:rPr>
          <w:rFonts w:ascii="Courier New" w:hAnsi="Courier New"/>
          <w:sz w:val="20"/>
          <w:szCs w:val="20"/>
        </w:rPr>
      </w:pPr>
      <w:r>
        <w:rPr>
          <w:rFonts w:ascii="Courier New" w:hAnsi="Courier New"/>
          <w:sz w:val="20"/>
        </w:rPr>
        <w:t>1. ------IND- 2019 0372 HR- FR- ------ 20200</w:t>
      </w:r>
      <w:r>
        <w:rPr>
          <w:rFonts w:ascii="Courier New" w:hAnsi="Courier New"/>
          <w:sz w:val="20"/>
        </w:rPr>
        <w:t>721 --- --- FINAL</w:t>
      </w:r>
      <w:bookmarkStart w:id="0" w:name="_GoBack"/>
      <w:bookmarkEnd w:id="0"/>
    </w:p>
    <w:p w:rsidR="00004A7B" w:rsidRPr="00D15292" w:rsidRDefault="00004A7B" w:rsidP="00004A7B">
      <w:pPr>
        <w:jc w:val="center"/>
        <w:rPr>
          <w:rFonts w:ascii="Times New Roman" w:hAnsi="Times New Roman" w:cs="Times New Roman"/>
          <w:b/>
          <w:sz w:val="36"/>
          <w:szCs w:val="36"/>
        </w:rPr>
      </w:pPr>
      <w:r>
        <w:rPr>
          <w:rFonts w:ascii="Times New Roman" w:hAnsi="Times New Roman"/>
          <w:b/>
          <w:sz w:val="36"/>
          <w:szCs w:val="36"/>
        </w:rPr>
        <w:t>GOUVERNEMENT DE LA RÉPUBLIQUE DE CROATIE</w:t>
      </w:r>
    </w:p>
    <w:p w:rsidR="00004A7B" w:rsidRPr="00D15292" w:rsidRDefault="00004A7B" w:rsidP="00004A7B">
      <w:pPr>
        <w:jc w:val="right"/>
        <w:rPr>
          <w:rFonts w:ascii="Times New Roman" w:hAnsi="Times New Roman" w:cs="Times New Roman"/>
          <w:sz w:val="24"/>
          <w:szCs w:val="24"/>
        </w:rPr>
      </w:pPr>
      <w:r>
        <w:rPr>
          <w:rFonts w:ascii="Times New Roman" w:hAnsi="Times New Roman"/>
          <w:sz w:val="24"/>
          <w:szCs w:val="24"/>
        </w:rPr>
        <w:t>93</w:t>
      </w:r>
    </w:p>
    <w:p w:rsidR="00004A7B" w:rsidRPr="00D15292" w:rsidRDefault="00004A7B" w:rsidP="00004A7B">
      <w:pPr>
        <w:jc w:val="both"/>
        <w:rPr>
          <w:rFonts w:ascii="Times New Roman" w:hAnsi="Times New Roman" w:cs="Times New Roman"/>
          <w:sz w:val="24"/>
          <w:szCs w:val="24"/>
        </w:rPr>
      </w:pPr>
      <w:r>
        <w:rPr>
          <w:rFonts w:ascii="Times New Roman" w:hAnsi="Times New Roman"/>
          <w:sz w:val="24"/>
          <w:szCs w:val="24"/>
        </w:rPr>
        <w:t>Sur la base de l</w:t>
      </w:r>
      <w:r w:rsidR="00BB3A42">
        <w:rPr>
          <w:rFonts w:ascii="Times New Roman" w:hAnsi="Times New Roman"/>
          <w:sz w:val="24"/>
          <w:szCs w:val="24"/>
        </w:rPr>
        <w:t>’</w:t>
      </w:r>
      <w:r>
        <w:rPr>
          <w:rFonts w:ascii="Times New Roman" w:hAnsi="Times New Roman"/>
          <w:sz w:val="24"/>
          <w:szCs w:val="24"/>
        </w:rPr>
        <w:t>article 53, paragraphe 4, de la loi sur la gestion durable des déchets (Journal officiel nº  94/13, 73/17, 14/19 et 98/19), à la session tenue le 16 janvier 2020, le gouvernement de la République de Croatie a adopté le</w:t>
      </w:r>
    </w:p>
    <w:p w:rsidR="00004A7B" w:rsidRPr="00D15292" w:rsidRDefault="00004A7B" w:rsidP="00004A7B">
      <w:pPr>
        <w:jc w:val="center"/>
        <w:rPr>
          <w:rFonts w:ascii="Times New Roman" w:hAnsi="Times New Roman" w:cs="Times New Roman"/>
          <w:b/>
          <w:sz w:val="28"/>
          <w:szCs w:val="28"/>
        </w:rPr>
      </w:pPr>
      <w:r>
        <w:rPr>
          <w:rFonts w:ascii="Times New Roman" w:hAnsi="Times New Roman"/>
          <w:b/>
          <w:sz w:val="28"/>
          <w:szCs w:val="28"/>
        </w:rPr>
        <w:t>RÈGLEMENT</w:t>
      </w:r>
    </w:p>
    <w:p w:rsidR="00004A7B" w:rsidRPr="00D15292" w:rsidRDefault="00004A7B" w:rsidP="00004A7B">
      <w:pPr>
        <w:jc w:val="center"/>
        <w:rPr>
          <w:rFonts w:ascii="Times New Roman" w:hAnsi="Times New Roman" w:cs="Times New Roman"/>
          <w:b/>
          <w:sz w:val="28"/>
          <w:szCs w:val="28"/>
        </w:rPr>
      </w:pPr>
      <w:r>
        <w:rPr>
          <w:rFonts w:ascii="Times New Roman" w:hAnsi="Times New Roman"/>
          <w:b/>
          <w:sz w:val="28"/>
          <w:szCs w:val="28"/>
        </w:rPr>
        <w:t>MODIFIANT LE RÈGLEMENT RELATIF À LA GESTION DES DÉCHETS D</w:t>
      </w:r>
      <w:r w:rsidR="00BB3A42">
        <w:rPr>
          <w:rFonts w:ascii="Times New Roman" w:hAnsi="Times New Roman"/>
          <w:b/>
          <w:sz w:val="28"/>
          <w:szCs w:val="28"/>
        </w:rPr>
        <w:t>’</w:t>
      </w:r>
      <w:r>
        <w:rPr>
          <w:rFonts w:ascii="Times New Roman" w:hAnsi="Times New Roman"/>
          <w:b/>
          <w:sz w:val="28"/>
          <w:szCs w:val="28"/>
        </w:rPr>
        <w:t>EMBALLAGES</w:t>
      </w:r>
    </w:p>
    <w:p w:rsidR="00301266" w:rsidRPr="00D15292" w:rsidRDefault="00301266" w:rsidP="00301266">
      <w:pPr>
        <w:spacing w:after="0"/>
        <w:jc w:val="center"/>
        <w:rPr>
          <w:rFonts w:ascii="Times New Roman" w:hAnsi="Times New Roman" w:cs="Times New Roman"/>
          <w:sz w:val="24"/>
          <w:szCs w:val="24"/>
        </w:rPr>
      </w:pPr>
    </w:p>
    <w:p w:rsidR="00004A7B" w:rsidRPr="00D15292" w:rsidRDefault="00004A7B" w:rsidP="00004A7B">
      <w:pPr>
        <w:jc w:val="center"/>
        <w:rPr>
          <w:rFonts w:ascii="Times New Roman" w:hAnsi="Times New Roman" w:cs="Times New Roman"/>
          <w:sz w:val="24"/>
          <w:szCs w:val="24"/>
        </w:rPr>
      </w:pPr>
      <w:r>
        <w:rPr>
          <w:rFonts w:ascii="Times New Roman" w:hAnsi="Times New Roman"/>
          <w:sz w:val="24"/>
          <w:szCs w:val="24"/>
        </w:rPr>
        <w:t>Article premier</w:t>
      </w:r>
    </w:p>
    <w:p w:rsidR="00004A7B" w:rsidRPr="00D15292" w:rsidRDefault="00004A7B" w:rsidP="00004A7B">
      <w:pPr>
        <w:jc w:val="both"/>
        <w:rPr>
          <w:rFonts w:ascii="Times New Roman" w:hAnsi="Times New Roman" w:cs="Times New Roman"/>
          <w:sz w:val="24"/>
          <w:szCs w:val="24"/>
        </w:rPr>
      </w:pPr>
      <w:r>
        <w:rPr>
          <w:rFonts w:ascii="Times New Roman" w:hAnsi="Times New Roman"/>
          <w:sz w:val="24"/>
          <w:szCs w:val="24"/>
        </w:rPr>
        <w:t>Dans le règlement relatif à la gestion des déchets d</w:t>
      </w:r>
      <w:r w:rsidR="00BB3A42">
        <w:rPr>
          <w:rFonts w:ascii="Times New Roman" w:hAnsi="Times New Roman"/>
          <w:sz w:val="24"/>
          <w:szCs w:val="24"/>
        </w:rPr>
        <w:t>’</w:t>
      </w:r>
      <w:r>
        <w:rPr>
          <w:rFonts w:ascii="Times New Roman" w:hAnsi="Times New Roman"/>
          <w:sz w:val="24"/>
          <w:szCs w:val="24"/>
        </w:rPr>
        <w:t>emballages (Journal officiel nº 97/15), à l</w:t>
      </w:r>
      <w:r w:rsidR="00BB3A42">
        <w:rPr>
          <w:rFonts w:ascii="Times New Roman" w:hAnsi="Times New Roman"/>
          <w:sz w:val="24"/>
          <w:szCs w:val="24"/>
        </w:rPr>
        <w:t>’</w:t>
      </w:r>
      <w:r>
        <w:rPr>
          <w:rFonts w:ascii="Times New Roman" w:hAnsi="Times New Roman"/>
          <w:sz w:val="24"/>
          <w:szCs w:val="24"/>
        </w:rPr>
        <w:t>article premier, après le paragraphe 1, un paragraphe 2 est ajouté comme suit:</w:t>
      </w:r>
    </w:p>
    <w:p w:rsidR="00004A7B" w:rsidRPr="00D15292" w:rsidRDefault="00004A7B" w:rsidP="00004A7B">
      <w:pPr>
        <w:jc w:val="both"/>
        <w:rPr>
          <w:rFonts w:ascii="Times New Roman" w:hAnsi="Times New Roman" w:cs="Times New Roman"/>
          <w:sz w:val="24"/>
          <w:szCs w:val="24"/>
        </w:rPr>
      </w:pPr>
      <w:r>
        <w:rPr>
          <w:rFonts w:ascii="Times New Roman" w:hAnsi="Times New Roman"/>
          <w:sz w:val="24"/>
          <w:szCs w:val="24"/>
        </w:rPr>
        <w:t>«(2) Le présent règlement est établi en appliquant la procédure d</w:t>
      </w:r>
      <w:r w:rsidR="00BB3A42">
        <w:rPr>
          <w:rFonts w:ascii="Times New Roman" w:hAnsi="Times New Roman"/>
          <w:sz w:val="24"/>
          <w:szCs w:val="24"/>
        </w:rPr>
        <w:t>’</w:t>
      </w:r>
      <w:r>
        <w:rPr>
          <w:rFonts w:ascii="Times New Roman" w:hAnsi="Times New Roman"/>
          <w:sz w:val="24"/>
          <w:szCs w:val="24"/>
        </w:rPr>
        <w:t>information conformément à la directive (UE) 2015/1535 du Parlement européen et du Conseil du 9 septembre 2015 prévoyant une procédure d</w:t>
      </w:r>
      <w:r w:rsidR="00BB3A42">
        <w:rPr>
          <w:rFonts w:ascii="Times New Roman" w:hAnsi="Times New Roman"/>
          <w:sz w:val="24"/>
          <w:szCs w:val="24"/>
        </w:rPr>
        <w:t>’</w:t>
      </w:r>
      <w:r>
        <w:rPr>
          <w:rFonts w:ascii="Times New Roman" w:hAnsi="Times New Roman"/>
          <w:sz w:val="24"/>
          <w:szCs w:val="24"/>
        </w:rPr>
        <w:t>information dans le domaine des réglementations techniques et des règles relatives aux services de la société de l</w:t>
      </w:r>
      <w:r w:rsidR="00BB3A42">
        <w:rPr>
          <w:rFonts w:ascii="Times New Roman" w:hAnsi="Times New Roman"/>
          <w:sz w:val="24"/>
          <w:szCs w:val="24"/>
        </w:rPr>
        <w:t>’information (JO L 241 du 17.</w:t>
      </w:r>
      <w:r>
        <w:rPr>
          <w:rFonts w:ascii="Times New Roman" w:hAnsi="Times New Roman"/>
          <w:sz w:val="24"/>
          <w:szCs w:val="24"/>
        </w:rPr>
        <w:t>9.2015).».</w:t>
      </w:r>
    </w:p>
    <w:p w:rsidR="00301266" w:rsidRPr="00D15292" w:rsidRDefault="00301266" w:rsidP="00004A7B">
      <w:pPr>
        <w:jc w:val="center"/>
        <w:rPr>
          <w:rFonts w:ascii="Times New Roman" w:hAnsi="Times New Roman" w:cs="Times New Roman"/>
          <w:sz w:val="24"/>
          <w:szCs w:val="24"/>
        </w:rPr>
      </w:pPr>
    </w:p>
    <w:p w:rsidR="00004A7B" w:rsidRPr="00D15292" w:rsidRDefault="00004A7B" w:rsidP="00D15292">
      <w:pPr>
        <w:keepNext/>
        <w:jc w:val="center"/>
        <w:rPr>
          <w:rFonts w:ascii="Times New Roman" w:hAnsi="Times New Roman" w:cs="Times New Roman"/>
          <w:sz w:val="24"/>
          <w:szCs w:val="24"/>
        </w:rPr>
      </w:pPr>
      <w:r>
        <w:rPr>
          <w:rFonts w:ascii="Times New Roman" w:hAnsi="Times New Roman"/>
          <w:sz w:val="24"/>
          <w:szCs w:val="24"/>
        </w:rPr>
        <w:t>Article 2</w:t>
      </w:r>
    </w:p>
    <w:p w:rsidR="00004A7B" w:rsidRPr="00D15292" w:rsidRDefault="00004A7B" w:rsidP="00004A7B">
      <w:pPr>
        <w:jc w:val="both"/>
        <w:rPr>
          <w:rFonts w:ascii="Times New Roman" w:hAnsi="Times New Roman" w:cs="Times New Roman"/>
          <w:sz w:val="24"/>
          <w:szCs w:val="24"/>
        </w:rPr>
      </w:pPr>
      <w:r>
        <w:rPr>
          <w:rFonts w:ascii="Times New Roman" w:hAnsi="Times New Roman"/>
          <w:sz w:val="24"/>
          <w:szCs w:val="24"/>
        </w:rPr>
        <w:t>À l</w:t>
      </w:r>
      <w:r w:rsidR="00BB3A42">
        <w:rPr>
          <w:rFonts w:ascii="Times New Roman" w:hAnsi="Times New Roman"/>
          <w:sz w:val="24"/>
          <w:szCs w:val="24"/>
        </w:rPr>
        <w:t>’</w:t>
      </w:r>
      <w:r>
        <w:rPr>
          <w:rFonts w:ascii="Times New Roman" w:hAnsi="Times New Roman"/>
          <w:sz w:val="24"/>
          <w:szCs w:val="24"/>
        </w:rPr>
        <w:t>article 2, le point 1 est supprimé.</w:t>
      </w:r>
    </w:p>
    <w:p w:rsidR="00004A7B" w:rsidRPr="00D15292" w:rsidRDefault="00004A7B" w:rsidP="00004A7B">
      <w:pPr>
        <w:jc w:val="both"/>
        <w:rPr>
          <w:rFonts w:ascii="Times New Roman" w:hAnsi="Times New Roman" w:cs="Times New Roman"/>
          <w:sz w:val="24"/>
          <w:szCs w:val="24"/>
        </w:rPr>
      </w:pPr>
      <w:r>
        <w:rPr>
          <w:rFonts w:ascii="Times New Roman" w:hAnsi="Times New Roman"/>
          <w:sz w:val="24"/>
          <w:szCs w:val="24"/>
        </w:rPr>
        <w:t>Les actuels points 2 à 5 deviennent les points 1 à 4.</w:t>
      </w:r>
    </w:p>
    <w:p w:rsidR="00004A7B" w:rsidRPr="00D15292" w:rsidRDefault="00004A7B" w:rsidP="00004A7B">
      <w:pPr>
        <w:jc w:val="both"/>
        <w:rPr>
          <w:rFonts w:ascii="Times New Roman" w:hAnsi="Times New Roman" w:cs="Times New Roman"/>
          <w:sz w:val="24"/>
          <w:szCs w:val="24"/>
        </w:rPr>
      </w:pPr>
      <w:r>
        <w:rPr>
          <w:rFonts w:ascii="Times New Roman" w:hAnsi="Times New Roman"/>
          <w:sz w:val="24"/>
          <w:szCs w:val="24"/>
        </w:rPr>
        <w:t>L</w:t>
      </w:r>
      <w:r w:rsidR="00BB3A42">
        <w:rPr>
          <w:rFonts w:ascii="Times New Roman" w:hAnsi="Times New Roman"/>
          <w:sz w:val="24"/>
          <w:szCs w:val="24"/>
        </w:rPr>
        <w:t>’</w:t>
      </w:r>
      <w:r>
        <w:rPr>
          <w:rFonts w:ascii="Times New Roman" w:hAnsi="Times New Roman"/>
          <w:sz w:val="24"/>
          <w:szCs w:val="24"/>
        </w:rPr>
        <w:t>actuel point 6, qui devient le point 5, est modifié comme suit:</w:t>
      </w:r>
    </w:p>
    <w:p w:rsidR="00004A7B" w:rsidRPr="00D15292" w:rsidRDefault="00004A7B" w:rsidP="00004A7B">
      <w:pPr>
        <w:jc w:val="both"/>
        <w:rPr>
          <w:rFonts w:ascii="Times New Roman" w:hAnsi="Times New Roman" w:cs="Times New Roman"/>
          <w:sz w:val="24"/>
          <w:szCs w:val="24"/>
        </w:rPr>
      </w:pPr>
      <w:r>
        <w:rPr>
          <w:rFonts w:ascii="Times New Roman" w:hAnsi="Times New Roman"/>
          <w:sz w:val="24"/>
          <w:szCs w:val="24"/>
        </w:rPr>
        <w:t>«5. “boissons”, les boissons alcoolisées, les boissons non alcoolisées, les eaux de table, les eaux minérales naturelles et les eaux de source naturelles, les sirops de fruits, les jus et nectars de fruits, le lait et les produits laitiers liquides et tout autre liquide à base de fruits ou autres, ainsi que tout autre adjuvant qui, associé à un liquide, forme une entité complète d</w:t>
      </w:r>
      <w:r w:rsidR="00BB3A42">
        <w:rPr>
          <w:rFonts w:ascii="Times New Roman" w:hAnsi="Times New Roman"/>
          <w:sz w:val="24"/>
          <w:szCs w:val="24"/>
        </w:rPr>
        <w:t>’</w:t>
      </w:r>
      <w:r>
        <w:rPr>
          <w:rFonts w:ascii="Times New Roman" w:hAnsi="Times New Roman"/>
          <w:sz w:val="24"/>
          <w:szCs w:val="24"/>
        </w:rPr>
        <w:t>emballage primaire;».</w:t>
      </w:r>
    </w:p>
    <w:p w:rsidR="00004A7B" w:rsidRPr="00D15292" w:rsidRDefault="00004A7B" w:rsidP="00004A7B">
      <w:pPr>
        <w:jc w:val="both"/>
        <w:rPr>
          <w:rFonts w:ascii="Times New Roman" w:hAnsi="Times New Roman" w:cs="Times New Roman"/>
          <w:sz w:val="24"/>
          <w:szCs w:val="24"/>
        </w:rPr>
      </w:pPr>
      <w:r>
        <w:rPr>
          <w:rFonts w:ascii="Times New Roman" w:hAnsi="Times New Roman"/>
          <w:sz w:val="24"/>
          <w:szCs w:val="24"/>
        </w:rPr>
        <w:t>L</w:t>
      </w:r>
      <w:r w:rsidR="00BB3A42">
        <w:rPr>
          <w:rFonts w:ascii="Times New Roman" w:hAnsi="Times New Roman"/>
          <w:sz w:val="24"/>
          <w:szCs w:val="24"/>
        </w:rPr>
        <w:t>’</w:t>
      </w:r>
      <w:r>
        <w:rPr>
          <w:rFonts w:ascii="Times New Roman" w:hAnsi="Times New Roman"/>
          <w:sz w:val="24"/>
          <w:szCs w:val="24"/>
        </w:rPr>
        <w:t>actuel point 7 devient le point 6.</w:t>
      </w:r>
    </w:p>
    <w:p w:rsidR="00004A7B" w:rsidRPr="00D15292" w:rsidRDefault="00004A7B" w:rsidP="00D15292">
      <w:pPr>
        <w:keepNext/>
        <w:jc w:val="both"/>
        <w:rPr>
          <w:rFonts w:ascii="Times New Roman" w:hAnsi="Times New Roman" w:cs="Times New Roman"/>
          <w:sz w:val="24"/>
          <w:szCs w:val="24"/>
        </w:rPr>
      </w:pPr>
      <w:r>
        <w:rPr>
          <w:rFonts w:ascii="Times New Roman" w:hAnsi="Times New Roman"/>
          <w:sz w:val="24"/>
          <w:szCs w:val="24"/>
        </w:rPr>
        <w:lastRenderedPageBreak/>
        <w:t>L</w:t>
      </w:r>
      <w:r w:rsidR="00BB3A42">
        <w:rPr>
          <w:rFonts w:ascii="Times New Roman" w:hAnsi="Times New Roman"/>
          <w:sz w:val="24"/>
          <w:szCs w:val="24"/>
        </w:rPr>
        <w:t>’</w:t>
      </w:r>
      <w:r>
        <w:rPr>
          <w:rFonts w:ascii="Times New Roman" w:hAnsi="Times New Roman"/>
          <w:sz w:val="24"/>
          <w:szCs w:val="24"/>
        </w:rPr>
        <w:t>actuel point 8, qui devient le point 7, est modifié comme suit:</w:t>
      </w:r>
    </w:p>
    <w:p w:rsidR="00004A7B" w:rsidRPr="00D15292" w:rsidRDefault="00004A7B" w:rsidP="00004A7B">
      <w:pPr>
        <w:jc w:val="both"/>
        <w:rPr>
          <w:rFonts w:ascii="Times New Roman" w:hAnsi="Times New Roman" w:cs="Times New Roman"/>
          <w:sz w:val="24"/>
          <w:szCs w:val="24"/>
        </w:rPr>
      </w:pPr>
      <w:r>
        <w:rPr>
          <w:rFonts w:ascii="Times New Roman" w:hAnsi="Times New Roman"/>
          <w:sz w:val="24"/>
          <w:szCs w:val="24"/>
        </w:rPr>
        <w:t>«7. “fabricant et importateur du produit” (ci-après dénommé “fabricant”), une personne physique ou morale – commerçant qui crée, développe, fabrique, remet à neuf, traite, vend, introduit ou importe et met sur le marché en République de Croatie des produits emballés;».</w:t>
      </w:r>
    </w:p>
    <w:p w:rsidR="00004A7B" w:rsidRDefault="00004A7B" w:rsidP="00004A7B">
      <w:pPr>
        <w:jc w:val="both"/>
        <w:rPr>
          <w:rFonts w:ascii="Times New Roman" w:hAnsi="Times New Roman" w:cs="Times New Roman"/>
          <w:sz w:val="24"/>
          <w:szCs w:val="24"/>
        </w:rPr>
      </w:pPr>
      <w:r>
        <w:rPr>
          <w:rFonts w:ascii="Times New Roman" w:hAnsi="Times New Roman"/>
          <w:sz w:val="24"/>
          <w:szCs w:val="24"/>
        </w:rPr>
        <w:t>L</w:t>
      </w:r>
      <w:r w:rsidR="00BB3A42">
        <w:rPr>
          <w:rFonts w:ascii="Times New Roman" w:hAnsi="Times New Roman"/>
          <w:sz w:val="24"/>
          <w:szCs w:val="24"/>
        </w:rPr>
        <w:t>’</w:t>
      </w:r>
      <w:r>
        <w:rPr>
          <w:rFonts w:ascii="Times New Roman" w:hAnsi="Times New Roman"/>
          <w:sz w:val="24"/>
          <w:szCs w:val="24"/>
        </w:rPr>
        <w:t>actuel point 9 devient le point 8.</w:t>
      </w:r>
    </w:p>
    <w:p w:rsidR="00D15292" w:rsidRPr="00D15292" w:rsidRDefault="00D15292" w:rsidP="00004A7B">
      <w:pPr>
        <w:jc w:val="both"/>
        <w:rPr>
          <w:rFonts w:ascii="Times New Roman" w:hAnsi="Times New Roman" w:cs="Times New Roman"/>
          <w:sz w:val="24"/>
          <w:szCs w:val="24"/>
        </w:rPr>
      </w:pPr>
    </w:p>
    <w:p w:rsidR="00004A7B" w:rsidRPr="00D15292" w:rsidRDefault="00004A7B" w:rsidP="00D15292">
      <w:pPr>
        <w:keepNext/>
        <w:jc w:val="center"/>
        <w:rPr>
          <w:rFonts w:ascii="Times New Roman" w:hAnsi="Times New Roman" w:cs="Times New Roman"/>
          <w:sz w:val="24"/>
          <w:szCs w:val="24"/>
        </w:rPr>
      </w:pPr>
      <w:r>
        <w:rPr>
          <w:rFonts w:ascii="Times New Roman" w:hAnsi="Times New Roman"/>
          <w:sz w:val="24"/>
          <w:szCs w:val="24"/>
        </w:rPr>
        <w:t>Article 3</w:t>
      </w:r>
    </w:p>
    <w:p w:rsidR="00004A7B" w:rsidRPr="00D15292" w:rsidRDefault="00004A7B" w:rsidP="00004A7B">
      <w:pPr>
        <w:jc w:val="both"/>
        <w:rPr>
          <w:rFonts w:ascii="Times New Roman" w:hAnsi="Times New Roman" w:cs="Times New Roman"/>
          <w:sz w:val="24"/>
          <w:szCs w:val="24"/>
        </w:rPr>
      </w:pPr>
      <w:r>
        <w:rPr>
          <w:rFonts w:ascii="Times New Roman" w:hAnsi="Times New Roman"/>
          <w:sz w:val="24"/>
          <w:szCs w:val="24"/>
        </w:rPr>
        <w:t>À l</w:t>
      </w:r>
      <w:r w:rsidR="00BB3A42">
        <w:rPr>
          <w:rFonts w:ascii="Times New Roman" w:hAnsi="Times New Roman"/>
          <w:sz w:val="24"/>
          <w:szCs w:val="24"/>
        </w:rPr>
        <w:t>’</w:t>
      </w:r>
      <w:r>
        <w:rPr>
          <w:rFonts w:ascii="Times New Roman" w:hAnsi="Times New Roman"/>
          <w:sz w:val="24"/>
          <w:szCs w:val="24"/>
        </w:rPr>
        <w:t>article 4, paragraphe 2, les termes «en collaboration avec l</w:t>
      </w:r>
      <w:r w:rsidR="00BB3A42">
        <w:rPr>
          <w:rFonts w:ascii="Times New Roman" w:hAnsi="Times New Roman"/>
          <w:sz w:val="24"/>
          <w:szCs w:val="24"/>
        </w:rPr>
        <w:t>’</w:t>
      </w:r>
      <w:r>
        <w:rPr>
          <w:rFonts w:ascii="Times New Roman" w:hAnsi="Times New Roman"/>
          <w:sz w:val="24"/>
          <w:szCs w:val="24"/>
        </w:rPr>
        <w:t>Agence» sont remplacés par les termes «en collaboration avec le ministère», les termes «déchets de verre et déchets plastiques» sont remplacés par les termes «déchets de métal, de verre et de plastique», et les termes «coût d</w:t>
      </w:r>
      <w:r w:rsidR="00BB3A42">
        <w:rPr>
          <w:rFonts w:ascii="Times New Roman" w:hAnsi="Times New Roman"/>
          <w:sz w:val="24"/>
          <w:szCs w:val="24"/>
        </w:rPr>
        <w:t>’</w:t>
      </w:r>
      <w:r>
        <w:rPr>
          <w:rFonts w:ascii="Times New Roman" w:hAnsi="Times New Roman"/>
          <w:sz w:val="24"/>
          <w:szCs w:val="24"/>
        </w:rPr>
        <w:t>élimination» sont remplacés par les termes «coût de traitement».</w:t>
      </w:r>
    </w:p>
    <w:p w:rsidR="00301266" w:rsidRPr="00D15292" w:rsidRDefault="00301266" w:rsidP="00004A7B">
      <w:pPr>
        <w:jc w:val="center"/>
        <w:rPr>
          <w:rFonts w:ascii="Times New Roman" w:hAnsi="Times New Roman" w:cs="Times New Roman"/>
          <w:sz w:val="24"/>
          <w:szCs w:val="24"/>
        </w:rPr>
      </w:pPr>
    </w:p>
    <w:p w:rsidR="00004A7B" w:rsidRPr="00D15292" w:rsidRDefault="00004A7B" w:rsidP="00D15292">
      <w:pPr>
        <w:keepNext/>
        <w:jc w:val="center"/>
        <w:rPr>
          <w:rFonts w:ascii="Times New Roman" w:hAnsi="Times New Roman" w:cs="Times New Roman"/>
          <w:sz w:val="24"/>
          <w:szCs w:val="24"/>
        </w:rPr>
      </w:pPr>
      <w:r>
        <w:rPr>
          <w:rFonts w:ascii="Times New Roman" w:hAnsi="Times New Roman"/>
          <w:sz w:val="24"/>
          <w:szCs w:val="24"/>
        </w:rPr>
        <w:t>Article 4</w:t>
      </w:r>
    </w:p>
    <w:p w:rsidR="00004A7B" w:rsidRPr="00D15292" w:rsidRDefault="00004A7B" w:rsidP="00D15292">
      <w:pPr>
        <w:keepNext/>
        <w:jc w:val="both"/>
        <w:rPr>
          <w:rFonts w:ascii="Times New Roman" w:hAnsi="Times New Roman" w:cs="Times New Roman"/>
          <w:sz w:val="24"/>
          <w:szCs w:val="24"/>
        </w:rPr>
      </w:pPr>
      <w:r>
        <w:rPr>
          <w:rFonts w:ascii="Times New Roman" w:hAnsi="Times New Roman"/>
          <w:sz w:val="24"/>
          <w:szCs w:val="24"/>
        </w:rPr>
        <w:t>L</w:t>
      </w:r>
      <w:r w:rsidR="00BB3A42">
        <w:rPr>
          <w:rFonts w:ascii="Times New Roman" w:hAnsi="Times New Roman"/>
          <w:sz w:val="24"/>
          <w:szCs w:val="24"/>
        </w:rPr>
        <w:t>’</w:t>
      </w:r>
      <w:r>
        <w:rPr>
          <w:rFonts w:ascii="Times New Roman" w:hAnsi="Times New Roman"/>
          <w:sz w:val="24"/>
          <w:szCs w:val="24"/>
        </w:rPr>
        <w:t>article 5 est modifié comme suit:</w:t>
      </w:r>
    </w:p>
    <w:p w:rsidR="00004A7B" w:rsidRPr="00D15292" w:rsidRDefault="00004A7B" w:rsidP="00004A7B">
      <w:pPr>
        <w:jc w:val="both"/>
        <w:rPr>
          <w:rFonts w:ascii="Times New Roman" w:hAnsi="Times New Roman" w:cs="Times New Roman"/>
          <w:sz w:val="24"/>
          <w:szCs w:val="24"/>
        </w:rPr>
      </w:pPr>
      <w:r>
        <w:rPr>
          <w:rFonts w:ascii="Times New Roman" w:hAnsi="Times New Roman"/>
          <w:sz w:val="24"/>
          <w:szCs w:val="24"/>
        </w:rPr>
        <w:t>«(1) Le montant de la consigne s</w:t>
      </w:r>
      <w:r w:rsidR="00BB3A42">
        <w:rPr>
          <w:rFonts w:ascii="Times New Roman" w:hAnsi="Times New Roman"/>
          <w:sz w:val="24"/>
          <w:szCs w:val="24"/>
        </w:rPr>
        <w:t>’</w:t>
      </w:r>
      <w:r>
        <w:rPr>
          <w:rFonts w:ascii="Times New Roman" w:hAnsi="Times New Roman"/>
          <w:sz w:val="24"/>
          <w:szCs w:val="24"/>
        </w:rPr>
        <w:t>élève à 0,50 kuna par unité d</w:t>
      </w:r>
      <w:r w:rsidR="00BB3A42">
        <w:rPr>
          <w:rFonts w:ascii="Times New Roman" w:hAnsi="Times New Roman"/>
          <w:sz w:val="24"/>
          <w:szCs w:val="24"/>
        </w:rPr>
        <w:t>’</w:t>
      </w:r>
      <w:r>
        <w:rPr>
          <w:rFonts w:ascii="Times New Roman" w:hAnsi="Times New Roman"/>
          <w:sz w:val="24"/>
          <w:szCs w:val="24"/>
        </w:rPr>
        <w:t>emballage de boisson.</w:t>
      </w:r>
    </w:p>
    <w:p w:rsidR="00004A7B" w:rsidRPr="00D15292" w:rsidRDefault="00004A7B" w:rsidP="00004A7B">
      <w:pPr>
        <w:jc w:val="both"/>
        <w:rPr>
          <w:rFonts w:ascii="Times New Roman" w:hAnsi="Times New Roman" w:cs="Times New Roman"/>
          <w:sz w:val="24"/>
          <w:szCs w:val="24"/>
        </w:rPr>
      </w:pPr>
      <w:r>
        <w:rPr>
          <w:rFonts w:ascii="Times New Roman" w:hAnsi="Times New Roman"/>
          <w:sz w:val="24"/>
          <w:szCs w:val="24"/>
        </w:rPr>
        <w:t>(2) Le montant de la consigne n</w:t>
      </w:r>
      <w:r w:rsidR="00BB3A42">
        <w:rPr>
          <w:rFonts w:ascii="Times New Roman" w:hAnsi="Times New Roman"/>
          <w:sz w:val="24"/>
          <w:szCs w:val="24"/>
        </w:rPr>
        <w:t>’</w:t>
      </w:r>
      <w:r>
        <w:rPr>
          <w:rFonts w:ascii="Times New Roman" w:hAnsi="Times New Roman"/>
          <w:sz w:val="24"/>
          <w:szCs w:val="24"/>
        </w:rPr>
        <w:t>est pas imposable.».</w:t>
      </w:r>
    </w:p>
    <w:p w:rsidR="00301266" w:rsidRPr="00D15292" w:rsidRDefault="00301266" w:rsidP="00004A7B">
      <w:pPr>
        <w:jc w:val="center"/>
        <w:rPr>
          <w:rFonts w:ascii="Times New Roman" w:hAnsi="Times New Roman" w:cs="Times New Roman"/>
          <w:sz w:val="24"/>
          <w:szCs w:val="24"/>
        </w:rPr>
      </w:pPr>
    </w:p>
    <w:p w:rsidR="00004A7B" w:rsidRPr="00D15292" w:rsidRDefault="00004A7B" w:rsidP="00D15292">
      <w:pPr>
        <w:keepNext/>
        <w:jc w:val="center"/>
        <w:rPr>
          <w:rFonts w:ascii="Times New Roman" w:hAnsi="Times New Roman" w:cs="Times New Roman"/>
          <w:sz w:val="24"/>
          <w:szCs w:val="24"/>
        </w:rPr>
      </w:pPr>
      <w:r>
        <w:rPr>
          <w:rFonts w:ascii="Times New Roman" w:hAnsi="Times New Roman"/>
          <w:sz w:val="24"/>
          <w:szCs w:val="24"/>
        </w:rPr>
        <w:t>Article 5</w:t>
      </w:r>
    </w:p>
    <w:p w:rsidR="00004A7B" w:rsidRPr="00D15292" w:rsidRDefault="00004A7B" w:rsidP="00D15292">
      <w:pPr>
        <w:keepNext/>
        <w:jc w:val="both"/>
        <w:rPr>
          <w:rFonts w:ascii="Times New Roman" w:hAnsi="Times New Roman" w:cs="Times New Roman"/>
          <w:sz w:val="24"/>
          <w:szCs w:val="24"/>
        </w:rPr>
      </w:pPr>
      <w:r>
        <w:rPr>
          <w:rFonts w:ascii="Times New Roman" w:hAnsi="Times New Roman"/>
          <w:sz w:val="24"/>
          <w:szCs w:val="24"/>
        </w:rPr>
        <w:t>L</w:t>
      </w:r>
      <w:r w:rsidR="00BB3A42">
        <w:rPr>
          <w:rFonts w:ascii="Times New Roman" w:hAnsi="Times New Roman"/>
          <w:sz w:val="24"/>
          <w:szCs w:val="24"/>
        </w:rPr>
        <w:t>’</w:t>
      </w:r>
      <w:r>
        <w:rPr>
          <w:rFonts w:ascii="Times New Roman" w:hAnsi="Times New Roman"/>
          <w:sz w:val="24"/>
          <w:szCs w:val="24"/>
        </w:rPr>
        <w:t>article 6 est modifié comme suit:</w:t>
      </w:r>
    </w:p>
    <w:p w:rsidR="00004A7B" w:rsidRPr="00D15292" w:rsidRDefault="00004A7B" w:rsidP="00004A7B">
      <w:pPr>
        <w:jc w:val="both"/>
        <w:rPr>
          <w:rFonts w:ascii="Times New Roman" w:hAnsi="Times New Roman" w:cs="Times New Roman"/>
          <w:sz w:val="24"/>
          <w:szCs w:val="24"/>
        </w:rPr>
      </w:pPr>
      <w:r>
        <w:rPr>
          <w:rFonts w:ascii="Times New Roman" w:hAnsi="Times New Roman"/>
          <w:sz w:val="24"/>
          <w:szCs w:val="24"/>
        </w:rPr>
        <w:t>«(1) Le fabricant est tenu de verser au Fonds le montant de la consigne visée à l</w:t>
      </w:r>
      <w:r w:rsidR="00BB3A42">
        <w:rPr>
          <w:rFonts w:ascii="Times New Roman" w:hAnsi="Times New Roman"/>
          <w:sz w:val="24"/>
          <w:szCs w:val="24"/>
        </w:rPr>
        <w:t>’</w:t>
      </w:r>
      <w:r>
        <w:rPr>
          <w:rFonts w:ascii="Times New Roman" w:hAnsi="Times New Roman"/>
          <w:sz w:val="24"/>
          <w:szCs w:val="24"/>
        </w:rPr>
        <w:t>article 5 du présent règlement lors de la mise sur le marché de boissons contenues dans un emballage consigné.</w:t>
      </w:r>
    </w:p>
    <w:p w:rsidR="00004A7B" w:rsidRPr="00D15292" w:rsidRDefault="00004A7B" w:rsidP="00004A7B">
      <w:pPr>
        <w:jc w:val="both"/>
        <w:rPr>
          <w:rFonts w:ascii="Times New Roman" w:hAnsi="Times New Roman" w:cs="Times New Roman"/>
          <w:sz w:val="24"/>
          <w:szCs w:val="24"/>
        </w:rPr>
      </w:pPr>
      <w:r>
        <w:rPr>
          <w:rFonts w:ascii="Times New Roman" w:hAnsi="Times New Roman"/>
          <w:sz w:val="24"/>
          <w:szCs w:val="24"/>
        </w:rPr>
        <w:t>(2) Le calcul de l</w:t>
      </w:r>
      <w:r w:rsidR="00BB3A42">
        <w:rPr>
          <w:rFonts w:ascii="Times New Roman" w:hAnsi="Times New Roman"/>
          <w:sz w:val="24"/>
          <w:szCs w:val="24"/>
        </w:rPr>
        <w:t>’</w:t>
      </w:r>
      <w:r>
        <w:rPr>
          <w:rFonts w:ascii="Times New Roman" w:hAnsi="Times New Roman"/>
          <w:sz w:val="24"/>
          <w:szCs w:val="24"/>
        </w:rPr>
        <w:t>obligation visée au paragraphe 1 du présent article est effectué trimestriellement conformément au règlement.</w:t>
      </w:r>
    </w:p>
    <w:p w:rsidR="00004A7B" w:rsidRPr="00D15292" w:rsidRDefault="00004A7B" w:rsidP="00004A7B">
      <w:pPr>
        <w:jc w:val="both"/>
        <w:rPr>
          <w:rFonts w:ascii="Times New Roman" w:hAnsi="Times New Roman" w:cs="Times New Roman"/>
          <w:sz w:val="24"/>
          <w:szCs w:val="24"/>
        </w:rPr>
      </w:pPr>
      <w:r>
        <w:rPr>
          <w:rFonts w:ascii="Times New Roman" w:hAnsi="Times New Roman"/>
          <w:sz w:val="24"/>
          <w:szCs w:val="24"/>
        </w:rPr>
        <w:t>(3) Le vendeur et le gestionnaire de parc de recyclage sont tenus de verser au consommateur (détenteur) le montant de la consigne visée à l</w:t>
      </w:r>
      <w:r w:rsidR="00BB3A42">
        <w:rPr>
          <w:rFonts w:ascii="Times New Roman" w:hAnsi="Times New Roman"/>
          <w:sz w:val="24"/>
          <w:szCs w:val="24"/>
        </w:rPr>
        <w:t>’</w:t>
      </w:r>
      <w:r>
        <w:rPr>
          <w:rFonts w:ascii="Times New Roman" w:hAnsi="Times New Roman"/>
          <w:sz w:val="24"/>
          <w:szCs w:val="24"/>
        </w:rPr>
        <w:t>article 5 du présent règlement lors de la reprise des emballages de boissons consignés.</w:t>
      </w:r>
    </w:p>
    <w:p w:rsidR="00004A7B" w:rsidRPr="00D15292" w:rsidRDefault="00004A7B" w:rsidP="00D15292">
      <w:pPr>
        <w:keepNext/>
        <w:jc w:val="both"/>
        <w:rPr>
          <w:rFonts w:ascii="Times New Roman" w:hAnsi="Times New Roman" w:cs="Times New Roman"/>
          <w:sz w:val="24"/>
          <w:szCs w:val="24"/>
        </w:rPr>
      </w:pPr>
      <w:r>
        <w:rPr>
          <w:rFonts w:ascii="Times New Roman" w:hAnsi="Times New Roman"/>
          <w:sz w:val="24"/>
          <w:szCs w:val="24"/>
        </w:rPr>
        <w:t>(4) Le Fonds est tenu de rembourser au vendeur et au gestionnaire de parc de recyclage le montant de la consigne versé au consommateur, ainsi que les coûts suivants liés à la reprise et à la remise des emballages de boissons au collecteur:</w:t>
      </w:r>
    </w:p>
    <w:p w:rsidR="00004A7B" w:rsidRPr="00D15292" w:rsidRDefault="00004A7B" w:rsidP="00D15292">
      <w:pPr>
        <w:keepNext/>
        <w:jc w:val="both"/>
        <w:rPr>
          <w:rFonts w:ascii="Times New Roman" w:hAnsi="Times New Roman" w:cs="Times New Roman"/>
          <w:sz w:val="24"/>
          <w:szCs w:val="24"/>
        </w:rPr>
      </w:pPr>
      <w:r>
        <w:rPr>
          <w:rFonts w:ascii="Times New Roman" w:hAnsi="Times New Roman"/>
          <w:sz w:val="24"/>
          <w:szCs w:val="24"/>
        </w:rPr>
        <w:t>1. pour la reprise manuelle des emballages de boissons:</w:t>
      </w:r>
    </w:p>
    <w:p w:rsidR="00004A7B" w:rsidRPr="00D15292" w:rsidRDefault="00004A7B" w:rsidP="00004A7B">
      <w:pPr>
        <w:jc w:val="both"/>
        <w:rPr>
          <w:rFonts w:ascii="Times New Roman" w:hAnsi="Times New Roman" w:cs="Times New Roman"/>
          <w:sz w:val="24"/>
          <w:szCs w:val="24"/>
        </w:rPr>
      </w:pPr>
      <w:r>
        <w:rPr>
          <w:rFonts w:ascii="Times New Roman" w:hAnsi="Times New Roman"/>
          <w:sz w:val="24"/>
          <w:szCs w:val="24"/>
        </w:rPr>
        <w:t>– 0,08 kuna (TVA comprise) par unité d</w:t>
      </w:r>
      <w:r w:rsidR="00BB3A42">
        <w:rPr>
          <w:rFonts w:ascii="Times New Roman" w:hAnsi="Times New Roman"/>
          <w:sz w:val="24"/>
          <w:szCs w:val="24"/>
        </w:rPr>
        <w:t>’</w:t>
      </w:r>
      <w:r>
        <w:rPr>
          <w:rFonts w:ascii="Times New Roman" w:hAnsi="Times New Roman"/>
          <w:sz w:val="24"/>
          <w:szCs w:val="24"/>
        </w:rPr>
        <w:t>emballage pour 2020</w:t>
      </w:r>
    </w:p>
    <w:p w:rsidR="00004A7B" w:rsidRPr="00D15292" w:rsidRDefault="00004A7B" w:rsidP="00004A7B">
      <w:pPr>
        <w:jc w:val="both"/>
        <w:rPr>
          <w:rFonts w:ascii="Times New Roman" w:hAnsi="Times New Roman" w:cs="Times New Roman"/>
          <w:sz w:val="24"/>
          <w:szCs w:val="24"/>
        </w:rPr>
      </w:pPr>
      <w:r>
        <w:rPr>
          <w:rFonts w:ascii="Times New Roman" w:hAnsi="Times New Roman"/>
          <w:sz w:val="24"/>
          <w:szCs w:val="24"/>
        </w:rPr>
        <w:lastRenderedPageBreak/>
        <w:t>– 0,06 kuna (TVA comprise) par unité d</w:t>
      </w:r>
      <w:r w:rsidR="00BB3A42">
        <w:rPr>
          <w:rFonts w:ascii="Times New Roman" w:hAnsi="Times New Roman"/>
          <w:sz w:val="24"/>
          <w:szCs w:val="24"/>
        </w:rPr>
        <w:t>’</w:t>
      </w:r>
      <w:r>
        <w:rPr>
          <w:rFonts w:ascii="Times New Roman" w:hAnsi="Times New Roman"/>
          <w:sz w:val="24"/>
          <w:szCs w:val="24"/>
        </w:rPr>
        <w:t>emballage pour 2021</w:t>
      </w:r>
    </w:p>
    <w:p w:rsidR="00004A7B" w:rsidRPr="00D15292" w:rsidRDefault="00004A7B" w:rsidP="00004A7B">
      <w:pPr>
        <w:jc w:val="both"/>
        <w:rPr>
          <w:rFonts w:ascii="Times New Roman" w:hAnsi="Times New Roman" w:cs="Times New Roman"/>
          <w:sz w:val="24"/>
          <w:szCs w:val="24"/>
        </w:rPr>
      </w:pPr>
      <w:r>
        <w:rPr>
          <w:rFonts w:ascii="Times New Roman" w:hAnsi="Times New Roman"/>
          <w:sz w:val="24"/>
          <w:szCs w:val="24"/>
        </w:rPr>
        <w:t>– 0,05 kuna (TVA comprise) par unité d</w:t>
      </w:r>
      <w:r w:rsidR="00BB3A42">
        <w:rPr>
          <w:rFonts w:ascii="Times New Roman" w:hAnsi="Times New Roman"/>
          <w:sz w:val="24"/>
          <w:szCs w:val="24"/>
        </w:rPr>
        <w:t>’</w:t>
      </w:r>
      <w:r>
        <w:rPr>
          <w:rFonts w:ascii="Times New Roman" w:hAnsi="Times New Roman"/>
          <w:sz w:val="24"/>
          <w:szCs w:val="24"/>
        </w:rPr>
        <w:t>emballage pour 2022 et les années suivantes</w:t>
      </w:r>
    </w:p>
    <w:p w:rsidR="00004A7B" w:rsidRPr="00D15292" w:rsidRDefault="00004A7B" w:rsidP="00D15292">
      <w:pPr>
        <w:keepNext/>
        <w:jc w:val="both"/>
        <w:rPr>
          <w:rFonts w:ascii="Times New Roman" w:hAnsi="Times New Roman" w:cs="Times New Roman"/>
          <w:sz w:val="24"/>
          <w:szCs w:val="24"/>
        </w:rPr>
      </w:pPr>
      <w:r>
        <w:rPr>
          <w:rFonts w:ascii="Times New Roman" w:hAnsi="Times New Roman"/>
          <w:sz w:val="24"/>
          <w:szCs w:val="24"/>
        </w:rPr>
        <w:t>2. pour la reprise automatisée des emballages de boissons:</w:t>
      </w:r>
    </w:p>
    <w:p w:rsidR="00004A7B" w:rsidRPr="00D15292" w:rsidRDefault="00004A7B" w:rsidP="00004A7B">
      <w:pPr>
        <w:jc w:val="both"/>
        <w:rPr>
          <w:rFonts w:ascii="Times New Roman" w:hAnsi="Times New Roman" w:cs="Times New Roman"/>
          <w:sz w:val="24"/>
          <w:szCs w:val="24"/>
        </w:rPr>
      </w:pPr>
      <w:r>
        <w:rPr>
          <w:rFonts w:ascii="Times New Roman" w:hAnsi="Times New Roman"/>
          <w:sz w:val="24"/>
          <w:szCs w:val="24"/>
        </w:rPr>
        <w:t>– 0,14 kuna (TVA comprise) par unité d</w:t>
      </w:r>
      <w:r w:rsidR="00BB3A42">
        <w:rPr>
          <w:rFonts w:ascii="Times New Roman" w:hAnsi="Times New Roman"/>
          <w:sz w:val="24"/>
          <w:szCs w:val="24"/>
        </w:rPr>
        <w:t>’</w:t>
      </w:r>
      <w:r>
        <w:rPr>
          <w:rFonts w:ascii="Times New Roman" w:hAnsi="Times New Roman"/>
          <w:sz w:val="24"/>
          <w:szCs w:val="24"/>
        </w:rPr>
        <w:t>emballage pour 2020</w:t>
      </w:r>
    </w:p>
    <w:p w:rsidR="00004A7B" w:rsidRPr="00D15292" w:rsidRDefault="00004A7B" w:rsidP="00004A7B">
      <w:pPr>
        <w:jc w:val="both"/>
        <w:rPr>
          <w:rFonts w:ascii="Times New Roman" w:hAnsi="Times New Roman" w:cs="Times New Roman"/>
          <w:sz w:val="24"/>
          <w:szCs w:val="24"/>
        </w:rPr>
      </w:pPr>
      <w:r>
        <w:rPr>
          <w:rFonts w:ascii="Times New Roman" w:hAnsi="Times New Roman"/>
          <w:sz w:val="24"/>
          <w:szCs w:val="24"/>
        </w:rPr>
        <w:t>– 0,16 kuna (TVA comprise) par unité d</w:t>
      </w:r>
      <w:r w:rsidR="00BB3A42">
        <w:rPr>
          <w:rFonts w:ascii="Times New Roman" w:hAnsi="Times New Roman"/>
          <w:sz w:val="24"/>
          <w:szCs w:val="24"/>
        </w:rPr>
        <w:t>’</w:t>
      </w:r>
      <w:r>
        <w:rPr>
          <w:rFonts w:ascii="Times New Roman" w:hAnsi="Times New Roman"/>
          <w:sz w:val="24"/>
          <w:szCs w:val="24"/>
        </w:rPr>
        <w:t>emballage pour 2021</w:t>
      </w:r>
    </w:p>
    <w:p w:rsidR="00004A7B" w:rsidRPr="00D15292" w:rsidRDefault="00004A7B" w:rsidP="00004A7B">
      <w:pPr>
        <w:jc w:val="both"/>
        <w:rPr>
          <w:rFonts w:ascii="Times New Roman" w:hAnsi="Times New Roman" w:cs="Times New Roman"/>
          <w:sz w:val="24"/>
          <w:szCs w:val="24"/>
        </w:rPr>
      </w:pPr>
      <w:r>
        <w:rPr>
          <w:rFonts w:ascii="Times New Roman" w:hAnsi="Times New Roman"/>
          <w:sz w:val="24"/>
          <w:szCs w:val="24"/>
        </w:rPr>
        <w:t>– 0,18 kuna (TVA comprise) par unité d</w:t>
      </w:r>
      <w:r w:rsidR="00BB3A42">
        <w:rPr>
          <w:rFonts w:ascii="Times New Roman" w:hAnsi="Times New Roman"/>
          <w:sz w:val="24"/>
          <w:szCs w:val="24"/>
        </w:rPr>
        <w:t>’</w:t>
      </w:r>
      <w:r>
        <w:rPr>
          <w:rFonts w:ascii="Times New Roman" w:hAnsi="Times New Roman"/>
          <w:sz w:val="24"/>
          <w:szCs w:val="24"/>
        </w:rPr>
        <w:t>emballage pour 2022 et les années suivantes.</w:t>
      </w:r>
    </w:p>
    <w:p w:rsidR="00004A7B" w:rsidRPr="00D15292" w:rsidRDefault="00004A7B" w:rsidP="00004A7B">
      <w:pPr>
        <w:jc w:val="both"/>
        <w:rPr>
          <w:rFonts w:ascii="Times New Roman" w:hAnsi="Times New Roman" w:cs="Times New Roman"/>
          <w:sz w:val="24"/>
          <w:szCs w:val="24"/>
        </w:rPr>
      </w:pPr>
      <w:r>
        <w:rPr>
          <w:rFonts w:ascii="Times New Roman" w:hAnsi="Times New Roman"/>
          <w:sz w:val="24"/>
          <w:szCs w:val="24"/>
        </w:rPr>
        <w:t>(5) La liste des vendeurs et des gestionnaires de parcs de recyclage tenus de récupérer les emballages de boissons auprès des consommateurs est publiée par le Fonds sur son site internet.».</w:t>
      </w:r>
    </w:p>
    <w:p w:rsidR="00301266" w:rsidRPr="00D15292" w:rsidRDefault="00301266" w:rsidP="00004A7B">
      <w:pPr>
        <w:jc w:val="center"/>
        <w:rPr>
          <w:rFonts w:ascii="Times New Roman" w:hAnsi="Times New Roman" w:cs="Times New Roman"/>
          <w:sz w:val="24"/>
          <w:szCs w:val="24"/>
        </w:rPr>
      </w:pPr>
    </w:p>
    <w:p w:rsidR="00004A7B" w:rsidRPr="00D15292" w:rsidRDefault="00004A7B" w:rsidP="00D15292">
      <w:pPr>
        <w:keepNext/>
        <w:jc w:val="center"/>
        <w:rPr>
          <w:rFonts w:ascii="Times New Roman" w:hAnsi="Times New Roman" w:cs="Times New Roman"/>
          <w:sz w:val="24"/>
          <w:szCs w:val="24"/>
        </w:rPr>
      </w:pPr>
      <w:r>
        <w:rPr>
          <w:rFonts w:ascii="Times New Roman" w:hAnsi="Times New Roman"/>
          <w:sz w:val="24"/>
          <w:szCs w:val="24"/>
        </w:rPr>
        <w:t>Article 6</w:t>
      </w:r>
    </w:p>
    <w:p w:rsidR="00004A7B" w:rsidRPr="00D15292" w:rsidRDefault="00004A7B" w:rsidP="00D15292">
      <w:pPr>
        <w:keepNext/>
        <w:jc w:val="both"/>
        <w:rPr>
          <w:rFonts w:ascii="Times New Roman" w:hAnsi="Times New Roman" w:cs="Times New Roman"/>
          <w:sz w:val="24"/>
          <w:szCs w:val="24"/>
        </w:rPr>
      </w:pPr>
      <w:r>
        <w:rPr>
          <w:rFonts w:ascii="Times New Roman" w:hAnsi="Times New Roman"/>
          <w:sz w:val="24"/>
          <w:szCs w:val="24"/>
        </w:rPr>
        <w:t>À l</w:t>
      </w:r>
      <w:r w:rsidR="00BB3A42">
        <w:rPr>
          <w:rFonts w:ascii="Times New Roman" w:hAnsi="Times New Roman"/>
          <w:sz w:val="24"/>
          <w:szCs w:val="24"/>
        </w:rPr>
        <w:t>’</w:t>
      </w:r>
      <w:r>
        <w:rPr>
          <w:rFonts w:ascii="Times New Roman" w:hAnsi="Times New Roman"/>
          <w:sz w:val="24"/>
          <w:szCs w:val="24"/>
        </w:rPr>
        <w:t>article 7, le paragraphe 3 est modifié comme suit:</w:t>
      </w:r>
    </w:p>
    <w:p w:rsidR="00004A7B" w:rsidRPr="00D15292" w:rsidRDefault="00004A7B" w:rsidP="00004A7B">
      <w:pPr>
        <w:jc w:val="both"/>
        <w:rPr>
          <w:rFonts w:ascii="Times New Roman" w:hAnsi="Times New Roman" w:cs="Times New Roman"/>
          <w:sz w:val="24"/>
          <w:szCs w:val="24"/>
        </w:rPr>
      </w:pPr>
      <w:r>
        <w:rPr>
          <w:rFonts w:ascii="Times New Roman" w:hAnsi="Times New Roman"/>
          <w:sz w:val="24"/>
          <w:szCs w:val="24"/>
        </w:rPr>
        <w:t>«(3) La redevance de gestion par unité de produit pour les quantités enregistrées d</w:t>
      </w:r>
      <w:r w:rsidR="00BB3A42">
        <w:rPr>
          <w:rFonts w:ascii="Times New Roman" w:hAnsi="Times New Roman"/>
          <w:sz w:val="24"/>
          <w:szCs w:val="24"/>
        </w:rPr>
        <w:t>’</w:t>
      </w:r>
      <w:r>
        <w:rPr>
          <w:rFonts w:ascii="Times New Roman" w:hAnsi="Times New Roman"/>
          <w:sz w:val="24"/>
          <w:szCs w:val="24"/>
        </w:rPr>
        <w:t>emballages de boissons mis sur le marché s</w:t>
      </w:r>
      <w:r w:rsidR="00BB3A42">
        <w:rPr>
          <w:rFonts w:ascii="Times New Roman" w:hAnsi="Times New Roman"/>
          <w:sz w:val="24"/>
          <w:szCs w:val="24"/>
        </w:rPr>
        <w:t>’</w:t>
      </w:r>
      <w:r>
        <w:rPr>
          <w:rFonts w:ascii="Times New Roman" w:hAnsi="Times New Roman"/>
          <w:sz w:val="24"/>
          <w:szCs w:val="24"/>
        </w:rPr>
        <w:t>élève à 0,10 kuna par unité d</w:t>
      </w:r>
      <w:r w:rsidR="00BB3A42">
        <w:rPr>
          <w:rFonts w:ascii="Times New Roman" w:hAnsi="Times New Roman"/>
          <w:sz w:val="24"/>
          <w:szCs w:val="24"/>
        </w:rPr>
        <w:t>’</w:t>
      </w:r>
      <w:r>
        <w:rPr>
          <w:rFonts w:ascii="Times New Roman" w:hAnsi="Times New Roman"/>
          <w:sz w:val="24"/>
          <w:szCs w:val="24"/>
        </w:rPr>
        <w:t>emballage de vente pour les boissons contenues dans un emballage à usage unique en PET, en aluminium/fer ou en verre de contenance égale ou supérieure à 0,2 litre.».</w:t>
      </w:r>
    </w:p>
    <w:p w:rsidR="00004A7B" w:rsidRPr="00D15292" w:rsidRDefault="00004A7B" w:rsidP="00004A7B">
      <w:pPr>
        <w:jc w:val="both"/>
        <w:rPr>
          <w:rFonts w:ascii="Times New Roman" w:hAnsi="Times New Roman" w:cs="Times New Roman"/>
          <w:sz w:val="24"/>
          <w:szCs w:val="24"/>
        </w:rPr>
      </w:pPr>
      <w:r>
        <w:rPr>
          <w:rFonts w:ascii="Times New Roman" w:hAnsi="Times New Roman"/>
          <w:sz w:val="24"/>
          <w:szCs w:val="24"/>
        </w:rPr>
        <w:t>Après le paragraphe 3, un paragraphe 4 est ajouté comme suit:</w:t>
      </w:r>
    </w:p>
    <w:p w:rsidR="00004A7B" w:rsidRPr="00D15292" w:rsidRDefault="00004A7B" w:rsidP="00004A7B">
      <w:pPr>
        <w:jc w:val="both"/>
        <w:rPr>
          <w:rFonts w:ascii="Times New Roman" w:hAnsi="Times New Roman" w:cs="Times New Roman"/>
          <w:sz w:val="24"/>
          <w:szCs w:val="24"/>
        </w:rPr>
      </w:pPr>
      <w:r>
        <w:rPr>
          <w:rFonts w:ascii="Times New Roman" w:hAnsi="Times New Roman"/>
          <w:sz w:val="24"/>
          <w:szCs w:val="24"/>
        </w:rPr>
        <w:t>«(4) Nonobstant le paragraphe 3 du présent article, la redevance de gestion par unité de produit pour le lait et les produits laitiers liquides s</w:t>
      </w:r>
      <w:r w:rsidR="00BB3A42">
        <w:rPr>
          <w:rFonts w:ascii="Times New Roman" w:hAnsi="Times New Roman"/>
          <w:sz w:val="24"/>
          <w:szCs w:val="24"/>
        </w:rPr>
        <w:t>’</w:t>
      </w:r>
      <w:r>
        <w:rPr>
          <w:rFonts w:ascii="Times New Roman" w:hAnsi="Times New Roman"/>
          <w:sz w:val="24"/>
          <w:szCs w:val="24"/>
        </w:rPr>
        <w:t>élève à 0,02 kuna.».</w:t>
      </w:r>
    </w:p>
    <w:p w:rsidR="00301266" w:rsidRPr="00D15292" w:rsidRDefault="00301266" w:rsidP="00004A7B">
      <w:pPr>
        <w:jc w:val="center"/>
        <w:rPr>
          <w:rFonts w:ascii="Times New Roman" w:hAnsi="Times New Roman" w:cs="Times New Roman"/>
          <w:sz w:val="24"/>
          <w:szCs w:val="24"/>
        </w:rPr>
      </w:pPr>
    </w:p>
    <w:p w:rsidR="00004A7B" w:rsidRPr="00D15292" w:rsidRDefault="00004A7B" w:rsidP="00D15292">
      <w:pPr>
        <w:keepNext/>
        <w:jc w:val="center"/>
        <w:rPr>
          <w:rFonts w:ascii="Times New Roman" w:hAnsi="Times New Roman" w:cs="Times New Roman"/>
          <w:sz w:val="24"/>
          <w:szCs w:val="24"/>
        </w:rPr>
      </w:pPr>
      <w:r>
        <w:rPr>
          <w:rFonts w:ascii="Times New Roman" w:hAnsi="Times New Roman"/>
          <w:sz w:val="24"/>
          <w:szCs w:val="24"/>
        </w:rPr>
        <w:t>DISPOSITIONS TRANSITOIRES ET FINALES</w:t>
      </w:r>
    </w:p>
    <w:p w:rsidR="00301266" w:rsidRPr="00D15292" w:rsidRDefault="00301266" w:rsidP="00D15292">
      <w:pPr>
        <w:keepNext/>
        <w:spacing w:after="0"/>
        <w:jc w:val="center"/>
        <w:rPr>
          <w:rFonts w:ascii="Times New Roman" w:hAnsi="Times New Roman" w:cs="Times New Roman"/>
          <w:sz w:val="24"/>
          <w:szCs w:val="24"/>
        </w:rPr>
      </w:pPr>
    </w:p>
    <w:p w:rsidR="00004A7B" w:rsidRPr="00D15292" w:rsidRDefault="00004A7B" w:rsidP="00D15292">
      <w:pPr>
        <w:keepNext/>
        <w:jc w:val="center"/>
        <w:rPr>
          <w:rFonts w:ascii="Times New Roman" w:hAnsi="Times New Roman" w:cs="Times New Roman"/>
          <w:sz w:val="24"/>
          <w:szCs w:val="24"/>
        </w:rPr>
      </w:pPr>
      <w:r>
        <w:rPr>
          <w:rFonts w:ascii="Times New Roman" w:hAnsi="Times New Roman"/>
          <w:sz w:val="24"/>
          <w:szCs w:val="24"/>
        </w:rPr>
        <w:t>Article 7</w:t>
      </w:r>
    </w:p>
    <w:p w:rsidR="00004A7B" w:rsidRPr="00D15292" w:rsidRDefault="00004A7B" w:rsidP="00004A7B">
      <w:pPr>
        <w:jc w:val="both"/>
        <w:rPr>
          <w:rFonts w:ascii="Times New Roman" w:hAnsi="Times New Roman" w:cs="Times New Roman"/>
          <w:sz w:val="24"/>
          <w:szCs w:val="24"/>
        </w:rPr>
      </w:pPr>
      <w:r>
        <w:rPr>
          <w:rFonts w:ascii="Times New Roman" w:hAnsi="Times New Roman"/>
          <w:sz w:val="24"/>
          <w:szCs w:val="24"/>
        </w:rPr>
        <w:t>La consigne et la redevance de gestion par unité de produit pour les emballages de lait et de produits laitiers liquides et pour les emballages d</w:t>
      </w:r>
      <w:r w:rsidR="00BB3A42">
        <w:rPr>
          <w:rFonts w:ascii="Times New Roman" w:hAnsi="Times New Roman"/>
          <w:sz w:val="24"/>
          <w:szCs w:val="24"/>
        </w:rPr>
        <w:t>’</w:t>
      </w:r>
      <w:r>
        <w:rPr>
          <w:rFonts w:ascii="Times New Roman" w:hAnsi="Times New Roman"/>
          <w:sz w:val="24"/>
          <w:szCs w:val="24"/>
        </w:rPr>
        <w:t>un volume égal à 0,2 l sont exigibles à compter du 1</w:t>
      </w:r>
      <w:r>
        <w:rPr>
          <w:rFonts w:ascii="Times New Roman" w:hAnsi="Times New Roman"/>
          <w:sz w:val="24"/>
          <w:szCs w:val="24"/>
          <w:vertAlign w:val="superscript"/>
        </w:rPr>
        <w:t>er</w:t>
      </w:r>
      <w:r>
        <w:rPr>
          <w:rFonts w:ascii="Times New Roman" w:hAnsi="Times New Roman"/>
          <w:sz w:val="24"/>
          <w:szCs w:val="24"/>
        </w:rPr>
        <w:t> janvier 2021.</w:t>
      </w:r>
    </w:p>
    <w:p w:rsidR="00301266" w:rsidRPr="00D15292" w:rsidRDefault="00301266" w:rsidP="00301266">
      <w:pPr>
        <w:jc w:val="center"/>
        <w:rPr>
          <w:rFonts w:ascii="Times New Roman" w:hAnsi="Times New Roman" w:cs="Times New Roman"/>
          <w:sz w:val="24"/>
          <w:szCs w:val="24"/>
        </w:rPr>
      </w:pPr>
    </w:p>
    <w:p w:rsidR="00004A7B" w:rsidRPr="00D15292" w:rsidRDefault="00004A7B" w:rsidP="00D15292">
      <w:pPr>
        <w:keepNext/>
        <w:jc w:val="center"/>
        <w:rPr>
          <w:rFonts w:ascii="Times New Roman" w:hAnsi="Times New Roman" w:cs="Times New Roman"/>
          <w:sz w:val="24"/>
          <w:szCs w:val="24"/>
        </w:rPr>
      </w:pPr>
      <w:r>
        <w:rPr>
          <w:rFonts w:ascii="Times New Roman" w:hAnsi="Times New Roman"/>
          <w:sz w:val="24"/>
          <w:szCs w:val="24"/>
        </w:rPr>
        <w:t>Article 8</w:t>
      </w:r>
    </w:p>
    <w:p w:rsidR="00004A7B" w:rsidRPr="00D15292" w:rsidRDefault="00004A7B" w:rsidP="00004A7B">
      <w:pPr>
        <w:jc w:val="both"/>
        <w:rPr>
          <w:rFonts w:ascii="Times New Roman" w:hAnsi="Times New Roman" w:cs="Times New Roman"/>
          <w:sz w:val="24"/>
          <w:szCs w:val="24"/>
        </w:rPr>
      </w:pPr>
      <w:r>
        <w:rPr>
          <w:rFonts w:ascii="Times New Roman" w:hAnsi="Times New Roman"/>
          <w:sz w:val="24"/>
          <w:szCs w:val="24"/>
        </w:rPr>
        <w:t>Le présent règlement entrera en vigueur le huitième jour suivant la date de sa publication au Journal officiel.</w:t>
      </w:r>
    </w:p>
    <w:p w:rsidR="00004A7B" w:rsidRPr="00D15292" w:rsidRDefault="00004A7B" w:rsidP="00004A7B">
      <w:pPr>
        <w:rPr>
          <w:rFonts w:ascii="Times New Roman" w:hAnsi="Times New Roman" w:cs="Times New Roman"/>
          <w:sz w:val="24"/>
          <w:szCs w:val="24"/>
        </w:rPr>
      </w:pPr>
      <w:r>
        <w:rPr>
          <w:rFonts w:ascii="Times New Roman" w:hAnsi="Times New Roman"/>
          <w:sz w:val="24"/>
          <w:szCs w:val="24"/>
        </w:rPr>
        <w:lastRenderedPageBreak/>
        <w:t>Classe: 022-03/20-03/02</w:t>
      </w:r>
      <w:r>
        <w:rPr>
          <w:rFonts w:ascii="Times New Roman" w:hAnsi="Times New Roman"/>
          <w:sz w:val="24"/>
          <w:szCs w:val="24"/>
        </w:rPr>
        <w:br/>
        <w:t>Numéro d</w:t>
      </w:r>
      <w:r w:rsidR="00BB3A42">
        <w:rPr>
          <w:rFonts w:ascii="Times New Roman" w:hAnsi="Times New Roman"/>
          <w:sz w:val="24"/>
          <w:szCs w:val="24"/>
        </w:rPr>
        <w:t>’</w:t>
      </w:r>
      <w:r>
        <w:rPr>
          <w:rFonts w:ascii="Times New Roman" w:hAnsi="Times New Roman"/>
          <w:sz w:val="24"/>
          <w:szCs w:val="24"/>
        </w:rPr>
        <w:t>enregistrement: 50301-25/16-20-3</w:t>
      </w:r>
      <w:r>
        <w:rPr>
          <w:rFonts w:ascii="Times New Roman" w:hAnsi="Times New Roman"/>
          <w:sz w:val="24"/>
          <w:szCs w:val="24"/>
        </w:rPr>
        <w:br/>
        <w:t>Zagreb, le 16 janvier 2020</w:t>
      </w:r>
    </w:p>
    <w:p w:rsidR="00004A7B" w:rsidRPr="00D15292" w:rsidRDefault="00004A7B" w:rsidP="00301266">
      <w:pPr>
        <w:ind w:left="4962" w:firstLine="992"/>
        <w:rPr>
          <w:rFonts w:ascii="Times New Roman" w:hAnsi="Times New Roman" w:cs="Times New Roman"/>
          <w:sz w:val="24"/>
          <w:szCs w:val="24"/>
        </w:rPr>
      </w:pPr>
      <w:r>
        <w:rPr>
          <w:rFonts w:ascii="Times New Roman" w:hAnsi="Times New Roman"/>
          <w:sz w:val="24"/>
          <w:szCs w:val="24"/>
        </w:rPr>
        <w:t>Le président</w:t>
      </w:r>
      <w:r>
        <w:rPr>
          <w:rFonts w:ascii="Times New Roman" w:hAnsi="Times New Roman"/>
          <w:sz w:val="24"/>
          <w:szCs w:val="24"/>
        </w:rPr>
        <w:br/>
        <w:t>Andrej Plenković, en personne</w:t>
      </w:r>
    </w:p>
    <w:sectPr w:rsidR="00004A7B" w:rsidRPr="00D152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642" w:rsidRDefault="009D0642" w:rsidP="0017103F">
      <w:pPr>
        <w:spacing w:after="0" w:line="240" w:lineRule="auto"/>
      </w:pPr>
      <w:r>
        <w:separator/>
      </w:r>
    </w:p>
  </w:endnote>
  <w:endnote w:type="continuationSeparator" w:id="0">
    <w:p w:rsidR="009D0642" w:rsidRDefault="009D0642" w:rsidP="00171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642" w:rsidRDefault="009D0642" w:rsidP="0017103F">
      <w:pPr>
        <w:spacing w:after="0" w:line="240" w:lineRule="auto"/>
      </w:pPr>
      <w:r>
        <w:separator/>
      </w:r>
    </w:p>
  </w:footnote>
  <w:footnote w:type="continuationSeparator" w:id="0">
    <w:p w:rsidR="009D0642" w:rsidRDefault="009D0642" w:rsidP="001710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A7B"/>
    <w:rsid w:val="00004A7B"/>
    <w:rsid w:val="0017103F"/>
    <w:rsid w:val="00187160"/>
    <w:rsid w:val="002B40B0"/>
    <w:rsid w:val="00300187"/>
    <w:rsid w:val="00301266"/>
    <w:rsid w:val="00322203"/>
    <w:rsid w:val="00794008"/>
    <w:rsid w:val="009D0642"/>
    <w:rsid w:val="00B02E82"/>
    <w:rsid w:val="00BB3A42"/>
    <w:rsid w:val="00D1529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748E97-80E5-43B3-BC80-9081BDFE9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0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03F"/>
  </w:style>
  <w:style w:type="paragraph" w:styleId="Footer">
    <w:name w:val="footer"/>
    <w:basedOn w:val="Normal"/>
    <w:link w:val="FooterChar"/>
    <w:uiPriority w:val="99"/>
    <w:unhideWhenUsed/>
    <w:rsid w:val="00171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394256">
      <w:bodyDiv w:val="1"/>
      <w:marLeft w:val="0"/>
      <w:marRight w:val="0"/>
      <w:marTop w:val="0"/>
      <w:marBottom w:val="0"/>
      <w:divBdr>
        <w:top w:val="none" w:sz="0" w:space="0" w:color="auto"/>
        <w:left w:val="none" w:sz="0" w:space="0" w:color="auto"/>
        <w:bottom w:val="none" w:sz="0" w:space="0" w:color="auto"/>
        <w:right w:val="none" w:sz="0" w:space="0" w:color="auto"/>
      </w:divBdr>
      <w:divsChild>
        <w:div w:id="261686832">
          <w:marLeft w:val="0"/>
          <w:marRight w:val="0"/>
          <w:marTop w:val="0"/>
          <w:marBottom w:val="0"/>
          <w:divBdr>
            <w:top w:val="none" w:sz="0" w:space="0" w:color="auto"/>
            <w:left w:val="none" w:sz="0" w:space="0" w:color="auto"/>
            <w:bottom w:val="none" w:sz="0" w:space="0" w:color="auto"/>
            <w:right w:val="none" w:sz="0" w:space="0" w:color="auto"/>
          </w:divBdr>
          <w:divsChild>
            <w:div w:id="88896714">
              <w:marLeft w:val="0"/>
              <w:marRight w:val="0"/>
              <w:marTop w:val="0"/>
              <w:marBottom w:val="0"/>
              <w:divBdr>
                <w:top w:val="none" w:sz="0" w:space="0" w:color="auto"/>
                <w:left w:val="none" w:sz="0" w:space="0" w:color="auto"/>
                <w:bottom w:val="none" w:sz="0" w:space="0" w:color="auto"/>
                <w:right w:val="none" w:sz="0" w:space="0" w:color="auto"/>
              </w:divBdr>
              <w:divsChild>
                <w:div w:id="1051076971">
                  <w:marLeft w:val="0"/>
                  <w:marRight w:val="0"/>
                  <w:marTop w:val="0"/>
                  <w:marBottom w:val="0"/>
                  <w:divBdr>
                    <w:top w:val="none" w:sz="0" w:space="0" w:color="auto"/>
                    <w:left w:val="none" w:sz="0" w:space="0" w:color="auto"/>
                    <w:bottom w:val="none" w:sz="0" w:space="0" w:color="auto"/>
                    <w:right w:val="none" w:sz="0" w:space="0" w:color="auto"/>
                  </w:divBdr>
                  <w:divsChild>
                    <w:div w:id="292490613">
                      <w:marLeft w:val="0"/>
                      <w:marRight w:val="0"/>
                      <w:marTop w:val="0"/>
                      <w:marBottom w:val="0"/>
                      <w:divBdr>
                        <w:top w:val="none" w:sz="0" w:space="0" w:color="auto"/>
                        <w:left w:val="none" w:sz="0" w:space="0" w:color="auto"/>
                        <w:bottom w:val="none" w:sz="0" w:space="0" w:color="auto"/>
                        <w:right w:val="none" w:sz="0" w:space="0" w:color="auto"/>
                      </w:divBdr>
                      <w:divsChild>
                        <w:div w:id="1114865006">
                          <w:marLeft w:val="0"/>
                          <w:marRight w:val="0"/>
                          <w:marTop w:val="0"/>
                          <w:marBottom w:val="0"/>
                          <w:divBdr>
                            <w:top w:val="none" w:sz="0" w:space="0" w:color="auto"/>
                            <w:left w:val="none" w:sz="0" w:space="0" w:color="auto"/>
                            <w:bottom w:val="none" w:sz="0" w:space="0" w:color="auto"/>
                            <w:right w:val="none" w:sz="0" w:space="0" w:color="auto"/>
                          </w:divBdr>
                          <w:divsChild>
                            <w:div w:id="2139450287">
                              <w:marLeft w:val="0"/>
                              <w:marRight w:val="1500"/>
                              <w:marTop w:val="100"/>
                              <w:marBottom w:val="100"/>
                              <w:divBdr>
                                <w:top w:val="none" w:sz="0" w:space="0" w:color="auto"/>
                                <w:left w:val="none" w:sz="0" w:space="0" w:color="auto"/>
                                <w:bottom w:val="none" w:sz="0" w:space="0" w:color="auto"/>
                                <w:right w:val="none" w:sz="0" w:space="0" w:color="auto"/>
                              </w:divBdr>
                              <w:divsChild>
                                <w:div w:id="762536186">
                                  <w:marLeft w:val="0"/>
                                  <w:marRight w:val="0"/>
                                  <w:marTop w:val="300"/>
                                  <w:marBottom w:val="450"/>
                                  <w:divBdr>
                                    <w:top w:val="none" w:sz="0" w:space="0" w:color="auto"/>
                                    <w:left w:val="none" w:sz="0" w:space="0" w:color="auto"/>
                                    <w:bottom w:val="none" w:sz="0" w:space="0" w:color="auto"/>
                                    <w:right w:val="none" w:sz="0" w:space="0" w:color="auto"/>
                                  </w:divBdr>
                                  <w:divsChild>
                                    <w:div w:id="1464229235">
                                      <w:marLeft w:val="0"/>
                                      <w:marRight w:val="0"/>
                                      <w:marTop w:val="0"/>
                                      <w:marBottom w:val="0"/>
                                      <w:divBdr>
                                        <w:top w:val="none" w:sz="0" w:space="0" w:color="auto"/>
                                        <w:left w:val="none" w:sz="0" w:space="0" w:color="auto"/>
                                        <w:bottom w:val="none" w:sz="0" w:space="0" w:color="auto"/>
                                        <w:right w:val="none" w:sz="0" w:space="0" w:color="auto"/>
                                      </w:divBdr>
                                      <w:divsChild>
                                        <w:div w:id="97078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10978-93A4-4960-B118-96C75C8EDBA5}">
  <ds:schemaRefs>
    <ds:schemaRef ds:uri="http://schemas.microsoft.com/sharepoint/v3/contenttype/forms"/>
  </ds:schemaRefs>
</ds:datastoreItem>
</file>

<file path=customXml/itemProps2.xml><?xml version="1.0" encoding="utf-8"?>
<ds:datastoreItem xmlns:ds="http://schemas.openxmlformats.org/officeDocument/2006/customXml" ds:itemID="{47AE1ACB-338C-4ABC-9AB1-4AB36E12AB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60CD01-9F12-46BC-BC3C-4F0BC2641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775</Words>
  <Characters>4421</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MGIPU</Company>
  <LinksUpToDate>false</LinksUpToDate>
  <CharactersWithSpaces>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Horvat</dc:creator>
  <cp:lastModifiedBy>Ke, Tingting</cp:lastModifiedBy>
  <cp:revision>4</cp:revision>
  <dcterms:created xsi:type="dcterms:W3CDTF">2020-02-10T15:00:00Z</dcterms:created>
  <dcterms:modified xsi:type="dcterms:W3CDTF">2020-07-20T08:50:00Z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