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57A" w:rsidRPr="00C33B97" w:rsidRDefault="009E757A" w:rsidP="009E757A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------IND- 2020 0749 SI- SV- ------ 20201209 --- --- PROJET</w:t>
      </w:r>
    </w:p>
    <w:p w:rsidR="00195936" w:rsidRPr="00087062" w:rsidRDefault="00195936" w:rsidP="00D96FDB">
      <w:pPr>
        <w:pStyle w:val="vrstapredpisa"/>
        <w:spacing w:before="0" w:beforeAutospacing="0" w:after="0" w:afterAutospacing="0"/>
      </w:pPr>
      <w:r>
        <w:t xml:space="preserve">Ministern för jordbruk, skogsbruk och livsmedel har utfärdat denna förordning i enlighet med artikel 64.4 i jordbrukslagen (Republiken Sloveniens officiella tidning [UL RS, </w:t>
      </w:r>
      <w:proofErr w:type="spellStart"/>
      <w:r>
        <w:rPr>
          <w:i/>
        </w:rPr>
        <w:t>Uradni</w:t>
      </w:r>
      <w:proofErr w:type="spellEnd"/>
      <w:r>
        <w:rPr>
          <w:i/>
        </w:rPr>
        <w:t xml:space="preserve"> List RS</w:t>
      </w:r>
      <w:r>
        <w:t xml:space="preserve">] nr 45/08, 57/12, 90/12 – </w:t>
      </w:r>
      <w:proofErr w:type="spellStart"/>
      <w:r>
        <w:t>ZdZPVHVVR</w:t>
      </w:r>
      <w:proofErr w:type="spellEnd"/>
      <w:r>
        <w:t xml:space="preserve"> [lag om ändring av vissa lagar om livsmedelssäkerhet, veterinärmedicin och växtskydd], 26/14, 32/15, 27/17 och 22/18). Härigenom föreskrivs följande:</w:t>
      </w:r>
    </w:p>
    <w:p w:rsidR="00D96FDB" w:rsidRPr="00087062" w:rsidRDefault="00D96FDB" w:rsidP="00D96FDB">
      <w:pPr>
        <w:pStyle w:val="vrstapredpisa"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vrstapredpisa"/>
        <w:spacing w:before="0" w:beforeAutospacing="0" w:after="0" w:afterAutospacing="0"/>
        <w:jc w:val="center"/>
      </w:pPr>
      <w:r>
        <w:t>REGLER</w:t>
      </w:r>
    </w:p>
    <w:p w:rsidR="00195936" w:rsidRPr="00087062" w:rsidRDefault="00195936" w:rsidP="00D96FDB">
      <w:pPr>
        <w:pStyle w:val="naslovpredpisa"/>
        <w:spacing w:before="0" w:beforeAutospacing="0" w:after="0" w:afterAutospacing="0"/>
        <w:jc w:val="center"/>
      </w:pPr>
      <w:r>
        <w:t>avseende kvaliteten på vinäger och utspädd ättiksyra</w:t>
      </w:r>
    </w:p>
    <w:p w:rsidR="00195936" w:rsidRDefault="00195936" w:rsidP="00D96FDB">
      <w:pPr>
        <w:pStyle w:val="naslovpredpisa"/>
        <w:spacing w:before="0" w:beforeAutospacing="0" w:after="0" w:afterAutospacing="0"/>
        <w:jc w:val="center"/>
      </w:pPr>
    </w:p>
    <w:p w:rsidR="00005737" w:rsidRPr="00087062" w:rsidRDefault="00005737" w:rsidP="00D96FDB">
      <w:pPr>
        <w:pStyle w:val="naslovpredpisa"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poglavje"/>
        <w:spacing w:before="0" w:beforeAutospacing="0" w:after="0" w:afterAutospacing="0"/>
        <w:jc w:val="center"/>
      </w:pPr>
      <w:r>
        <w:t>I. ALLMÄNNA BESTÄMMELSER</w:t>
      </w:r>
    </w:p>
    <w:p w:rsidR="00D96FDB" w:rsidRPr="00087062" w:rsidRDefault="00D96FDB" w:rsidP="00D96FDB">
      <w:pPr>
        <w:pStyle w:val="poglavje"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len"/>
        <w:spacing w:before="0" w:beforeAutospacing="0" w:after="0" w:afterAutospacing="0"/>
        <w:jc w:val="center"/>
      </w:pPr>
      <w:r>
        <w:t>Artikel 1</w:t>
      </w:r>
    </w:p>
    <w:p w:rsidR="00195936" w:rsidRPr="00087062" w:rsidRDefault="00195936" w:rsidP="00D96FDB">
      <w:pPr>
        <w:pStyle w:val="lennaslov"/>
        <w:spacing w:before="0" w:beforeAutospacing="0" w:after="0" w:afterAutospacing="0"/>
        <w:jc w:val="center"/>
      </w:pPr>
      <w:r>
        <w:t>(Innehåll)</w:t>
      </w:r>
    </w:p>
    <w:p w:rsidR="00D96FDB" w:rsidRPr="00087062" w:rsidRDefault="00D96FDB" w:rsidP="00D96FDB">
      <w:pPr>
        <w:pStyle w:val="lennaslov"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</w:pPr>
      <w:r>
        <w:t xml:space="preserve">Genom dessa regler fastställs de villkor för lägsta tillåtna kvalitet, märkning och kategorisering som måste uppfyllas av naturligt jäst vinäger (nedan kallad </w:t>
      </w:r>
      <w:r>
        <w:rPr>
          <w:i/>
          <w:iCs/>
        </w:rPr>
        <w:t>vinäger</w:t>
      </w:r>
      <w:r>
        <w:t xml:space="preserve">) och vinägerersättning framställd genom utspädning av ättiksyra (nedan kallad </w:t>
      </w:r>
      <w:r>
        <w:rPr>
          <w:i/>
          <w:iCs/>
        </w:rPr>
        <w:t>utspädd ättiksyra</w:t>
      </w:r>
      <w:r>
        <w:t>) som släpps ut på marknaden.</w:t>
      </w:r>
    </w:p>
    <w:p w:rsidR="00D96FDB" w:rsidRPr="00087062" w:rsidRDefault="00D96FDB" w:rsidP="00D96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Artikel 2</w:t>
      </w:r>
    </w:p>
    <w:p w:rsidR="00195936" w:rsidRPr="00087062" w:rsidRDefault="00195936" w:rsidP="00D96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(Informationsförfarande och informationsklausul)</w:t>
      </w:r>
    </w:p>
    <w:p w:rsidR="00195936" w:rsidRPr="00087062" w:rsidRDefault="00195936" w:rsidP="00D9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1. </w:t>
      </w:r>
      <w:r w:rsidR="00D560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Dessa regler har utfärdats med beaktande av det informationsförfarande som föreskrivs i Europaparlamentets och rådets direktiv (EU) 2015/1535 av den 9 september 2015 om ett informationsförfarande beträffande tekniska föreskrifter och beträffande föreskrifter för informationssamhällets tjänster (EUT L 241, 17.9.2015, s. 1).</w:t>
      </w:r>
    </w:p>
    <w:p w:rsidR="00195936" w:rsidRPr="00087062" w:rsidRDefault="00195936" w:rsidP="00D9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Default="00195936" w:rsidP="00D96F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 </w:t>
      </w:r>
      <w:r w:rsidR="00D560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Kraven i dessa regler gäller inte produkter som, enligt nationell lagstiftning, ger en skyddsnivå för det allmänna samhällsintresset som är likvärdig den som tillhandahålls genom Republiken Sloveniens lagstiftning, och som lagligen har</w:t>
      </w:r>
    </w:p>
    <w:p w:rsidR="00456352" w:rsidRPr="00087062" w:rsidRDefault="00456352" w:rsidP="00D96F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tillverkats eller saluförts i andra medlemsstater i Europeiska unionen och Turkiet, eller</w:t>
      </w:r>
    </w:p>
    <w:p w:rsidR="00195936" w:rsidRPr="00087062" w:rsidRDefault="00195936" w:rsidP="00D96FD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tillverkats i ett av de länder som ingår i Europeiska frihandelssammanslutningen (Efta), som även har undertecknat avtalet om Europeiska ekonomiska samarbetsområdet.</w:t>
      </w:r>
    </w:p>
    <w:p w:rsidR="00195936" w:rsidRPr="00087062" w:rsidRDefault="00195936" w:rsidP="00D9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3. </w:t>
      </w:r>
      <w:r w:rsidR="00D560C0">
        <w:rPr>
          <w:rFonts w:ascii="Times New Roman" w:hAnsi="Times New Roman"/>
          <w:sz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</w:rPr>
        <w:t>Dessa regler ska verkställas i enlighet med Europaparlamentets och rådets förordning (EU) 2019/515 av den 19 mars 2019 om ömsesidigt erkännande av varor som är lagligen saluförda i en annan medlemsstat och om upphävande av förordning (EG) nr 764/2008 (EUT 91, 29.3.2019, s. 1).</w:t>
      </w:r>
    </w:p>
    <w:p w:rsidR="00195936" w:rsidRPr="00087062" w:rsidRDefault="00195936" w:rsidP="00D96F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3A8C" w:rsidRPr="00087062" w:rsidRDefault="00A43A8C" w:rsidP="00D96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95936" w:rsidRPr="00087062" w:rsidRDefault="00195936" w:rsidP="00087062">
      <w:pPr>
        <w:pStyle w:val="poglavje"/>
        <w:keepNext/>
        <w:spacing w:before="0" w:beforeAutospacing="0" w:after="0" w:afterAutospacing="0"/>
        <w:jc w:val="center"/>
      </w:pPr>
      <w:r>
        <w:lastRenderedPageBreak/>
        <w:t>II. SÄRSKILDA BESTÄMMELSER</w:t>
      </w:r>
    </w:p>
    <w:p w:rsidR="00D96FDB" w:rsidRPr="00087062" w:rsidRDefault="00D96FDB" w:rsidP="00087062">
      <w:pPr>
        <w:pStyle w:val="oddelek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delek"/>
        <w:keepNext/>
        <w:spacing w:before="0" w:beforeAutospacing="0" w:after="0" w:afterAutospacing="0"/>
        <w:jc w:val="center"/>
      </w:pPr>
      <w:r>
        <w:t>1. Vinäger</w:t>
      </w:r>
    </w:p>
    <w:p w:rsidR="00D96FDB" w:rsidRPr="00087062" w:rsidRDefault="00D96FDB" w:rsidP="00087062">
      <w:pPr>
        <w:pStyle w:val="oddelek"/>
        <w:keepNext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Artikel 3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(Vinäger)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  <w:jc w:val="both"/>
      </w:pPr>
      <w:r>
        <w:t xml:space="preserve">Vinäger är en produkt där ättiksyra bildas genom en biologisk process med dubbel jäsning (alkoholjäsning och ättiksyrajäsning) av råvaror från jordbruket. Den ska innehålla karakteristiska jäsningsprodukter (t.ex. 2-ketogluconsyra, 5-ketogluconsyra , </w:t>
      </w:r>
      <w:proofErr w:type="spellStart"/>
      <w:r>
        <w:t>gluconsyra</w:t>
      </w:r>
      <w:proofErr w:type="spellEnd"/>
      <w:r>
        <w:t xml:space="preserve">, citronsyra, aminosyror och </w:t>
      </w:r>
      <w:proofErr w:type="spellStart"/>
      <w:r>
        <w:t>acetoin</w:t>
      </w:r>
      <w:proofErr w:type="spellEnd"/>
      <w:r>
        <w:t>, 2,3-butylenglykol).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Artikel 4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(Råvaror)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Vinäger ska framställas av en av följande råvaror: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tevilnatoka"/>
        <w:numPr>
          <w:ilvl w:val="0"/>
          <w:numId w:val="20"/>
        </w:numPr>
        <w:spacing w:before="0" w:beforeAutospacing="0" w:after="0" w:afterAutospacing="0"/>
        <w:jc w:val="both"/>
      </w:pPr>
      <w:r>
        <w:t xml:space="preserve">Vin som är lämpligt för tillverkning av vinäger i enlighet med den lagstiftning som reglerar vinkvaliteten. </w:t>
      </w:r>
    </w:p>
    <w:p w:rsidR="00195936" w:rsidRPr="00087062" w:rsidRDefault="00195936" w:rsidP="00D96FDB">
      <w:pPr>
        <w:pStyle w:val="tevilnatoka"/>
        <w:numPr>
          <w:ilvl w:val="0"/>
          <w:numId w:val="20"/>
        </w:numPr>
        <w:spacing w:before="0" w:beforeAutospacing="0" w:after="0" w:afterAutospacing="0"/>
        <w:jc w:val="both"/>
      </w:pPr>
      <w:r>
        <w:t xml:space="preserve">Frukt eller bär, fruktvin, bärvin, äppelcider. </w:t>
      </w:r>
    </w:p>
    <w:p w:rsidR="00195936" w:rsidRPr="00087062" w:rsidRDefault="00195936" w:rsidP="00D96FDB">
      <w:pPr>
        <w:pStyle w:val="tevilnatoka"/>
        <w:numPr>
          <w:ilvl w:val="0"/>
          <w:numId w:val="20"/>
        </w:numPr>
        <w:spacing w:before="0" w:beforeAutospacing="0" w:after="0" w:afterAutospacing="0"/>
        <w:jc w:val="both"/>
      </w:pPr>
      <w:r>
        <w:t>Destillerad jordbruksalkohol.</w:t>
      </w:r>
    </w:p>
    <w:p w:rsidR="00195936" w:rsidRPr="00087062" w:rsidRDefault="00195936" w:rsidP="00D96FDB">
      <w:pPr>
        <w:pStyle w:val="tevilnatoka"/>
        <w:numPr>
          <w:ilvl w:val="0"/>
          <w:numId w:val="20"/>
        </w:numPr>
        <w:spacing w:before="0" w:beforeAutospacing="0" w:after="0" w:afterAutospacing="0"/>
        <w:jc w:val="both"/>
      </w:pPr>
      <w:r>
        <w:t>Andra jordbruksprodukter som innehåller stärkelse eller socker eller stärkelse och socker som t.ex. spannmålskärnor, malt av korn och vassle.</w:t>
      </w:r>
    </w:p>
    <w:p w:rsidR="00D96FDB" w:rsidRPr="00087062" w:rsidRDefault="00D96FDB" w:rsidP="00D96FDB">
      <w:pPr>
        <w:pStyle w:val="tevilnatoka"/>
        <w:spacing w:before="0" w:beforeAutospacing="0" w:after="0" w:afterAutospacing="0"/>
        <w:ind w:left="720"/>
        <w:jc w:val="both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Artikel 5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(Kategorisering)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Den vinäger som släpps ut på marknaden kategoriseras på grundval av de råvaror som använts, enligt följande: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Vinvinäger framställd uteslutande av vin genom ättiksyrajäsning.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Fruktvinäger framställd uteslutande av fruktvin genom ättiksyrajäsning.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Äppelcidervinäger framställd uteslutande av äppelcider genom ättiksyrajäsning.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Brännvinsvinäger framställd uteslutande av jordbruksalkohol genom ättiksyrajäsning.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Vinäger gjord på spannmålskärnor genom ättiksyrajäsning utan mellandestillering.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Andra typer av vinäger (t.ex. vinäger gjort på pressrester, </w:t>
      </w:r>
      <w:proofErr w:type="spellStart"/>
      <w:r>
        <w:t>ölvinäger</w:t>
      </w:r>
      <w:proofErr w:type="spellEnd"/>
      <w:r>
        <w:t>, maltvinäger, honungsvinäger, vasslevinäger).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Artikel 6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(Processhjälpmedel)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Utifrån den tekniska motiveringen får följande processhjälpmedel användas vid tillverkning av vinäger: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odstavkom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Jästextrakt, maltberedningar, stärkelsesirap och oorganiska ämnen (t.ex. fosfater, ammoniumsalter, etc.) som ska tillhandahålla ättiksyrebakterierna. </w:t>
      </w:r>
    </w:p>
    <w:p w:rsidR="00195936" w:rsidRPr="00087062" w:rsidRDefault="00195936" w:rsidP="00D96FDB">
      <w:pPr>
        <w:pStyle w:val="alineazaodstavkom"/>
        <w:numPr>
          <w:ilvl w:val="0"/>
          <w:numId w:val="5"/>
        </w:numPr>
        <w:spacing w:before="0" w:beforeAutospacing="0" w:after="0" w:afterAutospacing="0"/>
        <w:jc w:val="both"/>
      </w:pPr>
      <w:r>
        <w:t>Klarnings-, rengörings och filtreringsmedel.</w:t>
      </w:r>
    </w:p>
    <w:p w:rsidR="00D96FDB" w:rsidRPr="00087062" w:rsidRDefault="00D96FDB" w:rsidP="00D96FDB">
      <w:pPr>
        <w:pStyle w:val="alineazaodstavkom"/>
        <w:spacing w:before="0" w:beforeAutospacing="0" w:after="0" w:afterAutospacing="0"/>
        <w:ind w:left="720"/>
        <w:jc w:val="both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lastRenderedPageBreak/>
        <w:t>Artikel 7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(Specialvinäger)</w:t>
      </w:r>
    </w:p>
    <w:p w:rsidR="00416D82" w:rsidRPr="00087062" w:rsidRDefault="00416D82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Följande får tillsättas i vinäger i syfte att förbättra lukt och smak (sådan vinäger kallas nedan för </w:t>
      </w:r>
      <w:r>
        <w:rPr>
          <w:i/>
          <w:iCs/>
        </w:rPr>
        <w:t>specialvinäger</w:t>
      </w:r>
      <w:r>
        <w:t xml:space="preserve">): </w:t>
      </w:r>
    </w:p>
    <w:p w:rsidR="00D53C02" w:rsidRPr="00087062" w:rsidRDefault="00D53C02" w:rsidP="00087062">
      <w:pPr>
        <w:pStyle w:val="odstavek"/>
        <w:keepNext/>
        <w:spacing w:before="0" w:beforeAutospacing="0" w:after="0" w:afterAutospacing="0"/>
        <w:jc w:val="both"/>
      </w:pPr>
    </w:p>
    <w:p w:rsidR="00195936" w:rsidRDefault="004962EC" w:rsidP="00087062">
      <w:pPr>
        <w:pStyle w:val="tevilnatoka"/>
        <w:keepNext/>
        <w:spacing w:before="0" w:beforeAutospacing="0" w:after="0" w:afterAutospacing="0"/>
        <w:jc w:val="both"/>
      </w:pPr>
      <w:r>
        <w:t xml:space="preserve">a) Växter eller växtdelar inklusive örter, kryddor och frukt, som kan vara </w:t>
      </w:r>
    </w:p>
    <w:p w:rsidR="00D53C02" w:rsidRPr="00087062" w:rsidRDefault="00D53C02" w:rsidP="00087062">
      <w:pPr>
        <w:pStyle w:val="tevilnatoka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tevilnotoko"/>
        <w:numPr>
          <w:ilvl w:val="0"/>
          <w:numId w:val="9"/>
        </w:numPr>
        <w:spacing w:before="0" w:beforeAutospacing="0" w:after="0" w:afterAutospacing="0"/>
        <w:jc w:val="both"/>
      </w:pPr>
      <w:r>
        <w:t xml:space="preserve">färska eller torkade, skivade eller hela, eller </w:t>
      </w:r>
    </w:p>
    <w:p w:rsidR="00195936" w:rsidRDefault="00195936" w:rsidP="00D96FDB">
      <w:pPr>
        <w:pStyle w:val="alineazatevilnotoko"/>
        <w:numPr>
          <w:ilvl w:val="0"/>
          <w:numId w:val="9"/>
        </w:numPr>
        <w:spacing w:before="0" w:beforeAutospacing="0" w:after="0" w:afterAutospacing="0"/>
        <w:jc w:val="both"/>
      </w:pPr>
      <w:r>
        <w:t xml:space="preserve">i form av extrakt. </w:t>
      </w:r>
    </w:p>
    <w:p w:rsidR="00D53C02" w:rsidRPr="00087062" w:rsidRDefault="00D53C02" w:rsidP="00D53C02">
      <w:pPr>
        <w:pStyle w:val="alineazatevilnotoko"/>
        <w:spacing w:before="0" w:beforeAutospacing="0" w:after="0" w:afterAutospacing="0"/>
        <w:ind w:left="720"/>
        <w:jc w:val="both"/>
      </w:pPr>
    </w:p>
    <w:p w:rsidR="00195936" w:rsidRDefault="004962EC" w:rsidP="00D96FDB">
      <w:pPr>
        <w:pStyle w:val="tevilnatoka"/>
        <w:spacing w:before="0" w:beforeAutospacing="0" w:after="0" w:afterAutospacing="0"/>
        <w:jc w:val="both"/>
      </w:pPr>
      <w:r>
        <w:t xml:space="preserve">b) Koncentrerade eller icke-koncentrerade fruktjuicer och must. </w:t>
      </w:r>
    </w:p>
    <w:p w:rsidR="00D53C02" w:rsidRPr="00087062" w:rsidRDefault="00D53C02" w:rsidP="00D96FDB">
      <w:pPr>
        <w:pStyle w:val="tevilnatoka"/>
        <w:spacing w:before="0" w:beforeAutospacing="0" w:after="0" w:afterAutospacing="0"/>
        <w:jc w:val="both"/>
      </w:pPr>
    </w:p>
    <w:p w:rsidR="00195936" w:rsidRDefault="004962EC" w:rsidP="00D96FDB">
      <w:pPr>
        <w:pStyle w:val="tevilnatoka"/>
        <w:spacing w:before="0" w:beforeAutospacing="0" w:after="0" w:afterAutospacing="0"/>
        <w:jc w:val="both"/>
      </w:pPr>
      <w:r>
        <w:t xml:space="preserve">c) Honung. </w:t>
      </w:r>
    </w:p>
    <w:p w:rsidR="00D53C02" w:rsidRPr="00087062" w:rsidRDefault="00D53C02" w:rsidP="00D96FDB">
      <w:pPr>
        <w:pStyle w:val="tevilnatoka"/>
        <w:spacing w:before="0" w:beforeAutospacing="0" w:after="0" w:afterAutospacing="0"/>
        <w:jc w:val="both"/>
      </w:pPr>
    </w:p>
    <w:p w:rsidR="00195936" w:rsidRDefault="004962EC" w:rsidP="00D96FDB">
      <w:pPr>
        <w:pStyle w:val="tevilnatoka"/>
        <w:spacing w:before="0" w:beforeAutospacing="0" w:after="0" w:afterAutospacing="0"/>
        <w:jc w:val="both"/>
      </w:pPr>
      <w:r>
        <w:t xml:space="preserve">d) Socker. </w:t>
      </w:r>
    </w:p>
    <w:p w:rsidR="00D53C02" w:rsidRPr="00087062" w:rsidRDefault="00D53C02" w:rsidP="00D96FDB">
      <w:pPr>
        <w:pStyle w:val="tevilnatoka"/>
        <w:spacing w:before="0" w:beforeAutospacing="0" w:after="0" w:afterAutospacing="0"/>
        <w:jc w:val="both"/>
      </w:pPr>
    </w:p>
    <w:p w:rsidR="003B0BA7" w:rsidRPr="00087062" w:rsidRDefault="004962EC" w:rsidP="00D96FDB">
      <w:pPr>
        <w:pStyle w:val="tevilnatoka"/>
        <w:spacing w:before="0" w:beforeAutospacing="0" w:after="0" w:afterAutospacing="0"/>
        <w:jc w:val="both"/>
      </w:pPr>
      <w:r>
        <w:t xml:space="preserve">e) Salt. </w:t>
      </w:r>
    </w:p>
    <w:p w:rsidR="00406C87" w:rsidRPr="00087062" w:rsidRDefault="00406C87" w:rsidP="00D96FDB">
      <w:pPr>
        <w:pStyle w:val="odstavek"/>
        <w:spacing w:before="0" w:beforeAutospacing="0" w:after="0" w:afterAutospacing="0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Artikel 8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(Förbjudna ämnen)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Vid framställning av vinäger är det förbjudet att använda följande: </w:t>
      </w:r>
    </w:p>
    <w:p w:rsidR="00087062" w:rsidRPr="00087062" w:rsidRDefault="00087062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Oljefraktioner från frön och pressrester. </w:t>
      </w:r>
    </w:p>
    <w:p w:rsidR="00195936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Rester från alkoholdestillering och jäsning och biprodukter därav. </w:t>
      </w:r>
    </w:p>
    <w:p w:rsidR="00195936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Ämnen som erhålls genom </w:t>
      </w:r>
      <w:proofErr w:type="spellStart"/>
      <w:r>
        <w:t>extrudering</w:t>
      </w:r>
      <w:proofErr w:type="spellEnd"/>
      <w:r>
        <w:t xml:space="preserve"> av pressrester. </w:t>
      </w:r>
    </w:p>
    <w:p w:rsidR="004962EC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Alla typer av syra. </w:t>
      </w:r>
    </w:p>
    <w:p w:rsidR="00195936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>Ämnen avsedda att öka mängden extrakt och aska.</w:t>
      </w:r>
    </w:p>
    <w:p w:rsidR="00D96FDB" w:rsidRPr="00087062" w:rsidRDefault="00D96FDB" w:rsidP="00D96FDB">
      <w:pPr>
        <w:pStyle w:val="alineazaodstavkom"/>
        <w:spacing w:before="0" w:beforeAutospacing="0" w:after="0" w:afterAutospacing="0"/>
        <w:ind w:left="720"/>
        <w:jc w:val="both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Artikel 9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(Sensoriska egenskaper)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  <w:jc w:val="both"/>
      </w:pPr>
      <w:r>
        <w:t xml:space="preserve">Vinägerns lukt och smak ska vara karakteristisk för den typ av råvara som vinägern är framställd av. Vinägern ska vara klar och fri från </w:t>
      </w:r>
      <w:proofErr w:type="spellStart"/>
      <w:r>
        <w:t>turbiditet</w:t>
      </w:r>
      <w:proofErr w:type="spellEnd"/>
      <w:r>
        <w:t xml:space="preserve"> och sediment från mikroorganismer, med undantag av äppelcidervinäger och vinvinäger i vilka föroreningar och sediment från råvaran får förekomma.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>Artikel 10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(Lägsta tillåtna kvalitet)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Den vinäger som släpps ut på marknaden ska uppfylla följande minimikvalitetskrav: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4962EC" w:rsidP="00087062">
      <w:pPr>
        <w:pStyle w:val="tevilnatoka"/>
        <w:keepNext/>
        <w:spacing w:before="0" w:beforeAutospacing="0" w:after="0" w:afterAutospacing="0"/>
        <w:jc w:val="both"/>
      </w:pPr>
      <w:r>
        <w:t xml:space="preserve">a) Den sammanlagda </w:t>
      </w:r>
      <w:proofErr w:type="spellStart"/>
      <w:r>
        <w:t>syrahalten</w:t>
      </w:r>
      <w:proofErr w:type="spellEnd"/>
      <w:r>
        <w:t xml:space="preserve">, beräknad som ättiksyra, för </w:t>
      </w:r>
    </w:p>
    <w:p w:rsidR="00D96FDB" w:rsidRPr="00087062" w:rsidRDefault="00D96FDB" w:rsidP="00087062">
      <w:pPr>
        <w:pStyle w:val="alineazatevilnotoko"/>
        <w:keepNext/>
        <w:spacing w:before="0" w:beforeAutospacing="0" w:after="0" w:afterAutospacing="0"/>
        <w:ind w:left="720"/>
        <w:jc w:val="both"/>
      </w:pPr>
    </w:p>
    <w:p w:rsidR="00195936" w:rsidRPr="00087062" w:rsidRDefault="00195936" w:rsidP="00D96FDB">
      <w:pPr>
        <w:pStyle w:val="alineazatevilnotoko"/>
        <w:numPr>
          <w:ilvl w:val="0"/>
          <w:numId w:val="11"/>
        </w:numPr>
        <w:spacing w:before="0" w:beforeAutospacing="0" w:after="0" w:afterAutospacing="0"/>
        <w:jc w:val="both"/>
      </w:pPr>
      <w:r>
        <w:t xml:space="preserve">vinäger, med undantag för vinvinäger och utspädd vinvinäger, minst 50 g/l, </w:t>
      </w:r>
    </w:p>
    <w:p w:rsidR="00195936" w:rsidRPr="00087062" w:rsidRDefault="00195936" w:rsidP="00D96FDB">
      <w:pPr>
        <w:pStyle w:val="alineazatevilnotoko"/>
        <w:numPr>
          <w:ilvl w:val="0"/>
          <w:numId w:val="11"/>
        </w:numPr>
        <w:spacing w:before="0" w:beforeAutospacing="0" w:after="0" w:afterAutospacing="0"/>
        <w:jc w:val="both"/>
      </w:pPr>
      <w:r>
        <w:t xml:space="preserve">vinvinäger, minst 60 g/l, </w:t>
      </w:r>
    </w:p>
    <w:p w:rsidR="00195936" w:rsidRPr="00087062" w:rsidRDefault="00195936" w:rsidP="00D96FDB">
      <w:pPr>
        <w:pStyle w:val="alineazatevilnotoko"/>
        <w:numPr>
          <w:ilvl w:val="0"/>
          <w:numId w:val="11"/>
        </w:numPr>
        <w:spacing w:before="0" w:beforeAutospacing="0" w:after="0" w:afterAutospacing="0"/>
        <w:jc w:val="both"/>
      </w:pPr>
      <w:r>
        <w:t xml:space="preserve">utspädd vinvinäger, minst 40 g/l. </w:t>
      </w:r>
    </w:p>
    <w:p w:rsidR="00D96FDB" w:rsidRPr="00087062" w:rsidRDefault="00D96FDB" w:rsidP="00D96FDB">
      <w:pPr>
        <w:pStyle w:val="alineazatevilnotoko"/>
        <w:spacing w:before="0" w:beforeAutospacing="0" w:after="0" w:afterAutospacing="0"/>
        <w:ind w:left="720"/>
        <w:jc w:val="both"/>
      </w:pPr>
    </w:p>
    <w:p w:rsidR="00195936" w:rsidRPr="00087062" w:rsidRDefault="004962EC" w:rsidP="00087062">
      <w:pPr>
        <w:pStyle w:val="tevilnatoka"/>
        <w:keepNext/>
        <w:spacing w:before="0" w:beforeAutospacing="0" w:after="0" w:afterAutospacing="0"/>
        <w:jc w:val="both"/>
      </w:pPr>
      <w:r>
        <w:lastRenderedPageBreak/>
        <w:t xml:space="preserve">b) Kvarvarande alkoholhalt för </w:t>
      </w:r>
    </w:p>
    <w:p w:rsidR="00D96FDB" w:rsidRPr="00087062" w:rsidRDefault="00D96FDB" w:rsidP="00087062">
      <w:pPr>
        <w:pStyle w:val="tevilnatoka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tevilnotoko"/>
        <w:numPr>
          <w:ilvl w:val="0"/>
          <w:numId w:val="12"/>
        </w:numPr>
        <w:spacing w:before="0" w:beforeAutospacing="0" w:after="0" w:afterAutospacing="0"/>
        <w:jc w:val="both"/>
      </w:pPr>
      <w:r>
        <w:t xml:space="preserve">vinäger, med undantag för vinvinäger och specialvinäger framställd av vinvinäger, högst 0,5 volymprocent, </w:t>
      </w:r>
    </w:p>
    <w:p w:rsidR="00195936" w:rsidRPr="00087062" w:rsidRDefault="00195936" w:rsidP="00D96FDB">
      <w:pPr>
        <w:pStyle w:val="alineazatevilnotoko"/>
        <w:numPr>
          <w:ilvl w:val="0"/>
          <w:numId w:val="12"/>
        </w:numPr>
        <w:spacing w:before="0" w:beforeAutospacing="0" w:after="0" w:afterAutospacing="0"/>
        <w:jc w:val="both"/>
      </w:pPr>
      <w:r>
        <w:t xml:space="preserve">vinvinäger, högst 1,0 volymprocent, </w:t>
      </w:r>
    </w:p>
    <w:p w:rsidR="00195936" w:rsidRPr="00087062" w:rsidRDefault="00195936" w:rsidP="00D96FDB">
      <w:pPr>
        <w:pStyle w:val="alineazatevilnotoko"/>
        <w:numPr>
          <w:ilvl w:val="0"/>
          <w:numId w:val="12"/>
        </w:numPr>
        <w:spacing w:before="0" w:beforeAutospacing="0" w:after="0" w:afterAutospacing="0"/>
        <w:jc w:val="both"/>
      </w:pPr>
      <w:r>
        <w:t xml:space="preserve">specialvinäger framställd av vinvinäger, högst 3 volymprocent. </w:t>
      </w:r>
    </w:p>
    <w:p w:rsidR="00D96FDB" w:rsidRPr="00087062" w:rsidRDefault="00D96FDB" w:rsidP="00D96FDB">
      <w:pPr>
        <w:pStyle w:val="alineazatevilnotoko"/>
        <w:spacing w:before="0" w:beforeAutospacing="0" w:after="0" w:afterAutospacing="0"/>
        <w:ind w:left="720"/>
        <w:jc w:val="both"/>
      </w:pPr>
    </w:p>
    <w:p w:rsidR="00195936" w:rsidRPr="00087062" w:rsidRDefault="004962EC" w:rsidP="00087062">
      <w:pPr>
        <w:pStyle w:val="tevilnatoka"/>
        <w:keepNext/>
        <w:spacing w:before="0" w:beforeAutospacing="0" w:after="0" w:afterAutospacing="0"/>
        <w:jc w:val="both"/>
      </w:pPr>
      <w:r>
        <w:t xml:space="preserve">c) Askhalten för </w:t>
      </w:r>
    </w:p>
    <w:p w:rsidR="00D96FDB" w:rsidRPr="00087062" w:rsidRDefault="00D96FDB" w:rsidP="00087062">
      <w:pPr>
        <w:pStyle w:val="tevilnatoka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tevilnotoko"/>
        <w:numPr>
          <w:ilvl w:val="0"/>
          <w:numId w:val="13"/>
        </w:numPr>
        <w:spacing w:before="0" w:beforeAutospacing="0" w:after="0" w:afterAutospacing="0"/>
        <w:jc w:val="both"/>
      </w:pPr>
      <w:r>
        <w:t>vinvinäger och utspädd vinvinäger, högst 3,5 g/l.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>Artikel 11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(Äkthet)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  <w:jc w:val="both"/>
      </w:pPr>
      <w:r>
        <w:t>Den vinäger som släpps ut på marknaden ska, med avseende på äkthet, bevisligen innehålla de karakteristiska jäsningsprodukter som avses i artikel 3 i dessa regler.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jc w:val="both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>Artikel 12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(Ättiksyrahalt)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numPr>
          <w:ilvl w:val="0"/>
          <w:numId w:val="14"/>
        </w:numPr>
        <w:spacing w:before="0" w:beforeAutospacing="0" w:after="0" w:afterAutospacing="0"/>
        <w:ind w:left="432" w:hanging="432"/>
      </w:pPr>
      <w:r>
        <w:t xml:space="preserve">Vinägern ska endast innehålla den mängd total syra, uttryckt som ättiksyra, som bildats under ättiksyrajäsningen.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</w:pPr>
    </w:p>
    <w:p w:rsidR="00195936" w:rsidRPr="00087062" w:rsidRDefault="00195936" w:rsidP="00D96FDB">
      <w:pPr>
        <w:pStyle w:val="odstavek"/>
        <w:numPr>
          <w:ilvl w:val="0"/>
          <w:numId w:val="14"/>
        </w:numPr>
        <w:spacing w:before="0" w:beforeAutospacing="0" w:after="0" w:afterAutospacing="0"/>
        <w:ind w:left="432" w:hanging="432"/>
      </w:pPr>
      <w:r>
        <w:t>Förutom ättiksyra får vinägern endast innehålla de organiska syror som härrör från den råvara som använts eller som bildats under ättiksyrajäsningen.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</w:pPr>
    </w:p>
    <w:p w:rsidR="00487A28" w:rsidRPr="00087062" w:rsidRDefault="00487A28" w:rsidP="00D96FDB">
      <w:pPr>
        <w:pStyle w:val="odstavek"/>
        <w:numPr>
          <w:ilvl w:val="0"/>
          <w:numId w:val="14"/>
        </w:numPr>
        <w:spacing w:before="0" w:beforeAutospacing="0" w:after="0" w:afterAutospacing="0"/>
        <w:ind w:left="432" w:hanging="432"/>
      </w:pPr>
      <w:r>
        <w:t>Vatten som uppfyller kraven i den lagstiftning som reglerar dricksvattenkvaliteten får tillsättas i vinägern i syfte att standardisera ättiksyrahalten.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>Artikel 13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(Blandad vinäger)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numPr>
          <w:ilvl w:val="0"/>
          <w:numId w:val="15"/>
        </w:numPr>
        <w:spacing w:before="0" w:beforeAutospacing="0" w:after="0" w:afterAutospacing="0"/>
        <w:ind w:left="432" w:hanging="432"/>
      </w:pPr>
      <w:r>
        <w:t>De typer av vinäger som avses i artikel 5 i dessa regler får blandas med varandra om den blandade vinägern märks i enlighet med dessa regler.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</w:pPr>
    </w:p>
    <w:p w:rsidR="004962EC" w:rsidRPr="00087062" w:rsidRDefault="004962EC" w:rsidP="00D96FDB">
      <w:pPr>
        <w:pStyle w:val="odstavek"/>
        <w:numPr>
          <w:ilvl w:val="0"/>
          <w:numId w:val="15"/>
        </w:numPr>
        <w:spacing w:before="0" w:beforeAutospacing="0" w:after="0" w:afterAutospacing="0"/>
        <w:ind w:left="432" w:hanging="432"/>
      </w:pPr>
      <w:r>
        <w:t>Det är förbjudet att blanda vinäger framställd genom jäsning med ättiksyra.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>Artikel 14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(Märkning av vinäger)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 xml:space="preserve">Beteckningen vinäger får användas för märkning av vinäger som framställts i enlighet med det naturliga biologiska förfarande som avses i artikel 3 i dessa regler samt i enlighet med bestämmelserna i artikel 12.3 i dessa regler.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  <w:jc w:val="both"/>
      </w:pPr>
    </w:p>
    <w:p w:rsidR="00195936" w:rsidRPr="00087062" w:rsidRDefault="00195936" w:rsidP="00D96FDB">
      <w:pPr>
        <w:pStyle w:val="odstavek"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 xml:space="preserve">Vinäger som framställts av en enda råvara ska märkas med beteckningen vinäger och med uppgift om råvaran, eller med namnet utspädd vinvinäger om den har framställts genom utspädning av vinvinäger.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  <w:jc w:val="both"/>
      </w:pPr>
    </w:p>
    <w:p w:rsidR="00195936" w:rsidRPr="00087062" w:rsidRDefault="00195936" w:rsidP="00D96FDB">
      <w:pPr>
        <w:pStyle w:val="odstavek"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lastRenderedPageBreak/>
        <w:t xml:space="preserve">Vinäger framställd av flera olika råvaror ska märkas med beteckningen vinäger eller blandad vinäger och med uppgift om samtliga råvaror i fallande ordning utifrån mängden råvara.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  <w:jc w:val="both"/>
      </w:pPr>
    </w:p>
    <w:p w:rsidR="00195936" w:rsidRPr="00087062" w:rsidRDefault="00195936" w:rsidP="00087062">
      <w:pPr>
        <w:pStyle w:val="odstavek"/>
        <w:keepNext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 xml:space="preserve">Produktbeteckningen för vinäger som innehåller tillsatser enligt artikel 7 i dessa regler ska innehålla en uppgift om typen av tillsats (t.ex. äppelcidervinäger med honung), med undantag för vinäger som innehåller en av de tillsatser som anges i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ind w:left="432"/>
        <w:jc w:val="both"/>
      </w:pPr>
    </w:p>
    <w:p w:rsidR="006A36BF" w:rsidRPr="00087062" w:rsidRDefault="00416D82" w:rsidP="00D96FDB">
      <w:pPr>
        <w:pStyle w:val="alineazatevilnotoko"/>
        <w:numPr>
          <w:ilvl w:val="0"/>
          <w:numId w:val="17"/>
        </w:numPr>
        <w:spacing w:before="0" w:beforeAutospacing="0" w:after="0" w:afterAutospacing="0"/>
        <w:jc w:val="both"/>
      </w:pPr>
      <w:r>
        <w:t>artikel 7.1 a i dessa regler, som kan betecknas som örtvinäger, och</w:t>
      </w:r>
    </w:p>
    <w:p w:rsidR="006D5876" w:rsidRPr="00087062" w:rsidRDefault="00195936" w:rsidP="00D96FDB">
      <w:pPr>
        <w:pStyle w:val="alineazatevilnotoko"/>
        <w:numPr>
          <w:ilvl w:val="0"/>
          <w:numId w:val="17"/>
        </w:numPr>
        <w:spacing w:before="0" w:beforeAutospacing="0" w:after="0" w:afterAutospacing="0"/>
        <w:jc w:val="both"/>
      </w:pPr>
      <w:r>
        <w:t xml:space="preserve">artikel 7.1 b i dessa regler, som kan betecknas som balsamvinäger. </w:t>
      </w:r>
    </w:p>
    <w:p w:rsidR="00D96FDB" w:rsidRPr="00087062" w:rsidRDefault="00D96FDB" w:rsidP="00D96FDB">
      <w:pPr>
        <w:pStyle w:val="alineazatevilnotoko"/>
        <w:spacing w:before="0" w:beforeAutospacing="0" w:after="0" w:afterAutospacing="0"/>
        <w:ind w:left="928"/>
        <w:jc w:val="both"/>
      </w:pPr>
    </w:p>
    <w:p w:rsidR="00195936" w:rsidRPr="00087062" w:rsidRDefault="00195936" w:rsidP="00D96FDB">
      <w:pPr>
        <w:pStyle w:val="odstavek"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 xml:space="preserve">Den totala </w:t>
      </w:r>
      <w:proofErr w:type="spellStart"/>
      <w:r>
        <w:t>syrahalten</w:t>
      </w:r>
      <w:proofErr w:type="spellEnd"/>
      <w:r>
        <w:t xml:space="preserve"> i vinäger, uttryckt som ättiksyra i g/100 ml, ska anges på märkningen som ”... % </w:t>
      </w:r>
      <w:proofErr w:type="spellStart"/>
      <w:r>
        <w:t>syrahalt</w:t>
      </w:r>
      <w:proofErr w:type="spellEnd"/>
      <w:r>
        <w:t xml:space="preserve">”, vilket betyder volymprocent ättiksyra. </w:t>
      </w:r>
    </w:p>
    <w:p w:rsidR="00864043" w:rsidRPr="00087062" w:rsidRDefault="00864043" w:rsidP="00D96FDB">
      <w:pPr>
        <w:pStyle w:val="odstavek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delek"/>
        <w:keepNext/>
        <w:spacing w:before="0" w:beforeAutospacing="0" w:after="0" w:afterAutospacing="0"/>
        <w:jc w:val="center"/>
      </w:pPr>
      <w:r>
        <w:t>2. Utspädd ättiksyra</w:t>
      </w:r>
    </w:p>
    <w:p w:rsidR="00D96FDB" w:rsidRPr="00087062" w:rsidRDefault="00D96FDB" w:rsidP="00087062">
      <w:pPr>
        <w:pStyle w:val="len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>Artikel 15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(Utspädd ättiksyra)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numPr>
          <w:ilvl w:val="0"/>
          <w:numId w:val="18"/>
        </w:numPr>
        <w:spacing w:before="0" w:beforeAutospacing="0" w:after="0" w:afterAutospacing="0"/>
        <w:ind w:left="432" w:hanging="432"/>
      </w:pPr>
      <w:r>
        <w:t xml:space="preserve">Utspädd ättiksyra lämplig för konsumtion är en produkt som erhållits genom utspädning av ättiksyra med dricksvatten och som inte innehåller de typiska jäsningsprodukter som avses i artikel 3 i dessa regler.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</w:pPr>
    </w:p>
    <w:p w:rsidR="00195936" w:rsidRPr="00087062" w:rsidRDefault="00195936" w:rsidP="00D96FDB">
      <w:pPr>
        <w:pStyle w:val="odstavek"/>
        <w:numPr>
          <w:ilvl w:val="0"/>
          <w:numId w:val="18"/>
        </w:numPr>
        <w:spacing w:before="0" w:beforeAutospacing="0" w:after="0" w:afterAutospacing="0"/>
        <w:ind w:left="432" w:hanging="432"/>
      </w:pPr>
      <w:r>
        <w:t xml:space="preserve">Utspädd ättiksyra får innehålla mellan 4 % och 30 % ättiksyra och andelen ättiksyra i procent ska anges på förpackningen. </w:t>
      </w:r>
    </w:p>
    <w:p w:rsidR="00D96FDB" w:rsidRPr="00087062" w:rsidRDefault="00D96FDB" w:rsidP="00D96FDB">
      <w:pPr>
        <w:pStyle w:val="poglavje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poglavje"/>
        <w:keepNext/>
        <w:spacing w:before="0" w:beforeAutospacing="0" w:after="0" w:afterAutospacing="0"/>
        <w:jc w:val="center"/>
      </w:pPr>
      <w:r>
        <w:t>III ÖVERGÅNGSBESTÄMMELSER OCH SLUTBESTÄMMELSER</w:t>
      </w:r>
    </w:p>
    <w:p w:rsidR="00D96FDB" w:rsidRPr="00087062" w:rsidRDefault="00D96FDB" w:rsidP="00087062">
      <w:pPr>
        <w:pStyle w:val="len"/>
        <w:keepNext/>
        <w:spacing w:before="0" w:beforeAutospacing="0" w:after="0" w:afterAutospacing="0"/>
        <w:jc w:val="center"/>
      </w:pPr>
    </w:p>
    <w:p w:rsidR="00195936" w:rsidRPr="00087062" w:rsidRDefault="00406C87" w:rsidP="00087062">
      <w:pPr>
        <w:pStyle w:val="len"/>
        <w:keepNext/>
        <w:spacing w:before="0" w:beforeAutospacing="0" w:after="0" w:afterAutospacing="0"/>
        <w:jc w:val="center"/>
      </w:pPr>
      <w:r>
        <w:t>Artikel 16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(Övergångsperiod)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len"/>
        <w:spacing w:before="0" w:beforeAutospacing="0" w:after="0" w:afterAutospacing="0"/>
        <w:ind w:left="432" w:hanging="432"/>
        <w:jc w:val="both"/>
      </w:pPr>
      <w:r>
        <w:t xml:space="preserve">1. </w:t>
      </w:r>
      <w:r w:rsidR="00D560C0">
        <w:tab/>
      </w:r>
      <w:r>
        <w:t>Senast ett år efter ikraftträdandet av dessa regler ska de produkter som släpps ut på marknaden vara tillverkade och märkta i enlighet med bestämmelserna i dessa regler.</w:t>
      </w:r>
    </w:p>
    <w:p w:rsidR="00D96FDB" w:rsidRPr="00087062" w:rsidRDefault="00D96FDB" w:rsidP="00D96FDB">
      <w:pPr>
        <w:pStyle w:val="len"/>
        <w:spacing w:before="0" w:beforeAutospacing="0" w:after="0" w:afterAutospacing="0"/>
        <w:ind w:left="432" w:hanging="432"/>
        <w:jc w:val="both"/>
      </w:pPr>
    </w:p>
    <w:p w:rsidR="00195936" w:rsidRPr="00087062" w:rsidRDefault="00195936" w:rsidP="00D96FDB">
      <w:pPr>
        <w:pStyle w:val="len"/>
        <w:spacing w:before="0" w:beforeAutospacing="0" w:after="0" w:afterAutospacing="0"/>
        <w:ind w:left="432" w:hanging="432"/>
      </w:pPr>
      <w:r>
        <w:t>2. </w:t>
      </w:r>
      <w:r w:rsidR="00D560C0">
        <w:tab/>
      </w:r>
      <w:r>
        <w:t>Utan hinder av föregående punkt får produkter som har framställts och märkts i enlighet med dessa regler avseende kvaliteten på vinäger och utspädd ättiksyra (UL RS nr 2/04 och 45/08 – ZKme-1) innan den tidsfrist som avses i föregående punkt har löpt ut säljas till dess att lagren töms.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Artikel 17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(Upphörande)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</w:pPr>
      <w:r>
        <w:t>Bestämmelserna i reglerna avseende kvaliteten på vinäger och utspädd ättiksyra (Republiken Sloveniens officiella tidning nr 2/04 och 45/08 – Zkme-1) ska upphöra att gälla vid datumet för ikraftträdande av dessa regler. De ska dock fortsätta användas under ett år från ikraftträdandet av dessa regler.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lastRenderedPageBreak/>
        <w:t>Artikel 18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(Ikraftträdande)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</w:pPr>
      <w:r>
        <w:t>Dessa regler träder i kraft femton dagar efter det att de har offentliggjorts i Republiken Sloveniens officiella tidning.</w:t>
      </w:r>
    </w:p>
    <w:p w:rsidR="00195936" w:rsidRPr="00087062" w:rsidRDefault="00195936" w:rsidP="00D96FDB">
      <w:pPr>
        <w:pStyle w:val="odstavek"/>
        <w:spacing w:before="0" w:beforeAutospacing="0" w:after="0" w:afterAutospacing="0"/>
      </w:pPr>
    </w:p>
    <w:p w:rsidR="00195936" w:rsidRPr="00087062" w:rsidRDefault="00195936" w:rsidP="00D96FDB">
      <w:pPr>
        <w:pStyle w:val="odstavek"/>
        <w:spacing w:before="0" w:beforeAutospacing="0" w:after="0" w:afterAutospacing="0"/>
      </w:pPr>
    </w:p>
    <w:p w:rsidR="00195936" w:rsidRPr="00087062" w:rsidRDefault="00195936" w:rsidP="00D96FDB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Dr </w:t>
      </w:r>
      <w:proofErr w:type="spellStart"/>
      <w:r>
        <w:rPr>
          <w:rFonts w:ascii="Times New Roman" w:hAnsi="Times New Roman"/>
          <w:sz w:val="24"/>
        </w:rPr>
        <w:t>Jože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Podgoršek</w:t>
      </w:r>
      <w:proofErr w:type="spellEnd"/>
    </w:p>
    <w:p w:rsidR="00D96FDB" w:rsidRPr="00087062" w:rsidRDefault="00D96FDB" w:rsidP="00D96FDB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Minister för jordbruk,</w:t>
      </w:r>
    </w:p>
    <w:p w:rsidR="00195936" w:rsidRPr="00087062" w:rsidRDefault="00195936" w:rsidP="00D96FDB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skogsbruk och livsmedel</w:t>
      </w:r>
    </w:p>
    <w:p w:rsidR="00195936" w:rsidRPr="00087062" w:rsidRDefault="00195936" w:rsidP="00D96FD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 007-7/2020/</w:t>
      </w:r>
    </w:p>
    <w:p w:rsidR="00D96FDB" w:rsidRPr="00087062" w:rsidRDefault="00D96FDB" w:rsidP="00D9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Ljubljana, den 30 november 2020</w:t>
      </w:r>
    </w:p>
    <w:p w:rsidR="00D96FDB" w:rsidRPr="00087062" w:rsidRDefault="00D96FDB" w:rsidP="00D9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936" w:rsidRPr="00087062" w:rsidRDefault="00DC58A5" w:rsidP="00D9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EVA 2020-2330-0037</w:t>
      </w:r>
    </w:p>
    <w:sectPr w:rsidR="00195936" w:rsidRPr="00087062" w:rsidSect="00124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C67" w:rsidRDefault="00AA2C67" w:rsidP="00143735">
      <w:pPr>
        <w:spacing w:after="0" w:line="240" w:lineRule="auto"/>
      </w:pPr>
      <w:r>
        <w:separator/>
      </w:r>
    </w:p>
  </w:endnote>
  <w:endnote w:type="continuationSeparator" w:id="0">
    <w:p w:rsidR="00AA2C67" w:rsidRDefault="00AA2C67" w:rsidP="00143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C67" w:rsidRDefault="00AA2C67" w:rsidP="00143735">
      <w:pPr>
        <w:spacing w:after="0" w:line="240" w:lineRule="auto"/>
      </w:pPr>
      <w:r>
        <w:separator/>
      </w:r>
    </w:p>
  </w:footnote>
  <w:footnote w:type="continuationSeparator" w:id="0">
    <w:p w:rsidR="00AA2C67" w:rsidRDefault="00AA2C67" w:rsidP="00143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346E6"/>
    <w:multiLevelType w:val="hybridMultilevel"/>
    <w:tmpl w:val="EE9C8750"/>
    <w:lvl w:ilvl="0" w:tplc="028C1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1D9E"/>
    <w:multiLevelType w:val="hybridMultilevel"/>
    <w:tmpl w:val="CAAE1790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5450D"/>
    <w:multiLevelType w:val="hybridMultilevel"/>
    <w:tmpl w:val="730AE544"/>
    <w:lvl w:ilvl="0" w:tplc="9F343D8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2384E"/>
    <w:multiLevelType w:val="hybridMultilevel"/>
    <w:tmpl w:val="F08A712C"/>
    <w:lvl w:ilvl="0" w:tplc="08DEAB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5519D"/>
    <w:multiLevelType w:val="hybridMultilevel"/>
    <w:tmpl w:val="8408C158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B0986"/>
    <w:multiLevelType w:val="hybridMultilevel"/>
    <w:tmpl w:val="204A24FA"/>
    <w:lvl w:ilvl="0" w:tplc="6E1EE2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3105F"/>
    <w:multiLevelType w:val="hybridMultilevel"/>
    <w:tmpl w:val="0630CB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04B4E"/>
    <w:multiLevelType w:val="hybridMultilevel"/>
    <w:tmpl w:val="7C9CF15A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6142B"/>
    <w:multiLevelType w:val="hybridMultilevel"/>
    <w:tmpl w:val="C9D43F40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E4872"/>
    <w:multiLevelType w:val="hybridMultilevel"/>
    <w:tmpl w:val="25D827E4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41F2A"/>
    <w:multiLevelType w:val="hybridMultilevel"/>
    <w:tmpl w:val="912E0494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25086"/>
    <w:multiLevelType w:val="hybridMultilevel"/>
    <w:tmpl w:val="3E6C0D0E"/>
    <w:lvl w:ilvl="0" w:tplc="03947D10">
      <w:start w:val="1"/>
      <w:numFmt w:val="decimal"/>
      <w:lvlText w:val="(%1)"/>
      <w:lvlJc w:val="left"/>
      <w:pPr>
        <w:ind w:left="1456" w:hanging="43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01" w:hanging="360"/>
      </w:pPr>
    </w:lvl>
    <w:lvl w:ilvl="2" w:tplc="0424001B" w:tentative="1">
      <w:start w:val="1"/>
      <w:numFmt w:val="lowerRoman"/>
      <w:lvlText w:val="%3."/>
      <w:lvlJc w:val="right"/>
      <w:pPr>
        <w:ind w:left="2821" w:hanging="180"/>
      </w:pPr>
    </w:lvl>
    <w:lvl w:ilvl="3" w:tplc="0424000F" w:tentative="1">
      <w:start w:val="1"/>
      <w:numFmt w:val="decimal"/>
      <w:lvlText w:val="%4."/>
      <w:lvlJc w:val="left"/>
      <w:pPr>
        <w:ind w:left="3541" w:hanging="360"/>
      </w:pPr>
    </w:lvl>
    <w:lvl w:ilvl="4" w:tplc="04240019" w:tentative="1">
      <w:start w:val="1"/>
      <w:numFmt w:val="lowerLetter"/>
      <w:lvlText w:val="%5."/>
      <w:lvlJc w:val="left"/>
      <w:pPr>
        <w:ind w:left="4261" w:hanging="360"/>
      </w:pPr>
    </w:lvl>
    <w:lvl w:ilvl="5" w:tplc="0424001B" w:tentative="1">
      <w:start w:val="1"/>
      <w:numFmt w:val="lowerRoman"/>
      <w:lvlText w:val="%6."/>
      <w:lvlJc w:val="right"/>
      <w:pPr>
        <w:ind w:left="4981" w:hanging="180"/>
      </w:pPr>
    </w:lvl>
    <w:lvl w:ilvl="6" w:tplc="0424000F" w:tentative="1">
      <w:start w:val="1"/>
      <w:numFmt w:val="decimal"/>
      <w:lvlText w:val="%7."/>
      <w:lvlJc w:val="left"/>
      <w:pPr>
        <w:ind w:left="5701" w:hanging="360"/>
      </w:pPr>
    </w:lvl>
    <w:lvl w:ilvl="7" w:tplc="04240019" w:tentative="1">
      <w:start w:val="1"/>
      <w:numFmt w:val="lowerLetter"/>
      <w:lvlText w:val="%8."/>
      <w:lvlJc w:val="left"/>
      <w:pPr>
        <w:ind w:left="6421" w:hanging="360"/>
      </w:pPr>
    </w:lvl>
    <w:lvl w:ilvl="8" w:tplc="0424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2" w15:restartNumberingAfterBreak="0">
    <w:nsid w:val="59392ABB"/>
    <w:multiLevelType w:val="hybridMultilevel"/>
    <w:tmpl w:val="0C9C1EE8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32705"/>
    <w:multiLevelType w:val="hybridMultilevel"/>
    <w:tmpl w:val="763A0AE4"/>
    <w:lvl w:ilvl="0" w:tplc="BAC6D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03455"/>
    <w:multiLevelType w:val="hybridMultilevel"/>
    <w:tmpl w:val="C94C0812"/>
    <w:lvl w:ilvl="0" w:tplc="BAC6D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90895"/>
    <w:multiLevelType w:val="hybridMultilevel"/>
    <w:tmpl w:val="F8EC3CAE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063FD"/>
    <w:multiLevelType w:val="hybridMultilevel"/>
    <w:tmpl w:val="61F098E6"/>
    <w:lvl w:ilvl="0" w:tplc="3880CFBA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994AC5"/>
    <w:multiLevelType w:val="hybridMultilevel"/>
    <w:tmpl w:val="32DEC14E"/>
    <w:lvl w:ilvl="0" w:tplc="3880CFB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26ACF"/>
    <w:multiLevelType w:val="hybridMultilevel"/>
    <w:tmpl w:val="ADF2CC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01550"/>
    <w:multiLevelType w:val="hybridMultilevel"/>
    <w:tmpl w:val="9508E264"/>
    <w:lvl w:ilvl="0" w:tplc="028C1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34E4A"/>
    <w:multiLevelType w:val="hybridMultilevel"/>
    <w:tmpl w:val="0F8EFBEC"/>
    <w:lvl w:ilvl="0" w:tplc="FD74E5CA">
      <w:start w:val="12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03B07"/>
    <w:multiLevelType w:val="hybridMultilevel"/>
    <w:tmpl w:val="79E48A7C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15"/>
  </w:num>
  <w:num w:numId="5">
    <w:abstractNumId w:val="12"/>
  </w:num>
  <w:num w:numId="6">
    <w:abstractNumId w:val="10"/>
  </w:num>
  <w:num w:numId="7">
    <w:abstractNumId w:val="19"/>
  </w:num>
  <w:num w:numId="8">
    <w:abstractNumId w:val="4"/>
  </w:num>
  <w:num w:numId="9">
    <w:abstractNumId w:val="21"/>
  </w:num>
  <w:num w:numId="10">
    <w:abstractNumId w:val="7"/>
  </w:num>
  <w:num w:numId="11">
    <w:abstractNumId w:val="8"/>
  </w:num>
  <w:num w:numId="12">
    <w:abstractNumId w:val="1"/>
  </w:num>
  <w:num w:numId="13">
    <w:abstractNumId w:val="9"/>
  </w:num>
  <w:num w:numId="14">
    <w:abstractNumId w:val="3"/>
  </w:num>
  <w:num w:numId="15">
    <w:abstractNumId w:val="5"/>
  </w:num>
  <w:num w:numId="16">
    <w:abstractNumId w:val="13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936"/>
    <w:rsid w:val="00005737"/>
    <w:rsid w:val="0000642B"/>
    <w:rsid w:val="00015176"/>
    <w:rsid w:val="00070736"/>
    <w:rsid w:val="00087062"/>
    <w:rsid w:val="000B5174"/>
    <w:rsid w:val="000D60FF"/>
    <w:rsid w:val="000E12EE"/>
    <w:rsid w:val="00124FD6"/>
    <w:rsid w:val="00143735"/>
    <w:rsid w:val="00195936"/>
    <w:rsid w:val="001D28A1"/>
    <w:rsid w:val="001D3F83"/>
    <w:rsid w:val="00236E37"/>
    <w:rsid w:val="002A0B04"/>
    <w:rsid w:val="002C0447"/>
    <w:rsid w:val="00305B3D"/>
    <w:rsid w:val="0030748E"/>
    <w:rsid w:val="00333908"/>
    <w:rsid w:val="00351433"/>
    <w:rsid w:val="003B0BA7"/>
    <w:rsid w:val="00406C87"/>
    <w:rsid w:val="00416D82"/>
    <w:rsid w:val="00456352"/>
    <w:rsid w:val="00487A28"/>
    <w:rsid w:val="004962EC"/>
    <w:rsid w:val="004A74D7"/>
    <w:rsid w:val="00584365"/>
    <w:rsid w:val="005B3626"/>
    <w:rsid w:val="005C2C67"/>
    <w:rsid w:val="00602BAF"/>
    <w:rsid w:val="006333B0"/>
    <w:rsid w:val="006A36BF"/>
    <w:rsid w:val="006D0B2D"/>
    <w:rsid w:val="006D5876"/>
    <w:rsid w:val="00746BB1"/>
    <w:rsid w:val="00782CBC"/>
    <w:rsid w:val="00815547"/>
    <w:rsid w:val="00864043"/>
    <w:rsid w:val="008715D5"/>
    <w:rsid w:val="009E0501"/>
    <w:rsid w:val="009E757A"/>
    <w:rsid w:val="00A06509"/>
    <w:rsid w:val="00A12EF7"/>
    <w:rsid w:val="00A43A8C"/>
    <w:rsid w:val="00A72E95"/>
    <w:rsid w:val="00AA2C67"/>
    <w:rsid w:val="00AB676A"/>
    <w:rsid w:val="00B00FF6"/>
    <w:rsid w:val="00B171BD"/>
    <w:rsid w:val="00B21999"/>
    <w:rsid w:val="00B308BA"/>
    <w:rsid w:val="00B512BE"/>
    <w:rsid w:val="00B553AE"/>
    <w:rsid w:val="00CA07B2"/>
    <w:rsid w:val="00CF0921"/>
    <w:rsid w:val="00D46589"/>
    <w:rsid w:val="00D50D01"/>
    <w:rsid w:val="00D53C02"/>
    <w:rsid w:val="00D560C0"/>
    <w:rsid w:val="00D60E6A"/>
    <w:rsid w:val="00D73B0F"/>
    <w:rsid w:val="00D85D45"/>
    <w:rsid w:val="00D96FDB"/>
    <w:rsid w:val="00DB4C49"/>
    <w:rsid w:val="00DC58A5"/>
    <w:rsid w:val="00E44CF9"/>
    <w:rsid w:val="00E55849"/>
    <w:rsid w:val="00EE6C39"/>
    <w:rsid w:val="00F02B52"/>
    <w:rsid w:val="00F03F50"/>
    <w:rsid w:val="00F11287"/>
    <w:rsid w:val="00F4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64E6A"/>
  <w15:docId w15:val="{BFA2FE16-E656-4142-B8C6-810B7EBC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vnapodlaga">
    <w:name w:val="pravnapodlaga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rstapredpisa">
    <w:name w:val="vrstapredpisa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predpisa">
    <w:name w:val="naslovpredpisa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oglavje">
    <w:name w:val="poglavje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">
    <w:name w:val="len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">
    <w:name w:val="lennaslov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delek">
    <w:name w:val="oddelek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tevilnatoka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evilnotoko">
    <w:name w:val="alineazatevilnotoko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3A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05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B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B3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37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735"/>
  </w:style>
  <w:style w:type="paragraph" w:styleId="Footer">
    <w:name w:val="footer"/>
    <w:basedOn w:val="Normal"/>
    <w:link w:val="FooterChar"/>
    <w:uiPriority w:val="99"/>
    <w:unhideWhenUsed/>
    <w:rsid w:val="001437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735"/>
  </w:style>
  <w:style w:type="paragraph" w:styleId="ListParagraph">
    <w:name w:val="List Paragraph"/>
    <w:basedOn w:val="Normal"/>
    <w:uiPriority w:val="34"/>
    <w:qFormat/>
    <w:rsid w:val="00D50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7FCEB-8B4E-4F5A-BAC8-9666B2815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Lucijan Cenčič</dc:creator>
  <cp:lastModifiedBy>Ke, Tingting</cp:lastModifiedBy>
  <cp:revision>12</cp:revision>
  <cp:lastPrinted>2020-10-29T10:24:00Z</cp:lastPrinted>
  <dcterms:created xsi:type="dcterms:W3CDTF">2020-11-30T10:17:00Z</dcterms:created>
  <dcterms:modified xsi:type="dcterms:W3CDTF">2020-12-09T12:07:00Z</dcterms:modified>
</cp:coreProperties>
</file>