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64" w:rsidRPr="00814C17" w:rsidRDefault="004A4164" w:rsidP="004A4164">
      <w:pPr>
        <w:jc w:val="center"/>
        <w:rPr>
          <w:rFonts w:ascii="Courier New" w:hAnsi="Courier New"/>
          <w:sz w:val="20"/>
          <w:szCs w:val="20"/>
        </w:rPr>
      </w:pPr>
      <w:r>
        <w:rPr>
          <w:rFonts w:ascii="Courier New" w:hAnsi="Courier New"/>
          <w:sz w:val="20"/>
        </w:rPr>
        <w:t xml:space="preserve">1. </w:t>
      </w:r>
      <w:r>
        <w:rPr>
          <w:rFonts w:ascii="Courier New" w:hAnsi="Courier New"/>
          <w:sz w:val="20"/>
        </w:rPr>
        <w:t>------IND- 2019 0309 HU- ES- ------ 20190703 --- --- PROJET</w:t>
      </w:r>
    </w:p>
    <w:p w:rsidR="00FC1B4C" w:rsidRPr="00D4046D" w:rsidRDefault="00FC1B4C" w:rsidP="004A4164">
      <w:pPr>
        <w:jc w:val="center"/>
        <w:rPr>
          <w:b/>
        </w:rPr>
      </w:pPr>
      <w:r>
        <w:rPr>
          <w:b/>
        </w:rPr>
        <w:t xml:space="preserve">Ministro de Agricultura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jc w:val="center"/>
        <w:rPr>
          <w:b/>
        </w:rPr>
      </w:pPr>
      <w:bookmarkStart w:id="0" w:name="_GoBack"/>
      <w:bookmarkEnd w:id="0"/>
    </w:p>
    <w:p w:rsidR="00FC1B4C" w:rsidRPr="00D4046D" w:rsidRDefault="00453591" w:rsidP="004A4164">
      <w:pPr>
        <w:jc w:val="center"/>
        <w:rPr>
          <w:b/>
        </w:rPr>
      </w:pPr>
      <w:r>
        <w:rPr>
          <w:b/>
        </w:rPr>
        <w:t>Decreto .../2019 de ... de ... de 2019</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jc w:val="both"/>
        <w:rPr>
          <w:b/>
          <w:bCs/>
        </w:rPr>
      </w:pPr>
    </w:p>
    <w:p w:rsidR="00FC1B4C" w:rsidRPr="00D4046D" w:rsidRDefault="00FC1B4C" w:rsidP="004A4164">
      <w:pPr>
        <w:jc w:val="center"/>
        <w:rPr>
          <w:rFonts w:eastAsiaTheme="minorHAnsi"/>
          <w:b/>
          <w:bCs/>
        </w:rPr>
      </w:pPr>
      <w:r>
        <w:rPr>
          <w:rFonts w:eastAsiaTheme="minorHAnsi"/>
          <w:b/>
        </w:rPr>
        <w:t>Proyecto de Decreto del Ministro de Agricultura que modifica el Decreto n.º 53/2017 del Ministro de Agricultura, de 18 de octubre de 2017, sobre las condiciones operativas de las instalaciones de combustión con una potencia térmica nominal total igual o superior a 140 kW</w:t>
      </w:r>
      <w:r>
        <w:rPr>
          <w:rFonts w:eastAsiaTheme="minorHAnsi"/>
          <w:b/>
          <w:vertAlign w:val="subscript"/>
        </w:rPr>
        <w:t>th</w:t>
      </w:r>
      <w:r>
        <w:rPr>
          <w:rFonts w:eastAsiaTheme="minorHAnsi"/>
          <w:b/>
        </w:rPr>
        <w:t>, pero inferior a 50 MW</w:t>
      </w:r>
      <w:r>
        <w:rPr>
          <w:rFonts w:eastAsiaTheme="minorHAnsi"/>
          <w:b/>
          <w:vertAlign w:val="subscript"/>
        </w:rPr>
        <w:t>th</w:t>
      </w:r>
      <w:r>
        <w:rPr>
          <w:rFonts w:eastAsiaTheme="minorHAnsi"/>
          <w:b/>
        </w:rPr>
        <w:t>, y sobre los valores límite aplicables a los contaminantes atmosféricos emitidos por estas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jc w:val="both"/>
        <w:rPr>
          <w:rFonts w:eastAsiaTheme="minorHAnsi"/>
          <w:b/>
          <w:bCs/>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jc w:val="both"/>
        <w:rPr>
          <w:i/>
          <w:iCs/>
          <w:u w:val="single"/>
        </w:rPr>
      </w:pPr>
    </w:p>
    <w:p w:rsidR="00FC1B4C" w:rsidRPr="00D4046D" w:rsidRDefault="00FC1B4C" w:rsidP="004A4164">
      <w:pPr>
        <w:jc w:val="both"/>
        <w:rPr>
          <w:bCs/>
          <w:iCs/>
        </w:rPr>
      </w:pPr>
      <w:r>
        <w:t>De acuerdo con la autorización concedida al amparo del artículo 110, apartado 8, letra g), de la Ley LIII, de 1995, sobre las normas generales de protección medioambiental, y actuando dentro del ámbito de mis obligaciones tal como se definen en el artículo 79, apartado 9, del Decreto n.º 94/2018 del Gobierno, de 22 de mayo de 2018, sobre las obligaciones y competencias del Gobierno, por el presente, decreto lo siguiente: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jc w:val="both"/>
        <w:rPr>
          <w:i/>
        </w:rPr>
      </w:pPr>
    </w:p>
    <w:p w:rsidR="00287AE1" w:rsidRDefault="00D606F7" w:rsidP="004A4164">
      <w:pPr>
        <w:keepNext/>
        <w:keepLines/>
        <w:jc w:val="center"/>
        <w:rPr>
          <w:b/>
        </w:rPr>
      </w:pPr>
      <w:r>
        <w:rPr>
          <w:b/>
        </w:rPr>
        <w:t>Artículo 1</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606F7" w:rsidRDefault="00D606F7" w:rsidP="004A4164">
      <w:pPr>
        <w:keepNext/>
        <w:keepLines/>
        <w:jc w:val="center"/>
        <w:rPr>
          <w:b/>
        </w:rPr>
      </w:pPr>
    </w:p>
    <w:p w:rsidR="009F7DF7" w:rsidRPr="009F7DF7" w:rsidRDefault="004A4164" w:rsidP="004A4164">
      <w:pPr>
        <w:pStyle w:val="ListParagraph"/>
        <w:autoSpaceDE w:val="0"/>
        <w:autoSpaceDN w:val="0"/>
        <w:adjustRightInd w:val="0"/>
        <w:spacing w:before="60"/>
        <w:ind w:left="0"/>
        <w:jc w:val="both"/>
        <w:rPr>
          <w:bCs/>
          <w:iCs/>
        </w:rPr>
      </w:pPr>
      <w:r>
        <w:t>1. En el artículo 2, apartado 1, del Decreto n.º 53/2017 del Ministro de Agricultura, de 18 de octubre de 2017, sobre las condiciones operativas de las instalaciones de combustión con una potencia térmica nominal igual o superior a 140 kW</w:t>
      </w:r>
      <w:r>
        <w:rPr>
          <w:vertAlign w:val="subscript"/>
        </w:rPr>
        <w:t>th</w:t>
      </w:r>
      <w:r>
        <w:t>, pero inferior a 50 MW</w:t>
      </w:r>
      <w:r>
        <w:rPr>
          <w:vertAlign w:val="subscript"/>
        </w:rPr>
        <w:t>th</w:t>
      </w:r>
      <w:r>
        <w:t xml:space="preserve">, y sobre los valores límite aplicables a los contaminantes atmosféricos emitidos por estas (en lo sucesivo, «el Decreto»), se añade el siguiente punto 1 </w:t>
      </w:r>
      <w:r>
        <w:rPr>
          <w:i w:val="1"/>
        </w:rPr>
        <w:t>bis</w:t>
      </w:r>
      <w:r>
        <w:t>:</w:t>
      </w:r>
    </w:p>
    <w:p w:rsidR="009F7DF7" w:rsidRPr="009F7DF7" w:rsidRDefault="009F7DF7" w:rsidP="004A4164">
      <w:pPr>
        <w:autoSpaceDE w:val="0"/>
        <w:autoSpaceDN w:val="0"/>
        <w:adjustRightInd w:val="0"/>
        <w:spacing w:before="60"/>
        <w:jc w:val="both"/>
        <w:rPr>
          <w:bCs/>
          <w:i/>
          <w:iCs/>
        </w:rPr>
      </w:pPr>
      <w:r>
        <w:rPr>
          <w:i/>
        </w:rPr>
        <w:t>[A efectos del presente Decreto se entenderá por:]</w:t>
      </w:r>
    </w:p>
    <w:p w:rsidR="009F7DF7" w:rsidRDefault="009F7DF7" w:rsidP="004A4164">
      <w:pPr>
        <w:autoSpaceDE w:val="0"/>
        <w:autoSpaceDN w:val="0"/>
        <w:adjustRightInd w:val="0"/>
        <w:spacing w:before="60"/>
        <w:jc w:val="both"/>
        <w:rPr>
          <w:bCs/>
          <w:iCs/>
        </w:rPr>
      </w:pPr>
      <w:r>
        <w:t xml:space="preserve">«1 </w:t>
      </w:r>
      <w:r>
        <w:rPr>
          <w:i w:val="1"/>
        </w:rPr>
        <w:t>bis</w:t>
      </w:r>
      <w:r>
        <w:t xml:space="preserve">) </w:t>
      </w:r>
      <w:r>
        <w:rPr>
          <w:i/>
        </w:rPr>
        <w:t>sistema de transmisión de gas</w:t>
      </w:r>
      <w:r>
        <w:t>: el sistema de gas natural cooperante en virtud de la Ley XL, de 2008, sobre el suministro de gas natural;».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F7DF7" w:rsidRDefault="009F7DF7" w:rsidP="004A4164">
      <w:pPr>
        <w:autoSpaceDE w:val="0"/>
        <w:autoSpaceDN w:val="0"/>
        <w:adjustRightInd w:val="0"/>
        <w:spacing w:before="60"/>
        <w:jc w:val="both"/>
        <w:rPr>
          <w:bCs/>
          <w:iCs/>
        </w:rPr>
      </w:pPr>
    </w:p>
    <w:p w:rsidR="00D606F7" w:rsidRDefault="009F7DF7" w:rsidP="004A4164">
      <w:pPr>
        <w:keepNext/>
        <w:keepLines/>
        <w:autoSpaceDE w:val="0"/>
        <w:autoSpaceDN w:val="0"/>
        <w:adjustRightInd w:val="0"/>
        <w:spacing w:before="60"/>
        <w:jc w:val="both"/>
        <w:rPr>
          <w:bCs/>
          <w:iCs/>
        </w:rPr>
      </w:pPr>
      <w:r>
        <w:t>2. El artículo 2, apartado 1, punto 9, del Decreto se sustituye por lo siguiente:</w:t>
      </w:r>
    </w:p>
    <w:p w:rsidR="00D606F7" w:rsidRDefault="00D606F7" w:rsidP="004A4164">
      <w:pPr>
        <w:autoSpaceDE w:val="0"/>
        <w:autoSpaceDN w:val="0"/>
        <w:adjustRightInd w:val="0"/>
        <w:spacing w:before="60"/>
        <w:jc w:val="both"/>
        <w:rPr>
          <w:bCs/>
          <w:iCs/>
        </w:rPr>
      </w:pPr>
      <w:r>
        <w:t xml:space="preserve">«9) </w:t>
      </w:r>
      <w:r>
        <w:rPr>
          <w:i/>
        </w:rPr>
        <w:t>potencia térmica nominal total</w:t>
      </w:r>
      <w:r>
        <w:t>: la suma de potencias térmicas nominales de las instalaciones de combustión, calculada de acuerdo con la norma de agregación, que en el caso de una instalación de combustión es igual a su potencia térmica;».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606F7" w:rsidRDefault="00D606F7" w:rsidP="004A4164">
      <w:pPr>
        <w:autoSpaceDE w:val="0"/>
        <w:autoSpaceDN w:val="0"/>
        <w:adjustRightInd w:val="0"/>
        <w:spacing w:before="60"/>
        <w:jc w:val="both"/>
        <w:rPr>
          <w:bCs/>
          <w:iCs/>
        </w:rPr>
      </w:pPr>
    </w:p>
    <w:p w:rsidR="00D606F7" w:rsidRPr="00D606F7" w:rsidRDefault="00D606F7" w:rsidP="004A4164">
      <w:pPr>
        <w:keepNext/>
        <w:keepLines/>
        <w:jc w:val="center"/>
        <w:rPr>
          <w:b/>
        </w:rPr>
      </w:pPr>
      <w:r>
        <w:rPr>
          <w:b/>
        </w:rPr>
        <w:t>Artículo 2</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E6CCA" w:rsidRPr="00D4046D" w:rsidRDefault="00DE6CCA" w:rsidP="004A4164">
      <w:pPr>
        <w:pStyle w:val="ListParagraph"/>
        <w:keepNext/>
        <w:keepLines/>
        <w:ind w:left="0"/>
        <w:jc w:val="center"/>
        <w:rPr>
          <w:i/>
        </w:rPr>
      </w:pPr>
    </w:p>
    <w:p w:rsidR="00F3461C" w:rsidRPr="004A4164" w:rsidRDefault="004A4164" w:rsidP="004A4164">
      <w:pPr>
        <w:keepNext/>
        <w:keepLines/>
        <w:autoSpaceDE w:val="0"/>
        <w:autoSpaceDN w:val="0"/>
        <w:adjustRightInd w:val="0"/>
        <w:spacing w:before="60"/>
        <w:jc w:val="both"/>
        <w:rPr>
          <w:bCs/>
          <w:iCs/>
        </w:rPr>
      </w:pPr>
      <w:r>
        <w:t>1. En el artículo 4, los apartados 6 y 7 del Decreto entrarán en vigor con la siguiente redacción:</w:t>
      </w:r>
    </w:p>
    <w:p w:rsidR="00287AE1" w:rsidRPr="00D4046D" w:rsidRDefault="00287AE1" w:rsidP="004A4164">
      <w:pPr>
        <w:autoSpaceDE w:val="0"/>
        <w:autoSpaceDN w:val="0"/>
        <w:adjustRightInd w:val="0"/>
        <w:spacing w:before="60"/>
        <w:jc w:val="both"/>
        <w:rPr>
          <w:bCs/>
          <w:iCs/>
        </w:rPr>
      </w:pPr>
      <w:r>
        <w:t>«6. Los valores límite de emisiones especificados en el anexo 1 se aplicarán a las instalaciones de combustión de categoría I con una potencia térmica nominal total igual o superior a 1 MW</w:t>
      </w:r>
      <w:r>
        <w:rPr>
          <w:vertAlign w:val="subscript"/>
        </w:rPr>
        <w:t>th</w:t>
      </w:r>
      <w:r>
        <w:t xml:space="preserve"> y que funcionen durante un máximo 500 horas al año como media móvil durante un período de cinco años, con la excepción de que el valor límite de emisiones para los materiales sólidos para las instalaciones de combustión que queman combustibles de biomasa sólida será de 200 mg/Nm</w:t>
      </w:r>
      <w:r>
        <w:rPr>
          <w:vertAlign w:val="superscript"/>
        </w:rPr>
        <w:t>3</w:t>
      </w:r>
      <w:r>
        <w:t xml:space="preserve"> y el valor límite de emisiones para el monóxido de carbono será de 375 mg/Nm</w:t>
      </w:r>
      <w:r>
        <w:rPr>
          <w:vertAlign w:val="superscript"/>
        </w:rPr>
        <w:t>3</w:t>
      </w:r>
      <w:r>
        <w:t>.</w:t>
      </w:r>
    </w:p>
    <w:p w:rsidR="00287AE1" w:rsidRPr="00D4046D" w:rsidRDefault="00287AE1" w:rsidP="004A4164">
      <w:pPr>
        <w:jc w:val="both"/>
        <w:rPr>
          <w:i/>
        </w:rPr>
      </w:pPr>
      <w:r>
        <w:t>7. Hasta el 1 de enero de 2030, los valores límite especificados en el anexo 1 se aplicarán a las instalaciones de combustión de categoría I con una potencial térmica nominal total superior a 5 MW</w:t>
      </w:r>
      <w:r>
        <w:rPr>
          <w:vertAlign w:val="subscript"/>
        </w:rPr>
        <w:t>th</w:t>
      </w:r>
      <w:r>
        <w:t>, donde el 50 % de la producción calorífica útil de dichas instalaciones, como media móvil durante un período de cinco años, se libere en forma de vapor o agua caliente a una red pública para calefacción urbana, con la excepción de que el valor límite de emisiones para el dióxido de azufre para las instalaciones de combustión que queman combustibles sólidos y líquidos será de 1 100 mg/Nm</w:t>
      </w:r>
      <w:r>
        <w:rPr>
          <w:vertAlign w:val="superscript"/>
        </w:rPr>
        <w:t>3</w:t>
      </w:r>
      <w:r>
        <w:t>, y el valor límite de emisiones para los materiales sólidos para las instalaciones de combustión que queman combustibles sólidos será de 150 mg/Nm</w:t>
      </w:r>
      <w:r>
        <w:rPr>
          <w:vertAlign w:val="superscript"/>
        </w:rPr>
        <w:t>3</w:t>
      </w:r>
      <w:r>
        <w:t>, mientras que el valor límite de emisiones para el monóxido de carbono para las instalaciones de combustión que queman combustible de biomasa sólida será de 375 mg/Nm</w:t>
      </w:r>
      <w:r>
        <w:rPr>
          <w:vertAlign w:val="superscript"/>
        </w:rPr>
        <w:t>3</w:t>
      </w:r>
      <w: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E5F56" w:rsidRPr="00D4046D" w:rsidRDefault="00FE5F56" w:rsidP="004A4164">
      <w:pPr>
        <w:autoSpaceDE w:val="0"/>
        <w:autoSpaceDN w:val="0"/>
        <w:adjustRightInd w:val="0"/>
        <w:spacing w:before="60"/>
        <w:jc w:val="both"/>
        <w:rPr>
          <w:bCs/>
          <w:iCs/>
        </w:rPr>
      </w:pPr>
    </w:p>
    <w:p w:rsidR="004257C8" w:rsidRPr="00D4046D" w:rsidRDefault="00FC1B4C" w:rsidP="004A4164">
      <w:pPr>
        <w:keepNext/>
        <w:keepLines/>
        <w:autoSpaceDE w:val="0"/>
        <w:autoSpaceDN w:val="0"/>
        <w:adjustRightInd w:val="0"/>
        <w:spacing w:before="60"/>
        <w:jc w:val="both"/>
        <w:rPr>
          <w:bCs/>
          <w:iCs/>
        </w:rPr>
      </w:pPr>
      <w:r>
        <w:t>2. En el artículo 4, el apartado 9 del Decreto entrará en vigor con la siguiente redacción:</w:t>
      </w:r>
    </w:p>
    <w:p w:rsidR="004257C8" w:rsidRDefault="004257C8" w:rsidP="004A4164">
      <w:pPr>
        <w:autoSpaceDE w:val="0"/>
        <w:autoSpaceDN w:val="0"/>
        <w:adjustRightInd w:val="0"/>
        <w:jc w:val="both"/>
        <w:rPr>
          <w:rFonts w:eastAsiaTheme="minorEastAsia"/>
        </w:rPr>
      </w:pPr>
      <w:r>
        <w:t>«9. Hasta el 1 de enero de 2030, los valores límite de emisiones especificados en el anexo 1 se aplicarán a los óxidos de nitrógeno de motores de categoría I y turbinas de gas con una potencia térmica nominal total superior a 5 MW</w:t>
      </w:r>
      <w:r>
        <w:rPr>
          <w:vertAlign w:val="subscript"/>
        </w:rPr>
        <w:t>th</w:t>
      </w:r>
      <w:r>
        <w:t xml:space="preserve"> y usados para impulsar estaciones de compresión de gas necesarias para garantizar la protección y seguridad de los sistemas de transmisión de gas, con la excepción de que en el caso de los motores de gas puestos en funcionamiento antes del 1 de enero de 1994 los valores límite de emisiones para los óxidos de nitrógeno será de 565 mg/Nm</w:t>
      </w:r>
      <w:r>
        <w:rPr>
          <w:vertAlign w:val="superscript"/>
        </w:rPr>
        <w:t>3</w:t>
      </w:r>
      <w: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40D2A" w:rsidRPr="00D4046D" w:rsidRDefault="00740D2A" w:rsidP="004A4164">
      <w:pPr>
        <w:autoSpaceDE w:val="0"/>
        <w:autoSpaceDN w:val="0"/>
        <w:adjustRightInd w:val="0"/>
        <w:jc w:val="both"/>
        <w:rPr>
          <w:bCs/>
          <w:iCs/>
        </w:rPr>
      </w:pPr>
    </w:p>
    <w:p w:rsidR="00FC1B4C" w:rsidRPr="00D4046D" w:rsidRDefault="004257C8" w:rsidP="004A4164">
      <w:pPr>
        <w:keepNext/>
        <w:keepLines/>
        <w:autoSpaceDE w:val="0"/>
        <w:autoSpaceDN w:val="0"/>
        <w:adjustRightInd w:val="0"/>
        <w:spacing w:before="60"/>
        <w:jc w:val="both"/>
        <w:rPr>
          <w:bCs/>
          <w:iCs/>
        </w:rPr>
      </w:pPr>
      <w:r>
        <w:t>3. El artículo 4, apartado 10, del Decreto se sustituye por lo siguiente:</w:t>
      </w:r>
    </w:p>
    <w:p w:rsidR="00FC1B4C" w:rsidRPr="00D4046D" w:rsidRDefault="00FC1B4C" w:rsidP="004A4164">
      <w:pPr>
        <w:autoSpaceDE w:val="0"/>
        <w:autoSpaceDN w:val="0"/>
        <w:adjustRightInd w:val="0"/>
        <w:spacing w:before="60"/>
        <w:jc w:val="both"/>
        <w:rPr>
          <w:bCs/>
          <w:iCs/>
        </w:rPr>
      </w:pPr>
      <w:r>
        <w:t>«10. Los valores límite de emisiones especificados en el anexo 1 se aplicarán a instalaciones de combustión de categoría II que funcionen durante un máximo de 500 horas al año como media móvil durante un período de tres años, con la excepción de que el valor límite de emisiones para los materiales sólidos para las instalaciones de combustión que queman combustibles sólidos será de 100 mg/Nm</w:t>
      </w:r>
      <w:r>
        <w:rPr>
          <w:vertAlign w:val="superscript"/>
        </w:rPr>
        <w:t>3</w:t>
      </w:r>
      <w:r>
        <w:t xml:space="preserve"> y el valor límite de emisiones para el monóxido de carbono para las instalaciones de combustión con una potencia térmica nominal total igual o superior a 1 MW</w:t>
      </w:r>
      <w:r>
        <w:rPr>
          <w:vertAlign w:val="subscript"/>
        </w:rPr>
        <w:t>th</w:t>
      </w:r>
      <w:r>
        <w:t xml:space="preserve"> que queman combustible de biomasa sólida será de 375 mg/Nm</w:t>
      </w:r>
      <w:r>
        <w:rPr>
          <w:vertAlign w:val="superscript"/>
        </w:rPr>
        <w:t>3</w:t>
      </w:r>
      <w: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E6CCA" w:rsidRPr="00D4046D" w:rsidRDefault="00DE6CCA" w:rsidP="004A4164">
      <w:pPr>
        <w:autoSpaceDE w:val="0"/>
        <w:autoSpaceDN w:val="0"/>
        <w:adjustRightInd w:val="0"/>
        <w:spacing w:before="60"/>
        <w:jc w:val="both"/>
        <w:rPr>
          <w:bCs/>
          <w:iCs/>
        </w:rPr>
      </w:pPr>
    </w:p>
    <w:p w:rsidR="00DE6CCA" w:rsidRPr="00D4046D" w:rsidRDefault="004916B6" w:rsidP="004A4164">
      <w:pPr>
        <w:pStyle w:val="ListParagraph"/>
        <w:keepNext/>
        <w:keepLines/>
        <w:autoSpaceDE w:val="0"/>
        <w:autoSpaceDN w:val="0"/>
        <w:adjustRightInd w:val="0"/>
        <w:spacing w:before="60"/>
        <w:ind w:left="0"/>
        <w:jc w:val="both"/>
        <w:rPr>
          <w:bCs/>
          <w:iCs/>
        </w:rPr>
      </w:pPr>
      <w:r>
        <w:t>4. El artículo 4, apartado 13, del Decreto se sustituye por lo siguiente:</w:t>
      </w:r>
    </w:p>
    <w:p w:rsidR="00DE6CCA" w:rsidRPr="00553495" w:rsidRDefault="00DE6CCA" w:rsidP="004A4164">
      <w:pPr>
        <w:keepNext/>
        <w:keepLines/>
        <w:autoSpaceDE w:val="0"/>
        <w:autoSpaceDN w:val="0"/>
        <w:adjustRightInd w:val="0"/>
        <w:jc w:val="both"/>
        <w:rPr>
          <w:bCs/>
          <w:iCs/>
        </w:rPr>
      </w:pPr>
      <w:r>
        <w:t>«13. En el caso de los motores estacionarios, los valores límite de emisiones no se aplicarán a:</w:t>
      </w:r>
    </w:p>
    <w:p w:rsidR="00DE6CCA" w:rsidRPr="00D4046D" w:rsidRDefault="00DE6CCA" w:rsidP="004A4164">
      <w:pPr>
        <w:autoSpaceDE w:val="0"/>
        <w:autoSpaceDN w:val="0"/>
        <w:adjustRightInd w:val="0"/>
        <w:jc w:val="both"/>
      </w:pPr>
      <w:r>
        <w:rPr>
          <w:i/>
        </w:rPr>
        <w:t>a)</w:t>
      </w:r>
      <w:r>
        <w:t xml:space="preserve"> motores con una potencia térmica nominal inferior a 1 MW</w:t>
      </w:r>
      <w:r>
        <w:rPr>
          <w:vertAlign w:val="subscript"/>
        </w:rPr>
        <w:t>th</w:t>
      </w:r>
      <w:r>
        <w:t>, cuyo uso de combustible sea de menos de 50 kg/h; y</w:t>
      </w:r>
    </w:p>
    <w:p w:rsidR="00DE6CCA" w:rsidRPr="00D4046D" w:rsidRDefault="00DE6CCA" w:rsidP="004A4164">
      <w:pPr>
        <w:autoSpaceDE w:val="0"/>
        <w:autoSpaceDN w:val="0"/>
        <w:adjustRightInd w:val="0"/>
        <w:jc w:val="both"/>
      </w:pPr>
      <w:r>
        <w:rPr>
          <w:i w:val="1"/>
        </w:rPr>
        <w:t>b)</w:t>
      </w:r>
      <w:r>
        <w:t xml:space="preserve"> motores estacionarios con un suministro de energía de emergencia, que funcionen durante menos de 50 horas al año.».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E6CCA" w:rsidRPr="00D4046D" w:rsidRDefault="00DE6CCA" w:rsidP="004A4164">
      <w:pPr>
        <w:pStyle w:val="ListParagraph"/>
        <w:autoSpaceDE w:val="0"/>
        <w:autoSpaceDN w:val="0"/>
        <w:adjustRightInd w:val="0"/>
        <w:spacing w:before="60"/>
        <w:ind w:left="0"/>
        <w:jc w:val="both"/>
        <w:rPr>
          <w:bCs/>
          <w:iCs/>
        </w:rPr>
      </w:pPr>
    </w:p>
    <w:p w:rsidR="00FC1B4C" w:rsidRPr="00D4046D" w:rsidRDefault="00D606F7" w:rsidP="004A4164">
      <w:pPr>
        <w:keepNext/>
        <w:keepLines/>
        <w:autoSpaceDE w:val="0"/>
        <w:autoSpaceDN w:val="0"/>
        <w:adjustRightInd w:val="0"/>
        <w:jc w:val="center"/>
        <w:rPr>
          <w:b/>
          <w:bCs/>
          <w:iCs/>
        </w:rPr>
      </w:pPr>
      <w:r>
        <w:rPr>
          <w:b/>
        </w:rPr>
        <w:t>Artículo 3</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26C98" w:rsidRPr="00D4046D" w:rsidRDefault="00D26C98" w:rsidP="004A4164">
      <w:pPr>
        <w:keepNext/>
        <w:keepLines/>
        <w:autoSpaceDE w:val="0"/>
        <w:autoSpaceDN w:val="0"/>
        <w:adjustRightInd w:val="0"/>
        <w:jc w:val="center"/>
        <w:rPr>
          <w:bCs/>
          <w:iCs/>
        </w:rPr>
      </w:pPr>
    </w:p>
    <w:p w:rsidR="00FC1B4C" w:rsidRPr="00D4046D" w:rsidRDefault="00FC1B4C" w:rsidP="004A4164">
      <w:pPr>
        <w:keepNext/>
        <w:keepLines/>
        <w:autoSpaceDE w:val="0"/>
        <w:autoSpaceDN w:val="0"/>
        <w:adjustRightInd w:val="0"/>
        <w:jc w:val="both"/>
      </w:pPr>
      <w:r>
        <w:t>En el artículo 12, los apartados 2 y 3 del Decreto se sustituyen por lo siguiente: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26C98" w:rsidRPr="00D4046D" w:rsidRDefault="00D26C98" w:rsidP="004A4164">
      <w:pPr>
        <w:keepNext/>
        <w:keepLines/>
        <w:autoSpaceDE w:val="0"/>
        <w:autoSpaceDN w:val="0"/>
        <w:adjustRightInd w:val="0"/>
        <w:jc w:val="both"/>
      </w:pPr>
    </w:p>
    <w:p w:rsidR="006B0CC9" w:rsidRPr="00D4046D" w:rsidRDefault="00FC1B4C" w:rsidP="004A4164">
      <w:pPr>
        <w:autoSpaceDE w:val="0"/>
        <w:autoSpaceDN w:val="0"/>
        <w:adjustRightInd w:val="0"/>
        <w:spacing w:before="60"/>
        <w:jc w:val="both"/>
      </w:pPr>
      <w:r>
        <w:t>«2. Hasta el 31 de diciembre de 2029, los valores límite de emisiones especificados en el anexo 1 se aplicarán a instalaciones de combustión de categoría I con una potencia térmica nominal total igual o superior a 1 MW</w:t>
      </w:r>
      <w:r>
        <w:rPr>
          <w:vertAlign w:val="subscript"/>
        </w:rPr>
        <w:t>th</w:t>
      </w:r>
      <w:r>
        <w:t>, pero inferior a 5 MW</w:t>
      </w:r>
      <w:r>
        <w:rPr>
          <w:vertAlign w:val="subscript"/>
        </w:rPr>
        <w:t>th</w:t>
      </w:r>
      <w:r>
        <w:t xml:space="preserve">, con las excepciones siguientes: </w:t>
      </w:r>
    </w:p>
    <w:p w:rsidR="00FC1B4C" w:rsidRPr="00D4046D" w:rsidRDefault="00FC1B4C" w:rsidP="004A4164">
      <w:pPr>
        <w:pStyle w:val="ListParagraph"/>
        <w:numPr>
          <w:ilvl w:val="0"/>
          <w:numId w:val="50"/>
        </w:numPr>
        <w:autoSpaceDE w:val="0"/>
        <w:autoSpaceDN w:val="0"/>
        <w:adjustRightInd w:val="0"/>
        <w:spacing w:before="60"/>
        <w:ind w:left="426" w:hanging="426"/>
        <w:jc w:val="both"/>
      </w:pPr>
      <w:r>
        <w:t>en el caso de la combustión de biomasa sólida, el valor límite de emisiones para el monóxido de carbono será de 375 mg/Nm</w:t>
      </w:r>
      <w:r>
        <w:rPr>
          <w:vertAlign w:val="superscript"/>
        </w:rPr>
        <w:t>3</w:t>
      </w:r>
      <w:r>
        <w:t>;</w:t>
      </w:r>
    </w:p>
    <w:p w:rsidR="006B0CC9" w:rsidRPr="00D4046D" w:rsidRDefault="006B0CC9" w:rsidP="004A4164">
      <w:pPr>
        <w:pStyle w:val="ListParagraph"/>
        <w:numPr>
          <w:ilvl w:val="0"/>
          <w:numId w:val="50"/>
        </w:numPr>
        <w:autoSpaceDE w:val="0"/>
        <w:autoSpaceDN w:val="0"/>
        <w:adjustRightInd w:val="0"/>
        <w:spacing w:before="60"/>
        <w:ind w:left="426" w:hanging="426"/>
        <w:jc w:val="both"/>
      </w:pPr>
      <w:r>
        <w:t>en el caso de los motores de gas puestos en funcionamiento antes del 1 de enero de 1994 que tengan una potencia térmica nominal total superior a 3 MW</w:t>
      </w:r>
      <w:r>
        <w:rPr>
          <w:vertAlign w:val="subscript"/>
        </w:rPr>
        <w:t>th</w:t>
      </w:r>
      <w:r>
        <w:t>, el valor límite de emisiones para los óxidos de nitrógeno será de 565 mg/Nm</w:t>
      </w:r>
      <w:r>
        <w:rPr>
          <w:vertAlign w:val="superscript"/>
        </w:rPr>
        <w:t>3</w:t>
      </w:r>
      <w:r>
        <w:t>, el valor límite de emisiones para el monóxido de carbono para los motores de cuatro tiempos será de 375 mg/Nm</w:t>
      </w:r>
      <w:r>
        <w:rPr>
          <w:vertAlign w:val="superscript"/>
        </w:rPr>
        <w:t>3</w:t>
      </w:r>
      <w:r>
        <w:t>, de 320 mg/Nm</w:t>
      </w:r>
      <w:r>
        <w:rPr>
          <w:vertAlign w:val="superscript"/>
        </w:rPr>
        <w:t>3</w:t>
      </w:r>
      <w:r>
        <w:t xml:space="preserve"> para los motores de dos tiempos y de 115 mg/Nm</w:t>
      </w:r>
      <w:r>
        <w:rPr>
          <w:vertAlign w:val="superscript"/>
        </w:rPr>
        <w:t>3</w:t>
      </w:r>
      <w:r>
        <w:t xml:space="preserve"> para los compuestos orgánicos totales, expresados en forma de C (carbono), excepto el metano.</w:t>
      </w:r>
    </w:p>
    <w:p w:rsidR="006B0CC9" w:rsidRPr="00D4046D" w:rsidRDefault="00115E21" w:rsidP="004A4164">
      <w:pPr>
        <w:autoSpaceDE w:val="0"/>
        <w:autoSpaceDN w:val="0"/>
        <w:adjustRightInd w:val="0"/>
        <w:jc w:val="both"/>
      </w:pPr>
      <w:r>
        <w:t>3. Hasta el 31 de diciembre de 2024, los valores límite de emisiones especificados en el anexo 1 se aplicarán a instalaciones de combustión de categoría I con una potencia térmica nominal total superior a 5 MW</w:t>
      </w:r>
      <w:r>
        <w:rPr>
          <w:vertAlign w:val="subscript"/>
        </w:rPr>
        <w:t>th</w:t>
      </w:r>
      <w:r>
        <w:t>, con las excepciones siguientes:</w:t>
      </w:r>
    </w:p>
    <w:p w:rsidR="006B0CC9" w:rsidRPr="00D4046D" w:rsidRDefault="00FC1B4C" w:rsidP="004A4164">
      <w:pPr>
        <w:pStyle w:val="ListParagraph"/>
        <w:numPr>
          <w:ilvl w:val="0"/>
          <w:numId w:val="55"/>
        </w:numPr>
        <w:autoSpaceDE w:val="0"/>
        <w:autoSpaceDN w:val="0"/>
        <w:adjustRightInd w:val="0"/>
        <w:spacing w:before="60"/>
        <w:ind w:left="426" w:hanging="426"/>
        <w:jc w:val="both"/>
      </w:pPr>
      <w:r>
        <w:t>en el caso de la combustión de biomasa sólida, el valor límite de emisiones para el monóxido de carbono será de 375 mg/Nm</w:t>
      </w:r>
      <w:r>
        <w:rPr>
          <w:vertAlign w:val="superscript"/>
        </w:rPr>
        <w:t>3</w:t>
      </w:r>
      <w:r>
        <w:t>;</w:t>
      </w:r>
    </w:p>
    <w:p w:rsidR="00FC1B4C" w:rsidRPr="00D4046D" w:rsidRDefault="006B0CC9" w:rsidP="004A4164">
      <w:pPr>
        <w:pStyle w:val="ListParagraph"/>
        <w:numPr>
          <w:ilvl w:val="0"/>
          <w:numId w:val="55"/>
        </w:numPr>
        <w:autoSpaceDE w:val="0"/>
        <w:autoSpaceDN w:val="0"/>
        <w:adjustRightInd w:val="0"/>
        <w:spacing w:before="60"/>
        <w:ind w:left="426" w:hanging="426"/>
        <w:jc w:val="both"/>
      </w:pPr>
      <w:r>
        <w:t>en el caso de los motores de gas puestos en funcionamiento antes del 1 de enero de 1994, el valor límite de emisiones para los óxidos de nitrógeno será de 565 mg/Nm</w:t>
      </w:r>
      <w:r>
        <w:rPr>
          <w:vertAlign w:val="superscript"/>
        </w:rPr>
        <w:t>3</w:t>
      </w:r>
      <w:r>
        <w:t>, el valor límite de emisiones para el monóxido de carbono para los motores de cuatro tiempos será de 375 mg/Nm</w:t>
      </w:r>
      <w:r>
        <w:rPr>
          <w:vertAlign w:val="superscript"/>
        </w:rPr>
        <w:t>3</w:t>
      </w:r>
      <w:r>
        <w:t>, de 320 mg/Nm</w:t>
      </w:r>
      <w:r>
        <w:rPr>
          <w:vertAlign w:val="superscript"/>
        </w:rPr>
        <w:t>3</w:t>
      </w:r>
      <w:r>
        <w:t xml:space="preserve"> para los motores de dos tiempos y de 115 mg/Nm</w:t>
      </w:r>
      <w:r>
        <w:rPr>
          <w:vertAlign w:val="superscript"/>
        </w:rPr>
        <w:t>3</w:t>
      </w:r>
      <w:r>
        <w:t xml:space="preserve"> para los compuestos orgánicos totales, expresados en forma de C (carbono), excepto el metano.».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15E21" w:rsidRPr="00D4046D" w:rsidRDefault="00115E21" w:rsidP="004A4164">
      <w:pPr>
        <w:autoSpaceDE w:val="0"/>
        <w:autoSpaceDN w:val="0"/>
        <w:adjustRightInd w:val="0"/>
        <w:jc w:val="both"/>
      </w:pPr>
    </w:p>
    <w:p w:rsidR="00115E21" w:rsidRPr="00D4046D" w:rsidRDefault="00D606F7" w:rsidP="004A4164">
      <w:pPr>
        <w:keepNext/>
        <w:keepLines/>
        <w:autoSpaceDE w:val="0"/>
        <w:autoSpaceDN w:val="0"/>
        <w:adjustRightInd w:val="0"/>
        <w:jc w:val="center"/>
        <w:rPr>
          <w:b/>
        </w:rPr>
      </w:pPr>
      <w:r>
        <w:rPr>
          <w:b/>
        </w:rPr>
        <w:t>Artículo 4</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keepNext/>
        <w:keepLines/>
        <w:autoSpaceDE w:val="0"/>
        <w:autoSpaceDN w:val="0"/>
        <w:adjustRightInd w:val="0"/>
      </w:pPr>
    </w:p>
    <w:p w:rsidR="00C77639" w:rsidRPr="00D4046D" w:rsidRDefault="00C77639" w:rsidP="004A4164">
      <w:pPr>
        <w:autoSpaceDE w:val="0"/>
        <w:autoSpaceDN w:val="0"/>
        <w:adjustRightInd w:val="0"/>
      </w:pPr>
      <w:r>
        <w:t>1. El anexo 1 del Decreto se modifica de acuerdo con el anexo 1.</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2. El anexo 2 del Decreto entrará en vigor de acuerdo con el anexo 2.</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3. El anexo 3 del Decreto entrará en vigor de acuerdo con el anexo 3.</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4. El anexo 4 del Decreto se modifica de acuerdo con el anexo 4.</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5. El anexo 5 del Decreto se modificará de acuerdo con el anexo 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77639" w:rsidRDefault="00C77639" w:rsidP="004A4164">
      <w:pPr>
        <w:autoSpaceDE w:val="0"/>
        <w:autoSpaceDN w:val="0"/>
        <w:adjustRightInd w:val="0"/>
      </w:pPr>
    </w:p>
    <w:p w:rsidR="00052A46" w:rsidRPr="00D4046D" w:rsidRDefault="00D606F7" w:rsidP="004A4164">
      <w:pPr>
        <w:keepNext/>
        <w:keepLines/>
        <w:autoSpaceDE w:val="0"/>
        <w:autoSpaceDN w:val="0"/>
        <w:adjustRightInd w:val="0"/>
        <w:jc w:val="center"/>
        <w:rPr>
          <w:b/>
        </w:rPr>
      </w:pPr>
      <w:r>
        <w:rPr>
          <w:b/>
        </w:rPr>
        <w:t>Artículo 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052A46" w:rsidRDefault="00052A46" w:rsidP="004A4164">
      <w:pPr>
        <w:keepNext/>
        <w:keepLines/>
        <w:autoSpaceDE w:val="0"/>
        <w:autoSpaceDN w:val="0"/>
        <w:adjustRightInd w:val="0"/>
      </w:pPr>
    </w:p>
    <w:p w:rsidR="00052A46" w:rsidRDefault="00052A46" w:rsidP="004A4164">
      <w:pPr>
        <w:autoSpaceDE w:val="0"/>
        <w:autoSpaceDN w:val="0"/>
        <w:adjustRightInd w:val="0"/>
      </w:pPr>
      <w:r>
        <w:t>El anexo 4, punto 3, subpunto 3.4, del Decreto queda derogado por el presente.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052A46" w:rsidRPr="00D4046D" w:rsidRDefault="00052A46" w:rsidP="004A4164">
      <w:pPr>
        <w:autoSpaceDE w:val="0"/>
        <w:autoSpaceDN w:val="0"/>
        <w:adjustRightInd w:val="0"/>
      </w:pPr>
    </w:p>
    <w:p w:rsidR="00C77639" w:rsidRPr="00D4046D" w:rsidRDefault="00D606F7" w:rsidP="004A4164">
      <w:pPr>
        <w:keepNext/>
        <w:keepLines/>
        <w:autoSpaceDE w:val="0"/>
        <w:autoSpaceDN w:val="0"/>
        <w:adjustRightInd w:val="0"/>
        <w:jc w:val="center"/>
        <w:rPr>
          <w:b/>
        </w:rPr>
      </w:pPr>
      <w:r>
        <w:rPr>
          <w:b/>
        </w:rPr>
        <w:t>Artículo 6</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77639" w:rsidRPr="00D4046D" w:rsidRDefault="00C77639" w:rsidP="004A4164">
      <w:pPr>
        <w:keepNext/>
        <w:keepLines/>
        <w:autoSpaceDE w:val="0"/>
        <w:autoSpaceDN w:val="0"/>
        <w:adjustRightInd w:val="0"/>
      </w:pPr>
    </w:p>
    <w:p w:rsidR="00FC1B4C" w:rsidRPr="00D4046D" w:rsidRDefault="00FC1B4C" w:rsidP="004A4164">
      <w:pPr>
        <w:autoSpaceDE w:val="0"/>
        <w:autoSpaceDN w:val="0"/>
        <w:adjustRightInd w:val="0"/>
        <w:jc w:val="both"/>
      </w:pPr>
      <w:r>
        <w:t>1. El presente Decreto entrará en vigor, con las excepciones definidas en los apartados 2 y 3, a los quince días de su publicación.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916B6" w:rsidRPr="00D4046D" w:rsidRDefault="004916B6" w:rsidP="004A4164">
      <w:pPr>
        <w:autoSpaceDE w:val="0"/>
        <w:autoSpaceDN w:val="0"/>
        <w:adjustRightInd w:val="0"/>
        <w:jc w:val="both"/>
      </w:pPr>
    </w:p>
    <w:p w:rsidR="004916B6" w:rsidRDefault="004A4164" w:rsidP="004A4164">
      <w:pPr>
        <w:pStyle w:val="ListParagraph"/>
        <w:autoSpaceDE w:val="0"/>
        <w:autoSpaceDN w:val="0"/>
        <w:adjustRightInd w:val="0"/>
        <w:ind w:left="0"/>
        <w:jc w:val="both"/>
      </w:pPr>
      <w:r>
        <w:t>2. El artículo 2, apartados 1 y 2, el artículo 4, apartado 3, y el anexo 3 entrarán en vigor el 1 de enero de 2025.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67A90" w:rsidRPr="00D4046D" w:rsidRDefault="00567A90" w:rsidP="004A4164">
      <w:pPr>
        <w:pStyle w:val="ListParagraph"/>
        <w:autoSpaceDE w:val="0"/>
        <w:autoSpaceDN w:val="0"/>
        <w:adjustRightInd w:val="0"/>
        <w:ind w:left="0"/>
        <w:jc w:val="both"/>
      </w:pPr>
    </w:p>
    <w:p w:rsidR="00767D9D" w:rsidRDefault="004A4164" w:rsidP="004A4164">
      <w:pPr>
        <w:pStyle w:val="ListParagraph"/>
        <w:autoSpaceDE w:val="0"/>
        <w:autoSpaceDN w:val="0"/>
        <w:adjustRightInd w:val="0"/>
        <w:ind w:left="0"/>
        <w:jc w:val="both"/>
      </w:pPr>
      <w:r>
        <w:t>3. El artículo 4, apartado 2, y el anexo 2 entrarán en vigor el 1 de enero de 2030.</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67A90" w:rsidRPr="00567A90" w:rsidRDefault="00567A90" w:rsidP="004A4164">
      <w:pPr>
        <w:pStyle w:val="ListParagraph"/>
        <w:autoSpaceDE w:val="0"/>
        <w:autoSpaceDN w:val="0"/>
        <w:adjustRightInd w:val="0"/>
        <w:ind w:left="0"/>
        <w:jc w:val="both"/>
        <w:rPr>
          <w:rFonts w:eastAsiaTheme="minorHAnsi"/>
        </w:rPr>
      </w:pPr>
    </w:p>
    <w:p w:rsidR="00767D9D" w:rsidRPr="001E77B8" w:rsidRDefault="001F134F" w:rsidP="004A4164">
      <w:pPr>
        <w:keepNext/>
        <w:keepLines/>
        <w:jc w:val="center"/>
        <w:rPr>
          <w:b/>
        </w:rPr>
      </w:pPr>
      <w:r>
        <w:rPr>
          <w:b/>
        </w:rPr>
        <w:t>Artículo 7</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16094" w:rsidRPr="00D4046D" w:rsidRDefault="00716094" w:rsidP="004A4164">
      <w:pPr>
        <w:keepNext/>
        <w:keepLines/>
      </w:pPr>
    </w:p>
    <w:p w:rsidR="00716094" w:rsidRPr="00D4046D" w:rsidRDefault="00716094" w:rsidP="004A4164">
      <w:pPr>
        <w:autoSpaceDE w:val="0"/>
        <w:autoSpaceDN w:val="0"/>
        <w:adjustRightInd w:val="0"/>
        <w:jc w:val="both"/>
        <w:rPr>
          <w:rFonts w:eastAsiaTheme="minorEastAsia"/>
        </w:rPr>
      </w:pPr>
      <w:r>
        <w:t>1. El presente Decreto sirve a efectos de cumplimiento de la Directiva (UE) 2015/2193 del Parlamento Europeo y del Consejo, de 25 de noviembre de 2015, sobre la limitación de las emisiones a la atmósfera de determinados agentes contaminantes procedentes de las instalaciones de combustión medianas.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16094" w:rsidRPr="00D4046D" w:rsidRDefault="00716094" w:rsidP="004A4164">
      <w:pPr>
        <w:autoSpaceDE w:val="0"/>
        <w:autoSpaceDN w:val="0"/>
        <w:adjustRightInd w:val="0"/>
        <w:jc w:val="both"/>
        <w:rPr>
          <w:rFonts w:eastAsiaTheme="minorEastAsia"/>
        </w:rPr>
      </w:pPr>
    </w:p>
    <w:p w:rsidR="00716094" w:rsidRPr="00D4046D" w:rsidRDefault="00716094" w:rsidP="004A4164">
      <w:pPr>
        <w:autoSpaceDE w:val="0"/>
        <w:autoSpaceDN w:val="0"/>
        <w:adjustRightInd w:val="0"/>
        <w:jc w:val="both"/>
        <w:rPr>
          <w:rFonts w:eastAsiaTheme="minorEastAsia"/>
        </w:rPr>
      </w:pPr>
      <w:r>
        <w:t>2. Se ha cumplido el requisito de notificación previa del presente Decreto, tal y como se estipula en los artículos 5 a 7 de la Directiva (UE) 2015/1535 del Parlamento Europeo y del Consejo, de 9 de septiembre de 2015, por la que se establece un procedimiento de información en materia de reglamentaciones técnicas y de reglas relativas a los servicios de la sociedad de la información.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16094" w:rsidRPr="00D4046D" w:rsidRDefault="00716094" w:rsidP="004A4164">
      <w:pPr/>
    </w:p>
    <w:p w:rsidR="00115E21" w:rsidRPr="000B1A9E" w:rsidRDefault="00115E21" w:rsidP="004A4164">
      <w:r>
        <w:t>Budapest, [fecha] de junio de 2019.</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15E21" w:rsidRPr="00832B17" w:rsidRDefault="00115E21" w:rsidP="004A4164">
      <w:pPr/>
    </w:p>
    <w:p w:rsidR="004A4164" w:rsidRDefault="002125C2" w:rsidP="004A4164">
      <w:pPr>
        <w:ind w:left="6379"/>
      </w:pPr>
      <w:r>
        <w:t>István Nagy</w:t>
      </w:r>
    </w:p>
    <w:p w:rsidR="004A4164" w:rsidRPr="004A4164" w:rsidRDefault="004A4164" w:rsidP="004A4164">
      <w:pPr>
        <w:ind w:left="6379"/>
      </w:pPr>
      <w:r>
        <w:rPr>
          <w:i/>
        </w:rPr>
        <w:t>Ministro de Agricultura</w:t>
      </w:r>
    </w:p>
    <w:p w:rsidR="00FC1B4C" w:rsidRPr="00D4046D" w:rsidRDefault="00FC1B4C" w:rsidP="004A4164">
      <w:pPr>
        <w:keepNext/>
        <w:keepLines/>
        <w:pageBreakBefore/>
        <w:autoSpaceDE w:val="0"/>
        <w:autoSpaceDN w:val="0"/>
        <w:adjustRightInd w:val="0"/>
        <w:jc w:val="right"/>
        <w:rPr>
          <w:i/>
        </w:rPr>
      </w:pPr>
      <w:r>
        <w:rPr>
          <w:i/>
        </w:rPr>
        <w:t xml:space="preserve">Anexo 1 del Decreto n.º .../2019 de ... de </w:t>
      </w:r>
      <w:r>
        <w:rPr>
          <w:i/>
        </w:rPr>
        <w:t xml:space="preserve">... </w:t>
      </w:r>
      <w:r>
        <w:rPr>
          <w:i/>
        </w:rPr>
        <w:t>de 2019 del Ministro de Agricultura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keepNext/>
        <w:keepLines/>
        <w:autoSpaceDE w:val="0"/>
        <w:autoSpaceDN w:val="0"/>
        <w:adjustRightInd w:val="0"/>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keepNext/>
        <w:keepLines/>
        <w:autoSpaceDE w:val="0"/>
        <w:autoSpaceDN w:val="0"/>
        <w:adjustRightInd w:val="0"/>
      </w:pPr>
    </w:p>
    <w:p w:rsidR="00FC1B4C" w:rsidRPr="00D4046D" w:rsidRDefault="00FC1B4C" w:rsidP="004A4164">
      <w:pPr>
        <w:keepNext/>
        <w:keepLines/>
        <w:autoSpaceDE w:val="0"/>
        <w:autoSpaceDN w:val="0"/>
        <w:adjustRightInd w:val="0"/>
      </w:pPr>
      <w:r>
        <w:t xml:space="preserve">1. </w:t>
      </w:r>
      <w:r>
        <w:t>El anexo 1, punto 2, subpunto 2.3, del Decreto se sustituye por lo siguiente: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«2.3 El valor límite de emisiones para NOx será de 320 mg/m</w:t>
      </w:r>
      <w:r>
        <w:rPr>
          <w:vertAlign w:val="superscript"/>
        </w:rPr>
        <w:t>3</w:t>
      </w:r>
      <w:r>
        <w:t xml:space="preserve"> para la combustión de lignito, de 300 mg/m</w:t>
      </w:r>
      <w:r>
        <w:rPr>
          <w:vertAlign w:val="superscript"/>
        </w:rPr>
        <w:t>3</w:t>
      </w:r>
      <w:r>
        <w:t xml:space="preserve"> para las calderas de combustión líquida que queman combustibles de biomasa sólida y de 210 mg/m</w:t>
      </w:r>
      <w:r>
        <w:rPr>
          <w:vertAlign w:val="superscript"/>
        </w:rPr>
        <w:t>3</w:t>
      </w:r>
      <w:r>
        <w:t xml:space="preserve"> para las calderas de combustión líquida de otros combustibles sólidos.».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62608" w:rsidRPr="00D4046D" w:rsidRDefault="00462608" w:rsidP="004A4164">
      <w:pPr>
        <w:autoSpaceDE w:val="0"/>
        <w:autoSpaceDN w:val="0"/>
        <w:adjustRightInd w:val="0"/>
        <w:jc w:val="both"/>
      </w:pPr>
    </w:p>
    <w:p w:rsidR="00462608" w:rsidRPr="00D4046D" w:rsidRDefault="00462608" w:rsidP="004A4164">
      <w:pPr>
        <w:keepNext/>
        <w:keepLines/>
        <w:autoSpaceDE w:val="0"/>
        <w:autoSpaceDN w:val="0"/>
        <w:adjustRightInd w:val="0"/>
        <w:jc w:val="both"/>
      </w:pPr>
      <w:r>
        <w:t xml:space="preserve">2. </w:t>
      </w:r>
      <w:r>
        <w:t>El anexo 1, punto 3, subpunto 3.1, del Decreto se sustituye por lo siguiente: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62608" w:rsidRPr="00D4046D" w:rsidRDefault="00462608" w:rsidP="004A4164">
      <w:pPr>
        <w:keepNext/>
        <w:keepLines/>
        <w:autoSpaceDE w:val="0"/>
        <w:autoSpaceDN w:val="0"/>
        <w:adjustRightInd w:val="0"/>
        <w:jc w:val="both"/>
      </w:pPr>
    </w:p>
    <w:p w:rsidR="00462608" w:rsidRPr="00D4046D" w:rsidRDefault="00462608" w:rsidP="004A4164">
      <w:pPr>
        <w:autoSpaceDE w:val="0"/>
        <w:autoSpaceDN w:val="0"/>
        <w:adjustRightInd w:val="0"/>
        <w:jc w:val="both"/>
      </w:pPr>
      <w:r>
        <w:t>«3.1 El valor límite de emisiones para NOx será de 300 mg/m</w:t>
      </w:r>
      <w:r>
        <w:rPr>
          <w:vertAlign w:val="superscript"/>
        </w:rPr>
        <w:t>3</w:t>
      </w:r>
      <w:r>
        <w:t xml:space="preserve"> para los motores de dos tiempos, de 225 mg/m</w:t>
      </w:r>
      <w:r>
        <w:rPr>
          <w:vertAlign w:val="superscript"/>
        </w:rPr>
        <w:t>3</w:t>
      </w:r>
      <w:r>
        <w:t xml:space="preserve"> para los motores de gas de cuatro tiempos que queman biogás y gases de vertedero, de 1 650 mg/m</w:t>
      </w:r>
      <w:r>
        <w:rPr>
          <w:vertAlign w:val="superscript"/>
        </w:rPr>
        <w:t>3</w:t>
      </w:r>
      <w:r>
        <w:t xml:space="preserve"> para los motores diésel utilizados exclusivamente en sondeos de reconocimiento y de 1 500 mg/m</w:t>
      </w:r>
      <w:r>
        <w:rPr>
          <w:vertAlign w:val="superscript"/>
        </w:rPr>
        <w:t>3</w:t>
      </w:r>
      <w:r>
        <w:t xml:space="preserve"> para los motores diésel.».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060D9" w:rsidRDefault="00C060D9"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C060D9" w:rsidRPr="00D4046D" w:rsidRDefault="00C060D9" w:rsidP="004A4164">
      <w:pPr>
        <w:keepNext/>
        <w:keepLines/>
        <w:autoSpaceDE w:val="0"/>
        <w:autoSpaceDN w:val="0"/>
        <w:adjustRightInd w:val="0"/>
        <w:jc w:val="both"/>
      </w:pPr>
      <w:r>
        <w:t xml:space="preserve">3. </w:t>
      </w:r>
      <w:r>
        <w:t xml:space="preserve">En el anexo 1, punto 3, del Decreto, se añade el siguiente subpunto 3.4: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060D9" w:rsidRPr="00D4046D" w:rsidRDefault="00C060D9" w:rsidP="004A4164">
      <w:pPr>
        <w:keepNext/>
        <w:keepLines/>
        <w:autoSpaceDE w:val="0"/>
        <w:autoSpaceDN w:val="0"/>
        <w:adjustRightInd w:val="0"/>
        <w:jc w:val="both"/>
      </w:pPr>
    </w:p>
    <w:p w:rsidR="00C060D9" w:rsidRPr="00D4046D" w:rsidRDefault="00C060D9" w:rsidP="004A4164">
      <w:pPr>
        <w:autoSpaceDE w:val="0"/>
        <w:autoSpaceDN w:val="0"/>
        <w:adjustRightInd w:val="0"/>
        <w:jc w:val="both"/>
      </w:pPr>
      <w:r>
        <w:t>«3.4 El valor límite de emisiones de COT para los motores de gas que utilizan gas natural con un contenido de etano superior al 5 % será de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t xml:space="preserve">Anexo 2 del Decreto n.º .../2019 de ... de </w:t>
      </w:r>
      <w:r>
        <w:rPr>
          <w:i/>
        </w:rPr>
        <w:t xml:space="preserve">... </w:t>
      </w:r>
      <w:r>
        <w:rPr>
          <w:i/>
        </w:rPr>
        <w:t>de 2019 del Ministro de Agricultura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keepNext/>
        <w:keepLines/>
        <w:autoSpaceDE w:val="0"/>
        <w:autoSpaceDN w:val="0"/>
        <w:adjustRightInd w:val="0"/>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keepNext/>
        <w:keepLines/>
        <w:autoSpaceDE w:val="0"/>
        <w:autoSpaceDN w:val="0"/>
        <w:adjustRightInd w:val="0"/>
      </w:pPr>
    </w:p>
    <w:p w:rsidR="00FC1B4C" w:rsidRPr="00D4046D" w:rsidRDefault="00FC1B4C" w:rsidP="004A4164">
      <w:pPr>
        <w:autoSpaceDE w:val="0"/>
        <w:autoSpaceDN w:val="0"/>
        <w:adjustRightInd w:val="0"/>
        <w:jc w:val="both"/>
      </w:pPr>
      <w:r>
        <w:t xml:space="preserve">1. </w:t>
      </w:r>
      <w:r>
        <w:t>En la celda B:5 de la tabla del punto 2 del anexo 2 del Decreto, se sustituye el número «1 500» por el número «375».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pPr>
      <w:r>
        <w:t xml:space="preserve">2. </w:t>
      </w:r>
      <w:r>
        <w:t>El anexo 2, punto 2, subpunto 2.5, del Decreto entrará en vigor como sigue: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«2.5 El valor límite de emisiones para NOx será de 320 mg/Nm</w:t>
      </w:r>
      <w:r>
        <w:rPr>
          <w:vertAlign w:val="superscript"/>
        </w:rPr>
        <w:t>3</w:t>
      </w:r>
      <w:r>
        <w:t xml:space="preserve"> para la combustión de lignito, de 300 mg/Nm</w:t>
      </w:r>
      <w:r>
        <w:rPr>
          <w:vertAlign w:val="superscript"/>
        </w:rPr>
        <w:t>3</w:t>
      </w:r>
      <w:r>
        <w:t xml:space="preserve"> para las calderas de combustión líquida que queman combustibles de biomasa sólida y de 210 mg/Nm</w:t>
      </w:r>
      <w:r>
        <w:rPr>
          <w:vertAlign w:val="superscript"/>
        </w:rPr>
        <w:t>3</w:t>
      </w:r>
      <w:r>
        <w:t xml:space="preserve"> para la calderas de combustión líquida que queman otros combustibles sólidos.».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DD14C1" w:rsidRPr="00D4046D" w:rsidRDefault="00C060D9" w:rsidP="004A4164">
      <w:pPr>
        <w:keepNext/>
        <w:keepLines/>
        <w:autoSpaceDE w:val="0"/>
        <w:autoSpaceDN w:val="0"/>
        <w:adjustRightInd w:val="0"/>
        <w:jc w:val="both"/>
      </w:pPr>
      <w:r>
        <w:t xml:space="preserve">3. </w:t>
      </w:r>
      <w:r>
        <w:t>El anexo 3, punto 2, subpunto 3.3, del Decreto entrará en vigor como sigue: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D14C1" w:rsidRPr="00D4046D" w:rsidRDefault="00DD14C1" w:rsidP="004A4164">
      <w:pPr>
        <w:keepNext/>
        <w:keepLines/>
        <w:autoSpaceDE w:val="0"/>
        <w:autoSpaceDN w:val="0"/>
        <w:adjustRightInd w:val="0"/>
        <w:jc w:val="both"/>
      </w:pPr>
    </w:p>
    <w:p w:rsidR="00DD14C1" w:rsidRPr="00D4046D" w:rsidRDefault="00DD14C1" w:rsidP="004A4164">
      <w:pPr>
        <w:autoSpaceDE w:val="0"/>
        <w:autoSpaceDN w:val="0"/>
        <w:adjustRightInd w:val="0"/>
        <w:jc w:val="both"/>
      </w:pPr>
      <w:r>
        <w:t>«3.3 El valor límite de emisiones para NOx será de 1 500 mg/Nm</w:t>
      </w:r>
      <w:r>
        <w:rPr>
          <w:vertAlign w:val="superscript"/>
        </w:rPr>
        <w:t>3</w:t>
      </w:r>
      <w:r>
        <w:t xml:space="preserve"> en los casos siguientes:</w:t>
      </w:r>
    </w:p>
    <w:p w:rsidR="00DD14C1" w:rsidRPr="00D4046D" w:rsidRDefault="00DD14C1" w:rsidP="004A4164">
      <w:pPr>
        <w:autoSpaceDE w:val="0"/>
        <w:autoSpaceDN w:val="0"/>
        <w:adjustRightInd w:val="0"/>
        <w:jc w:val="both"/>
      </w:pPr>
      <w:r>
        <w:t>a)</w:t>
      </w:r>
      <w:r>
        <w:tab/>
      </w:r>
      <w:r>
        <w:t>para motores diésel cuya construcción empezara antes del 18 de mayo de 2006;</w:t>
      </w:r>
    </w:p>
    <w:p w:rsidR="00FC1B4C" w:rsidRPr="00D4046D" w:rsidRDefault="00DD14C1" w:rsidP="004A4164">
      <w:pPr>
        <w:autoSpaceDE w:val="0"/>
        <w:autoSpaceDN w:val="0"/>
        <w:adjustRightInd w:val="0"/>
        <w:jc w:val="both"/>
      </w:pPr>
      <w:r>
        <w:t>b)</w:t>
      </w:r>
      <w:r>
        <w:tab/>
      </w:r>
      <w:r>
        <w:t>para motores de combustible doble en forma líquida.».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00308" w:rsidRDefault="00400308" w:rsidP="004A4164">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p>
    <w:p w:rsidR="00400308" w:rsidRPr="00D4046D" w:rsidRDefault="00400308" w:rsidP="004A4164">
      <w:pPr>
        <w:keepNext/>
        <w:keepLines/>
        <w:autoSpaceDE w:val="0"/>
        <w:autoSpaceDN w:val="0"/>
        <w:adjustRightInd w:val="0"/>
        <w:jc w:val="both"/>
      </w:pPr>
      <w:r>
        <w:t xml:space="preserve">4. </w:t>
      </w:r>
      <w:r>
        <w:t xml:space="preserve">En el anexo 2, punto 3, del Decreto, se añade el siguiente subpunto 3.8: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00308" w:rsidRPr="00D4046D" w:rsidRDefault="00400308" w:rsidP="004A4164">
      <w:pPr>
        <w:keepNext/>
        <w:keepLines/>
        <w:autoSpaceDE w:val="0"/>
        <w:autoSpaceDN w:val="0"/>
        <w:adjustRightInd w:val="0"/>
        <w:jc w:val="both"/>
      </w:pPr>
    </w:p>
    <w:p w:rsidR="00400308" w:rsidRPr="00D4046D" w:rsidRDefault="00400308" w:rsidP="004A4164">
      <w:pPr>
        <w:autoSpaceDE w:val="0"/>
        <w:autoSpaceDN w:val="0"/>
        <w:adjustRightInd w:val="0"/>
        <w:jc w:val="both"/>
      </w:pPr>
      <w:r>
        <w:t>«3.8 El valor límite de emisiones de COT para los motores de gas que utilizan gas natural con un contenido de etano superior al 5 % será de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t xml:space="preserve">Anexo 3 del Decreto n.º .../2019 de ... de </w:t>
      </w:r>
      <w:r>
        <w:rPr>
          <w:i/>
        </w:rPr>
        <w:t xml:space="preserve">... </w:t>
      </w:r>
      <w:r>
        <w:rPr>
          <w:i/>
        </w:rPr>
        <w:t>de 2019 del Ministro de Agricultura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keepNext/>
        <w:keepLines/>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 xml:space="preserve">1. </w:t>
      </w:r>
      <w:r>
        <w:t>En la celda B:5 de la tabla del punto 2 del anexo 3 del Decreto, se sustituye el número «1 500» por el número «375».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jc w:val="both"/>
      </w:pPr>
      <w:r>
        <w:t xml:space="preserve">2. </w:t>
      </w:r>
      <w:r>
        <w:t>El anexo 2, punto 3, subpunto 2.6, del Decreto entrará en vigor como sigue: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«2.6 El valor límite de emisiones para NOx será de 320 mg/m</w:t>
      </w:r>
      <w:r>
        <w:rPr>
          <w:vertAlign w:val="superscript"/>
        </w:rPr>
        <w:t>3</w:t>
      </w:r>
      <w:r>
        <w:t xml:space="preserve"> para la combustión de lignito, de 300 mg/m</w:t>
      </w:r>
      <w:r>
        <w:rPr>
          <w:vertAlign w:val="superscript"/>
        </w:rPr>
        <w:t>3</w:t>
      </w:r>
      <w:r>
        <w:t xml:space="preserve"> para las calderas de combustión líquida que queman combustibles de biomasa sólida y de 210 mg/m</w:t>
      </w:r>
      <w:r>
        <w:rPr>
          <w:vertAlign w:val="superscript"/>
        </w:rPr>
        <w:t>3</w:t>
      </w:r>
      <w:r>
        <w:t xml:space="preserve"> para las calderas de combustión líquida que queman otros combustibles sólidos.».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FC1B4C" w:rsidRPr="00D4046D" w:rsidRDefault="00A00383" w:rsidP="004A4164">
      <w:pPr>
        <w:keepNext/>
        <w:keepLines/>
        <w:autoSpaceDE w:val="0"/>
        <w:autoSpaceDN w:val="0"/>
        <w:adjustRightInd w:val="0"/>
        <w:jc w:val="both"/>
      </w:pPr>
      <w:r>
        <w:t xml:space="preserve">3. </w:t>
      </w:r>
      <w:r>
        <w:t>El anexo 3, punto 3, subpunto 3.2, del Decreto entrará en vigor como sigue: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6AAE" w:rsidRPr="00D4046D" w:rsidRDefault="00F86AAE" w:rsidP="004A4164">
      <w:pPr>
        <w:keepNext/>
        <w:keepLines/>
      </w:pPr>
    </w:p>
    <w:p w:rsidR="00F86AAE" w:rsidRPr="00D4046D" w:rsidRDefault="00F86AAE" w:rsidP="004A4164">
      <w:r>
        <w:t>«3.2 El valor límite de emisiones para NOx será de 1 500 mg/Nm</w:t>
      </w:r>
      <w:r>
        <w:rPr>
          <w:vertAlign w:val="superscript"/>
        </w:rPr>
        <w:t>3</w:t>
      </w:r>
      <w:r>
        <w:t xml:space="preserve"> en los siguientes casos:</w:t>
      </w:r>
    </w:p>
    <w:p w:rsidR="00F86AAE" w:rsidRPr="00D4046D" w:rsidRDefault="00F86AAE" w:rsidP="004A4164">
      <w:r>
        <w:t>a)</w:t>
      </w:r>
      <w:r>
        <w:tab/>
      </w:r>
      <w:r>
        <w:t>para motores diésel cuya construcción empezara antes del 18 de mayo de 2006;</w:t>
      </w:r>
    </w:p>
    <w:p w:rsidR="00A00383" w:rsidRPr="00D4046D" w:rsidRDefault="00F86AAE" w:rsidP="004A4164">
      <w:r>
        <w:t>b)</w:t>
      </w:r>
      <w:r>
        <w:tab/>
      </w:r>
      <w:r>
        <w:t>para motores de combustible doble en forma líquida.».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A00383" w:rsidRDefault="00A00383" w:rsidP="004A4164">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p>
    <w:p w:rsidR="00A00383" w:rsidRPr="00D4046D" w:rsidRDefault="00A00383" w:rsidP="004A4164">
      <w:pPr>
        <w:keepNext/>
        <w:keepLines/>
        <w:autoSpaceDE w:val="0"/>
        <w:autoSpaceDN w:val="0"/>
        <w:adjustRightInd w:val="0"/>
        <w:jc w:val="both"/>
      </w:pPr>
      <w:r>
        <w:t xml:space="preserve">4. </w:t>
      </w:r>
      <w:r>
        <w:t xml:space="preserve">El anexo 3, punto 3, del Decreto entrará en vigor con los siguientes subpuntos 3.9 y 3.10: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A00383" w:rsidRPr="00D4046D" w:rsidRDefault="00A00383" w:rsidP="004A4164">
      <w:pPr>
        <w:keepNext/>
        <w:keepLines/>
        <w:autoSpaceDE w:val="0"/>
        <w:autoSpaceDN w:val="0"/>
        <w:adjustRightInd w:val="0"/>
        <w:jc w:val="both"/>
      </w:pPr>
    </w:p>
    <w:p w:rsidR="00D4046D" w:rsidRPr="00D4046D" w:rsidRDefault="00A00383" w:rsidP="004A4164">
      <w:pPr>
        <w:autoSpaceDE w:val="0"/>
        <w:autoSpaceDN w:val="0"/>
        <w:adjustRightInd w:val="0"/>
        <w:jc w:val="both"/>
      </w:pPr>
      <w:r>
        <w:t>«3.9 El valor límite de emisiones de COT para los motores de gas que contienen gas natural con un contenido de etano superior al 5 % será de 95 mg/m</w:t>
      </w:r>
      <w:r>
        <w:rPr>
          <w:vertAlign w:val="superscript"/>
        </w:rPr>
        <w:t>3</w:t>
      </w:r>
      <w:r>
        <w:t>.</w:t>
      </w:r>
    </w:p>
    <w:p w:rsidR="00380F30" w:rsidRPr="00D4046D" w:rsidRDefault="00380F30" w:rsidP="004A4164">
      <w:pPr>
        <w:autoSpaceDE w:val="0"/>
        <w:autoSpaceDN w:val="0"/>
        <w:adjustRightInd w:val="0"/>
        <w:jc w:val="both"/>
        <w:rPr>
          <w:rFonts w:eastAsiaTheme="minorEastAsia"/>
        </w:rPr>
      </w:pPr>
      <w:r>
        <w:t>3.10 En el caso de los motores de gas puestos en funcionamiento antes del 1 de enero de 1994 que se utilizan para impulsar las estaciones de compresión de gas necesarias para garantizar la protección y la seguridad del sistema de transmisión de gas, el límite de emisiones para el monóxido de carbono para los motores de cuatro tiempos será de 375 mg/m</w:t>
      </w:r>
      <w:r>
        <w:rPr>
          <w:rFonts w:eastAsiaTheme="minorEastAsia"/>
          <w:vertAlign w:val="superscript"/>
        </w:rPr>
        <w:t>3</w:t>
      </w:r>
      <w:r>
        <w:t xml:space="preserve"> y de 320 mg/m</w:t>
      </w:r>
      <w:r>
        <w:rPr>
          <w:rFonts w:eastAsiaTheme="minorEastAsia"/>
          <w:vertAlign w:val="superscript"/>
        </w:rPr>
        <w:t>3</w:t>
      </w:r>
      <w:r>
        <w:t xml:space="preserve"> para los motores de dos tiempos, y el valor límite de emisiones de COT será de 115 mg/m</w:t>
      </w:r>
      <w:r>
        <w:rPr>
          <w:rFonts w:eastAsiaTheme="minorEastAsia"/>
          <w:vertAlign w:val="superscript"/>
        </w:rPr>
        <w:t>3</w:t>
      </w:r>
      <w:r>
        <w:t xml:space="preserve"> hasta el 1 de enero de 2030.».</w:t>
      </w:r>
    </w:p>
    <w:p w:rsidR="00F94FF8" w:rsidRPr="00D4046D" w:rsidRDefault="00F94FF8" w:rsidP="004A4164">
      <w:pPr>
        <w:keepNext/>
        <w:keepLines/>
        <w:pageBreakBefore/>
        <w:autoSpaceDE w:val="0"/>
        <w:autoSpaceDN w:val="0"/>
        <w:adjustRightInd w:val="0"/>
        <w:jc w:val="right"/>
        <w:rPr>
          <w:i/>
        </w:rPr>
      </w:pPr>
      <w:r>
        <w:rPr>
          <w:i/>
        </w:rPr>
        <w:t xml:space="preserve">Anexo 4 del Decreto n.º .../2019 de ... de </w:t>
      </w:r>
      <w:r>
        <w:rPr>
          <w:i/>
        </w:rPr>
        <w:t xml:space="preserve">... </w:t>
      </w:r>
      <w:r>
        <w:rPr>
          <w:i/>
        </w:rPr>
        <w:t>de 2019 del Ministro de Agricultura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46AD7" w:rsidRPr="00D4046D" w:rsidRDefault="00846AD7" w:rsidP="004A4164">
      <w:pPr>
        <w:keepNext/>
        <w:keepLines/>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Pr="00D4046D" w:rsidRDefault="00F94FF8" w:rsidP="004A4164">
      <w:pPr>
        <w:keepNext/>
        <w:keepLines/>
      </w:pPr>
    </w:p>
    <w:p w:rsidR="00F94FF8" w:rsidRPr="00D4046D" w:rsidRDefault="00F94FF8" w:rsidP="004A4164">
      <w:pPr>
        <w:keepNext/>
        <w:keepLines/>
        <w:autoSpaceDE w:val="0"/>
        <w:autoSpaceDN w:val="0"/>
        <w:adjustRightInd w:val="0"/>
      </w:pPr>
      <w:r>
        <w:t xml:space="preserve">1. </w:t>
      </w:r>
      <w:r>
        <w:t>El anexo 4, punto 2, subpunto 2.5, del Decreto se sustituye por lo siguiente: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«2.5 El valor límite de emisiones para NOx será de 320 mg/m</w:t>
      </w:r>
      <w:r>
        <w:rPr>
          <w:vertAlign w:val="superscript"/>
        </w:rPr>
        <w:t>3</w:t>
      </w:r>
      <w:r>
        <w:t xml:space="preserve"> para la combustión de lignito, de 300 mg/m</w:t>
      </w:r>
      <w:r>
        <w:rPr>
          <w:vertAlign w:val="superscript"/>
        </w:rPr>
        <w:t>3</w:t>
      </w:r>
      <w:r>
        <w:t xml:space="preserve"> para las calderas de combustión líquida que queman combustibles de biomasa sólida y de 210 mg/m</w:t>
      </w:r>
      <w:r>
        <w:rPr>
          <w:vertAlign w:val="superscript"/>
        </w:rPr>
        <w:t>3</w:t>
      </w:r>
      <w:r>
        <w:t xml:space="preserve"> para las calderas de combustión líquida de otros combustibles sólidos.».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Default="00F94FF8"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F94FF8" w:rsidRPr="00D4046D" w:rsidRDefault="00F94FF8" w:rsidP="004A4164">
      <w:pPr>
        <w:keepNext/>
        <w:keepLines/>
        <w:autoSpaceDE w:val="0"/>
        <w:autoSpaceDN w:val="0"/>
        <w:adjustRightInd w:val="0"/>
        <w:jc w:val="both"/>
      </w:pPr>
      <w:r>
        <w:t xml:space="preserve">2. </w:t>
      </w:r>
      <w:r>
        <w:t>El anexo 4, punto 3, subpunto 3.3, del Decreto se sustituye por lo siguiente: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Pr="00D4046D" w:rsidRDefault="00F94FF8" w:rsidP="004A4164">
      <w:pPr>
        <w:keepNext/>
        <w:keepLines/>
        <w:autoSpaceDE w:val="0"/>
        <w:autoSpaceDN w:val="0"/>
        <w:adjustRightInd w:val="0"/>
        <w:jc w:val="both"/>
      </w:pPr>
    </w:p>
    <w:p w:rsidR="00D92A3F" w:rsidRPr="00EF21F5" w:rsidRDefault="00FE7228" w:rsidP="004A4164">
      <w:pPr>
        <w:autoSpaceDE w:val="0"/>
        <w:autoSpaceDN w:val="0"/>
        <w:adjustRightInd w:val="0"/>
        <w:jc w:val="both"/>
      </w:pPr>
      <w:r>
        <w:t>«3.3 El valor límite de emisiones para NOx para los motores diésel, si sus emisiones de NOx se ven limitadas debido a medidas primarias, será de 1 650 mg/m</w:t>
      </w:r>
      <w:r>
        <w:rPr>
          <w:vertAlign w:val="superscript"/>
        </w:rPr>
        <w:t>3</w:t>
      </w:r>
      <w:r>
        <w:t xml:space="preserve"> para los motores diésel utilizados exclusivamente en sondeos de reconocimiento y de 1 500 mg/m</w:t>
      </w:r>
      <w:r>
        <w:rPr>
          <w:vertAlign w:val="superscript"/>
        </w:rPr>
        <w:t>3</w:t>
      </w:r>
      <w:r>
        <w:t xml:space="preserve"> para otros motores diésel.».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92A3F" w:rsidRDefault="00D92A3F"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EF21F5" w:rsidRDefault="004A4164" w:rsidP="004A4164">
      <w:pPr>
        <w:autoSpaceDE w:val="0"/>
        <w:autoSpaceDN w:val="0"/>
        <w:adjustRightInd w:val="0"/>
        <w:jc w:val="both"/>
      </w:pPr>
    </w:p>
    <w:p w:rsidR="003758D5" w:rsidRPr="00EF21F5" w:rsidRDefault="003758D5" w:rsidP="004A4164">
      <w:pPr>
        <w:keepNext/>
        <w:keepLines/>
        <w:autoSpaceDE w:val="0"/>
        <w:autoSpaceDN w:val="0"/>
        <w:adjustRightInd w:val="0"/>
        <w:jc w:val="both"/>
      </w:pPr>
      <w:r>
        <w:t xml:space="preserve">3. </w:t>
      </w:r>
      <w:r>
        <w:t>En el anexo 4, punto 3, del Decreto, se añade el siguiente subpunto 3.8: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3758D5" w:rsidRPr="00EF21F5" w:rsidRDefault="003758D5" w:rsidP="004A4164">
      <w:pPr>
        <w:keepNext/>
        <w:keepLines/>
        <w:autoSpaceDE w:val="0"/>
        <w:autoSpaceDN w:val="0"/>
        <w:adjustRightInd w:val="0"/>
        <w:jc w:val="both"/>
      </w:pPr>
    </w:p>
    <w:p w:rsidR="00D92A3F" w:rsidRPr="00D4046D" w:rsidRDefault="003758D5" w:rsidP="004A4164">
      <w:pPr>
        <w:autoSpaceDE w:val="0"/>
        <w:autoSpaceDN w:val="0"/>
        <w:adjustRightInd w:val="0"/>
        <w:jc w:val="both"/>
      </w:pPr>
      <w:r>
        <w:t>«3.8 El valor límite de emisiones de COT para los motores de gas que utilizan gas natural con un contenido de etano superior al 5 % será de 95 mg/m</w:t>
      </w:r>
      <w:r>
        <w:rPr>
          <w:vertAlign w:val="superscript"/>
        </w:rPr>
        <w:t>3</w:t>
      </w:r>
      <w:r>
        <w:t>.».</w:t>
      </w:r>
    </w:p>
    <w:p w:rsidR="001733D0" w:rsidRPr="00D4046D" w:rsidRDefault="001733D0" w:rsidP="004A4164">
      <w:pPr>
        <w:keepNext/>
        <w:keepLines/>
        <w:pageBreakBefore/>
        <w:jc w:val="right"/>
        <w:rPr>
          <w:i/>
        </w:rPr>
      </w:pPr>
      <w:r>
        <w:rPr>
          <w:i/>
        </w:rPr>
        <w:t xml:space="preserve">Anexo 5 del Decreto n.º .../2019 de ... de </w:t>
      </w:r>
      <w:r>
        <w:rPr>
          <w:i/>
        </w:rPr>
        <w:t xml:space="preserve">... </w:t>
      </w:r>
      <w:r>
        <w:rPr>
          <w:i/>
        </w:rPr>
        <w:t>de 2019 del Ministro de Agricultura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733D0" w:rsidRPr="00D4046D" w:rsidRDefault="001733D0" w:rsidP="004A4164">
      <w:pPr>
        <w:keepNext/>
        <w:keepLines/>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733D0" w:rsidRPr="00D4046D" w:rsidRDefault="001733D0" w:rsidP="004A4164">
      <w:pPr>
        <w:keepNext/>
        <w:keepLines/>
        <w:autoSpaceDE w:val="0"/>
        <w:autoSpaceDN w:val="0"/>
        <w:adjustRightInd w:val="0"/>
        <w:jc w:val="both"/>
      </w:pPr>
    </w:p>
    <w:p w:rsidR="00F94FF8" w:rsidRPr="00D4046D" w:rsidRDefault="001733D0" w:rsidP="004A4164">
      <w:pPr>
        <w:autoSpaceDE w:val="0"/>
        <w:autoSpaceDN w:val="0"/>
        <w:adjustRightInd w:val="0"/>
        <w:jc w:val="both"/>
      </w:pPr>
      <w:r>
        <w:t xml:space="preserve">1. </w:t>
      </w:r>
      <w:r>
        <w:t xml:space="preserve">En la celda B:5 de la tabla del punto 2 del anexo 5 del Decreto, se sustituye el número «1 500» por el número «375».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Default="00F94FF8" w:rsidP="004A4164">
      <w:pPr>
        <w:autoSpaceDE w:val="0"/>
        <w:autoSpaceDN w:val="0"/>
        <w:adjustRightInd w:val="0"/>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pPr>
    </w:p>
    <w:p w:rsidR="00F94FF8" w:rsidRPr="00D4046D" w:rsidRDefault="001733D0" w:rsidP="004A4164">
      <w:pPr>
        <w:keepNext/>
        <w:keepLines/>
        <w:autoSpaceDE w:val="0"/>
        <w:autoSpaceDN w:val="0"/>
        <w:adjustRightInd w:val="0"/>
      </w:pPr>
      <w:r>
        <w:t xml:space="preserve">2. </w:t>
      </w:r>
      <w:r>
        <w:t>El anexo 5, punto 2, subpuntos 2.3 y 2.4, del Decreto se sustituyen por lo siguiente: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«2.3 El valor límite de emisiones para NOx para instalaciones de combustión que queman combustibles sólidos con una potencia térmica nominal total igual o superior a 1 MW</w:t>
      </w:r>
      <w:r>
        <w:rPr>
          <w:vertAlign w:val="subscript"/>
        </w:rPr>
        <w:t>th</w:t>
      </w:r>
      <w:r>
        <w:t>, pero inferior a 5 MW</w:t>
      </w:r>
      <w:r>
        <w:rPr>
          <w:vertAlign w:val="subscript"/>
        </w:rPr>
        <w:t>th</w:t>
      </w:r>
      <w:r>
        <w:t>, será de 500 mg/Nm</w:t>
      </w:r>
      <w:r>
        <w:rPr>
          <w:vertAlign w:val="superscript"/>
        </w:rPr>
        <w:t>3</w:t>
      </w:r>
      <w:r>
        <w:t>, con la excepción de que para la combustión de lignito será de 320 mg/Nm</w:t>
      </w:r>
      <w:r>
        <w:rPr>
          <w:vertAlign w:val="superscript"/>
        </w:rPr>
        <w:t>3</w:t>
      </w:r>
      <w:r>
        <w:t xml:space="preserve"> y para las calderas de combustión líquida que queman combustibles de biomasa sólida será de 300 mg/Nm</w:t>
      </w:r>
      <w:r>
        <w:rPr>
          <w:vertAlign w:val="superscript"/>
        </w:rPr>
        <w:t>3</w:t>
      </w:r>
      <w:r>
        <w:t>.</w:t>
      </w:r>
    </w:p>
    <w:p w:rsidR="00F94FF8" w:rsidRPr="00D4046D" w:rsidRDefault="00F94FF8" w:rsidP="004A4164">
      <w:pPr>
        <w:autoSpaceDE w:val="0"/>
        <w:autoSpaceDN w:val="0"/>
        <w:adjustRightInd w:val="0"/>
        <w:jc w:val="both"/>
      </w:pPr>
      <w:r>
        <w:t>2.4 El valor límite de emisiones para NOx para las calderas de combustión líquida que queman otros combustibles sólidos será de 210 mg/Nm</w:t>
      </w:r>
      <w:r>
        <w:rPr>
          <w:vertAlign w:val="superscript"/>
        </w:rPr>
        <w:t>3</w:t>
      </w:r>
      <w: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733D0" w:rsidRDefault="001733D0" w:rsidP="004A4164">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p>
    <w:p w:rsidR="001733D0" w:rsidRPr="00D4046D" w:rsidRDefault="001733D0" w:rsidP="004A4164">
      <w:pPr>
        <w:keepNext/>
        <w:keepLines/>
        <w:autoSpaceDE w:val="0"/>
        <w:autoSpaceDN w:val="0"/>
        <w:adjustRightInd w:val="0"/>
      </w:pPr>
      <w:r>
        <w:t xml:space="preserve">3. </w:t>
      </w:r>
      <w:r>
        <w:t>El anexo 5, punto 3, subpunto 3.2, del Decreto se sustituye por lo siguiente: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733D0" w:rsidRPr="00D4046D" w:rsidRDefault="001733D0" w:rsidP="004A4164">
      <w:pPr>
        <w:keepNext/>
        <w:keepLines/>
      </w:pPr>
    </w:p>
    <w:p w:rsidR="001733D0" w:rsidRPr="00D4046D" w:rsidRDefault="001733D0" w:rsidP="004A4164">
      <w:pPr>
        <w:jc w:val="both"/>
      </w:pPr>
      <w:r>
        <w:t>«3.2. En el caso de los motores que funcionan durante 500-1 500 horas al año, si su emisión de NOx es limitada debido a las mediciones primarias, se aplicarán los siguientes valores límite de emisiones para NOx:</w:t>
      </w:r>
    </w:p>
    <w:p w:rsidR="001733D0" w:rsidRPr="00D4046D" w:rsidRDefault="001733D0" w:rsidP="004A4164">
      <w:pPr>
        <w:jc w:val="both"/>
      </w:pPr>
      <w:r>
        <w:t>a) 1 300 mg/Nm</w:t>
      </w:r>
      <w:r>
        <w:rPr>
          <w:vertAlign w:val="superscript"/>
        </w:rPr>
        <w:t>3</w:t>
      </w:r>
      <w:r>
        <w:t xml:space="preserve"> para los motores diésel con una potencia térmica nominal total no superior a 20 MW</w:t>
      </w:r>
      <w:r>
        <w:rPr>
          <w:vertAlign w:val="subscript"/>
        </w:rPr>
        <w:t>th</w:t>
      </w:r>
      <w:r>
        <w:t xml:space="preserve"> con ≤1 200 rpm;</w:t>
      </w:r>
    </w:p>
    <w:p w:rsidR="001733D0" w:rsidRPr="00EF21F5" w:rsidRDefault="001733D0" w:rsidP="004A4164">
      <w:pPr>
        <w:jc w:val="both"/>
      </w:pPr>
      <w:r>
        <w:t>b) 1 500 mg/Nm</w:t>
      </w:r>
      <w:r>
        <w:rPr>
          <w:vertAlign w:val="superscript"/>
        </w:rPr>
        <w:t xml:space="preserve">3 </w:t>
      </w:r>
      <w:r>
        <w:t>para los motores diésel con una potencia térmica nominal no superior a 20 MW</w:t>
      </w:r>
      <w:r>
        <w:rPr>
          <w:vertAlign w:val="subscript"/>
        </w:rPr>
        <w:t>th</w:t>
      </w:r>
      <w:r>
        <w:t xml:space="preserve"> y para los motores de combustible doble en forma líquida;</w:t>
      </w:r>
    </w:p>
    <w:p w:rsidR="007A2FAA" w:rsidRPr="00EF21F5" w:rsidRDefault="001733D0" w:rsidP="004A4164">
      <w:pPr>
        <w:jc w:val="both"/>
      </w:pPr>
      <w:r>
        <w:t>c) 750 mg/Nm</w:t>
      </w:r>
      <w:r>
        <w:rPr>
          <w:vertAlign w:val="superscript"/>
        </w:rPr>
        <w:t>3</w:t>
      </w:r>
      <w:r>
        <w:t xml:space="preserve"> para los motores diésel con &gt;1 200 rpm;</w:t>
      </w:r>
    </w:p>
    <w:p w:rsidR="00F94FF8" w:rsidRPr="00EF21F5" w:rsidRDefault="007A2FAA" w:rsidP="004A4164">
      <w:pPr>
        <w:jc w:val="both"/>
      </w:pPr>
      <w:r>
        <w:t>d) 380 mg/Nm</w:t>
      </w:r>
      <w:r>
        <w:rPr>
          <w:vertAlign w:val="superscript"/>
        </w:rPr>
        <w:t>3</w:t>
      </w:r>
      <w:r>
        <w:t xml:space="preserve"> para los motores de combustible doble en forma gaseosa.».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828A5" w:rsidRDefault="00C828A5" w:rsidP="004A4164">
      <w:pPr>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EF21F5" w:rsidRDefault="004A4164" w:rsidP="004A4164">
      <w:pPr>
        <w:jc w:val="both"/>
      </w:pPr>
    </w:p>
    <w:p w:rsidR="003758D5" w:rsidRPr="00EF21F5" w:rsidRDefault="003758D5" w:rsidP="004A4164">
      <w:pPr>
        <w:keepNext/>
        <w:keepLines/>
      </w:pPr>
      <w:r>
        <w:t xml:space="preserve">4. </w:t>
      </w:r>
      <w:r>
        <w:t>En el anexo 5, punto 3, del Decreto, se añade el siguiente subpunto 3.9:</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3758D5" w:rsidRPr="00EF21F5" w:rsidRDefault="003758D5" w:rsidP="004A4164">
      <w:pPr>
        <w:keepNext/>
        <w:keepLines/>
      </w:pPr>
    </w:p>
    <w:p w:rsidR="00C828A5" w:rsidRPr="00C828A5" w:rsidRDefault="003758D5" w:rsidP="004A4164">
      <w:pPr>
        <w:rPr>
          <w:rFonts w:eastAsiaTheme="minorHAnsi"/>
        </w:rPr>
      </w:pPr>
      <w:r>
        <w:t>«3.9 El valor límite de emisiones de COT para los motores de gas que utilizan gas natural con un contenido de etano superior al 5 % será de 95 mg/m</w:t>
      </w:r>
      <w:r>
        <w:rPr>
          <w:vertAlign w:val="superscript"/>
        </w:rPr>
        <w:t>3</w:t>
      </w:r>
      <w:r>
        <w:t>.».</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828A5" w:rsidRPr="00C828A5" w:rsidSect="00034634">
      <w:headerReference w:type="default" r:id="rId9"/>
      <w:footerReference w:type="default" r:id="rId10"/>
      <w:footnotePr>
        <w:pos w:val="beneathText"/>
      </w:footnotePr>
      <w:pgSz w:w="11960" w:h="16900"/>
      <w:pgMar w:top="1276" w:right="1134" w:bottom="710" w:left="1134" w:header="425" w:footer="425" w:gutter="0"/>
      <w:cols w:space="708"/>
      <w:docGrid w:linePitch="326"/>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43786F" w:rsidRDefault="0043786F">
      <w:pPr/>
      <w:r>
        <w:separator/>
      </w:r>
    </w:p>
  </w:endnote>
  <w:endnote xmlns:w15="http://schemas.microsoft.com/office/word/2012/wordml" w:type="continuationSeparator" w:id="0">
    <w:p w:rsidR="0043786F" w:rsidRDefault="0043786F">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xmlns:w="http://schemas.openxmlformats.org/wordprocessingml/2006/main">
      <w:tblW w:w="5000" w:type="pct"/>
      <w:tblLook w:val="01E0" w:firstRow="1" w:lastRow="1" w:firstColumn="1" w:lastColumn="1" w:noHBand="0" w:noVBand="0"/>
    </w:tblPr>
    <w:tblGrid>
      <w:gridCol w:w="2988"/>
      <w:gridCol w:w="4235"/>
      <w:gridCol w:w="2685"/>
    </w:tblGrid>
    <w:tr w:rsidR="00F80E39" w:rsidRPr="008430F8" w:rsidTr="004A4164">
      <w:trPr>
        <w:cantSplit/>
      </w:trPr>
      <w:tc>
        <w:tcPr>
          <w:tcW w:w="1508" w:type="pct"/>
          <w:hideMark/>
        </w:tcPr>
        <w:p w:rsidR="00F80E39" w:rsidRPr="008430F8" w:rsidRDefault="00F80E39" w:rsidP="00A00383">
          <w:pPr>
            <w:pStyle w:val="Footer"/>
            <w:jc w:val="center"/>
            <w:rPr>
              <w:sz w:val="16"/>
              <w:szCs w:val="16"/>
            </w:rPr>
          </w:pPr>
          <w:r>
            <w:rPr>
              <w:sz w:val="16"/>
            </w:rPr>
            <w:t>Redactado por:</w:t>
          </w:r>
        </w:p>
        <w:p w:rsidR="00F80E39" w:rsidRPr="008430F8" w:rsidRDefault="00F80E39" w:rsidP="00A00383">
          <w:pPr>
            <w:pStyle w:val="Footer"/>
            <w:jc w:val="center"/>
            <w:rPr>
              <w:sz w:val="16"/>
              <w:szCs w:val="16"/>
            </w:rPr>
          </w:pPr>
          <w:r>
            <w:rPr>
              <w:sz w:val="16"/>
            </w:rPr>
            <w:t>Hunor Orban</w:t>
          </w:r>
        </w:p>
        <w:p w:rsidR="00F80E39" w:rsidRPr="008430F8" w:rsidRDefault="00F80E39" w:rsidP="00A00383">
          <w:pPr>
            <w:pStyle w:val="Footer"/>
            <w:jc w:val="center"/>
            <w:rPr>
              <w:i/>
              <w:sz w:val="16"/>
              <w:szCs w:val="16"/>
            </w:rPr>
          </w:pPr>
          <w:r>
            <w:rPr>
              <w:i/>
              <w:sz w:val="16"/>
            </w:rPr>
            <w:t>Jefe de departamento</w:t>
          </w:r>
        </w:p>
        <w:p w:rsidR="00F80E39" w:rsidRPr="008430F8" w:rsidRDefault="00F80E39" w:rsidP="00A00383">
          <w:pPr>
            <w:pStyle w:val="Footer"/>
            <w:jc w:val="center"/>
            <w:rPr>
              <w:sz w:val="16"/>
              <w:szCs w:val="16"/>
            </w:rPr>
          </w:pPr>
          <w:r>
            <w:rPr>
              <w:sz w:val="16"/>
            </w:rPr>
            <w:t>+36 (1) 795 5859</w:t>
          </w:r>
        </w:p>
        <w:p w:rsidR="00F80E39" w:rsidRPr="008430F8" w:rsidRDefault="002125C2" w:rsidP="00A00383">
          <w:pPr>
            <w:pStyle w:val="Footer"/>
            <w:jc w:val="center"/>
            <w:rPr>
              <w:i/>
              <w:sz w:val="16"/>
              <w:szCs w:val="16"/>
            </w:rPr>
          </w:pPr>
          <w:hyperlink r:id="rId1">
            <w:r>
              <w:rPr>
                <w:rStyle w:val="Hyperlink"/>
                <w:i/>
                <w:sz w:val="16"/>
              </w:rPr>
              <w:t>hunor.orban@am.gov.hu</w:t>
            </w:r>
          </w:hyperlink>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Default="00F80E39" w:rsidP="00A00383">
          <w:pPr>
            <w:pStyle w:val="Footer"/>
            <w:jc w:val="center"/>
            <w:rPr>
              <w:sz w:val="16"/>
              <w:szCs w:val="16"/>
            </w:rPr>
          </w:pPr>
        </w:p>
        <w:p w:rsidR="00F80E39" w:rsidRPr="008430F8" w:rsidRDefault="00F80E39" w:rsidP="00A00383">
          <w:pPr>
            <w:tabs>
              <w:tab w:val="center" w:pos="4536"/>
              <w:tab w:val="right" w:pos="9072"/>
            </w:tabs>
            <w:jc w:val="center"/>
            <w:rPr>
              <w:sz w:val="16"/>
              <w:szCs w:val="16"/>
            </w:rPr>
          </w:pPr>
          <w:r>
            <w:rPr>
              <w:sz w:val="16"/>
            </w:rPr>
            <w:t>Tamás Andréka</w:t>
          </w:r>
        </w:p>
        <w:p w:rsidR="00F80E39" w:rsidRPr="008430F8" w:rsidRDefault="00F80E39" w:rsidP="00A00383">
          <w:pPr>
            <w:tabs>
              <w:tab w:val="center" w:pos="4536"/>
              <w:tab w:val="right" w:pos="9072"/>
            </w:tabs>
            <w:jc w:val="center"/>
            <w:rPr>
              <w:i/>
              <w:sz w:val="16"/>
              <w:szCs w:val="16"/>
            </w:rPr>
          </w:pPr>
          <w:r>
            <w:rPr>
              <w:i/>
              <w:sz w:val="16"/>
            </w:rPr>
            <w:t>Jefe de departamento</w:t>
          </w:r>
        </w:p>
        <w:p w:rsidR="00F80E39" w:rsidRPr="008430F8" w:rsidRDefault="00F80E39" w:rsidP="00A00383">
          <w:pPr>
            <w:tabs>
              <w:tab w:val="center" w:pos="4536"/>
              <w:tab w:val="right" w:pos="9072"/>
            </w:tabs>
            <w:jc w:val="center"/>
            <w:rPr>
              <w:i/>
              <w:sz w:val="16"/>
              <w:szCs w:val="16"/>
            </w:rPr>
          </w:pPr>
          <w:r>
            <w:rPr>
              <w:i/>
              <w:sz w:val="16"/>
            </w:rPr>
            <w:t>+36 (1) 795 3801</w:t>
          </w:r>
        </w:p>
        <w:p w:rsidR="00F80E39" w:rsidRPr="008430F8" w:rsidRDefault="002125C2" w:rsidP="00A00383">
          <w:pPr>
            <w:tabs>
              <w:tab w:val="center" w:pos="4536"/>
              <w:tab w:val="right" w:pos="9072"/>
            </w:tabs>
            <w:jc w:val="center"/>
            <w:rPr>
              <w:i/>
              <w:sz w:val="16"/>
              <w:szCs w:val="16"/>
            </w:rPr>
          </w:pPr>
          <w:hyperlink r:id="rId2">
            <w:r>
              <w:rPr>
                <w:rStyle w:val="Hyperlink"/>
                <w:i/>
                <w:sz w:val="16"/>
              </w:rPr>
              <w:t>tamas.andreka@am.gov.hu</w:t>
            </w:r>
          </w:hyperlink>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2137" w:type="pct"/>
          <w:hideMark/>
        </w:tcPr>
        <w:p w:rsidR="00F80E39" w:rsidRPr="008430F8" w:rsidRDefault="00F80E39" w:rsidP="00A00383">
          <w:pPr>
            <w:pStyle w:val="Footer"/>
            <w:jc w:val="center"/>
            <w:rPr>
              <w:sz w:val="16"/>
              <w:szCs w:val="16"/>
            </w:rPr>
          </w:pPr>
          <w:r>
            <w:rPr>
              <w:sz w:val="16"/>
            </w:rPr>
            <w:t>Revisado por:</w:t>
          </w:r>
        </w:p>
        <w:p w:rsidR="00F80E39" w:rsidRPr="008430F8" w:rsidRDefault="00F80E39" w:rsidP="00A00383">
          <w:pPr>
            <w:pStyle w:val="Footer"/>
            <w:jc w:val="center"/>
            <w:rPr>
              <w:sz w:val="16"/>
              <w:szCs w:val="16"/>
            </w:rPr>
          </w:pPr>
          <w:r>
            <w:rPr>
              <w:sz w:val="16"/>
            </w:rPr>
            <w:t>Tibor Zoltán László</w:t>
          </w:r>
        </w:p>
        <w:p w:rsidR="00F80E39" w:rsidRPr="008430F8" w:rsidRDefault="00F80E39" w:rsidP="00A00383">
          <w:pPr>
            <w:pStyle w:val="Footer"/>
            <w:jc w:val="center"/>
            <w:rPr>
              <w:i/>
              <w:sz w:val="16"/>
              <w:szCs w:val="16"/>
            </w:rPr>
          </w:pPr>
          <w:r>
            <w:rPr>
              <w:i/>
              <w:sz w:val="16"/>
            </w:rPr>
            <w:t xml:space="preserve">Viceministro de Estado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Pr="008430F8" w:rsidRDefault="00F80E39" w:rsidP="00A00383">
          <w:pPr>
            <w:pStyle w:val="Footer"/>
            <w:jc w:val="center"/>
            <w:rPr>
              <w:sz w:val="16"/>
              <w:szCs w:val="16"/>
            </w:rPr>
          </w:pPr>
        </w:p>
        <w:p w:rsidR="00F80E39" w:rsidRPr="008430F8" w:rsidRDefault="00F80E39" w:rsidP="00A00383">
          <w:pPr>
            <w:pStyle w:val="Footer"/>
            <w:jc w:val="center"/>
            <w:rPr>
              <w:sz w:val="16"/>
              <w:szCs w:val="16"/>
            </w:rPr>
          </w:pPr>
          <w:r>
            <w:rPr>
              <w:sz w:val="16"/>
            </w:rPr>
            <w:t>András Rácz</w:t>
          </w:r>
        </w:p>
        <w:p w:rsidR="00F80E39" w:rsidRPr="008430F8" w:rsidRDefault="00F80E39" w:rsidP="00A00383">
          <w:pPr>
            <w:pStyle w:val="Footer"/>
            <w:jc w:val="center"/>
            <w:rPr>
              <w:i/>
              <w:sz w:val="16"/>
              <w:szCs w:val="16"/>
            </w:rPr>
          </w:pPr>
          <w:r>
            <w:rPr>
              <w:i/>
              <w:sz w:val="16"/>
            </w:rPr>
            <w:t xml:space="preserve">Secretario de Estado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Pr="008430F8" w:rsidRDefault="00F80E39" w:rsidP="00A00383">
          <w:pPr>
            <w:pStyle w:val="Footer"/>
            <w:jc w:val="center"/>
            <w:rPr>
              <w:sz w:val="16"/>
              <w:szCs w:val="16"/>
            </w:rPr>
          </w:pPr>
        </w:p>
        <w:p w:rsidR="00F80E39" w:rsidRPr="008430F8" w:rsidRDefault="00F80E39" w:rsidP="00A00383">
          <w:pPr>
            <w:pStyle w:val="Footer"/>
            <w:jc w:val="center"/>
            <w:rPr>
              <w:sz w:val="16"/>
              <w:szCs w:val="16"/>
            </w:rPr>
          </w:pPr>
          <w:r>
            <w:rPr>
              <w:sz w:val="16"/>
            </w:rPr>
            <w:t>István Tomasitz</w:t>
          </w:r>
        </w:p>
        <w:p w:rsidR="00F80E39" w:rsidRPr="008430F8" w:rsidRDefault="00F80E39" w:rsidP="00A00383">
          <w:pPr>
            <w:pStyle w:val="Footer"/>
            <w:jc w:val="center"/>
            <w:rPr>
              <w:i/>
              <w:sz w:val="16"/>
              <w:szCs w:val="16"/>
              <w:highlight w:val="yellow"/>
            </w:rPr>
          </w:pPr>
          <w:r>
            <w:rPr>
              <w:i/>
              <w:sz w:val="16"/>
            </w:rPr>
            <w:t>Secretario de Estado</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355" w:type="pct"/>
          <w:hideMark/>
        </w:tcPr>
        <w:p w:rsidR="00F80E39" w:rsidRPr="001F2F45" w:rsidRDefault="00F80E39" w:rsidP="00A00383">
          <w:pPr>
            <w:pStyle w:val="Footer"/>
            <w:jc w:val="center"/>
            <w:rPr>
              <w:sz w:val="16"/>
              <w:szCs w:val="16"/>
            </w:rPr>
          </w:pPr>
          <w:r>
            <w:rPr>
              <w:sz w:val="16"/>
            </w:rPr>
            <w:t>Aprobado por: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Default="00F80E39" w:rsidP="00A00383">
          <w:pPr>
            <w:pStyle w:val="Footer"/>
            <w:jc w:val="center"/>
            <w:rPr>
              <w:sz w:val="16"/>
              <w:szCs w:val="16"/>
              <w:highlight w:val="yellow"/>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Default="00F80E39" w:rsidP="00A00383">
          <w:pPr>
            <w:pStyle w:val="Footer"/>
            <w:jc w:val="center"/>
            <w:rPr>
              <w:sz w:val="16"/>
              <w:szCs w:val="16"/>
              <w:highlight w:val="yellow"/>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Default="00F80E39" w:rsidP="00A00383">
          <w:pPr>
            <w:pStyle w:val="Footer"/>
            <w:jc w:val="center"/>
            <w:rPr>
              <w:sz w:val="16"/>
              <w:szCs w:val="16"/>
              <w:highlight w:val="yellow"/>
            </w:rPr>
          </w:pPr>
        </w:p>
        <w:p w:rsidR="00F80E39" w:rsidRPr="008430F8" w:rsidRDefault="00F80E39" w:rsidP="00A00383">
          <w:pPr>
            <w:pStyle w:val="Footer"/>
            <w:jc w:val="center"/>
            <w:rPr>
              <w:sz w:val="16"/>
              <w:szCs w:val="16"/>
            </w:rPr>
          </w:pPr>
          <w:r>
            <w:rPr>
              <w:sz w:val="16"/>
            </w:rPr>
            <w:t>István Nagy</w:t>
          </w:r>
        </w:p>
        <w:p w:rsidR="00F80E39" w:rsidRPr="008430F8" w:rsidRDefault="00F80E39" w:rsidP="004A4164">
          <w:pPr>
            <w:pStyle w:val="Footer"/>
            <w:jc w:val="center"/>
            <w:rPr>
              <w:sz w:val="16"/>
              <w:szCs w:val="16"/>
              <w:highlight w:val="yellow"/>
            </w:rPr>
          </w:pPr>
          <w:r>
            <w:rPr>
              <w:i/>
              <w:sz w:val="16"/>
            </w:rPr>
            <w:t>Ministro</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Pr="00BE1C91" w:rsidRDefault="00F80E39" w:rsidP="00BE1C91">
    <w:pPr>
      <w:pStyle w:val="Footer"/>
    </w:pP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43786F" w:rsidRDefault="0043786F">
      <w:pPr/>
      <w:r>
        <w:separator/>
      </w:r>
    </w:p>
  </w:footnote>
  <w:footnote xmlns:w15="http://schemas.microsoft.com/office/word/2012/wordml" w:type="continuationSeparator" w:id="0">
    <w:p w:rsidR="0043786F" w:rsidRDefault="0043786F">
      <w:pPr/>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39" w:rsidRDefault="00F80E39">
    <w:pPr>
      <w:pStyle w:val="Header"/>
      <w:jc w:val="center"/>
    </w:pPr>
    <w:r>
      <w:fldChar w:fldCharType="begin"/>
    </w:r>
    <w:r>
      <w:instrText>PAGE   \* MERGEFORMAT</w:instrText>
    </w:r>
    <w:r>
      <w:fldChar w:fldCharType="separate"/>
    </w:r>
    <w:r w:rsidR="002125C2">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C8ED10C"/>
    <w:lvl w:ilvl="0">
      <w:start w:val="1"/>
      <w:numFmt w:val="none"/>
      <w:pStyle w:val="Heading1"/>
      <w:suff w:val="nothing"/>
      <w:lvlText w:val=""/>
      <w:lvlJc w:val="left"/>
      <w:rPr>
        <w:rFonts w:cs="Times New Roman"/>
      </w:rPr>
    </w:lvl>
    <w:lvl w:ilvl="1">
      <w:start w:val="1"/>
      <w:numFmt w:val="none"/>
      <w:pStyle w:val="Heading2"/>
      <w:lvlText w:val=""/>
      <w:legacy w:legacy="1" w:legacySpace="0" w:legacyIndent="0"/>
      <w:lvlJc w:val="left"/>
      <w:rPr>
        <w:rFonts w:cs="Times New Roman"/>
      </w:rPr>
    </w:lvl>
    <w:lvl w:ilvl="2">
      <w:start w:val="1"/>
      <w:numFmt w:val="none"/>
      <w:pStyle w:val="Heading3"/>
      <w:lvlText w:val=""/>
      <w:legacy w:legacy="1" w:legacySpace="0" w:legacyIndent="0"/>
      <w:lvlJc w:val="left"/>
      <w:rPr>
        <w:rFonts w:cs="Times New Roman"/>
      </w:rPr>
    </w:lvl>
    <w:lvl w:ilvl="3">
      <w:start w:val="1"/>
      <w:numFmt w:val="none"/>
      <w:pStyle w:val="Heading4"/>
      <w:lvlText w:val=""/>
      <w:legacy w:legacy="1" w:legacySpace="0" w:legacyIndent="0"/>
      <w:lvlJc w:val="left"/>
      <w:rPr>
        <w:rFonts w:cs="Times New Roman"/>
      </w:rPr>
    </w:lvl>
    <w:lvl w:ilvl="4">
      <w:start w:val="1"/>
      <w:numFmt w:val="none"/>
      <w:pStyle w:val="Heading5"/>
      <w:lvlText w:val=""/>
      <w:legacy w:legacy="1" w:legacySpace="0" w:legacyIndent="0"/>
      <w:lvlJc w:val="left"/>
      <w:rPr>
        <w:rFonts w:cs="Times New Roman"/>
      </w:rPr>
    </w:lvl>
    <w:lvl w:ilvl="5">
      <w:start w:val="1"/>
      <w:numFmt w:val="none"/>
      <w:pStyle w:val="Heading6"/>
      <w:lvlText w:val=""/>
      <w:legacy w:legacy="1" w:legacySpace="0" w:legacyIndent="0"/>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7AC1137"/>
    <w:multiLevelType w:val="hybridMultilevel"/>
    <w:tmpl w:val="AA70FEA4"/>
    <w:lvl w:ilvl="0" w:tplc="63DA0A84">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 w15:restartNumberingAfterBreak="0">
    <w:nsid w:val="08AB38DA"/>
    <w:multiLevelType w:val="hybridMultilevel"/>
    <w:tmpl w:val="A09853F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15:restartNumberingAfterBreak="0">
    <w:nsid w:val="0A2C7999"/>
    <w:multiLevelType w:val="hybridMultilevel"/>
    <w:tmpl w:val="5E6810F6"/>
    <w:lvl w:ilvl="0" w:tplc="B1AA730E">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0F902EFF"/>
    <w:multiLevelType w:val="hybridMultilevel"/>
    <w:tmpl w:val="97983F9E"/>
    <w:lvl w:ilvl="0" w:tplc="040E001B">
      <w:start w:val="1"/>
      <w:numFmt w:val="lowerRoman"/>
      <w:lvlText w:val="%1."/>
      <w:lvlJc w:val="righ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 w15:restartNumberingAfterBreak="0">
    <w:nsid w:val="1322206F"/>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 w15:restartNumberingAfterBreak="0">
    <w:nsid w:val="13D46F2A"/>
    <w:multiLevelType w:val="multilevel"/>
    <w:tmpl w:val="788C1934"/>
    <w:styleLink w:val="Hatrozat"/>
    <w:lvl w:ilvl="0">
      <w:start w:val="1"/>
      <w:numFmt w:val="decimal"/>
      <w:pStyle w:val="Pont"/>
      <w:suff w:val="space"/>
      <w:lvlText w:val="%1."/>
      <w:lvlJc w:val="left"/>
      <w:pPr>
        <w:ind w:left="0" w:firstLine="284"/>
      </w:pPr>
      <w:rPr>
        <w:rFonts w:hint="default"/>
      </w:rPr>
    </w:lvl>
    <w:lvl w:ilvl="1">
      <w:start w:val="1"/>
      <w:numFmt w:val="lowerLetter"/>
      <w:suff w:val="space"/>
      <w:lvlText w:val="%2)"/>
      <w:lvlJc w:val="left"/>
      <w:pPr>
        <w:ind w:left="0" w:firstLine="284"/>
      </w:pPr>
      <w:rPr>
        <w:rFonts w:hint="default"/>
      </w:rPr>
    </w:lvl>
    <w:lvl w:ilvl="2">
      <w:start w:val="1"/>
      <w:numFmt w:val="lowerRoman"/>
      <w:lvlText w:val="%3)"/>
      <w:lvlJc w:val="lef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lef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left"/>
      <w:pPr>
        <w:ind w:left="0" w:firstLine="284"/>
      </w:pPr>
      <w:rPr>
        <w:rFonts w:hint="default"/>
      </w:rPr>
    </w:lvl>
  </w:abstractNum>
  <w:abstractNum w:abstractNumId="7" w15:restartNumberingAfterBreak="0">
    <w:nsid w:val="1459464A"/>
    <w:multiLevelType w:val="hybridMultilevel"/>
    <w:tmpl w:val="0A9AF2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66D78A1"/>
    <w:multiLevelType w:val="hybridMultilevel"/>
    <w:tmpl w:val="A22AA9C2"/>
    <w:lvl w:ilvl="0" w:tplc="D292B9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B03D7D"/>
    <w:multiLevelType w:val="hybridMultilevel"/>
    <w:tmpl w:val="3ADC8102"/>
    <w:lvl w:ilvl="0" w:tplc="7B061F6E">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0" w15:restartNumberingAfterBreak="0">
    <w:nsid w:val="1B717131"/>
    <w:multiLevelType w:val="hybridMultilevel"/>
    <w:tmpl w:val="7BC2264C"/>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15:restartNumberingAfterBreak="0">
    <w:nsid w:val="1FED0AE2"/>
    <w:multiLevelType w:val="hybridMultilevel"/>
    <w:tmpl w:val="A9F0E078"/>
    <w:lvl w:ilvl="0" w:tplc="D494AEF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1BC545B"/>
    <w:multiLevelType w:val="hybridMultilevel"/>
    <w:tmpl w:val="607865A8"/>
    <w:lvl w:ilvl="0" w:tplc="761C912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3" w15:restartNumberingAfterBreak="0">
    <w:nsid w:val="2232086E"/>
    <w:multiLevelType w:val="hybridMultilevel"/>
    <w:tmpl w:val="76143F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3440ECC"/>
    <w:multiLevelType w:val="hybridMultilevel"/>
    <w:tmpl w:val="A7341F6A"/>
    <w:lvl w:ilvl="0" w:tplc="DFA09F68">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3D97682"/>
    <w:multiLevelType w:val="hybridMultilevel"/>
    <w:tmpl w:val="83ACFF2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15:restartNumberingAfterBreak="0">
    <w:nsid w:val="28226C78"/>
    <w:multiLevelType w:val="hybridMultilevel"/>
    <w:tmpl w:val="170699F6"/>
    <w:lvl w:ilvl="0" w:tplc="040E0001">
      <w:start w:val="1"/>
      <w:numFmt w:val="bullet"/>
      <w:lvlText w:val=""/>
      <w:lvlJc w:val="left"/>
      <w:pPr>
        <w:ind w:left="1647" w:hanging="360"/>
      </w:pPr>
      <w:rPr>
        <w:rFonts w:ascii="Symbol" w:hAnsi="Symbo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17" w15:restartNumberingAfterBreak="0">
    <w:nsid w:val="28BA2D46"/>
    <w:multiLevelType w:val="hybridMultilevel"/>
    <w:tmpl w:val="FD10E004"/>
    <w:lvl w:ilvl="0" w:tplc="1F7A10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A7804AA"/>
    <w:multiLevelType w:val="hybridMultilevel"/>
    <w:tmpl w:val="69A41C20"/>
    <w:lvl w:ilvl="0" w:tplc="80386DF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C2C5199"/>
    <w:multiLevelType w:val="hybridMultilevel"/>
    <w:tmpl w:val="444C87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E8B43AF"/>
    <w:multiLevelType w:val="hybridMultilevel"/>
    <w:tmpl w:val="31F860A8"/>
    <w:lvl w:ilvl="0" w:tplc="BF6E6C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0086D20"/>
    <w:multiLevelType w:val="hybridMultilevel"/>
    <w:tmpl w:val="3B72E9D2"/>
    <w:lvl w:ilvl="0" w:tplc="78E0ACD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09C1775"/>
    <w:multiLevelType w:val="hybridMultilevel"/>
    <w:tmpl w:val="D04C7A1E"/>
    <w:lvl w:ilvl="0" w:tplc="1D1E69E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318034BE"/>
    <w:multiLevelType w:val="hybridMultilevel"/>
    <w:tmpl w:val="43A0DED8"/>
    <w:lvl w:ilvl="0" w:tplc="414EBEC6">
      <w:start w:val="4"/>
      <w:numFmt w:val="decimal"/>
      <w:lvlText w:val="%1."/>
      <w:lvlJc w:val="left"/>
      <w:pPr>
        <w:ind w:left="100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5263FE2"/>
    <w:multiLevelType w:val="hybridMultilevel"/>
    <w:tmpl w:val="2F0AD7B4"/>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5" w15:restartNumberingAfterBreak="0">
    <w:nsid w:val="362D232A"/>
    <w:multiLevelType w:val="hybridMultilevel"/>
    <w:tmpl w:val="6284F890"/>
    <w:lvl w:ilvl="0" w:tplc="5BAAEC72">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39B92C01"/>
    <w:multiLevelType w:val="hybridMultilevel"/>
    <w:tmpl w:val="82F69C86"/>
    <w:lvl w:ilvl="0" w:tplc="6450D7E2">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7" w15:restartNumberingAfterBreak="0">
    <w:nsid w:val="3ABB52B6"/>
    <w:multiLevelType w:val="hybridMultilevel"/>
    <w:tmpl w:val="7904F2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B2E2184"/>
    <w:multiLevelType w:val="hybridMultilevel"/>
    <w:tmpl w:val="CFFE03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4221D6C"/>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15:restartNumberingAfterBreak="0">
    <w:nsid w:val="49E4694D"/>
    <w:multiLevelType w:val="hybridMultilevel"/>
    <w:tmpl w:val="56AA0878"/>
    <w:lvl w:ilvl="0" w:tplc="C7FED732">
      <w:start w:val="1"/>
      <w:numFmt w:val="decimal"/>
      <w:lvlText w:val="(%1)"/>
      <w:lvlJc w:val="left"/>
      <w:pPr>
        <w:ind w:left="795" w:hanging="43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DAA2F1E"/>
    <w:multiLevelType w:val="hybridMultilevel"/>
    <w:tmpl w:val="E042DE26"/>
    <w:lvl w:ilvl="0" w:tplc="E0C6CA4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4F0237B5"/>
    <w:multiLevelType w:val="hybridMultilevel"/>
    <w:tmpl w:val="B3682B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0D00081"/>
    <w:multiLevelType w:val="hybridMultilevel"/>
    <w:tmpl w:val="3ED862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113106B"/>
    <w:multiLevelType w:val="hybridMultilevel"/>
    <w:tmpl w:val="F0E41994"/>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5" w15:restartNumberingAfterBreak="0">
    <w:nsid w:val="51D94018"/>
    <w:multiLevelType w:val="hybridMultilevel"/>
    <w:tmpl w:val="35A2DB8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6" w15:restartNumberingAfterBreak="0">
    <w:nsid w:val="52C2322C"/>
    <w:multiLevelType w:val="hybridMultilevel"/>
    <w:tmpl w:val="66D47482"/>
    <w:lvl w:ilvl="0" w:tplc="607AC56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3F946A3"/>
    <w:multiLevelType w:val="hybridMultilevel"/>
    <w:tmpl w:val="95D4883C"/>
    <w:lvl w:ilvl="0" w:tplc="3170F94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4161A68"/>
    <w:multiLevelType w:val="hybridMultilevel"/>
    <w:tmpl w:val="18EC84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4B86F51"/>
    <w:multiLevelType w:val="hybridMultilevel"/>
    <w:tmpl w:val="BE3C9156"/>
    <w:lvl w:ilvl="0" w:tplc="FDC61A56">
      <w:start w:val="1"/>
      <w:numFmt w:val="low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4F80072"/>
    <w:multiLevelType w:val="hybridMultilevel"/>
    <w:tmpl w:val="A190BF10"/>
    <w:lvl w:ilvl="0" w:tplc="1D28F45A">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1" w15:restartNumberingAfterBreak="0">
    <w:nsid w:val="552E12DD"/>
    <w:multiLevelType w:val="hybridMultilevel"/>
    <w:tmpl w:val="50507982"/>
    <w:lvl w:ilvl="0" w:tplc="16BC8D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B854844"/>
    <w:multiLevelType w:val="hybridMultilevel"/>
    <w:tmpl w:val="767013BC"/>
    <w:lvl w:ilvl="0" w:tplc="BF7815E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15:restartNumberingAfterBreak="0">
    <w:nsid w:val="5DE25F6B"/>
    <w:multiLevelType w:val="hybridMultilevel"/>
    <w:tmpl w:val="943094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F2547F8"/>
    <w:multiLevelType w:val="hybridMultilevel"/>
    <w:tmpl w:val="2C88C7C6"/>
    <w:lvl w:ilvl="0" w:tplc="A7D62CE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193091C"/>
    <w:multiLevelType w:val="hybridMultilevel"/>
    <w:tmpl w:val="3D6CB02C"/>
    <w:lvl w:ilvl="0" w:tplc="89366B0C">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2A926A0"/>
    <w:multiLevelType w:val="hybridMultilevel"/>
    <w:tmpl w:val="45180D86"/>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7" w15:restartNumberingAfterBreak="0">
    <w:nsid w:val="640F55AC"/>
    <w:multiLevelType w:val="hybridMultilevel"/>
    <w:tmpl w:val="E4785FB6"/>
    <w:lvl w:ilvl="0" w:tplc="429497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64D50681"/>
    <w:multiLevelType w:val="hybridMultilevel"/>
    <w:tmpl w:val="7F86C5B0"/>
    <w:lvl w:ilvl="0" w:tplc="27C40B8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9" w15:restartNumberingAfterBreak="0">
    <w:nsid w:val="67196AEE"/>
    <w:multiLevelType w:val="hybridMultilevel"/>
    <w:tmpl w:val="4EEE792E"/>
    <w:lvl w:ilvl="0" w:tplc="7FF2D8B8">
      <w:start w:val="1"/>
      <w:numFmt w:val="lowerLetter"/>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A0060BC"/>
    <w:multiLevelType w:val="hybridMultilevel"/>
    <w:tmpl w:val="C7883BA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E044C19"/>
    <w:multiLevelType w:val="hybridMultilevel"/>
    <w:tmpl w:val="E0666E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6FA970B5"/>
    <w:multiLevelType w:val="hybridMultilevel"/>
    <w:tmpl w:val="E2822D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11B7A4D"/>
    <w:multiLevelType w:val="hybridMultilevel"/>
    <w:tmpl w:val="11F2E9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7610588"/>
    <w:multiLevelType w:val="hybridMultilevel"/>
    <w:tmpl w:val="49FA6070"/>
    <w:lvl w:ilvl="0" w:tplc="2594F2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D366475"/>
    <w:multiLevelType w:val="hybridMultilevel"/>
    <w:tmpl w:val="B8AAF768"/>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6" w15:restartNumberingAfterBreak="0">
    <w:nsid w:val="7FB81426"/>
    <w:multiLevelType w:val="hybridMultilevel"/>
    <w:tmpl w:val="692C4330"/>
    <w:lvl w:ilvl="0" w:tplc="155CD2C0">
      <w:start w:val="1"/>
      <w:numFmt w:val="bullet"/>
      <w:lvlText w:val="•"/>
      <w:lvlJc w:val="left"/>
      <w:pPr>
        <w:tabs>
          <w:tab w:val="num" w:pos="720"/>
        </w:tabs>
        <w:ind w:left="720" w:hanging="360"/>
      </w:pPr>
      <w:rPr>
        <w:rFonts w:ascii="Arial" w:hAnsi="Arial" w:cs="Times New Roman" w:hint="default"/>
      </w:rPr>
    </w:lvl>
    <w:lvl w:ilvl="1" w:tplc="A5820EA8">
      <w:start w:val="243"/>
      <w:numFmt w:val="bullet"/>
      <w:lvlText w:val="•"/>
      <w:lvlJc w:val="left"/>
      <w:pPr>
        <w:tabs>
          <w:tab w:val="num" w:pos="1440"/>
        </w:tabs>
        <w:ind w:left="1440" w:hanging="360"/>
      </w:pPr>
      <w:rPr>
        <w:rFonts w:ascii="Arial" w:hAnsi="Arial" w:cs="Times New Roman" w:hint="default"/>
      </w:rPr>
    </w:lvl>
    <w:lvl w:ilvl="2" w:tplc="A656B96A">
      <w:start w:val="1"/>
      <w:numFmt w:val="bullet"/>
      <w:lvlText w:val="•"/>
      <w:lvlJc w:val="left"/>
      <w:pPr>
        <w:tabs>
          <w:tab w:val="num" w:pos="2160"/>
        </w:tabs>
        <w:ind w:left="2160" w:hanging="360"/>
      </w:pPr>
      <w:rPr>
        <w:rFonts w:ascii="Arial" w:hAnsi="Arial" w:cs="Times New Roman" w:hint="default"/>
      </w:rPr>
    </w:lvl>
    <w:lvl w:ilvl="3" w:tplc="B998A3B0">
      <w:start w:val="1"/>
      <w:numFmt w:val="bullet"/>
      <w:lvlText w:val="•"/>
      <w:lvlJc w:val="left"/>
      <w:pPr>
        <w:tabs>
          <w:tab w:val="num" w:pos="2880"/>
        </w:tabs>
        <w:ind w:left="2880" w:hanging="360"/>
      </w:pPr>
      <w:rPr>
        <w:rFonts w:ascii="Arial" w:hAnsi="Arial" w:cs="Times New Roman" w:hint="default"/>
      </w:rPr>
    </w:lvl>
    <w:lvl w:ilvl="4" w:tplc="35020F16">
      <w:start w:val="1"/>
      <w:numFmt w:val="bullet"/>
      <w:lvlText w:val="•"/>
      <w:lvlJc w:val="left"/>
      <w:pPr>
        <w:tabs>
          <w:tab w:val="num" w:pos="3600"/>
        </w:tabs>
        <w:ind w:left="3600" w:hanging="360"/>
      </w:pPr>
      <w:rPr>
        <w:rFonts w:ascii="Arial" w:hAnsi="Arial" w:cs="Times New Roman" w:hint="default"/>
      </w:rPr>
    </w:lvl>
    <w:lvl w:ilvl="5" w:tplc="FE9E8A36">
      <w:start w:val="1"/>
      <w:numFmt w:val="bullet"/>
      <w:lvlText w:val="•"/>
      <w:lvlJc w:val="left"/>
      <w:pPr>
        <w:tabs>
          <w:tab w:val="num" w:pos="4320"/>
        </w:tabs>
        <w:ind w:left="4320" w:hanging="360"/>
      </w:pPr>
      <w:rPr>
        <w:rFonts w:ascii="Arial" w:hAnsi="Arial" w:cs="Times New Roman" w:hint="default"/>
      </w:rPr>
    </w:lvl>
    <w:lvl w:ilvl="6" w:tplc="B8842322">
      <w:start w:val="1"/>
      <w:numFmt w:val="bullet"/>
      <w:lvlText w:val="•"/>
      <w:lvlJc w:val="left"/>
      <w:pPr>
        <w:tabs>
          <w:tab w:val="num" w:pos="5040"/>
        </w:tabs>
        <w:ind w:left="5040" w:hanging="360"/>
      </w:pPr>
      <w:rPr>
        <w:rFonts w:ascii="Arial" w:hAnsi="Arial" w:cs="Times New Roman" w:hint="default"/>
      </w:rPr>
    </w:lvl>
    <w:lvl w:ilvl="7" w:tplc="565A2A32">
      <w:start w:val="1"/>
      <w:numFmt w:val="bullet"/>
      <w:lvlText w:val="•"/>
      <w:lvlJc w:val="left"/>
      <w:pPr>
        <w:tabs>
          <w:tab w:val="num" w:pos="5760"/>
        </w:tabs>
        <w:ind w:left="5760" w:hanging="360"/>
      </w:pPr>
      <w:rPr>
        <w:rFonts w:ascii="Arial" w:hAnsi="Arial" w:cs="Times New Roman" w:hint="default"/>
      </w:rPr>
    </w:lvl>
    <w:lvl w:ilvl="8" w:tplc="14321904">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37"/>
  </w:num>
  <w:num w:numId="3">
    <w:abstractNumId w:val="14"/>
  </w:num>
  <w:num w:numId="4">
    <w:abstractNumId w:val="7"/>
  </w:num>
  <w:num w:numId="5">
    <w:abstractNumId w:val="53"/>
  </w:num>
  <w:num w:numId="6">
    <w:abstractNumId w:val="38"/>
  </w:num>
  <w:num w:numId="7">
    <w:abstractNumId w:val="6"/>
  </w:num>
  <w:num w:numId="8">
    <w:abstractNumId w:val="13"/>
  </w:num>
  <w:num w:numId="9">
    <w:abstractNumId w:val="39"/>
  </w:num>
  <w:num w:numId="10">
    <w:abstractNumId w:val="41"/>
  </w:num>
  <w:num w:numId="11">
    <w:abstractNumId w:val="28"/>
  </w:num>
  <w:num w:numId="12">
    <w:abstractNumId w:val="49"/>
  </w:num>
  <w:num w:numId="13">
    <w:abstractNumId w:val="51"/>
  </w:num>
  <w:num w:numId="14">
    <w:abstractNumId w:val="21"/>
  </w:num>
  <w:num w:numId="15">
    <w:abstractNumId w:val="30"/>
  </w:num>
  <w:num w:numId="16">
    <w:abstractNumId w:val="11"/>
  </w:num>
  <w:num w:numId="17">
    <w:abstractNumId w:val="36"/>
  </w:num>
  <w:num w:numId="18">
    <w:abstractNumId w:val="26"/>
  </w:num>
  <w:num w:numId="19">
    <w:abstractNumId w:val="12"/>
  </w:num>
  <w:num w:numId="20">
    <w:abstractNumId w:val="56"/>
  </w:num>
  <w:num w:numId="21">
    <w:abstractNumId w:val="52"/>
  </w:num>
  <w:num w:numId="22">
    <w:abstractNumId w:val="55"/>
  </w:num>
  <w:num w:numId="23">
    <w:abstractNumId w:val="29"/>
  </w:num>
  <w:num w:numId="24">
    <w:abstractNumId w:val="2"/>
  </w:num>
  <w:num w:numId="25">
    <w:abstractNumId w:val="46"/>
  </w:num>
  <w:num w:numId="26">
    <w:abstractNumId w:val="25"/>
  </w:num>
  <w:num w:numId="27">
    <w:abstractNumId w:val="15"/>
  </w:num>
  <w:num w:numId="28">
    <w:abstractNumId w:val="35"/>
  </w:num>
  <w:num w:numId="29">
    <w:abstractNumId w:val="34"/>
  </w:num>
  <w:num w:numId="30">
    <w:abstractNumId w:val="16"/>
  </w:num>
  <w:num w:numId="31">
    <w:abstractNumId w:val="23"/>
  </w:num>
  <w:num w:numId="32">
    <w:abstractNumId w:val="10"/>
  </w:num>
  <w:num w:numId="33">
    <w:abstractNumId w:val="5"/>
  </w:num>
  <w:num w:numId="34">
    <w:abstractNumId w:val="50"/>
  </w:num>
  <w:num w:numId="35">
    <w:abstractNumId w:val="19"/>
  </w:num>
  <w:num w:numId="36">
    <w:abstractNumId w:val="43"/>
  </w:num>
  <w:num w:numId="37">
    <w:abstractNumId w:val="24"/>
  </w:num>
  <w:num w:numId="38">
    <w:abstractNumId w:val="4"/>
  </w:num>
  <w:num w:numId="39">
    <w:abstractNumId w:val="8"/>
  </w:num>
  <w:num w:numId="40">
    <w:abstractNumId w:val="33"/>
  </w:num>
  <w:num w:numId="41">
    <w:abstractNumId w:val="17"/>
  </w:num>
  <w:num w:numId="42">
    <w:abstractNumId w:val="54"/>
  </w:num>
  <w:num w:numId="43">
    <w:abstractNumId w:val="32"/>
  </w:num>
  <w:num w:numId="44">
    <w:abstractNumId w:val="18"/>
  </w:num>
  <w:num w:numId="45">
    <w:abstractNumId w:val="31"/>
  </w:num>
  <w:num w:numId="46">
    <w:abstractNumId w:val="42"/>
  </w:num>
  <w:num w:numId="47">
    <w:abstractNumId w:val="22"/>
  </w:num>
  <w:num w:numId="48">
    <w:abstractNumId w:val="47"/>
  </w:num>
  <w:num w:numId="49">
    <w:abstractNumId w:val="20"/>
  </w:num>
  <w:num w:numId="50">
    <w:abstractNumId w:val="3"/>
  </w:num>
  <w:num w:numId="51">
    <w:abstractNumId w:val="45"/>
  </w:num>
  <w:num w:numId="52">
    <w:abstractNumId w:val="44"/>
  </w:num>
  <w:num w:numId="53">
    <w:abstractNumId w:val="48"/>
  </w:num>
  <w:num w:numId="54">
    <w:abstractNumId w:val="9"/>
  </w:num>
  <w:num w:numId="55">
    <w:abstractNumId w:val="1"/>
  </w:num>
  <w:num w:numId="56">
    <w:abstractNumId w:val="40"/>
  </w:num>
  <w:num w:numId="5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4097"/>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4F"/>
    <w:rsid w:val="00001734"/>
    <w:rsid w:val="000018EB"/>
    <w:rsid w:val="000025FE"/>
    <w:rsid w:val="00003492"/>
    <w:rsid w:val="00003B2A"/>
    <w:rsid w:val="00004008"/>
    <w:rsid w:val="0000455E"/>
    <w:rsid w:val="0000500B"/>
    <w:rsid w:val="00005099"/>
    <w:rsid w:val="00005223"/>
    <w:rsid w:val="00005607"/>
    <w:rsid w:val="00005BA4"/>
    <w:rsid w:val="00007615"/>
    <w:rsid w:val="000077B3"/>
    <w:rsid w:val="00011BDB"/>
    <w:rsid w:val="00013E4F"/>
    <w:rsid w:val="00014BFC"/>
    <w:rsid w:val="0001679C"/>
    <w:rsid w:val="0001776F"/>
    <w:rsid w:val="000204D1"/>
    <w:rsid w:val="00021D4A"/>
    <w:rsid w:val="000220F7"/>
    <w:rsid w:val="00022466"/>
    <w:rsid w:val="00022D9E"/>
    <w:rsid w:val="000251AD"/>
    <w:rsid w:val="00025649"/>
    <w:rsid w:val="00025BAE"/>
    <w:rsid w:val="00025F54"/>
    <w:rsid w:val="00026267"/>
    <w:rsid w:val="00027582"/>
    <w:rsid w:val="0003010B"/>
    <w:rsid w:val="00030C3E"/>
    <w:rsid w:val="00030C8E"/>
    <w:rsid w:val="00031562"/>
    <w:rsid w:val="00033D2A"/>
    <w:rsid w:val="00034634"/>
    <w:rsid w:val="00036C04"/>
    <w:rsid w:val="00036D14"/>
    <w:rsid w:val="00037664"/>
    <w:rsid w:val="00037A82"/>
    <w:rsid w:val="00037DC4"/>
    <w:rsid w:val="00040430"/>
    <w:rsid w:val="00041469"/>
    <w:rsid w:val="00041FCC"/>
    <w:rsid w:val="00042265"/>
    <w:rsid w:val="000434E1"/>
    <w:rsid w:val="000439EB"/>
    <w:rsid w:val="00044AE7"/>
    <w:rsid w:val="000477B7"/>
    <w:rsid w:val="0005065B"/>
    <w:rsid w:val="00052934"/>
    <w:rsid w:val="00052A46"/>
    <w:rsid w:val="0005378A"/>
    <w:rsid w:val="00053E13"/>
    <w:rsid w:val="00057C00"/>
    <w:rsid w:val="000601EE"/>
    <w:rsid w:val="00060E94"/>
    <w:rsid w:val="00061D37"/>
    <w:rsid w:val="00063587"/>
    <w:rsid w:val="00063976"/>
    <w:rsid w:val="00067F6D"/>
    <w:rsid w:val="00067F79"/>
    <w:rsid w:val="000701FB"/>
    <w:rsid w:val="00070C1A"/>
    <w:rsid w:val="000748E7"/>
    <w:rsid w:val="00074BC8"/>
    <w:rsid w:val="0007564D"/>
    <w:rsid w:val="00076626"/>
    <w:rsid w:val="000767FC"/>
    <w:rsid w:val="00077CF7"/>
    <w:rsid w:val="00081927"/>
    <w:rsid w:val="00081A06"/>
    <w:rsid w:val="00082666"/>
    <w:rsid w:val="00083CA9"/>
    <w:rsid w:val="00083E4E"/>
    <w:rsid w:val="00084421"/>
    <w:rsid w:val="00085B41"/>
    <w:rsid w:val="00086456"/>
    <w:rsid w:val="00086C1A"/>
    <w:rsid w:val="00086F7A"/>
    <w:rsid w:val="00087C5B"/>
    <w:rsid w:val="000911EF"/>
    <w:rsid w:val="00091523"/>
    <w:rsid w:val="00091691"/>
    <w:rsid w:val="00093F20"/>
    <w:rsid w:val="00096036"/>
    <w:rsid w:val="00097EFF"/>
    <w:rsid w:val="000A0140"/>
    <w:rsid w:val="000A0D0C"/>
    <w:rsid w:val="000A0D6C"/>
    <w:rsid w:val="000A339F"/>
    <w:rsid w:val="000A36E3"/>
    <w:rsid w:val="000A3E8E"/>
    <w:rsid w:val="000A5F68"/>
    <w:rsid w:val="000A7D46"/>
    <w:rsid w:val="000B1A9E"/>
    <w:rsid w:val="000B1E88"/>
    <w:rsid w:val="000B28F1"/>
    <w:rsid w:val="000B36C1"/>
    <w:rsid w:val="000B4295"/>
    <w:rsid w:val="000B6EEB"/>
    <w:rsid w:val="000C14DB"/>
    <w:rsid w:val="000C239F"/>
    <w:rsid w:val="000C68A1"/>
    <w:rsid w:val="000D0CBA"/>
    <w:rsid w:val="000D1245"/>
    <w:rsid w:val="000D1C42"/>
    <w:rsid w:val="000D2977"/>
    <w:rsid w:val="000D3FC7"/>
    <w:rsid w:val="000D4AF9"/>
    <w:rsid w:val="000D6D8B"/>
    <w:rsid w:val="000E0155"/>
    <w:rsid w:val="000E03ED"/>
    <w:rsid w:val="000E0B67"/>
    <w:rsid w:val="000E1BBB"/>
    <w:rsid w:val="000E1D19"/>
    <w:rsid w:val="000E2607"/>
    <w:rsid w:val="000E3D72"/>
    <w:rsid w:val="000E426D"/>
    <w:rsid w:val="000E6D9F"/>
    <w:rsid w:val="000E77C6"/>
    <w:rsid w:val="000F0C17"/>
    <w:rsid w:val="000F1BDB"/>
    <w:rsid w:val="000F21EB"/>
    <w:rsid w:val="000F26FF"/>
    <w:rsid w:val="000F2835"/>
    <w:rsid w:val="000F293F"/>
    <w:rsid w:val="000F3148"/>
    <w:rsid w:val="000F35EE"/>
    <w:rsid w:val="000F5A10"/>
    <w:rsid w:val="000F6399"/>
    <w:rsid w:val="000F789E"/>
    <w:rsid w:val="00100E19"/>
    <w:rsid w:val="00101196"/>
    <w:rsid w:val="00101825"/>
    <w:rsid w:val="00101A71"/>
    <w:rsid w:val="00102591"/>
    <w:rsid w:val="00105368"/>
    <w:rsid w:val="00105442"/>
    <w:rsid w:val="0010573A"/>
    <w:rsid w:val="00105A4D"/>
    <w:rsid w:val="00106F62"/>
    <w:rsid w:val="0010705A"/>
    <w:rsid w:val="001070DE"/>
    <w:rsid w:val="0011146D"/>
    <w:rsid w:val="0011488B"/>
    <w:rsid w:val="00115125"/>
    <w:rsid w:val="00115E21"/>
    <w:rsid w:val="0011614B"/>
    <w:rsid w:val="001242D4"/>
    <w:rsid w:val="00124F42"/>
    <w:rsid w:val="001262C7"/>
    <w:rsid w:val="00130E91"/>
    <w:rsid w:val="0013166D"/>
    <w:rsid w:val="001319A9"/>
    <w:rsid w:val="00132C3D"/>
    <w:rsid w:val="00132D0C"/>
    <w:rsid w:val="00134D7C"/>
    <w:rsid w:val="00134E8A"/>
    <w:rsid w:val="00136CD2"/>
    <w:rsid w:val="00136F1A"/>
    <w:rsid w:val="00141A72"/>
    <w:rsid w:val="00141B3C"/>
    <w:rsid w:val="00141BBA"/>
    <w:rsid w:val="0014246A"/>
    <w:rsid w:val="0014467E"/>
    <w:rsid w:val="00144AC0"/>
    <w:rsid w:val="00145AE5"/>
    <w:rsid w:val="00146609"/>
    <w:rsid w:val="00146C4F"/>
    <w:rsid w:val="0014750B"/>
    <w:rsid w:val="00150748"/>
    <w:rsid w:val="00151B87"/>
    <w:rsid w:val="00152530"/>
    <w:rsid w:val="00152F96"/>
    <w:rsid w:val="00153694"/>
    <w:rsid w:val="00153B28"/>
    <w:rsid w:val="00154D37"/>
    <w:rsid w:val="001550D8"/>
    <w:rsid w:val="001555BD"/>
    <w:rsid w:val="00155D74"/>
    <w:rsid w:val="0016066E"/>
    <w:rsid w:val="00161233"/>
    <w:rsid w:val="0016173A"/>
    <w:rsid w:val="00163D44"/>
    <w:rsid w:val="00164FDE"/>
    <w:rsid w:val="00166B2B"/>
    <w:rsid w:val="001726CB"/>
    <w:rsid w:val="0017288F"/>
    <w:rsid w:val="001731E7"/>
    <w:rsid w:val="001733D0"/>
    <w:rsid w:val="00173EB3"/>
    <w:rsid w:val="00175AE7"/>
    <w:rsid w:val="00175BC0"/>
    <w:rsid w:val="00175F85"/>
    <w:rsid w:val="00177C4E"/>
    <w:rsid w:val="0018146D"/>
    <w:rsid w:val="00181C0B"/>
    <w:rsid w:val="00183579"/>
    <w:rsid w:val="0018475E"/>
    <w:rsid w:val="001859EB"/>
    <w:rsid w:val="00185F2F"/>
    <w:rsid w:val="0018605A"/>
    <w:rsid w:val="001866FD"/>
    <w:rsid w:val="00186D2C"/>
    <w:rsid w:val="00186D91"/>
    <w:rsid w:val="001870EC"/>
    <w:rsid w:val="001875CB"/>
    <w:rsid w:val="00187C14"/>
    <w:rsid w:val="00190FAC"/>
    <w:rsid w:val="00192353"/>
    <w:rsid w:val="00193DCC"/>
    <w:rsid w:val="001941D3"/>
    <w:rsid w:val="0019746D"/>
    <w:rsid w:val="001975FA"/>
    <w:rsid w:val="001A0857"/>
    <w:rsid w:val="001A2873"/>
    <w:rsid w:val="001A2B02"/>
    <w:rsid w:val="001A39C3"/>
    <w:rsid w:val="001A635C"/>
    <w:rsid w:val="001B0E10"/>
    <w:rsid w:val="001B1E45"/>
    <w:rsid w:val="001B26F2"/>
    <w:rsid w:val="001B2A19"/>
    <w:rsid w:val="001B2B91"/>
    <w:rsid w:val="001B34F3"/>
    <w:rsid w:val="001B480C"/>
    <w:rsid w:val="001B516B"/>
    <w:rsid w:val="001B53A0"/>
    <w:rsid w:val="001B7CFD"/>
    <w:rsid w:val="001C1149"/>
    <w:rsid w:val="001C2137"/>
    <w:rsid w:val="001C57DE"/>
    <w:rsid w:val="001C5D0F"/>
    <w:rsid w:val="001C5F87"/>
    <w:rsid w:val="001C6570"/>
    <w:rsid w:val="001C7218"/>
    <w:rsid w:val="001D11DC"/>
    <w:rsid w:val="001D15E2"/>
    <w:rsid w:val="001D2872"/>
    <w:rsid w:val="001D32AD"/>
    <w:rsid w:val="001D6239"/>
    <w:rsid w:val="001D7B3D"/>
    <w:rsid w:val="001E1D08"/>
    <w:rsid w:val="001E259E"/>
    <w:rsid w:val="001E3296"/>
    <w:rsid w:val="001E5449"/>
    <w:rsid w:val="001E6E74"/>
    <w:rsid w:val="001E77B8"/>
    <w:rsid w:val="001F025D"/>
    <w:rsid w:val="001F0A54"/>
    <w:rsid w:val="001F134F"/>
    <w:rsid w:val="001F1A97"/>
    <w:rsid w:val="001F1D25"/>
    <w:rsid w:val="001F2F45"/>
    <w:rsid w:val="001F3A97"/>
    <w:rsid w:val="001F51A0"/>
    <w:rsid w:val="001F5519"/>
    <w:rsid w:val="001F5715"/>
    <w:rsid w:val="001F7317"/>
    <w:rsid w:val="001F73B4"/>
    <w:rsid w:val="001F7D6A"/>
    <w:rsid w:val="002010F7"/>
    <w:rsid w:val="002023B0"/>
    <w:rsid w:val="00202F9A"/>
    <w:rsid w:val="002030AB"/>
    <w:rsid w:val="00203791"/>
    <w:rsid w:val="0020655F"/>
    <w:rsid w:val="00206DCD"/>
    <w:rsid w:val="002073E6"/>
    <w:rsid w:val="00210B7F"/>
    <w:rsid w:val="00211539"/>
    <w:rsid w:val="0021161B"/>
    <w:rsid w:val="00211BC3"/>
    <w:rsid w:val="00211D2F"/>
    <w:rsid w:val="00212335"/>
    <w:rsid w:val="002125C2"/>
    <w:rsid w:val="00212ACD"/>
    <w:rsid w:val="00212BE3"/>
    <w:rsid w:val="00213457"/>
    <w:rsid w:val="00213E05"/>
    <w:rsid w:val="00214768"/>
    <w:rsid w:val="002149B5"/>
    <w:rsid w:val="00214A02"/>
    <w:rsid w:val="00214B8E"/>
    <w:rsid w:val="00214EF9"/>
    <w:rsid w:val="00215588"/>
    <w:rsid w:val="00215824"/>
    <w:rsid w:val="00215C33"/>
    <w:rsid w:val="002169DE"/>
    <w:rsid w:val="00216BC0"/>
    <w:rsid w:val="00216F59"/>
    <w:rsid w:val="00217DA4"/>
    <w:rsid w:val="00220E65"/>
    <w:rsid w:val="002212EB"/>
    <w:rsid w:val="002221B4"/>
    <w:rsid w:val="00222E88"/>
    <w:rsid w:val="00222F0D"/>
    <w:rsid w:val="00223FA1"/>
    <w:rsid w:val="002246F6"/>
    <w:rsid w:val="0022480D"/>
    <w:rsid w:val="00224907"/>
    <w:rsid w:val="0022527F"/>
    <w:rsid w:val="002252D8"/>
    <w:rsid w:val="00225CE5"/>
    <w:rsid w:val="0022627B"/>
    <w:rsid w:val="00226C3B"/>
    <w:rsid w:val="00226F5A"/>
    <w:rsid w:val="00226FC9"/>
    <w:rsid w:val="00227149"/>
    <w:rsid w:val="002275C4"/>
    <w:rsid w:val="002276A3"/>
    <w:rsid w:val="002278B5"/>
    <w:rsid w:val="00227E33"/>
    <w:rsid w:val="00227F34"/>
    <w:rsid w:val="0023004D"/>
    <w:rsid w:val="00230B11"/>
    <w:rsid w:val="00233BBD"/>
    <w:rsid w:val="00233FB6"/>
    <w:rsid w:val="00234DAE"/>
    <w:rsid w:val="00235E18"/>
    <w:rsid w:val="00236666"/>
    <w:rsid w:val="002366C2"/>
    <w:rsid w:val="0023719F"/>
    <w:rsid w:val="002371FB"/>
    <w:rsid w:val="002373EA"/>
    <w:rsid w:val="0024176D"/>
    <w:rsid w:val="002422E4"/>
    <w:rsid w:val="002424C0"/>
    <w:rsid w:val="00242BEE"/>
    <w:rsid w:val="00245247"/>
    <w:rsid w:val="00246989"/>
    <w:rsid w:val="002474EB"/>
    <w:rsid w:val="00251E4F"/>
    <w:rsid w:val="00252B8D"/>
    <w:rsid w:val="00252E20"/>
    <w:rsid w:val="00253B69"/>
    <w:rsid w:val="00253E74"/>
    <w:rsid w:val="00254E98"/>
    <w:rsid w:val="0025781F"/>
    <w:rsid w:val="002578FC"/>
    <w:rsid w:val="00260129"/>
    <w:rsid w:val="00260F2B"/>
    <w:rsid w:val="00261C8C"/>
    <w:rsid w:val="00263725"/>
    <w:rsid w:val="00263888"/>
    <w:rsid w:val="00264058"/>
    <w:rsid w:val="00264E70"/>
    <w:rsid w:val="002660CD"/>
    <w:rsid w:val="002662B4"/>
    <w:rsid w:val="00266C56"/>
    <w:rsid w:val="00267149"/>
    <w:rsid w:val="00267757"/>
    <w:rsid w:val="00267924"/>
    <w:rsid w:val="0027404F"/>
    <w:rsid w:val="00274944"/>
    <w:rsid w:val="00274DFA"/>
    <w:rsid w:val="00276176"/>
    <w:rsid w:val="0027663D"/>
    <w:rsid w:val="0027728A"/>
    <w:rsid w:val="00277925"/>
    <w:rsid w:val="00280650"/>
    <w:rsid w:val="00280C24"/>
    <w:rsid w:val="0028345C"/>
    <w:rsid w:val="00284211"/>
    <w:rsid w:val="0028436E"/>
    <w:rsid w:val="0028549A"/>
    <w:rsid w:val="00285788"/>
    <w:rsid w:val="002857B5"/>
    <w:rsid w:val="00286606"/>
    <w:rsid w:val="002878B1"/>
    <w:rsid w:val="00287AE1"/>
    <w:rsid w:val="00287C04"/>
    <w:rsid w:val="00292116"/>
    <w:rsid w:val="002959F0"/>
    <w:rsid w:val="00296BDB"/>
    <w:rsid w:val="002A0514"/>
    <w:rsid w:val="002A087B"/>
    <w:rsid w:val="002A0CC8"/>
    <w:rsid w:val="002A13E9"/>
    <w:rsid w:val="002A4869"/>
    <w:rsid w:val="002A6DB8"/>
    <w:rsid w:val="002B0384"/>
    <w:rsid w:val="002B15E0"/>
    <w:rsid w:val="002B20AA"/>
    <w:rsid w:val="002B2273"/>
    <w:rsid w:val="002B3328"/>
    <w:rsid w:val="002B349F"/>
    <w:rsid w:val="002B3760"/>
    <w:rsid w:val="002B3E9C"/>
    <w:rsid w:val="002B58AE"/>
    <w:rsid w:val="002B6E5F"/>
    <w:rsid w:val="002C04C8"/>
    <w:rsid w:val="002C0701"/>
    <w:rsid w:val="002C1B15"/>
    <w:rsid w:val="002C217C"/>
    <w:rsid w:val="002C35A9"/>
    <w:rsid w:val="002C4097"/>
    <w:rsid w:val="002C4F6F"/>
    <w:rsid w:val="002C5EF8"/>
    <w:rsid w:val="002C6D4B"/>
    <w:rsid w:val="002C71D2"/>
    <w:rsid w:val="002D0E25"/>
    <w:rsid w:val="002D288C"/>
    <w:rsid w:val="002D2978"/>
    <w:rsid w:val="002D2ECE"/>
    <w:rsid w:val="002D30E3"/>
    <w:rsid w:val="002D39B8"/>
    <w:rsid w:val="002D4013"/>
    <w:rsid w:val="002D7957"/>
    <w:rsid w:val="002E14B8"/>
    <w:rsid w:val="002E1755"/>
    <w:rsid w:val="002E349B"/>
    <w:rsid w:val="002E3D60"/>
    <w:rsid w:val="002E3DC9"/>
    <w:rsid w:val="002E4930"/>
    <w:rsid w:val="002E5373"/>
    <w:rsid w:val="002E5553"/>
    <w:rsid w:val="002E5CF8"/>
    <w:rsid w:val="002E623B"/>
    <w:rsid w:val="002E6298"/>
    <w:rsid w:val="002E65BA"/>
    <w:rsid w:val="002E741E"/>
    <w:rsid w:val="002E76D8"/>
    <w:rsid w:val="002E793A"/>
    <w:rsid w:val="002F05BE"/>
    <w:rsid w:val="002F07BB"/>
    <w:rsid w:val="002F2587"/>
    <w:rsid w:val="002F2D51"/>
    <w:rsid w:val="002F3008"/>
    <w:rsid w:val="002F4316"/>
    <w:rsid w:val="002F4541"/>
    <w:rsid w:val="002F4D09"/>
    <w:rsid w:val="002F5DF3"/>
    <w:rsid w:val="002F636C"/>
    <w:rsid w:val="002F7BD9"/>
    <w:rsid w:val="00301115"/>
    <w:rsid w:val="003015E7"/>
    <w:rsid w:val="00305DAE"/>
    <w:rsid w:val="00306529"/>
    <w:rsid w:val="00306CA3"/>
    <w:rsid w:val="003117AF"/>
    <w:rsid w:val="003129D0"/>
    <w:rsid w:val="003136C4"/>
    <w:rsid w:val="0031427E"/>
    <w:rsid w:val="003149B4"/>
    <w:rsid w:val="003161BF"/>
    <w:rsid w:val="0031730A"/>
    <w:rsid w:val="003200A0"/>
    <w:rsid w:val="00320D1D"/>
    <w:rsid w:val="00323084"/>
    <w:rsid w:val="00325218"/>
    <w:rsid w:val="00326CF8"/>
    <w:rsid w:val="00326F5A"/>
    <w:rsid w:val="003301AF"/>
    <w:rsid w:val="00331A0A"/>
    <w:rsid w:val="003333CF"/>
    <w:rsid w:val="00333F88"/>
    <w:rsid w:val="00334614"/>
    <w:rsid w:val="00335388"/>
    <w:rsid w:val="00335C58"/>
    <w:rsid w:val="003360E9"/>
    <w:rsid w:val="003366DB"/>
    <w:rsid w:val="00336EB2"/>
    <w:rsid w:val="003401BD"/>
    <w:rsid w:val="00340786"/>
    <w:rsid w:val="003409C4"/>
    <w:rsid w:val="003409ED"/>
    <w:rsid w:val="003411D9"/>
    <w:rsid w:val="00341394"/>
    <w:rsid w:val="00341C30"/>
    <w:rsid w:val="0034257F"/>
    <w:rsid w:val="00342C9B"/>
    <w:rsid w:val="00343D77"/>
    <w:rsid w:val="00345B67"/>
    <w:rsid w:val="00346FDD"/>
    <w:rsid w:val="00347641"/>
    <w:rsid w:val="003508F8"/>
    <w:rsid w:val="00350C28"/>
    <w:rsid w:val="00351B3F"/>
    <w:rsid w:val="00352B7C"/>
    <w:rsid w:val="003539B4"/>
    <w:rsid w:val="0035506F"/>
    <w:rsid w:val="00356539"/>
    <w:rsid w:val="003578B6"/>
    <w:rsid w:val="00357E96"/>
    <w:rsid w:val="00360AD7"/>
    <w:rsid w:val="00360D43"/>
    <w:rsid w:val="00366B07"/>
    <w:rsid w:val="003673F4"/>
    <w:rsid w:val="003678AC"/>
    <w:rsid w:val="00373451"/>
    <w:rsid w:val="0037393C"/>
    <w:rsid w:val="003758D5"/>
    <w:rsid w:val="00376747"/>
    <w:rsid w:val="003779CB"/>
    <w:rsid w:val="00380F30"/>
    <w:rsid w:val="00381873"/>
    <w:rsid w:val="00381E6F"/>
    <w:rsid w:val="0038257F"/>
    <w:rsid w:val="00384149"/>
    <w:rsid w:val="00385359"/>
    <w:rsid w:val="00385D51"/>
    <w:rsid w:val="00387EC6"/>
    <w:rsid w:val="00387F16"/>
    <w:rsid w:val="00387F37"/>
    <w:rsid w:val="00390264"/>
    <w:rsid w:val="00392F41"/>
    <w:rsid w:val="003931D9"/>
    <w:rsid w:val="0039322A"/>
    <w:rsid w:val="003933D2"/>
    <w:rsid w:val="003933E7"/>
    <w:rsid w:val="00393F5A"/>
    <w:rsid w:val="00394C76"/>
    <w:rsid w:val="00394CC1"/>
    <w:rsid w:val="003978F4"/>
    <w:rsid w:val="00397B4B"/>
    <w:rsid w:val="003A0573"/>
    <w:rsid w:val="003A2125"/>
    <w:rsid w:val="003A24E6"/>
    <w:rsid w:val="003A3359"/>
    <w:rsid w:val="003A3633"/>
    <w:rsid w:val="003A4528"/>
    <w:rsid w:val="003A541B"/>
    <w:rsid w:val="003B0319"/>
    <w:rsid w:val="003B18F6"/>
    <w:rsid w:val="003B19D6"/>
    <w:rsid w:val="003B222A"/>
    <w:rsid w:val="003B2656"/>
    <w:rsid w:val="003B3A2A"/>
    <w:rsid w:val="003B410F"/>
    <w:rsid w:val="003B56BD"/>
    <w:rsid w:val="003B7B72"/>
    <w:rsid w:val="003C1D33"/>
    <w:rsid w:val="003C22FB"/>
    <w:rsid w:val="003C4DDC"/>
    <w:rsid w:val="003C6B97"/>
    <w:rsid w:val="003C74DB"/>
    <w:rsid w:val="003D289F"/>
    <w:rsid w:val="003D46C5"/>
    <w:rsid w:val="003D567D"/>
    <w:rsid w:val="003D6814"/>
    <w:rsid w:val="003D6835"/>
    <w:rsid w:val="003D7B13"/>
    <w:rsid w:val="003E1DC4"/>
    <w:rsid w:val="003E1EA3"/>
    <w:rsid w:val="003E2176"/>
    <w:rsid w:val="003E3D8D"/>
    <w:rsid w:val="003E42E7"/>
    <w:rsid w:val="003E4487"/>
    <w:rsid w:val="003E497F"/>
    <w:rsid w:val="003E4D8D"/>
    <w:rsid w:val="003E686B"/>
    <w:rsid w:val="003F0D23"/>
    <w:rsid w:val="003F2491"/>
    <w:rsid w:val="003F34DD"/>
    <w:rsid w:val="003F38A3"/>
    <w:rsid w:val="003F45EE"/>
    <w:rsid w:val="003F6227"/>
    <w:rsid w:val="003F7732"/>
    <w:rsid w:val="003F7FFE"/>
    <w:rsid w:val="00400308"/>
    <w:rsid w:val="00401586"/>
    <w:rsid w:val="004024BC"/>
    <w:rsid w:val="00402C08"/>
    <w:rsid w:val="00405AC1"/>
    <w:rsid w:val="00406793"/>
    <w:rsid w:val="00407DEE"/>
    <w:rsid w:val="00410767"/>
    <w:rsid w:val="00410A47"/>
    <w:rsid w:val="00410BFC"/>
    <w:rsid w:val="00411155"/>
    <w:rsid w:val="004126D4"/>
    <w:rsid w:val="004134FB"/>
    <w:rsid w:val="004152BB"/>
    <w:rsid w:val="00415A59"/>
    <w:rsid w:val="0041707F"/>
    <w:rsid w:val="00417EA6"/>
    <w:rsid w:val="00417EB4"/>
    <w:rsid w:val="00417EFE"/>
    <w:rsid w:val="004201AD"/>
    <w:rsid w:val="00420E1A"/>
    <w:rsid w:val="00421D9C"/>
    <w:rsid w:val="0042245D"/>
    <w:rsid w:val="00422496"/>
    <w:rsid w:val="0042339A"/>
    <w:rsid w:val="00423CE8"/>
    <w:rsid w:val="00424087"/>
    <w:rsid w:val="004242BB"/>
    <w:rsid w:val="004257C8"/>
    <w:rsid w:val="00425EF8"/>
    <w:rsid w:val="0042616D"/>
    <w:rsid w:val="004315B4"/>
    <w:rsid w:val="00431DB7"/>
    <w:rsid w:val="00433811"/>
    <w:rsid w:val="00437368"/>
    <w:rsid w:val="004373A7"/>
    <w:rsid w:val="0043786F"/>
    <w:rsid w:val="00440301"/>
    <w:rsid w:val="004420B9"/>
    <w:rsid w:val="0044382A"/>
    <w:rsid w:val="004442C7"/>
    <w:rsid w:val="00444AE1"/>
    <w:rsid w:val="004453B7"/>
    <w:rsid w:val="004465D4"/>
    <w:rsid w:val="00447248"/>
    <w:rsid w:val="00447473"/>
    <w:rsid w:val="0044775B"/>
    <w:rsid w:val="00450E59"/>
    <w:rsid w:val="00453591"/>
    <w:rsid w:val="004569DC"/>
    <w:rsid w:val="00456F71"/>
    <w:rsid w:val="0046090A"/>
    <w:rsid w:val="00462608"/>
    <w:rsid w:val="0046358A"/>
    <w:rsid w:val="00465FA8"/>
    <w:rsid w:val="00467B9F"/>
    <w:rsid w:val="00467E7C"/>
    <w:rsid w:val="0047020D"/>
    <w:rsid w:val="004708CA"/>
    <w:rsid w:val="00471460"/>
    <w:rsid w:val="00474D76"/>
    <w:rsid w:val="00477284"/>
    <w:rsid w:val="00477685"/>
    <w:rsid w:val="00477943"/>
    <w:rsid w:val="0048211C"/>
    <w:rsid w:val="004832F2"/>
    <w:rsid w:val="00483857"/>
    <w:rsid w:val="0048454F"/>
    <w:rsid w:val="00484A22"/>
    <w:rsid w:val="00485275"/>
    <w:rsid w:val="00485378"/>
    <w:rsid w:val="004855FE"/>
    <w:rsid w:val="004859AF"/>
    <w:rsid w:val="00486D48"/>
    <w:rsid w:val="00490A7B"/>
    <w:rsid w:val="004916B6"/>
    <w:rsid w:val="00491ABF"/>
    <w:rsid w:val="004922C0"/>
    <w:rsid w:val="00492C65"/>
    <w:rsid w:val="004953C8"/>
    <w:rsid w:val="00495C23"/>
    <w:rsid w:val="0049610D"/>
    <w:rsid w:val="00497234"/>
    <w:rsid w:val="00497B93"/>
    <w:rsid w:val="004A0231"/>
    <w:rsid w:val="004A1390"/>
    <w:rsid w:val="004A2AD0"/>
    <w:rsid w:val="004A34E2"/>
    <w:rsid w:val="004A38BD"/>
    <w:rsid w:val="004A3E3A"/>
    <w:rsid w:val="004A4164"/>
    <w:rsid w:val="004A4A1B"/>
    <w:rsid w:val="004A4CD6"/>
    <w:rsid w:val="004A516B"/>
    <w:rsid w:val="004A72AB"/>
    <w:rsid w:val="004B0C55"/>
    <w:rsid w:val="004B0D88"/>
    <w:rsid w:val="004B122E"/>
    <w:rsid w:val="004B289A"/>
    <w:rsid w:val="004B2CC8"/>
    <w:rsid w:val="004B2DAB"/>
    <w:rsid w:val="004B4658"/>
    <w:rsid w:val="004B497A"/>
    <w:rsid w:val="004B72D3"/>
    <w:rsid w:val="004B75B9"/>
    <w:rsid w:val="004B7C63"/>
    <w:rsid w:val="004C006E"/>
    <w:rsid w:val="004C12F8"/>
    <w:rsid w:val="004C25B7"/>
    <w:rsid w:val="004C2F10"/>
    <w:rsid w:val="004C3418"/>
    <w:rsid w:val="004C3D6D"/>
    <w:rsid w:val="004C3DCC"/>
    <w:rsid w:val="004C483E"/>
    <w:rsid w:val="004C5B8B"/>
    <w:rsid w:val="004C611E"/>
    <w:rsid w:val="004D0F04"/>
    <w:rsid w:val="004D1D1A"/>
    <w:rsid w:val="004D3A71"/>
    <w:rsid w:val="004D3E32"/>
    <w:rsid w:val="004D4DA4"/>
    <w:rsid w:val="004D55AC"/>
    <w:rsid w:val="004D5EB7"/>
    <w:rsid w:val="004D6E04"/>
    <w:rsid w:val="004E087F"/>
    <w:rsid w:val="004E2349"/>
    <w:rsid w:val="004E2AE8"/>
    <w:rsid w:val="004E2E1F"/>
    <w:rsid w:val="004E48CF"/>
    <w:rsid w:val="004E60C0"/>
    <w:rsid w:val="004E6771"/>
    <w:rsid w:val="004E6C2B"/>
    <w:rsid w:val="004F4B8E"/>
    <w:rsid w:val="004F5107"/>
    <w:rsid w:val="004F5C3D"/>
    <w:rsid w:val="004F63F5"/>
    <w:rsid w:val="004F64F0"/>
    <w:rsid w:val="004F6592"/>
    <w:rsid w:val="00500A4C"/>
    <w:rsid w:val="005011A0"/>
    <w:rsid w:val="005014F9"/>
    <w:rsid w:val="00501616"/>
    <w:rsid w:val="00502019"/>
    <w:rsid w:val="00502FB3"/>
    <w:rsid w:val="0050547B"/>
    <w:rsid w:val="0050683A"/>
    <w:rsid w:val="005068D5"/>
    <w:rsid w:val="00506B75"/>
    <w:rsid w:val="00506CE6"/>
    <w:rsid w:val="00506DB9"/>
    <w:rsid w:val="00506FDF"/>
    <w:rsid w:val="005100CF"/>
    <w:rsid w:val="0051075B"/>
    <w:rsid w:val="005121F0"/>
    <w:rsid w:val="00512A58"/>
    <w:rsid w:val="00512E3F"/>
    <w:rsid w:val="00514EF1"/>
    <w:rsid w:val="005150C5"/>
    <w:rsid w:val="0051612F"/>
    <w:rsid w:val="005175F2"/>
    <w:rsid w:val="005204ED"/>
    <w:rsid w:val="00521BE3"/>
    <w:rsid w:val="00522C57"/>
    <w:rsid w:val="0052378C"/>
    <w:rsid w:val="00523794"/>
    <w:rsid w:val="005243B7"/>
    <w:rsid w:val="00525566"/>
    <w:rsid w:val="00525A66"/>
    <w:rsid w:val="005265E0"/>
    <w:rsid w:val="00526C33"/>
    <w:rsid w:val="00527149"/>
    <w:rsid w:val="00527729"/>
    <w:rsid w:val="00527975"/>
    <w:rsid w:val="00527CA7"/>
    <w:rsid w:val="005318A3"/>
    <w:rsid w:val="005332CC"/>
    <w:rsid w:val="00533870"/>
    <w:rsid w:val="0053564B"/>
    <w:rsid w:val="0053721B"/>
    <w:rsid w:val="005418A8"/>
    <w:rsid w:val="005423F7"/>
    <w:rsid w:val="00544CCC"/>
    <w:rsid w:val="00546039"/>
    <w:rsid w:val="00546123"/>
    <w:rsid w:val="005463B2"/>
    <w:rsid w:val="00550F68"/>
    <w:rsid w:val="00551F39"/>
    <w:rsid w:val="00553495"/>
    <w:rsid w:val="005552CE"/>
    <w:rsid w:val="00555D34"/>
    <w:rsid w:val="00556994"/>
    <w:rsid w:val="0055717C"/>
    <w:rsid w:val="00557922"/>
    <w:rsid w:val="00560952"/>
    <w:rsid w:val="00560C6A"/>
    <w:rsid w:val="00561AEE"/>
    <w:rsid w:val="0056250B"/>
    <w:rsid w:val="00562A25"/>
    <w:rsid w:val="00562D78"/>
    <w:rsid w:val="00562F47"/>
    <w:rsid w:val="00564187"/>
    <w:rsid w:val="00567A90"/>
    <w:rsid w:val="00570548"/>
    <w:rsid w:val="005715EB"/>
    <w:rsid w:val="00572FA3"/>
    <w:rsid w:val="005756FB"/>
    <w:rsid w:val="00577EA4"/>
    <w:rsid w:val="005802E9"/>
    <w:rsid w:val="00581E46"/>
    <w:rsid w:val="005832CA"/>
    <w:rsid w:val="00583361"/>
    <w:rsid w:val="00584078"/>
    <w:rsid w:val="00584DAD"/>
    <w:rsid w:val="005850BA"/>
    <w:rsid w:val="00590B33"/>
    <w:rsid w:val="0059127F"/>
    <w:rsid w:val="00594151"/>
    <w:rsid w:val="005967DC"/>
    <w:rsid w:val="00596CEE"/>
    <w:rsid w:val="005978D1"/>
    <w:rsid w:val="005A05E0"/>
    <w:rsid w:val="005A06A0"/>
    <w:rsid w:val="005A0F6E"/>
    <w:rsid w:val="005A25C9"/>
    <w:rsid w:val="005A35F4"/>
    <w:rsid w:val="005A39B6"/>
    <w:rsid w:val="005A4EA3"/>
    <w:rsid w:val="005A63E5"/>
    <w:rsid w:val="005A7110"/>
    <w:rsid w:val="005B20ED"/>
    <w:rsid w:val="005B22B5"/>
    <w:rsid w:val="005B3101"/>
    <w:rsid w:val="005B3D6B"/>
    <w:rsid w:val="005B3F2A"/>
    <w:rsid w:val="005B4584"/>
    <w:rsid w:val="005B4A47"/>
    <w:rsid w:val="005B4FC8"/>
    <w:rsid w:val="005B5042"/>
    <w:rsid w:val="005B5ED4"/>
    <w:rsid w:val="005C01B9"/>
    <w:rsid w:val="005C0C0E"/>
    <w:rsid w:val="005C1144"/>
    <w:rsid w:val="005C208B"/>
    <w:rsid w:val="005C3337"/>
    <w:rsid w:val="005C48EC"/>
    <w:rsid w:val="005C5DEA"/>
    <w:rsid w:val="005C7426"/>
    <w:rsid w:val="005D120A"/>
    <w:rsid w:val="005D16C4"/>
    <w:rsid w:val="005D2317"/>
    <w:rsid w:val="005D312D"/>
    <w:rsid w:val="005D3834"/>
    <w:rsid w:val="005D3B53"/>
    <w:rsid w:val="005D43BD"/>
    <w:rsid w:val="005D7D8F"/>
    <w:rsid w:val="005E4431"/>
    <w:rsid w:val="005E4939"/>
    <w:rsid w:val="005E4EF3"/>
    <w:rsid w:val="005E71B3"/>
    <w:rsid w:val="005F311D"/>
    <w:rsid w:val="005F45A0"/>
    <w:rsid w:val="005F49C9"/>
    <w:rsid w:val="005F5D55"/>
    <w:rsid w:val="005F6E73"/>
    <w:rsid w:val="00600731"/>
    <w:rsid w:val="00600778"/>
    <w:rsid w:val="00601BE3"/>
    <w:rsid w:val="00602116"/>
    <w:rsid w:val="006035D9"/>
    <w:rsid w:val="00603712"/>
    <w:rsid w:val="00604693"/>
    <w:rsid w:val="00604F43"/>
    <w:rsid w:val="006051CC"/>
    <w:rsid w:val="00605244"/>
    <w:rsid w:val="00605786"/>
    <w:rsid w:val="00605B69"/>
    <w:rsid w:val="00606056"/>
    <w:rsid w:val="00606EF8"/>
    <w:rsid w:val="00607111"/>
    <w:rsid w:val="00607B5D"/>
    <w:rsid w:val="00607E48"/>
    <w:rsid w:val="006113A8"/>
    <w:rsid w:val="00611E46"/>
    <w:rsid w:val="006129B5"/>
    <w:rsid w:val="00612A84"/>
    <w:rsid w:val="006131E8"/>
    <w:rsid w:val="00613736"/>
    <w:rsid w:val="00614BBE"/>
    <w:rsid w:val="00616374"/>
    <w:rsid w:val="0062041C"/>
    <w:rsid w:val="00620DD2"/>
    <w:rsid w:val="0062342D"/>
    <w:rsid w:val="006275D2"/>
    <w:rsid w:val="00630AF8"/>
    <w:rsid w:val="0063108D"/>
    <w:rsid w:val="006332B1"/>
    <w:rsid w:val="00634DF2"/>
    <w:rsid w:val="0063549F"/>
    <w:rsid w:val="006373E3"/>
    <w:rsid w:val="00637DE7"/>
    <w:rsid w:val="00640110"/>
    <w:rsid w:val="00640C0A"/>
    <w:rsid w:val="00641A32"/>
    <w:rsid w:val="00641C16"/>
    <w:rsid w:val="0064223D"/>
    <w:rsid w:val="00642567"/>
    <w:rsid w:val="00642F67"/>
    <w:rsid w:val="006446DF"/>
    <w:rsid w:val="00644B00"/>
    <w:rsid w:val="006455C0"/>
    <w:rsid w:val="006456B5"/>
    <w:rsid w:val="006470C9"/>
    <w:rsid w:val="0065198B"/>
    <w:rsid w:val="006536F7"/>
    <w:rsid w:val="006542CE"/>
    <w:rsid w:val="00654AC7"/>
    <w:rsid w:val="00655715"/>
    <w:rsid w:val="00655F2E"/>
    <w:rsid w:val="0065668C"/>
    <w:rsid w:val="00657C41"/>
    <w:rsid w:val="00660F3E"/>
    <w:rsid w:val="006613AF"/>
    <w:rsid w:val="006620E3"/>
    <w:rsid w:val="006628C6"/>
    <w:rsid w:val="00662977"/>
    <w:rsid w:val="006653CD"/>
    <w:rsid w:val="00665E58"/>
    <w:rsid w:val="006664A5"/>
    <w:rsid w:val="00666DAC"/>
    <w:rsid w:val="0067206B"/>
    <w:rsid w:val="00672666"/>
    <w:rsid w:val="00673013"/>
    <w:rsid w:val="00673C46"/>
    <w:rsid w:val="00675EC8"/>
    <w:rsid w:val="006779E8"/>
    <w:rsid w:val="0068088D"/>
    <w:rsid w:val="00680CFC"/>
    <w:rsid w:val="00681860"/>
    <w:rsid w:val="00682A95"/>
    <w:rsid w:val="0068408D"/>
    <w:rsid w:val="0068474E"/>
    <w:rsid w:val="006850DB"/>
    <w:rsid w:val="00686046"/>
    <w:rsid w:val="00686E1B"/>
    <w:rsid w:val="0068718B"/>
    <w:rsid w:val="00692050"/>
    <w:rsid w:val="00692383"/>
    <w:rsid w:val="00693536"/>
    <w:rsid w:val="006946AD"/>
    <w:rsid w:val="00695119"/>
    <w:rsid w:val="00695360"/>
    <w:rsid w:val="006954B8"/>
    <w:rsid w:val="00695800"/>
    <w:rsid w:val="006958A5"/>
    <w:rsid w:val="00695AF9"/>
    <w:rsid w:val="00695C2F"/>
    <w:rsid w:val="00697110"/>
    <w:rsid w:val="006A01BE"/>
    <w:rsid w:val="006A0E3E"/>
    <w:rsid w:val="006A1034"/>
    <w:rsid w:val="006A197F"/>
    <w:rsid w:val="006A1D4C"/>
    <w:rsid w:val="006A29F3"/>
    <w:rsid w:val="006A357A"/>
    <w:rsid w:val="006A57D6"/>
    <w:rsid w:val="006A5B0F"/>
    <w:rsid w:val="006A6642"/>
    <w:rsid w:val="006A6BD0"/>
    <w:rsid w:val="006B0548"/>
    <w:rsid w:val="006B068C"/>
    <w:rsid w:val="006B0704"/>
    <w:rsid w:val="006B0C6A"/>
    <w:rsid w:val="006B0CC9"/>
    <w:rsid w:val="006B1C78"/>
    <w:rsid w:val="006B1F6C"/>
    <w:rsid w:val="006B386A"/>
    <w:rsid w:val="006B3E13"/>
    <w:rsid w:val="006B4C9D"/>
    <w:rsid w:val="006B68EE"/>
    <w:rsid w:val="006B6A0C"/>
    <w:rsid w:val="006B7400"/>
    <w:rsid w:val="006C0ADB"/>
    <w:rsid w:val="006C3B13"/>
    <w:rsid w:val="006C41F6"/>
    <w:rsid w:val="006C51E8"/>
    <w:rsid w:val="006C5938"/>
    <w:rsid w:val="006C5E5C"/>
    <w:rsid w:val="006C61C7"/>
    <w:rsid w:val="006C6823"/>
    <w:rsid w:val="006C6EEC"/>
    <w:rsid w:val="006C7492"/>
    <w:rsid w:val="006D0196"/>
    <w:rsid w:val="006D0911"/>
    <w:rsid w:val="006D0941"/>
    <w:rsid w:val="006D0E2C"/>
    <w:rsid w:val="006D2461"/>
    <w:rsid w:val="006D25CF"/>
    <w:rsid w:val="006D294E"/>
    <w:rsid w:val="006D296D"/>
    <w:rsid w:val="006D386A"/>
    <w:rsid w:val="006D3981"/>
    <w:rsid w:val="006D5042"/>
    <w:rsid w:val="006E00E3"/>
    <w:rsid w:val="006E0E34"/>
    <w:rsid w:val="006E0E5F"/>
    <w:rsid w:val="006E25B2"/>
    <w:rsid w:val="006E2811"/>
    <w:rsid w:val="006E3058"/>
    <w:rsid w:val="006E4750"/>
    <w:rsid w:val="006E6093"/>
    <w:rsid w:val="006E7461"/>
    <w:rsid w:val="006E7C46"/>
    <w:rsid w:val="006F11CA"/>
    <w:rsid w:val="006F148A"/>
    <w:rsid w:val="006F1F90"/>
    <w:rsid w:val="006F20D6"/>
    <w:rsid w:val="006F3D7C"/>
    <w:rsid w:val="006F4B49"/>
    <w:rsid w:val="006F6C33"/>
    <w:rsid w:val="006F70B6"/>
    <w:rsid w:val="006F7449"/>
    <w:rsid w:val="00700F55"/>
    <w:rsid w:val="007061FD"/>
    <w:rsid w:val="00707414"/>
    <w:rsid w:val="00710CA2"/>
    <w:rsid w:val="00710D8F"/>
    <w:rsid w:val="007123BB"/>
    <w:rsid w:val="007159F7"/>
    <w:rsid w:val="00715ABD"/>
    <w:rsid w:val="00716094"/>
    <w:rsid w:val="007167A0"/>
    <w:rsid w:val="00716A11"/>
    <w:rsid w:val="00716ECC"/>
    <w:rsid w:val="007205A2"/>
    <w:rsid w:val="007209DF"/>
    <w:rsid w:val="00720DE8"/>
    <w:rsid w:val="00722A48"/>
    <w:rsid w:val="0072368C"/>
    <w:rsid w:val="0072401A"/>
    <w:rsid w:val="00724D71"/>
    <w:rsid w:val="00726868"/>
    <w:rsid w:val="00726968"/>
    <w:rsid w:val="00727105"/>
    <w:rsid w:val="0073040D"/>
    <w:rsid w:val="00730426"/>
    <w:rsid w:val="00732499"/>
    <w:rsid w:val="007325F1"/>
    <w:rsid w:val="00732EA1"/>
    <w:rsid w:val="00734599"/>
    <w:rsid w:val="007346FF"/>
    <w:rsid w:val="0073490E"/>
    <w:rsid w:val="007349F8"/>
    <w:rsid w:val="00735A11"/>
    <w:rsid w:val="007401A5"/>
    <w:rsid w:val="00740773"/>
    <w:rsid w:val="00740D2A"/>
    <w:rsid w:val="0074220F"/>
    <w:rsid w:val="00744AB6"/>
    <w:rsid w:val="00744C32"/>
    <w:rsid w:val="007460E9"/>
    <w:rsid w:val="007477C0"/>
    <w:rsid w:val="007517FE"/>
    <w:rsid w:val="00752381"/>
    <w:rsid w:val="00752444"/>
    <w:rsid w:val="00752F01"/>
    <w:rsid w:val="00755649"/>
    <w:rsid w:val="00757272"/>
    <w:rsid w:val="00761E3E"/>
    <w:rsid w:val="00762B92"/>
    <w:rsid w:val="00764F07"/>
    <w:rsid w:val="00765725"/>
    <w:rsid w:val="00766033"/>
    <w:rsid w:val="00766AB0"/>
    <w:rsid w:val="00766C01"/>
    <w:rsid w:val="007674C9"/>
    <w:rsid w:val="00767D9D"/>
    <w:rsid w:val="007701AA"/>
    <w:rsid w:val="00772E35"/>
    <w:rsid w:val="0077535E"/>
    <w:rsid w:val="00775F0F"/>
    <w:rsid w:val="00776B15"/>
    <w:rsid w:val="00780CB0"/>
    <w:rsid w:val="007811FA"/>
    <w:rsid w:val="00781974"/>
    <w:rsid w:val="00782E73"/>
    <w:rsid w:val="0078399A"/>
    <w:rsid w:val="00784010"/>
    <w:rsid w:val="00784231"/>
    <w:rsid w:val="00785B7C"/>
    <w:rsid w:val="007869C0"/>
    <w:rsid w:val="00786B84"/>
    <w:rsid w:val="007909B3"/>
    <w:rsid w:val="00790BBE"/>
    <w:rsid w:val="00791E4B"/>
    <w:rsid w:val="00793951"/>
    <w:rsid w:val="00795CD9"/>
    <w:rsid w:val="00795E68"/>
    <w:rsid w:val="007963BF"/>
    <w:rsid w:val="007963F0"/>
    <w:rsid w:val="0079738D"/>
    <w:rsid w:val="00797775"/>
    <w:rsid w:val="00797A83"/>
    <w:rsid w:val="007A0252"/>
    <w:rsid w:val="007A1368"/>
    <w:rsid w:val="007A2FAA"/>
    <w:rsid w:val="007A4AE4"/>
    <w:rsid w:val="007A4ED6"/>
    <w:rsid w:val="007A5F99"/>
    <w:rsid w:val="007A6B40"/>
    <w:rsid w:val="007B073F"/>
    <w:rsid w:val="007B07FB"/>
    <w:rsid w:val="007B24D4"/>
    <w:rsid w:val="007B2F50"/>
    <w:rsid w:val="007B3946"/>
    <w:rsid w:val="007B3F52"/>
    <w:rsid w:val="007B4807"/>
    <w:rsid w:val="007B4D0B"/>
    <w:rsid w:val="007B57BA"/>
    <w:rsid w:val="007B63E4"/>
    <w:rsid w:val="007B6977"/>
    <w:rsid w:val="007B6B46"/>
    <w:rsid w:val="007C1769"/>
    <w:rsid w:val="007C246F"/>
    <w:rsid w:val="007C30D6"/>
    <w:rsid w:val="007C3385"/>
    <w:rsid w:val="007C36C7"/>
    <w:rsid w:val="007C4815"/>
    <w:rsid w:val="007C5A6E"/>
    <w:rsid w:val="007C6E4B"/>
    <w:rsid w:val="007D05A4"/>
    <w:rsid w:val="007D3BE6"/>
    <w:rsid w:val="007D4B54"/>
    <w:rsid w:val="007D4D4A"/>
    <w:rsid w:val="007D605E"/>
    <w:rsid w:val="007D67C2"/>
    <w:rsid w:val="007D67FB"/>
    <w:rsid w:val="007D68F8"/>
    <w:rsid w:val="007D7286"/>
    <w:rsid w:val="007D755F"/>
    <w:rsid w:val="007E0985"/>
    <w:rsid w:val="007E0C0E"/>
    <w:rsid w:val="007E1CE3"/>
    <w:rsid w:val="007E1ECF"/>
    <w:rsid w:val="007E22FA"/>
    <w:rsid w:val="007E5556"/>
    <w:rsid w:val="007E56C2"/>
    <w:rsid w:val="007E6DA6"/>
    <w:rsid w:val="007E6F4D"/>
    <w:rsid w:val="007F0451"/>
    <w:rsid w:val="007F0B08"/>
    <w:rsid w:val="007F3754"/>
    <w:rsid w:val="007F5567"/>
    <w:rsid w:val="007F5954"/>
    <w:rsid w:val="007F6115"/>
    <w:rsid w:val="007F6620"/>
    <w:rsid w:val="007F75FC"/>
    <w:rsid w:val="00800109"/>
    <w:rsid w:val="00800D5C"/>
    <w:rsid w:val="00802CCB"/>
    <w:rsid w:val="0080469C"/>
    <w:rsid w:val="00805BC6"/>
    <w:rsid w:val="00805D4E"/>
    <w:rsid w:val="0080664F"/>
    <w:rsid w:val="00807831"/>
    <w:rsid w:val="0081034A"/>
    <w:rsid w:val="008106A5"/>
    <w:rsid w:val="00810C36"/>
    <w:rsid w:val="00810D5E"/>
    <w:rsid w:val="00810EC8"/>
    <w:rsid w:val="00811849"/>
    <w:rsid w:val="00812214"/>
    <w:rsid w:val="00812D7F"/>
    <w:rsid w:val="00814437"/>
    <w:rsid w:val="008166F5"/>
    <w:rsid w:val="00817A3D"/>
    <w:rsid w:val="00817CE3"/>
    <w:rsid w:val="00820109"/>
    <w:rsid w:val="00820E6B"/>
    <w:rsid w:val="0082100F"/>
    <w:rsid w:val="008217C0"/>
    <w:rsid w:val="00824DEE"/>
    <w:rsid w:val="00825B7C"/>
    <w:rsid w:val="00826640"/>
    <w:rsid w:val="00827A62"/>
    <w:rsid w:val="00830819"/>
    <w:rsid w:val="008317B5"/>
    <w:rsid w:val="00831E83"/>
    <w:rsid w:val="00832B17"/>
    <w:rsid w:val="0083617E"/>
    <w:rsid w:val="00836286"/>
    <w:rsid w:val="00837998"/>
    <w:rsid w:val="00837CC1"/>
    <w:rsid w:val="00840254"/>
    <w:rsid w:val="00842219"/>
    <w:rsid w:val="00842FC3"/>
    <w:rsid w:val="008430F8"/>
    <w:rsid w:val="00843652"/>
    <w:rsid w:val="00843C81"/>
    <w:rsid w:val="00844091"/>
    <w:rsid w:val="0084447C"/>
    <w:rsid w:val="00844D3B"/>
    <w:rsid w:val="00845A07"/>
    <w:rsid w:val="00845B67"/>
    <w:rsid w:val="00846799"/>
    <w:rsid w:val="00846AD7"/>
    <w:rsid w:val="00847300"/>
    <w:rsid w:val="00847CD4"/>
    <w:rsid w:val="008500DA"/>
    <w:rsid w:val="00850CE9"/>
    <w:rsid w:val="00852205"/>
    <w:rsid w:val="00852E91"/>
    <w:rsid w:val="008535BC"/>
    <w:rsid w:val="0085525C"/>
    <w:rsid w:val="0085773B"/>
    <w:rsid w:val="008602EE"/>
    <w:rsid w:val="00862D51"/>
    <w:rsid w:val="00862F79"/>
    <w:rsid w:val="00863421"/>
    <w:rsid w:val="00864772"/>
    <w:rsid w:val="00865F58"/>
    <w:rsid w:val="00866594"/>
    <w:rsid w:val="008666CD"/>
    <w:rsid w:val="00867111"/>
    <w:rsid w:val="00867338"/>
    <w:rsid w:val="00870A43"/>
    <w:rsid w:val="00871391"/>
    <w:rsid w:val="00871518"/>
    <w:rsid w:val="00871E0F"/>
    <w:rsid w:val="00871E89"/>
    <w:rsid w:val="008727A3"/>
    <w:rsid w:val="0087311F"/>
    <w:rsid w:val="00873861"/>
    <w:rsid w:val="00875128"/>
    <w:rsid w:val="008771CD"/>
    <w:rsid w:val="008775ED"/>
    <w:rsid w:val="00877C14"/>
    <w:rsid w:val="00877D44"/>
    <w:rsid w:val="00880304"/>
    <w:rsid w:val="00881CA8"/>
    <w:rsid w:val="008836EF"/>
    <w:rsid w:val="00885001"/>
    <w:rsid w:val="00885424"/>
    <w:rsid w:val="00887516"/>
    <w:rsid w:val="00890850"/>
    <w:rsid w:val="008910E1"/>
    <w:rsid w:val="00891971"/>
    <w:rsid w:val="008930A6"/>
    <w:rsid w:val="00893855"/>
    <w:rsid w:val="008948A5"/>
    <w:rsid w:val="00894D98"/>
    <w:rsid w:val="00895B11"/>
    <w:rsid w:val="00897A22"/>
    <w:rsid w:val="008A04DB"/>
    <w:rsid w:val="008A092A"/>
    <w:rsid w:val="008A0C5D"/>
    <w:rsid w:val="008A3137"/>
    <w:rsid w:val="008A31E5"/>
    <w:rsid w:val="008A363D"/>
    <w:rsid w:val="008A39F7"/>
    <w:rsid w:val="008A3BB9"/>
    <w:rsid w:val="008A4083"/>
    <w:rsid w:val="008A6697"/>
    <w:rsid w:val="008B01A9"/>
    <w:rsid w:val="008B091F"/>
    <w:rsid w:val="008B1A4A"/>
    <w:rsid w:val="008B2938"/>
    <w:rsid w:val="008B4CA7"/>
    <w:rsid w:val="008B4E8E"/>
    <w:rsid w:val="008B568D"/>
    <w:rsid w:val="008B6FF8"/>
    <w:rsid w:val="008B7425"/>
    <w:rsid w:val="008B7DFF"/>
    <w:rsid w:val="008C0602"/>
    <w:rsid w:val="008C0F4F"/>
    <w:rsid w:val="008C3FEF"/>
    <w:rsid w:val="008C417E"/>
    <w:rsid w:val="008C45EE"/>
    <w:rsid w:val="008C4D3A"/>
    <w:rsid w:val="008C7669"/>
    <w:rsid w:val="008D12E3"/>
    <w:rsid w:val="008D3939"/>
    <w:rsid w:val="008D3C46"/>
    <w:rsid w:val="008D4DCB"/>
    <w:rsid w:val="008D5F59"/>
    <w:rsid w:val="008D6339"/>
    <w:rsid w:val="008D6B25"/>
    <w:rsid w:val="008D6F9C"/>
    <w:rsid w:val="008D7AF7"/>
    <w:rsid w:val="008E21F0"/>
    <w:rsid w:val="008E2256"/>
    <w:rsid w:val="008E253D"/>
    <w:rsid w:val="008E2621"/>
    <w:rsid w:val="008E3080"/>
    <w:rsid w:val="008E5710"/>
    <w:rsid w:val="008E5822"/>
    <w:rsid w:val="008F2335"/>
    <w:rsid w:val="008F26B9"/>
    <w:rsid w:val="008F3366"/>
    <w:rsid w:val="008F35EA"/>
    <w:rsid w:val="008F3D63"/>
    <w:rsid w:val="008F4018"/>
    <w:rsid w:val="008F479C"/>
    <w:rsid w:val="008F5170"/>
    <w:rsid w:val="008F5444"/>
    <w:rsid w:val="008F571C"/>
    <w:rsid w:val="00900027"/>
    <w:rsid w:val="00900FA8"/>
    <w:rsid w:val="00902696"/>
    <w:rsid w:val="009029D3"/>
    <w:rsid w:val="009038FB"/>
    <w:rsid w:val="00903FE6"/>
    <w:rsid w:val="00904433"/>
    <w:rsid w:val="00904D4D"/>
    <w:rsid w:val="00905404"/>
    <w:rsid w:val="009067A1"/>
    <w:rsid w:val="009067FA"/>
    <w:rsid w:val="00907732"/>
    <w:rsid w:val="00907936"/>
    <w:rsid w:val="009122AA"/>
    <w:rsid w:val="009128E1"/>
    <w:rsid w:val="00913E5F"/>
    <w:rsid w:val="009144BC"/>
    <w:rsid w:val="00914881"/>
    <w:rsid w:val="009155E0"/>
    <w:rsid w:val="00916696"/>
    <w:rsid w:val="00920529"/>
    <w:rsid w:val="0092153B"/>
    <w:rsid w:val="0092313F"/>
    <w:rsid w:val="00924590"/>
    <w:rsid w:val="0092745E"/>
    <w:rsid w:val="00927DD4"/>
    <w:rsid w:val="0093110C"/>
    <w:rsid w:val="00931DF8"/>
    <w:rsid w:val="009325D2"/>
    <w:rsid w:val="00933F16"/>
    <w:rsid w:val="009343C8"/>
    <w:rsid w:val="00935890"/>
    <w:rsid w:val="00936496"/>
    <w:rsid w:val="0093690F"/>
    <w:rsid w:val="00936AE5"/>
    <w:rsid w:val="00937B4D"/>
    <w:rsid w:val="00937EB7"/>
    <w:rsid w:val="0094124A"/>
    <w:rsid w:val="00941988"/>
    <w:rsid w:val="009425DB"/>
    <w:rsid w:val="009439F8"/>
    <w:rsid w:val="00943BD2"/>
    <w:rsid w:val="00944110"/>
    <w:rsid w:val="00944530"/>
    <w:rsid w:val="00945848"/>
    <w:rsid w:val="00945CFC"/>
    <w:rsid w:val="00947767"/>
    <w:rsid w:val="00950C05"/>
    <w:rsid w:val="00952BC7"/>
    <w:rsid w:val="009536DC"/>
    <w:rsid w:val="00953C5F"/>
    <w:rsid w:val="00954A92"/>
    <w:rsid w:val="009551BA"/>
    <w:rsid w:val="0095537A"/>
    <w:rsid w:val="0095639E"/>
    <w:rsid w:val="00960F17"/>
    <w:rsid w:val="00961035"/>
    <w:rsid w:val="00961AE7"/>
    <w:rsid w:val="00962BE7"/>
    <w:rsid w:val="009649FE"/>
    <w:rsid w:val="00964A20"/>
    <w:rsid w:val="00965877"/>
    <w:rsid w:val="00965BDE"/>
    <w:rsid w:val="00965EC8"/>
    <w:rsid w:val="00965F62"/>
    <w:rsid w:val="00967CF6"/>
    <w:rsid w:val="009701E8"/>
    <w:rsid w:val="00971A14"/>
    <w:rsid w:val="009731A7"/>
    <w:rsid w:val="00973C7F"/>
    <w:rsid w:val="00973DFD"/>
    <w:rsid w:val="00974863"/>
    <w:rsid w:val="00977546"/>
    <w:rsid w:val="00977D82"/>
    <w:rsid w:val="00980470"/>
    <w:rsid w:val="009840D3"/>
    <w:rsid w:val="0098452F"/>
    <w:rsid w:val="00986F7F"/>
    <w:rsid w:val="00987126"/>
    <w:rsid w:val="0098714B"/>
    <w:rsid w:val="009873DB"/>
    <w:rsid w:val="009875D3"/>
    <w:rsid w:val="00987ABB"/>
    <w:rsid w:val="00990E00"/>
    <w:rsid w:val="0099128D"/>
    <w:rsid w:val="00991A45"/>
    <w:rsid w:val="00991AF6"/>
    <w:rsid w:val="00992BB6"/>
    <w:rsid w:val="00993C4D"/>
    <w:rsid w:val="00994743"/>
    <w:rsid w:val="00994FAF"/>
    <w:rsid w:val="00994FEB"/>
    <w:rsid w:val="0099735A"/>
    <w:rsid w:val="009A1117"/>
    <w:rsid w:val="009A1280"/>
    <w:rsid w:val="009A1FFC"/>
    <w:rsid w:val="009A26DF"/>
    <w:rsid w:val="009A3CC0"/>
    <w:rsid w:val="009A4A72"/>
    <w:rsid w:val="009A5BA2"/>
    <w:rsid w:val="009A74BE"/>
    <w:rsid w:val="009A7695"/>
    <w:rsid w:val="009A774D"/>
    <w:rsid w:val="009B0CC8"/>
    <w:rsid w:val="009B2BF6"/>
    <w:rsid w:val="009B33D9"/>
    <w:rsid w:val="009B3E81"/>
    <w:rsid w:val="009B4078"/>
    <w:rsid w:val="009B4177"/>
    <w:rsid w:val="009B4242"/>
    <w:rsid w:val="009B5F3E"/>
    <w:rsid w:val="009B5FAF"/>
    <w:rsid w:val="009B6422"/>
    <w:rsid w:val="009B727B"/>
    <w:rsid w:val="009B79EC"/>
    <w:rsid w:val="009C110F"/>
    <w:rsid w:val="009C1DA4"/>
    <w:rsid w:val="009C27EA"/>
    <w:rsid w:val="009C2D80"/>
    <w:rsid w:val="009C62D4"/>
    <w:rsid w:val="009C6777"/>
    <w:rsid w:val="009C7B22"/>
    <w:rsid w:val="009D10C1"/>
    <w:rsid w:val="009D153C"/>
    <w:rsid w:val="009D15EC"/>
    <w:rsid w:val="009D1612"/>
    <w:rsid w:val="009D26C1"/>
    <w:rsid w:val="009D382F"/>
    <w:rsid w:val="009D41A3"/>
    <w:rsid w:val="009D492D"/>
    <w:rsid w:val="009D584C"/>
    <w:rsid w:val="009D7310"/>
    <w:rsid w:val="009D7C39"/>
    <w:rsid w:val="009D7FAE"/>
    <w:rsid w:val="009E012D"/>
    <w:rsid w:val="009E0F47"/>
    <w:rsid w:val="009E26E8"/>
    <w:rsid w:val="009E3BDF"/>
    <w:rsid w:val="009E4F19"/>
    <w:rsid w:val="009E567C"/>
    <w:rsid w:val="009E598F"/>
    <w:rsid w:val="009F006C"/>
    <w:rsid w:val="009F09C6"/>
    <w:rsid w:val="009F325A"/>
    <w:rsid w:val="009F3A76"/>
    <w:rsid w:val="009F3DAC"/>
    <w:rsid w:val="009F5153"/>
    <w:rsid w:val="009F5245"/>
    <w:rsid w:val="009F557B"/>
    <w:rsid w:val="009F7144"/>
    <w:rsid w:val="009F7DF7"/>
    <w:rsid w:val="009F7FF9"/>
    <w:rsid w:val="00A00211"/>
    <w:rsid w:val="00A00383"/>
    <w:rsid w:val="00A00445"/>
    <w:rsid w:val="00A02D2C"/>
    <w:rsid w:val="00A04044"/>
    <w:rsid w:val="00A05356"/>
    <w:rsid w:val="00A053F7"/>
    <w:rsid w:val="00A07A7D"/>
    <w:rsid w:val="00A1279A"/>
    <w:rsid w:val="00A12E5B"/>
    <w:rsid w:val="00A13311"/>
    <w:rsid w:val="00A13BD4"/>
    <w:rsid w:val="00A1436D"/>
    <w:rsid w:val="00A14C18"/>
    <w:rsid w:val="00A15EE1"/>
    <w:rsid w:val="00A160FE"/>
    <w:rsid w:val="00A17C25"/>
    <w:rsid w:val="00A211FC"/>
    <w:rsid w:val="00A22081"/>
    <w:rsid w:val="00A22335"/>
    <w:rsid w:val="00A22F57"/>
    <w:rsid w:val="00A2339A"/>
    <w:rsid w:val="00A24505"/>
    <w:rsid w:val="00A2789C"/>
    <w:rsid w:val="00A31D86"/>
    <w:rsid w:val="00A32127"/>
    <w:rsid w:val="00A32D5C"/>
    <w:rsid w:val="00A37F24"/>
    <w:rsid w:val="00A4121E"/>
    <w:rsid w:val="00A423DD"/>
    <w:rsid w:val="00A42626"/>
    <w:rsid w:val="00A446FB"/>
    <w:rsid w:val="00A447B6"/>
    <w:rsid w:val="00A45E33"/>
    <w:rsid w:val="00A47D17"/>
    <w:rsid w:val="00A52110"/>
    <w:rsid w:val="00A529FD"/>
    <w:rsid w:val="00A52EFF"/>
    <w:rsid w:val="00A5313A"/>
    <w:rsid w:val="00A55FA5"/>
    <w:rsid w:val="00A5648A"/>
    <w:rsid w:val="00A56A46"/>
    <w:rsid w:val="00A60D42"/>
    <w:rsid w:val="00A63E55"/>
    <w:rsid w:val="00A65B32"/>
    <w:rsid w:val="00A6755D"/>
    <w:rsid w:val="00A67AE7"/>
    <w:rsid w:val="00A715A2"/>
    <w:rsid w:val="00A72097"/>
    <w:rsid w:val="00A72906"/>
    <w:rsid w:val="00A74604"/>
    <w:rsid w:val="00A74B23"/>
    <w:rsid w:val="00A7665F"/>
    <w:rsid w:val="00A81AD9"/>
    <w:rsid w:val="00A81ED0"/>
    <w:rsid w:val="00A826E4"/>
    <w:rsid w:val="00A838A4"/>
    <w:rsid w:val="00A83917"/>
    <w:rsid w:val="00A83CE5"/>
    <w:rsid w:val="00A85857"/>
    <w:rsid w:val="00A86BBD"/>
    <w:rsid w:val="00A871BA"/>
    <w:rsid w:val="00A87DD7"/>
    <w:rsid w:val="00A906C3"/>
    <w:rsid w:val="00A925AF"/>
    <w:rsid w:val="00A92E20"/>
    <w:rsid w:val="00A9726B"/>
    <w:rsid w:val="00AA04B7"/>
    <w:rsid w:val="00AA05CF"/>
    <w:rsid w:val="00AA1579"/>
    <w:rsid w:val="00AA1980"/>
    <w:rsid w:val="00AA2555"/>
    <w:rsid w:val="00AA2719"/>
    <w:rsid w:val="00AA3605"/>
    <w:rsid w:val="00AA382D"/>
    <w:rsid w:val="00AA3B4D"/>
    <w:rsid w:val="00AA472F"/>
    <w:rsid w:val="00AA7755"/>
    <w:rsid w:val="00AA7F8E"/>
    <w:rsid w:val="00AB03A1"/>
    <w:rsid w:val="00AB152F"/>
    <w:rsid w:val="00AB1B7B"/>
    <w:rsid w:val="00AB4535"/>
    <w:rsid w:val="00AB5185"/>
    <w:rsid w:val="00AB585B"/>
    <w:rsid w:val="00AB6307"/>
    <w:rsid w:val="00AB6358"/>
    <w:rsid w:val="00AB759C"/>
    <w:rsid w:val="00AB793D"/>
    <w:rsid w:val="00AB7D0A"/>
    <w:rsid w:val="00AC2E5E"/>
    <w:rsid w:val="00AC4C09"/>
    <w:rsid w:val="00AC4D4B"/>
    <w:rsid w:val="00AC5154"/>
    <w:rsid w:val="00AC694F"/>
    <w:rsid w:val="00AD4CFD"/>
    <w:rsid w:val="00AD5E3A"/>
    <w:rsid w:val="00AD7718"/>
    <w:rsid w:val="00AE23CB"/>
    <w:rsid w:val="00AE31EF"/>
    <w:rsid w:val="00AE3303"/>
    <w:rsid w:val="00AE3397"/>
    <w:rsid w:val="00AE3CD9"/>
    <w:rsid w:val="00AE40A6"/>
    <w:rsid w:val="00AE46B7"/>
    <w:rsid w:val="00AE6620"/>
    <w:rsid w:val="00AE6C7E"/>
    <w:rsid w:val="00AE725B"/>
    <w:rsid w:val="00AF1EB7"/>
    <w:rsid w:val="00AF2C7E"/>
    <w:rsid w:val="00AF43A4"/>
    <w:rsid w:val="00AF5F78"/>
    <w:rsid w:val="00B01A07"/>
    <w:rsid w:val="00B01BBF"/>
    <w:rsid w:val="00B034B5"/>
    <w:rsid w:val="00B0508A"/>
    <w:rsid w:val="00B06756"/>
    <w:rsid w:val="00B067F9"/>
    <w:rsid w:val="00B0773A"/>
    <w:rsid w:val="00B101D1"/>
    <w:rsid w:val="00B11B5A"/>
    <w:rsid w:val="00B13CD8"/>
    <w:rsid w:val="00B141B1"/>
    <w:rsid w:val="00B151A2"/>
    <w:rsid w:val="00B15312"/>
    <w:rsid w:val="00B1586D"/>
    <w:rsid w:val="00B167B2"/>
    <w:rsid w:val="00B21013"/>
    <w:rsid w:val="00B21A8E"/>
    <w:rsid w:val="00B2314A"/>
    <w:rsid w:val="00B235A7"/>
    <w:rsid w:val="00B23A9E"/>
    <w:rsid w:val="00B23B55"/>
    <w:rsid w:val="00B23D92"/>
    <w:rsid w:val="00B23F9F"/>
    <w:rsid w:val="00B2536C"/>
    <w:rsid w:val="00B26098"/>
    <w:rsid w:val="00B26614"/>
    <w:rsid w:val="00B2750E"/>
    <w:rsid w:val="00B3261E"/>
    <w:rsid w:val="00B327DB"/>
    <w:rsid w:val="00B3287E"/>
    <w:rsid w:val="00B32C09"/>
    <w:rsid w:val="00B32C53"/>
    <w:rsid w:val="00B33495"/>
    <w:rsid w:val="00B3393F"/>
    <w:rsid w:val="00B33D2F"/>
    <w:rsid w:val="00B34192"/>
    <w:rsid w:val="00B34C33"/>
    <w:rsid w:val="00B34DC2"/>
    <w:rsid w:val="00B350F7"/>
    <w:rsid w:val="00B355CB"/>
    <w:rsid w:val="00B35C49"/>
    <w:rsid w:val="00B35D18"/>
    <w:rsid w:val="00B3608D"/>
    <w:rsid w:val="00B3625C"/>
    <w:rsid w:val="00B37B82"/>
    <w:rsid w:val="00B410FE"/>
    <w:rsid w:val="00B412EE"/>
    <w:rsid w:val="00B4186E"/>
    <w:rsid w:val="00B42A23"/>
    <w:rsid w:val="00B476FF"/>
    <w:rsid w:val="00B47C44"/>
    <w:rsid w:val="00B51611"/>
    <w:rsid w:val="00B520B4"/>
    <w:rsid w:val="00B53282"/>
    <w:rsid w:val="00B5480F"/>
    <w:rsid w:val="00B5490F"/>
    <w:rsid w:val="00B569BF"/>
    <w:rsid w:val="00B56D84"/>
    <w:rsid w:val="00B57A80"/>
    <w:rsid w:val="00B60394"/>
    <w:rsid w:val="00B61C3B"/>
    <w:rsid w:val="00B6250E"/>
    <w:rsid w:val="00B62E92"/>
    <w:rsid w:val="00B63612"/>
    <w:rsid w:val="00B665D0"/>
    <w:rsid w:val="00B677F8"/>
    <w:rsid w:val="00B715BB"/>
    <w:rsid w:val="00B73506"/>
    <w:rsid w:val="00B737C2"/>
    <w:rsid w:val="00B75A20"/>
    <w:rsid w:val="00B75D51"/>
    <w:rsid w:val="00B766DB"/>
    <w:rsid w:val="00B77B91"/>
    <w:rsid w:val="00B77DB9"/>
    <w:rsid w:val="00B80DF0"/>
    <w:rsid w:val="00B8204F"/>
    <w:rsid w:val="00B8213B"/>
    <w:rsid w:val="00B82399"/>
    <w:rsid w:val="00B823AE"/>
    <w:rsid w:val="00B82856"/>
    <w:rsid w:val="00B848B5"/>
    <w:rsid w:val="00B85535"/>
    <w:rsid w:val="00B874B5"/>
    <w:rsid w:val="00B87A48"/>
    <w:rsid w:val="00B9024A"/>
    <w:rsid w:val="00B9097F"/>
    <w:rsid w:val="00B90D65"/>
    <w:rsid w:val="00B9156E"/>
    <w:rsid w:val="00B92F03"/>
    <w:rsid w:val="00B94240"/>
    <w:rsid w:val="00B94AD3"/>
    <w:rsid w:val="00B9582A"/>
    <w:rsid w:val="00B95EEE"/>
    <w:rsid w:val="00B96341"/>
    <w:rsid w:val="00B96608"/>
    <w:rsid w:val="00B96F76"/>
    <w:rsid w:val="00B97E76"/>
    <w:rsid w:val="00BA1103"/>
    <w:rsid w:val="00BA1395"/>
    <w:rsid w:val="00BA4663"/>
    <w:rsid w:val="00BA55BD"/>
    <w:rsid w:val="00BA590D"/>
    <w:rsid w:val="00BA6654"/>
    <w:rsid w:val="00BB0137"/>
    <w:rsid w:val="00BB29E9"/>
    <w:rsid w:val="00BB34CA"/>
    <w:rsid w:val="00BB3A4B"/>
    <w:rsid w:val="00BB3CB2"/>
    <w:rsid w:val="00BB408F"/>
    <w:rsid w:val="00BB4545"/>
    <w:rsid w:val="00BB46FF"/>
    <w:rsid w:val="00BB4B4C"/>
    <w:rsid w:val="00BB56BB"/>
    <w:rsid w:val="00BB588A"/>
    <w:rsid w:val="00BC0BA6"/>
    <w:rsid w:val="00BC3078"/>
    <w:rsid w:val="00BC3897"/>
    <w:rsid w:val="00BC3F98"/>
    <w:rsid w:val="00BC51BC"/>
    <w:rsid w:val="00BC60AB"/>
    <w:rsid w:val="00BC668B"/>
    <w:rsid w:val="00BC6916"/>
    <w:rsid w:val="00BD03CF"/>
    <w:rsid w:val="00BD1C90"/>
    <w:rsid w:val="00BD1CF0"/>
    <w:rsid w:val="00BD2045"/>
    <w:rsid w:val="00BD225D"/>
    <w:rsid w:val="00BD3778"/>
    <w:rsid w:val="00BD651E"/>
    <w:rsid w:val="00BD6CD5"/>
    <w:rsid w:val="00BD7866"/>
    <w:rsid w:val="00BD78E7"/>
    <w:rsid w:val="00BE1C91"/>
    <w:rsid w:val="00BE35C4"/>
    <w:rsid w:val="00BE4CA3"/>
    <w:rsid w:val="00BE5064"/>
    <w:rsid w:val="00BE5734"/>
    <w:rsid w:val="00BE72B0"/>
    <w:rsid w:val="00BE7398"/>
    <w:rsid w:val="00BF04D3"/>
    <w:rsid w:val="00BF0AA1"/>
    <w:rsid w:val="00BF0C39"/>
    <w:rsid w:val="00BF2CA3"/>
    <w:rsid w:val="00BF4DC3"/>
    <w:rsid w:val="00BF6E59"/>
    <w:rsid w:val="00C00243"/>
    <w:rsid w:val="00C01DA2"/>
    <w:rsid w:val="00C02B26"/>
    <w:rsid w:val="00C030FC"/>
    <w:rsid w:val="00C03514"/>
    <w:rsid w:val="00C04981"/>
    <w:rsid w:val="00C04EE8"/>
    <w:rsid w:val="00C060D9"/>
    <w:rsid w:val="00C06B9A"/>
    <w:rsid w:val="00C137C0"/>
    <w:rsid w:val="00C138DB"/>
    <w:rsid w:val="00C147D9"/>
    <w:rsid w:val="00C1569B"/>
    <w:rsid w:val="00C172CA"/>
    <w:rsid w:val="00C175F2"/>
    <w:rsid w:val="00C202A7"/>
    <w:rsid w:val="00C205D0"/>
    <w:rsid w:val="00C20AFA"/>
    <w:rsid w:val="00C21A0B"/>
    <w:rsid w:val="00C21BDC"/>
    <w:rsid w:val="00C21DBB"/>
    <w:rsid w:val="00C225CE"/>
    <w:rsid w:val="00C229E7"/>
    <w:rsid w:val="00C23C8E"/>
    <w:rsid w:val="00C24AF8"/>
    <w:rsid w:val="00C2539C"/>
    <w:rsid w:val="00C2632D"/>
    <w:rsid w:val="00C273BC"/>
    <w:rsid w:val="00C32442"/>
    <w:rsid w:val="00C32503"/>
    <w:rsid w:val="00C32B34"/>
    <w:rsid w:val="00C33A24"/>
    <w:rsid w:val="00C33EB0"/>
    <w:rsid w:val="00C351BA"/>
    <w:rsid w:val="00C36FAB"/>
    <w:rsid w:val="00C371DE"/>
    <w:rsid w:val="00C3751E"/>
    <w:rsid w:val="00C37617"/>
    <w:rsid w:val="00C40E92"/>
    <w:rsid w:val="00C4116D"/>
    <w:rsid w:val="00C413E1"/>
    <w:rsid w:val="00C420AF"/>
    <w:rsid w:val="00C43BB4"/>
    <w:rsid w:val="00C4425D"/>
    <w:rsid w:val="00C45650"/>
    <w:rsid w:val="00C460A7"/>
    <w:rsid w:val="00C463C1"/>
    <w:rsid w:val="00C46CBC"/>
    <w:rsid w:val="00C47C4F"/>
    <w:rsid w:val="00C5586F"/>
    <w:rsid w:val="00C5759C"/>
    <w:rsid w:val="00C60C62"/>
    <w:rsid w:val="00C62611"/>
    <w:rsid w:val="00C630A8"/>
    <w:rsid w:val="00C645E1"/>
    <w:rsid w:val="00C6484D"/>
    <w:rsid w:val="00C6502E"/>
    <w:rsid w:val="00C658CE"/>
    <w:rsid w:val="00C70069"/>
    <w:rsid w:val="00C714E3"/>
    <w:rsid w:val="00C71527"/>
    <w:rsid w:val="00C71647"/>
    <w:rsid w:val="00C72954"/>
    <w:rsid w:val="00C73D32"/>
    <w:rsid w:val="00C768C7"/>
    <w:rsid w:val="00C77639"/>
    <w:rsid w:val="00C811F6"/>
    <w:rsid w:val="00C81F9C"/>
    <w:rsid w:val="00C828A5"/>
    <w:rsid w:val="00C8297C"/>
    <w:rsid w:val="00C83B40"/>
    <w:rsid w:val="00C84483"/>
    <w:rsid w:val="00C86705"/>
    <w:rsid w:val="00C9091E"/>
    <w:rsid w:val="00C91441"/>
    <w:rsid w:val="00C916DE"/>
    <w:rsid w:val="00C944CF"/>
    <w:rsid w:val="00C958AD"/>
    <w:rsid w:val="00C95936"/>
    <w:rsid w:val="00C95D50"/>
    <w:rsid w:val="00C962F2"/>
    <w:rsid w:val="00CA0704"/>
    <w:rsid w:val="00CA07D7"/>
    <w:rsid w:val="00CA18D9"/>
    <w:rsid w:val="00CA4108"/>
    <w:rsid w:val="00CA5D32"/>
    <w:rsid w:val="00CA6E77"/>
    <w:rsid w:val="00CB0C3A"/>
    <w:rsid w:val="00CB254C"/>
    <w:rsid w:val="00CB2C6B"/>
    <w:rsid w:val="00CB46AE"/>
    <w:rsid w:val="00CB53B0"/>
    <w:rsid w:val="00CB6D1E"/>
    <w:rsid w:val="00CB71D3"/>
    <w:rsid w:val="00CC00E5"/>
    <w:rsid w:val="00CC019D"/>
    <w:rsid w:val="00CC17E6"/>
    <w:rsid w:val="00CC1906"/>
    <w:rsid w:val="00CC1C19"/>
    <w:rsid w:val="00CC241E"/>
    <w:rsid w:val="00CC2425"/>
    <w:rsid w:val="00CC285B"/>
    <w:rsid w:val="00CC288F"/>
    <w:rsid w:val="00CC4365"/>
    <w:rsid w:val="00CC5310"/>
    <w:rsid w:val="00CC6626"/>
    <w:rsid w:val="00CC67E0"/>
    <w:rsid w:val="00CC6969"/>
    <w:rsid w:val="00CC69B8"/>
    <w:rsid w:val="00CC719C"/>
    <w:rsid w:val="00CC7707"/>
    <w:rsid w:val="00CD06DA"/>
    <w:rsid w:val="00CD17FD"/>
    <w:rsid w:val="00CD19FB"/>
    <w:rsid w:val="00CD2C69"/>
    <w:rsid w:val="00CD30B2"/>
    <w:rsid w:val="00CD3965"/>
    <w:rsid w:val="00CD3D59"/>
    <w:rsid w:val="00CD6D0A"/>
    <w:rsid w:val="00CD7A79"/>
    <w:rsid w:val="00CE0BDE"/>
    <w:rsid w:val="00CE116C"/>
    <w:rsid w:val="00CE1AD0"/>
    <w:rsid w:val="00CE2DE4"/>
    <w:rsid w:val="00CE408B"/>
    <w:rsid w:val="00CE7631"/>
    <w:rsid w:val="00CF1AAA"/>
    <w:rsid w:val="00CF2459"/>
    <w:rsid w:val="00CF6A44"/>
    <w:rsid w:val="00D00BD1"/>
    <w:rsid w:val="00D024E6"/>
    <w:rsid w:val="00D02AA3"/>
    <w:rsid w:val="00D02ADF"/>
    <w:rsid w:val="00D03A5E"/>
    <w:rsid w:val="00D043EE"/>
    <w:rsid w:val="00D04D0B"/>
    <w:rsid w:val="00D1047B"/>
    <w:rsid w:val="00D10E17"/>
    <w:rsid w:val="00D11112"/>
    <w:rsid w:val="00D1310E"/>
    <w:rsid w:val="00D133B2"/>
    <w:rsid w:val="00D15320"/>
    <w:rsid w:val="00D155D7"/>
    <w:rsid w:val="00D200B9"/>
    <w:rsid w:val="00D20A25"/>
    <w:rsid w:val="00D215E2"/>
    <w:rsid w:val="00D21823"/>
    <w:rsid w:val="00D24111"/>
    <w:rsid w:val="00D26C40"/>
    <w:rsid w:val="00D26C98"/>
    <w:rsid w:val="00D26E71"/>
    <w:rsid w:val="00D2742F"/>
    <w:rsid w:val="00D27BBD"/>
    <w:rsid w:val="00D307F4"/>
    <w:rsid w:val="00D30AA5"/>
    <w:rsid w:val="00D31046"/>
    <w:rsid w:val="00D315FB"/>
    <w:rsid w:val="00D31C4E"/>
    <w:rsid w:val="00D33171"/>
    <w:rsid w:val="00D3462C"/>
    <w:rsid w:val="00D34E8C"/>
    <w:rsid w:val="00D3576A"/>
    <w:rsid w:val="00D36358"/>
    <w:rsid w:val="00D36379"/>
    <w:rsid w:val="00D363A2"/>
    <w:rsid w:val="00D36895"/>
    <w:rsid w:val="00D37275"/>
    <w:rsid w:val="00D3763F"/>
    <w:rsid w:val="00D37CEB"/>
    <w:rsid w:val="00D4046D"/>
    <w:rsid w:val="00D4085D"/>
    <w:rsid w:val="00D40DAD"/>
    <w:rsid w:val="00D427E6"/>
    <w:rsid w:val="00D448C0"/>
    <w:rsid w:val="00D46B5E"/>
    <w:rsid w:val="00D470BE"/>
    <w:rsid w:val="00D473A4"/>
    <w:rsid w:val="00D47E24"/>
    <w:rsid w:val="00D51BD5"/>
    <w:rsid w:val="00D52B8E"/>
    <w:rsid w:val="00D534A6"/>
    <w:rsid w:val="00D559E6"/>
    <w:rsid w:val="00D561A9"/>
    <w:rsid w:val="00D566D4"/>
    <w:rsid w:val="00D5765C"/>
    <w:rsid w:val="00D57914"/>
    <w:rsid w:val="00D57B02"/>
    <w:rsid w:val="00D57C8E"/>
    <w:rsid w:val="00D604E3"/>
    <w:rsid w:val="00D606F7"/>
    <w:rsid w:val="00D613CA"/>
    <w:rsid w:val="00D645DB"/>
    <w:rsid w:val="00D656D1"/>
    <w:rsid w:val="00D66BC0"/>
    <w:rsid w:val="00D677A3"/>
    <w:rsid w:val="00D67A60"/>
    <w:rsid w:val="00D705EC"/>
    <w:rsid w:val="00D71090"/>
    <w:rsid w:val="00D71EB4"/>
    <w:rsid w:val="00D7210B"/>
    <w:rsid w:val="00D72194"/>
    <w:rsid w:val="00D727F9"/>
    <w:rsid w:val="00D72CBE"/>
    <w:rsid w:val="00D73046"/>
    <w:rsid w:val="00D741DD"/>
    <w:rsid w:val="00D7511D"/>
    <w:rsid w:val="00D763E3"/>
    <w:rsid w:val="00D82D8E"/>
    <w:rsid w:val="00D84ADF"/>
    <w:rsid w:val="00D85239"/>
    <w:rsid w:val="00D862B5"/>
    <w:rsid w:val="00D877D7"/>
    <w:rsid w:val="00D92A3F"/>
    <w:rsid w:val="00D945C6"/>
    <w:rsid w:val="00D94A06"/>
    <w:rsid w:val="00D94AAD"/>
    <w:rsid w:val="00D94CEA"/>
    <w:rsid w:val="00D95E73"/>
    <w:rsid w:val="00D9703C"/>
    <w:rsid w:val="00D975A7"/>
    <w:rsid w:val="00D97F86"/>
    <w:rsid w:val="00DA1E7A"/>
    <w:rsid w:val="00DA2814"/>
    <w:rsid w:val="00DA2A9C"/>
    <w:rsid w:val="00DA2F81"/>
    <w:rsid w:val="00DA4110"/>
    <w:rsid w:val="00DA4ADC"/>
    <w:rsid w:val="00DA635E"/>
    <w:rsid w:val="00DA7351"/>
    <w:rsid w:val="00DA7810"/>
    <w:rsid w:val="00DB0D84"/>
    <w:rsid w:val="00DB2385"/>
    <w:rsid w:val="00DB26E9"/>
    <w:rsid w:val="00DB35F5"/>
    <w:rsid w:val="00DB6238"/>
    <w:rsid w:val="00DB72A0"/>
    <w:rsid w:val="00DB73A5"/>
    <w:rsid w:val="00DC0791"/>
    <w:rsid w:val="00DC0B69"/>
    <w:rsid w:val="00DC2897"/>
    <w:rsid w:val="00DC2A77"/>
    <w:rsid w:val="00DC4EBC"/>
    <w:rsid w:val="00DC5F53"/>
    <w:rsid w:val="00DC6F49"/>
    <w:rsid w:val="00DD14C1"/>
    <w:rsid w:val="00DD44E0"/>
    <w:rsid w:val="00DD4BF2"/>
    <w:rsid w:val="00DD505F"/>
    <w:rsid w:val="00DD5337"/>
    <w:rsid w:val="00DE17E1"/>
    <w:rsid w:val="00DE1BC3"/>
    <w:rsid w:val="00DE1FC8"/>
    <w:rsid w:val="00DE225D"/>
    <w:rsid w:val="00DE256C"/>
    <w:rsid w:val="00DE2BDE"/>
    <w:rsid w:val="00DE343F"/>
    <w:rsid w:val="00DE34E6"/>
    <w:rsid w:val="00DE37AE"/>
    <w:rsid w:val="00DE3F81"/>
    <w:rsid w:val="00DE6CCA"/>
    <w:rsid w:val="00DF11B3"/>
    <w:rsid w:val="00DF2F23"/>
    <w:rsid w:val="00DF3670"/>
    <w:rsid w:val="00DF37D0"/>
    <w:rsid w:val="00DF3CB6"/>
    <w:rsid w:val="00DF57F8"/>
    <w:rsid w:val="00DF5B3A"/>
    <w:rsid w:val="00DF6C03"/>
    <w:rsid w:val="00DF7D3B"/>
    <w:rsid w:val="00E011A8"/>
    <w:rsid w:val="00E03038"/>
    <w:rsid w:val="00E0316F"/>
    <w:rsid w:val="00E035A9"/>
    <w:rsid w:val="00E04610"/>
    <w:rsid w:val="00E051A1"/>
    <w:rsid w:val="00E060C6"/>
    <w:rsid w:val="00E0623D"/>
    <w:rsid w:val="00E06283"/>
    <w:rsid w:val="00E079BE"/>
    <w:rsid w:val="00E10614"/>
    <w:rsid w:val="00E10C86"/>
    <w:rsid w:val="00E1120B"/>
    <w:rsid w:val="00E11C2C"/>
    <w:rsid w:val="00E12510"/>
    <w:rsid w:val="00E13209"/>
    <w:rsid w:val="00E15859"/>
    <w:rsid w:val="00E15BCB"/>
    <w:rsid w:val="00E169DA"/>
    <w:rsid w:val="00E171DF"/>
    <w:rsid w:val="00E1746B"/>
    <w:rsid w:val="00E20FD1"/>
    <w:rsid w:val="00E212CF"/>
    <w:rsid w:val="00E22A67"/>
    <w:rsid w:val="00E22BE3"/>
    <w:rsid w:val="00E23694"/>
    <w:rsid w:val="00E27033"/>
    <w:rsid w:val="00E27AD8"/>
    <w:rsid w:val="00E3046A"/>
    <w:rsid w:val="00E31247"/>
    <w:rsid w:val="00E34260"/>
    <w:rsid w:val="00E3563D"/>
    <w:rsid w:val="00E36371"/>
    <w:rsid w:val="00E36670"/>
    <w:rsid w:val="00E373FA"/>
    <w:rsid w:val="00E3797E"/>
    <w:rsid w:val="00E40B11"/>
    <w:rsid w:val="00E42642"/>
    <w:rsid w:val="00E42AA3"/>
    <w:rsid w:val="00E43ACE"/>
    <w:rsid w:val="00E441AD"/>
    <w:rsid w:val="00E44AA5"/>
    <w:rsid w:val="00E45F1F"/>
    <w:rsid w:val="00E47143"/>
    <w:rsid w:val="00E474B0"/>
    <w:rsid w:val="00E47A3B"/>
    <w:rsid w:val="00E55080"/>
    <w:rsid w:val="00E553D5"/>
    <w:rsid w:val="00E5544F"/>
    <w:rsid w:val="00E55DF3"/>
    <w:rsid w:val="00E562BD"/>
    <w:rsid w:val="00E56C89"/>
    <w:rsid w:val="00E56E26"/>
    <w:rsid w:val="00E62207"/>
    <w:rsid w:val="00E63E13"/>
    <w:rsid w:val="00E65C94"/>
    <w:rsid w:val="00E6655B"/>
    <w:rsid w:val="00E66F54"/>
    <w:rsid w:val="00E6772E"/>
    <w:rsid w:val="00E71099"/>
    <w:rsid w:val="00E71A0D"/>
    <w:rsid w:val="00E74900"/>
    <w:rsid w:val="00E76D98"/>
    <w:rsid w:val="00E773D1"/>
    <w:rsid w:val="00E77497"/>
    <w:rsid w:val="00E803FD"/>
    <w:rsid w:val="00E815D3"/>
    <w:rsid w:val="00E818E5"/>
    <w:rsid w:val="00E81A57"/>
    <w:rsid w:val="00E81BF9"/>
    <w:rsid w:val="00E82BC0"/>
    <w:rsid w:val="00E834C6"/>
    <w:rsid w:val="00E83CF6"/>
    <w:rsid w:val="00E83F33"/>
    <w:rsid w:val="00E84185"/>
    <w:rsid w:val="00E84A4D"/>
    <w:rsid w:val="00E86443"/>
    <w:rsid w:val="00E879F9"/>
    <w:rsid w:val="00E90E35"/>
    <w:rsid w:val="00E91614"/>
    <w:rsid w:val="00E93E81"/>
    <w:rsid w:val="00E943FF"/>
    <w:rsid w:val="00E961D2"/>
    <w:rsid w:val="00E96719"/>
    <w:rsid w:val="00E97517"/>
    <w:rsid w:val="00EA175A"/>
    <w:rsid w:val="00EA1875"/>
    <w:rsid w:val="00EA20E2"/>
    <w:rsid w:val="00EA242B"/>
    <w:rsid w:val="00EA272A"/>
    <w:rsid w:val="00EA5EFE"/>
    <w:rsid w:val="00EA6129"/>
    <w:rsid w:val="00EB07AE"/>
    <w:rsid w:val="00EB0B29"/>
    <w:rsid w:val="00EB220B"/>
    <w:rsid w:val="00EB2328"/>
    <w:rsid w:val="00EB232E"/>
    <w:rsid w:val="00EB2394"/>
    <w:rsid w:val="00EB24FA"/>
    <w:rsid w:val="00EB3445"/>
    <w:rsid w:val="00EB3DA0"/>
    <w:rsid w:val="00EB5E7D"/>
    <w:rsid w:val="00EB6870"/>
    <w:rsid w:val="00EB7BE1"/>
    <w:rsid w:val="00EB7F43"/>
    <w:rsid w:val="00EC09FC"/>
    <w:rsid w:val="00EC0FAB"/>
    <w:rsid w:val="00EC1367"/>
    <w:rsid w:val="00EC2EF3"/>
    <w:rsid w:val="00EC47BD"/>
    <w:rsid w:val="00EC7B5A"/>
    <w:rsid w:val="00ED0911"/>
    <w:rsid w:val="00ED21A3"/>
    <w:rsid w:val="00ED2F66"/>
    <w:rsid w:val="00ED31E8"/>
    <w:rsid w:val="00ED48C0"/>
    <w:rsid w:val="00ED65AA"/>
    <w:rsid w:val="00ED7592"/>
    <w:rsid w:val="00EE038D"/>
    <w:rsid w:val="00EE1DBD"/>
    <w:rsid w:val="00EE1EF6"/>
    <w:rsid w:val="00EE2E96"/>
    <w:rsid w:val="00EE2F38"/>
    <w:rsid w:val="00EE305E"/>
    <w:rsid w:val="00EE6BC6"/>
    <w:rsid w:val="00EE7235"/>
    <w:rsid w:val="00EE769A"/>
    <w:rsid w:val="00EF057D"/>
    <w:rsid w:val="00EF1D33"/>
    <w:rsid w:val="00EF21F5"/>
    <w:rsid w:val="00EF24DE"/>
    <w:rsid w:val="00EF3C06"/>
    <w:rsid w:val="00EF5AAD"/>
    <w:rsid w:val="00EF6992"/>
    <w:rsid w:val="00EF6C8E"/>
    <w:rsid w:val="00EF74BD"/>
    <w:rsid w:val="00F01707"/>
    <w:rsid w:val="00F01DCA"/>
    <w:rsid w:val="00F01FDE"/>
    <w:rsid w:val="00F024BC"/>
    <w:rsid w:val="00F04DBE"/>
    <w:rsid w:val="00F068E7"/>
    <w:rsid w:val="00F07F8D"/>
    <w:rsid w:val="00F10438"/>
    <w:rsid w:val="00F10996"/>
    <w:rsid w:val="00F124DE"/>
    <w:rsid w:val="00F139E7"/>
    <w:rsid w:val="00F13F57"/>
    <w:rsid w:val="00F1540C"/>
    <w:rsid w:val="00F15789"/>
    <w:rsid w:val="00F15CC4"/>
    <w:rsid w:val="00F17882"/>
    <w:rsid w:val="00F20BC1"/>
    <w:rsid w:val="00F21299"/>
    <w:rsid w:val="00F23877"/>
    <w:rsid w:val="00F24BF9"/>
    <w:rsid w:val="00F24D02"/>
    <w:rsid w:val="00F2596B"/>
    <w:rsid w:val="00F262BC"/>
    <w:rsid w:val="00F26E07"/>
    <w:rsid w:val="00F30202"/>
    <w:rsid w:val="00F3284E"/>
    <w:rsid w:val="00F33E54"/>
    <w:rsid w:val="00F34320"/>
    <w:rsid w:val="00F3461C"/>
    <w:rsid w:val="00F357DD"/>
    <w:rsid w:val="00F372E3"/>
    <w:rsid w:val="00F37E26"/>
    <w:rsid w:val="00F40431"/>
    <w:rsid w:val="00F40457"/>
    <w:rsid w:val="00F40B86"/>
    <w:rsid w:val="00F42052"/>
    <w:rsid w:val="00F4218B"/>
    <w:rsid w:val="00F42F9A"/>
    <w:rsid w:val="00F43026"/>
    <w:rsid w:val="00F44340"/>
    <w:rsid w:val="00F444EC"/>
    <w:rsid w:val="00F44BE2"/>
    <w:rsid w:val="00F45A0B"/>
    <w:rsid w:val="00F45DC6"/>
    <w:rsid w:val="00F4634F"/>
    <w:rsid w:val="00F465B3"/>
    <w:rsid w:val="00F46BF0"/>
    <w:rsid w:val="00F47EEC"/>
    <w:rsid w:val="00F521C4"/>
    <w:rsid w:val="00F527F1"/>
    <w:rsid w:val="00F53289"/>
    <w:rsid w:val="00F541DD"/>
    <w:rsid w:val="00F560F7"/>
    <w:rsid w:val="00F56844"/>
    <w:rsid w:val="00F6036D"/>
    <w:rsid w:val="00F62091"/>
    <w:rsid w:val="00F62119"/>
    <w:rsid w:val="00F63592"/>
    <w:rsid w:val="00F635F4"/>
    <w:rsid w:val="00F64922"/>
    <w:rsid w:val="00F64E40"/>
    <w:rsid w:val="00F66272"/>
    <w:rsid w:val="00F6727C"/>
    <w:rsid w:val="00F67858"/>
    <w:rsid w:val="00F703D8"/>
    <w:rsid w:val="00F70D3C"/>
    <w:rsid w:val="00F717E7"/>
    <w:rsid w:val="00F7201D"/>
    <w:rsid w:val="00F72A4F"/>
    <w:rsid w:val="00F73FD6"/>
    <w:rsid w:val="00F75077"/>
    <w:rsid w:val="00F76C9B"/>
    <w:rsid w:val="00F7749C"/>
    <w:rsid w:val="00F80102"/>
    <w:rsid w:val="00F806EB"/>
    <w:rsid w:val="00F80A21"/>
    <w:rsid w:val="00F80E39"/>
    <w:rsid w:val="00F8106B"/>
    <w:rsid w:val="00F8379A"/>
    <w:rsid w:val="00F83F67"/>
    <w:rsid w:val="00F8652B"/>
    <w:rsid w:val="00F86A71"/>
    <w:rsid w:val="00F86AAE"/>
    <w:rsid w:val="00F90BAA"/>
    <w:rsid w:val="00F90CAD"/>
    <w:rsid w:val="00F913DE"/>
    <w:rsid w:val="00F940B7"/>
    <w:rsid w:val="00F94363"/>
    <w:rsid w:val="00F94FF8"/>
    <w:rsid w:val="00F9591D"/>
    <w:rsid w:val="00F96BB7"/>
    <w:rsid w:val="00F96E6F"/>
    <w:rsid w:val="00F9745A"/>
    <w:rsid w:val="00F97EEF"/>
    <w:rsid w:val="00FA14CA"/>
    <w:rsid w:val="00FA3461"/>
    <w:rsid w:val="00FA55D3"/>
    <w:rsid w:val="00FA7426"/>
    <w:rsid w:val="00FB2F99"/>
    <w:rsid w:val="00FB3B6A"/>
    <w:rsid w:val="00FB608A"/>
    <w:rsid w:val="00FB6185"/>
    <w:rsid w:val="00FB6802"/>
    <w:rsid w:val="00FB6924"/>
    <w:rsid w:val="00FB6CA2"/>
    <w:rsid w:val="00FB7744"/>
    <w:rsid w:val="00FC1B4C"/>
    <w:rsid w:val="00FC61F9"/>
    <w:rsid w:val="00FD00F3"/>
    <w:rsid w:val="00FD1F8C"/>
    <w:rsid w:val="00FD53B4"/>
    <w:rsid w:val="00FD59A1"/>
    <w:rsid w:val="00FD6F19"/>
    <w:rsid w:val="00FE0C4A"/>
    <w:rsid w:val="00FE297E"/>
    <w:rsid w:val="00FE3421"/>
    <w:rsid w:val="00FE3892"/>
    <w:rsid w:val="00FE3C4E"/>
    <w:rsid w:val="00FE43E0"/>
    <w:rsid w:val="00FE48DE"/>
    <w:rsid w:val="00FE4C47"/>
    <w:rsid w:val="00FE5004"/>
    <w:rsid w:val="00FE5F56"/>
    <w:rsid w:val="00FE6842"/>
    <w:rsid w:val="00FE7228"/>
    <w:rsid w:val="00FE7F58"/>
    <w:rsid w:val="00FF06C9"/>
    <w:rsid w:val="00FF1BF8"/>
    <w:rsid w:val="00FF398E"/>
    <w:rsid w:val="00FF41E2"/>
    <w:rsid w:val="00FF4CBF"/>
    <w:rsid w:val="00FF5B82"/>
    <w:rsid w:val="00FF6E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AC12FBB-53F7-4C63-84A9-209E1B687C8A}"/>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imes New Roman" w:eastAsia="Times New Roman" w:hAnsi="Times New Roman" w:cs="Times New Roman"/>
        <w:lang w:val="es-ES" w:eastAsia="es-ES" w:bidi="es-ES"/>
      </w:rPr>
    </w:rPrDefault>
    <w:pPrDefault/>
  </w:docDefaults>
  <w:latentStyles xmlns:w15="http://schemas.microsoft.com/office/word/2012/wordml"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146C4F"/>
    <w:rPr>
      <w:sz w:val="24"/>
      <w:szCs w:val="24"/>
    </w:rPr>
  </w:style>
  <w:style xmlns:w15="http://schemas.microsoft.com/office/word/2012/wordml" w:type="paragraph" w:styleId="Heading1">
    <w:name w:val="heading 1"/>
    <w:basedOn w:val="Normal"/>
    <w:next w:val="BodyText"/>
    <w:link w:val="Heading1Char"/>
    <w:uiPriority w:val="99"/>
    <w:qFormat/>
    <w:rsid w:val="00952BC7"/>
    <w:pPr>
      <w:keepNext/>
      <w:widowControl w:val="0"/>
      <w:numPr>
        <w:numId w:val="1"/>
      </w:numPr>
      <w:suppressAutoHyphens/>
      <w:overflowPunct w:val="0"/>
      <w:autoSpaceDE w:val="0"/>
      <w:autoSpaceDN w:val="0"/>
      <w:adjustRightInd w:val="0"/>
      <w:spacing w:before="240" w:after="60"/>
      <w:textAlignment w:val="baseline"/>
      <w:outlineLvl w:val="0"/>
    </w:pPr>
    <w:rPr>
      <w:b/>
      <w:kern w:val="1"/>
      <w:sz w:val="40"/>
      <w:szCs w:val="20"/>
    </w:rPr>
  </w:style>
  <w:style xmlns:w15="http://schemas.microsoft.com/office/word/2012/wordml" w:type="paragraph" w:styleId="Heading2">
    <w:name w:val="heading 2"/>
    <w:basedOn w:val="Normal"/>
    <w:next w:val="BodyText"/>
    <w:link w:val="Heading2Char"/>
    <w:uiPriority w:val="99"/>
    <w:qFormat/>
    <w:rsid w:val="00952BC7"/>
    <w:pPr>
      <w:keepNext/>
      <w:widowControl w:val="0"/>
      <w:numPr>
        <w:ilvl w:val="1"/>
        <w:numId w:val="1"/>
      </w:numPr>
      <w:suppressAutoHyphens/>
      <w:overflowPunct w:val="0"/>
      <w:autoSpaceDE w:val="0"/>
      <w:autoSpaceDN w:val="0"/>
      <w:adjustRightInd w:val="0"/>
      <w:spacing w:before="240" w:after="60"/>
      <w:textAlignment w:val="baseline"/>
      <w:outlineLvl w:val="1"/>
    </w:pPr>
    <w:rPr>
      <w:b/>
      <w:kern w:val="1"/>
      <w:sz w:val="32"/>
      <w:szCs w:val="20"/>
    </w:rPr>
  </w:style>
  <w:style xmlns:w15="http://schemas.microsoft.com/office/word/2012/wordml" w:type="paragraph" w:styleId="Heading3">
    <w:name w:val="heading 3"/>
    <w:basedOn w:val="Normal"/>
    <w:next w:val="BodyText"/>
    <w:link w:val="Heading3Char"/>
    <w:uiPriority w:val="99"/>
    <w:qFormat/>
    <w:rsid w:val="00952BC7"/>
    <w:pPr>
      <w:keepNext/>
      <w:widowControl w:val="0"/>
      <w:numPr>
        <w:ilvl w:val="2"/>
        <w:numId w:val="1"/>
      </w:numPr>
      <w:suppressAutoHyphens/>
      <w:overflowPunct w:val="0"/>
      <w:autoSpaceDE w:val="0"/>
      <w:autoSpaceDN w:val="0"/>
      <w:adjustRightInd w:val="0"/>
      <w:spacing w:before="240" w:after="60"/>
      <w:textAlignment w:val="baseline"/>
      <w:outlineLvl w:val="2"/>
    </w:pPr>
    <w:rPr>
      <w:b/>
      <w:kern w:val="1"/>
      <w:sz w:val="32"/>
      <w:szCs w:val="20"/>
    </w:rPr>
  </w:style>
  <w:style xmlns:w15="http://schemas.microsoft.com/office/word/2012/wordml" w:type="paragraph" w:styleId="Heading4">
    <w:name w:val="heading 4"/>
    <w:basedOn w:val="Normal"/>
    <w:next w:val="BodyText"/>
    <w:link w:val="Heading4Char"/>
    <w:uiPriority w:val="99"/>
    <w:qFormat/>
    <w:rsid w:val="00952BC7"/>
    <w:pPr>
      <w:keepNext/>
      <w:widowControl w:val="0"/>
      <w:numPr>
        <w:ilvl w:val="3"/>
        <w:numId w:val="1"/>
      </w:numPr>
      <w:suppressAutoHyphens/>
      <w:overflowPunct w:val="0"/>
      <w:autoSpaceDE w:val="0"/>
      <w:autoSpaceDN w:val="0"/>
      <w:adjustRightInd w:val="0"/>
      <w:spacing w:before="240" w:after="60"/>
      <w:textAlignment w:val="baseline"/>
      <w:outlineLvl w:val="3"/>
    </w:pPr>
    <w:rPr>
      <w:b/>
      <w:kern w:val="1"/>
      <w:szCs w:val="20"/>
    </w:rPr>
  </w:style>
  <w:style xmlns:w15="http://schemas.microsoft.com/office/word/2012/wordml" w:type="paragraph" w:styleId="Heading5">
    <w:name w:val="heading 5"/>
    <w:basedOn w:val="Normal"/>
    <w:next w:val="BodyText"/>
    <w:link w:val="Heading5Char"/>
    <w:uiPriority w:val="99"/>
    <w:qFormat/>
    <w:rsid w:val="00952BC7"/>
    <w:pPr>
      <w:keepNext/>
      <w:widowControl w:val="0"/>
      <w:numPr>
        <w:ilvl w:val="4"/>
        <w:numId w:val="1"/>
      </w:numPr>
      <w:suppressAutoHyphens/>
      <w:overflowPunct w:val="0"/>
      <w:autoSpaceDE w:val="0"/>
      <w:autoSpaceDN w:val="0"/>
      <w:adjustRightInd w:val="0"/>
      <w:spacing w:before="240" w:after="60"/>
      <w:textAlignment w:val="baseline"/>
      <w:outlineLvl w:val="4"/>
    </w:pPr>
    <w:rPr>
      <w:b/>
      <w:kern w:val="1"/>
      <w:szCs w:val="20"/>
    </w:rPr>
  </w:style>
  <w:style xmlns:w15="http://schemas.microsoft.com/office/word/2012/wordml" w:type="paragraph" w:styleId="Heading6">
    <w:name w:val="heading 6"/>
    <w:basedOn w:val="Normal"/>
    <w:next w:val="BodyText"/>
    <w:link w:val="Heading6Char"/>
    <w:uiPriority w:val="99"/>
    <w:qFormat/>
    <w:rsid w:val="00952BC7"/>
    <w:pPr>
      <w:keepNext/>
      <w:widowControl w:val="0"/>
      <w:numPr>
        <w:ilvl w:val="5"/>
        <w:numId w:val="1"/>
      </w:numPr>
      <w:suppressAutoHyphens/>
      <w:overflowPunct w:val="0"/>
      <w:autoSpaceDE w:val="0"/>
      <w:autoSpaceDN w:val="0"/>
      <w:adjustRightInd w:val="0"/>
      <w:spacing w:before="240" w:after="60"/>
      <w:textAlignment w:val="baseline"/>
      <w:outlineLvl w:val="5"/>
    </w:pPr>
    <w:rPr>
      <w:b/>
      <w:kern w:val="1"/>
      <w:szCs w:val="20"/>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character" w:customStyle="1" w:styleId="Heading1Char">
    <w:name w:val="Heading 1 Char"/>
    <w:link w:val="Heading1"/>
    <w:uiPriority w:val="99"/>
    <w:locked/>
    <w:rsid w:val="00952BC7"/>
    <w:rPr>
      <w:b/>
      <w:kern w:val="1"/>
      <w:sz w:val="40"/>
    </w:rPr>
  </w:style>
  <w:style xmlns:w15="http://schemas.microsoft.com/office/word/2012/wordml" w:type="character" w:customStyle="1" w:styleId="Heading2Char">
    <w:name w:val="Heading 2 Char"/>
    <w:link w:val="Heading2"/>
    <w:uiPriority w:val="99"/>
    <w:locked/>
    <w:rsid w:val="00952BC7"/>
    <w:rPr>
      <w:b/>
      <w:kern w:val="1"/>
      <w:sz w:val="32"/>
    </w:rPr>
  </w:style>
  <w:style xmlns:w15="http://schemas.microsoft.com/office/word/2012/wordml" w:type="character" w:customStyle="1" w:styleId="Heading3Char">
    <w:name w:val="Heading 3 Char"/>
    <w:link w:val="Heading3"/>
    <w:uiPriority w:val="99"/>
    <w:locked/>
    <w:rsid w:val="00952BC7"/>
    <w:rPr>
      <w:b/>
      <w:kern w:val="1"/>
      <w:sz w:val="32"/>
    </w:rPr>
  </w:style>
  <w:style xmlns:w15="http://schemas.microsoft.com/office/word/2012/wordml" w:type="character" w:customStyle="1" w:styleId="Heading4Char">
    <w:name w:val="Heading 4 Char"/>
    <w:link w:val="Heading4"/>
    <w:uiPriority w:val="99"/>
    <w:locked/>
    <w:rsid w:val="00952BC7"/>
    <w:rPr>
      <w:b/>
      <w:kern w:val="1"/>
      <w:sz w:val="24"/>
    </w:rPr>
  </w:style>
  <w:style xmlns:w15="http://schemas.microsoft.com/office/word/2012/wordml" w:type="character" w:customStyle="1" w:styleId="Heading5Char">
    <w:name w:val="Heading 5 Char"/>
    <w:link w:val="Heading5"/>
    <w:uiPriority w:val="99"/>
    <w:locked/>
    <w:rsid w:val="00952BC7"/>
    <w:rPr>
      <w:b/>
      <w:kern w:val="1"/>
      <w:sz w:val="24"/>
    </w:rPr>
  </w:style>
  <w:style xmlns:w15="http://schemas.microsoft.com/office/word/2012/wordml" w:type="character" w:customStyle="1" w:styleId="Heading6Char">
    <w:name w:val="Heading 6 Char"/>
    <w:link w:val="Heading6"/>
    <w:uiPriority w:val="99"/>
    <w:locked/>
    <w:rsid w:val="00952BC7"/>
    <w:rPr>
      <w:b/>
      <w:kern w:val="1"/>
      <w:sz w:val="24"/>
    </w:rPr>
  </w:style>
  <w:style xmlns:w15="http://schemas.microsoft.com/office/word/2012/wordml" w:type="character" w:customStyle="1" w:styleId="Bekezdsalapbettpusa1">
    <w:name w:val="Bekezdés alapbetűtípusa1"/>
    <w:uiPriority w:val="99"/>
    <w:rsid w:val="00952BC7"/>
  </w:style>
  <w:style xmlns:w15="http://schemas.microsoft.com/office/word/2012/wordml" w:type="paragraph" w:styleId="Header">
    <w:name w:val="header"/>
    <w:basedOn w:val="Normal"/>
    <w:link w:val="HeaderChar"/>
    <w:uiPriority w:val="99"/>
    <w:rsid w:val="00146C4F"/>
    <w:pPr>
      <w:tabs>
        <w:tab w:val="center" w:pos="4536"/>
        <w:tab w:val="right" w:pos="9072"/>
      </w:tabs>
    </w:pPr>
  </w:style>
  <w:style xmlns:w15="http://schemas.microsoft.com/office/word/2012/wordml" w:type="character" w:customStyle="1" w:styleId="HeaderChar">
    <w:name w:val="Header Char"/>
    <w:link w:val="Header"/>
    <w:uiPriority w:val="99"/>
    <w:locked/>
    <w:rsid w:val="0039322A"/>
    <w:rPr>
      <w:rFonts w:cs="Times New Roman"/>
      <w:sz w:val="24"/>
      <w:szCs w:val="24"/>
    </w:rPr>
  </w:style>
  <w:style xmlns:w15="http://schemas.microsoft.com/office/word/2012/wordml" w:type="paragraph" w:styleId="Footer">
    <w:name w:val="footer"/>
    <w:basedOn w:val="Normal"/>
    <w:link w:val="FooterChar"/>
    <w:uiPriority w:val="99"/>
    <w:rsid w:val="00146C4F"/>
    <w:pPr>
      <w:tabs>
        <w:tab w:val="center" w:pos="4536"/>
        <w:tab w:val="right" w:pos="9072"/>
      </w:tabs>
    </w:pPr>
  </w:style>
  <w:style xmlns:w15="http://schemas.microsoft.com/office/word/2012/wordml" w:type="character" w:customStyle="1" w:styleId="FooterChar">
    <w:name w:val="Footer Char"/>
    <w:link w:val="Footer"/>
    <w:uiPriority w:val="99"/>
    <w:locked/>
    <w:rsid w:val="006536F7"/>
    <w:rPr>
      <w:rFonts w:cs="Times New Roman"/>
      <w:sz w:val="24"/>
      <w:szCs w:val="24"/>
    </w:rPr>
  </w:style>
  <w:style xmlns:w15="http://schemas.microsoft.com/office/word/2012/wordml" w:type="paragraph" w:styleId="ListParagraph">
    <w:name w:val="List Paragraph"/>
    <w:aliases w:val="Welt L Char,Welt L,Bullet List,FooterText,numbered,Paragraphe de liste1,Bulletr List Paragraph,列出段落,列出段落1,Listeafsnit1,Parágrafo da Lista1,List Paragraph2,List Paragraph21,リスト段落1,Párrafo de lista1,Listaszerű bekezdés5"/>
    <w:basedOn w:val="Normal"/>
    <w:link w:val="ListParagraphChar"/>
    <w:uiPriority w:val="34"/>
    <w:qFormat/>
    <w:rsid w:val="006536F7"/>
    <w:pPr>
      <w:ind w:left="720"/>
      <w:contextualSpacing/>
    </w:pPr>
  </w:style>
  <w:style xmlns:w15="http://schemas.microsoft.com/office/word/2012/wordml" w:type="paragraph" w:customStyle="1" w:styleId="Iktatszm">
    <w:name w:val="Iktatószám"/>
    <w:basedOn w:val="Normal"/>
    <w:uiPriority w:val="99"/>
    <w:rsid w:val="00146C4F"/>
    <w:pPr>
      <w:jc w:val="center"/>
    </w:pPr>
    <w:rPr>
      <w:b/>
      <w:caps/>
    </w:rPr>
  </w:style>
  <w:style xmlns:w15="http://schemas.microsoft.com/office/word/2012/wordml" w:type="character" w:styleId="PageNumber">
    <w:name w:val="page number"/>
    <w:uiPriority w:val="99"/>
    <w:rsid w:val="007E6F4D"/>
    <w:rPr>
      <w:rFonts w:cs="Times New Roman"/>
    </w:rPr>
  </w:style>
  <w:style xmlns:w15="http://schemas.microsoft.com/office/word/2012/wordml" w:type="paragraph" w:styleId="BodyText2">
    <w:name w:val="Body Text 2"/>
    <w:basedOn w:val="Normal"/>
    <w:link w:val="BodyText2Char"/>
    <w:uiPriority w:val="99"/>
    <w:rsid w:val="005C48EC"/>
    <w:pPr>
      <w:spacing w:after="120" w:line="480" w:lineRule="auto"/>
    </w:pPr>
  </w:style>
  <w:style xmlns:w15="http://schemas.microsoft.com/office/word/2012/wordml" w:type="character" w:customStyle="1" w:styleId="BodyText2Char">
    <w:name w:val="Body Text 2 Char"/>
    <w:link w:val="BodyText2"/>
    <w:uiPriority w:val="99"/>
    <w:semiHidden/>
    <w:locked/>
    <w:rsid w:val="0039322A"/>
    <w:rPr>
      <w:rFonts w:cs="Times New Roman"/>
      <w:sz w:val="24"/>
      <w:szCs w:val="24"/>
    </w:rPr>
  </w:style>
  <w:style xmlns:w15="http://schemas.microsoft.com/office/word/2012/wordml" w:type="paragraph" w:customStyle="1" w:styleId="Fszveg">
    <w:name w:val="Főszöveg"/>
    <w:basedOn w:val="BodyText3"/>
    <w:rsid w:val="002E14B8"/>
    <w:pPr>
      <w:autoSpaceDE w:val="0"/>
      <w:autoSpaceDN w:val="0"/>
      <w:spacing w:after="0" w:line="360" w:lineRule="auto"/>
      <w:jc w:val="both"/>
    </w:pPr>
    <w:rPr>
      <w:sz w:val="28"/>
      <w:szCs w:val="26"/>
    </w:rPr>
  </w:style>
  <w:style xmlns:w15="http://schemas.microsoft.com/office/word/2012/wordml" w:type="paragraph" w:styleId="BodyText3">
    <w:name w:val="Body Text 3"/>
    <w:basedOn w:val="Normal"/>
    <w:link w:val="BodyText3Char"/>
    <w:uiPriority w:val="99"/>
    <w:rsid w:val="002E14B8"/>
    <w:pPr>
      <w:spacing w:after="120"/>
    </w:pPr>
    <w:rPr>
      <w:sz w:val="16"/>
      <w:szCs w:val="16"/>
    </w:rPr>
  </w:style>
  <w:style xmlns:w15="http://schemas.microsoft.com/office/word/2012/wordml" w:type="character" w:customStyle="1" w:styleId="BodyText3Char">
    <w:name w:val="Body Text 3 Char"/>
    <w:link w:val="BodyText3"/>
    <w:uiPriority w:val="99"/>
    <w:semiHidden/>
    <w:locked/>
    <w:rsid w:val="0039322A"/>
    <w:rPr>
      <w:rFonts w:cs="Times New Roman"/>
      <w:sz w:val="16"/>
      <w:szCs w:val="16"/>
    </w:rPr>
  </w:style>
  <w:style xmlns:w15="http://schemas.microsoft.com/office/word/2012/wordml" w:type="character" w:styleId="Hyperlink">
    <w:name w:val="Hyperlink"/>
    <w:uiPriority w:val="99"/>
    <w:rsid w:val="00DC0B69"/>
    <w:rPr>
      <w:rFonts w:cs="Times New Roman"/>
      <w:color w:val="0000FF"/>
      <w:u w:val="single"/>
    </w:rPr>
  </w:style>
  <w:style xmlns:w15="http://schemas.microsoft.com/office/word/2012/wordml" w:type="paragraph" w:styleId="NormalWeb">
    <w:name w:val="Normal (Web)"/>
    <w:basedOn w:val="Normal"/>
    <w:uiPriority w:val="99"/>
    <w:rsid w:val="00DC0B69"/>
    <w:pPr>
      <w:spacing w:before="150" w:after="150"/>
      <w:ind w:left="675" w:right="525"/>
    </w:pPr>
    <w:rPr>
      <w:sz w:val="19"/>
      <w:szCs w:val="19"/>
    </w:rPr>
  </w:style>
  <w:style xmlns:w15="http://schemas.microsoft.com/office/word/2012/wordml" w:type="character" w:customStyle="1" w:styleId="Cmsor1Char1">
    <w:name w:val="Címsor 1 Char1"/>
    <w:uiPriority w:val="99"/>
    <w:rsid w:val="00952BC7"/>
    <w:rPr>
      <w:rFonts w:ascii="Cambria" w:hAnsi="Cambria"/>
      <w:b/>
      <w:kern w:val="1"/>
      <w:sz w:val="32"/>
    </w:rPr>
  </w:style>
  <w:style xmlns:w15="http://schemas.microsoft.com/office/word/2012/wordml" w:type="character" w:customStyle="1" w:styleId="Cmsor2Char1">
    <w:name w:val="Címsor 2 Char1"/>
    <w:uiPriority w:val="99"/>
    <w:rsid w:val="00952BC7"/>
    <w:rPr>
      <w:rFonts w:ascii="Cambria" w:hAnsi="Cambria"/>
      <w:b/>
      <w:i/>
      <w:sz w:val="28"/>
    </w:rPr>
  </w:style>
  <w:style xmlns:w15="http://schemas.microsoft.com/office/word/2012/wordml" w:type="character" w:customStyle="1" w:styleId="Cmsor3Char1">
    <w:name w:val="Címsor 3 Char1"/>
    <w:uiPriority w:val="99"/>
    <w:rsid w:val="00952BC7"/>
    <w:rPr>
      <w:rFonts w:ascii="Cambria" w:hAnsi="Cambria"/>
      <w:b/>
      <w:sz w:val="26"/>
    </w:rPr>
  </w:style>
  <w:style xmlns:w15="http://schemas.microsoft.com/office/word/2012/wordml" w:type="character" w:customStyle="1" w:styleId="Cmsor4Char1">
    <w:name w:val="Címsor 4 Char1"/>
    <w:uiPriority w:val="99"/>
    <w:rsid w:val="00952BC7"/>
    <w:rPr>
      <w:rFonts w:ascii="Calibri" w:hAnsi="Calibri"/>
      <w:b/>
      <w:sz w:val="28"/>
    </w:rPr>
  </w:style>
  <w:style xmlns:w15="http://schemas.microsoft.com/office/word/2012/wordml" w:type="character" w:customStyle="1" w:styleId="Cmsor5Char1">
    <w:name w:val="Címsor 5 Char1"/>
    <w:uiPriority w:val="99"/>
    <w:rsid w:val="00952BC7"/>
    <w:rPr>
      <w:rFonts w:ascii="Calibri" w:hAnsi="Calibri"/>
      <w:b/>
      <w:i/>
      <w:sz w:val="26"/>
    </w:rPr>
  </w:style>
  <w:style xmlns:w15="http://schemas.microsoft.com/office/word/2012/wordml" w:type="character" w:customStyle="1" w:styleId="Cmsor6Char1">
    <w:name w:val="Címsor 6 Char1"/>
    <w:uiPriority w:val="99"/>
    <w:rsid w:val="00952BC7"/>
    <w:rPr>
      <w:rFonts w:ascii="Calibri" w:hAnsi="Calibri"/>
      <w:b/>
    </w:rPr>
  </w:style>
  <w:style xmlns:w15="http://schemas.microsoft.com/office/word/2012/wordml" w:type="character" w:customStyle="1" w:styleId="Oldalszm1">
    <w:name w:val="Oldalszám1"/>
    <w:uiPriority w:val="99"/>
    <w:rsid w:val="00952BC7"/>
  </w:style>
  <w:style xmlns:w15="http://schemas.microsoft.com/office/word/2012/wordml" w:type="character" w:customStyle="1" w:styleId="Bekezdsalapbettpusa3">
    <w:name w:val="Bekezdés alapbet?típusa3"/>
    <w:uiPriority w:val="99"/>
    <w:rsid w:val="00952BC7"/>
  </w:style>
  <w:style xmlns:w15="http://schemas.microsoft.com/office/word/2012/wordml" w:type="character" w:customStyle="1" w:styleId="Absatz-Standardschriftart">
    <w:name w:val="Absatz-Standardschriftart"/>
    <w:uiPriority w:val="99"/>
    <w:rsid w:val="00952BC7"/>
  </w:style>
  <w:style xmlns:w15="http://schemas.microsoft.com/office/word/2012/wordml" w:type="character" w:customStyle="1" w:styleId="Bekezdsalapbettpusa2">
    <w:name w:val="Bekezdés alapbet?típusa2"/>
    <w:uiPriority w:val="99"/>
    <w:rsid w:val="00952BC7"/>
  </w:style>
  <w:style xmlns:w15="http://schemas.microsoft.com/office/word/2012/wordml" w:type="character" w:customStyle="1" w:styleId="Bekezdsalapbettpusa10">
    <w:name w:val="Bekezdés alapbet?típusa1"/>
    <w:uiPriority w:val="99"/>
    <w:rsid w:val="00952BC7"/>
  </w:style>
  <w:style xmlns:w15="http://schemas.microsoft.com/office/word/2012/wordml" w:type="character" w:customStyle="1" w:styleId="WW-Absatz-Standardschriftart">
    <w:name w:val="WW-Absatz-Standardschriftart"/>
    <w:uiPriority w:val="99"/>
    <w:rsid w:val="00952BC7"/>
  </w:style>
  <w:style xmlns:w15="http://schemas.microsoft.com/office/word/2012/wordml" w:type="character" w:customStyle="1" w:styleId="Bekezdsalap-bettpusa">
    <w:name w:val="Bekezdés alap-bet?típusa"/>
    <w:uiPriority w:val="99"/>
    <w:rsid w:val="00952BC7"/>
  </w:style>
  <w:style xmlns:w15="http://schemas.microsoft.com/office/word/2012/wordml" w:type="character" w:customStyle="1" w:styleId="Jegyzethivatkozs1">
    <w:name w:val="Jegyzethivatkozás1"/>
    <w:uiPriority w:val="99"/>
    <w:rsid w:val="00952BC7"/>
    <w:rPr>
      <w:sz w:val="16"/>
    </w:rPr>
  </w:style>
  <w:style xmlns:w15="http://schemas.microsoft.com/office/word/2012/wordml" w:type="character" w:customStyle="1" w:styleId="JegyzetszvegChar">
    <w:name w:val="Jegyzetszöveg Char"/>
    <w:uiPriority w:val="99"/>
    <w:rsid w:val="00952BC7"/>
    <w:rPr>
      <w:rFonts w:ascii="Times" w:hAnsi="Times"/>
    </w:rPr>
  </w:style>
  <w:style xmlns:w15="http://schemas.microsoft.com/office/word/2012/wordml" w:type="character" w:customStyle="1" w:styleId="MegjegyzstrgyaChar">
    <w:name w:val="Megjegyzés tárgya Char"/>
    <w:uiPriority w:val="99"/>
    <w:rsid w:val="00952BC7"/>
    <w:rPr>
      <w:b/>
    </w:rPr>
  </w:style>
  <w:style xmlns:w15="http://schemas.microsoft.com/office/word/2012/wordml" w:type="character" w:customStyle="1" w:styleId="BuborkszvegChar">
    <w:name w:val="Buborékszöveg Char"/>
    <w:uiPriority w:val="99"/>
    <w:rsid w:val="00952BC7"/>
    <w:rPr>
      <w:rFonts w:ascii="Tahoma" w:hAnsi="Tahoma"/>
      <w:sz w:val="16"/>
    </w:rPr>
  </w:style>
  <w:style xmlns:w15="http://schemas.microsoft.com/office/word/2012/wordml" w:type="character" w:customStyle="1" w:styleId="Jegyzethivatkozs2">
    <w:name w:val="Jegyzethivatkozás2"/>
    <w:uiPriority w:val="99"/>
    <w:rsid w:val="00952BC7"/>
    <w:rPr>
      <w:sz w:val="16"/>
    </w:rPr>
  </w:style>
  <w:style xmlns:w15="http://schemas.microsoft.com/office/word/2012/wordml" w:type="character" w:customStyle="1" w:styleId="Szmozsjelek">
    <w:name w:val="Számozásjelek"/>
    <w:uiPriority w:val="99"/>
    <w:rsid w:val="00952BC7"/>
  </w:style>
  <w:style xmlns:w15="http://schemas.microsoft.com/office/word/2012/wordml" w:type="paragraph" w:customStyle="1" w:styleId="Cmsor">
    <w:name w:val="Címsor"/>
    <w:next w:val="BodyText"/>
    <w:uiPriority w:val="99"/>
    <w:rsid w:val="00952BC7"/>
    <w:pPr>
      <w:keepNext/>
      <w:widowControl w:val="0"/>
      <w:suppressAutoHyphens/>
      <w:overflowPunct w:val="0"/>
      <w:autoSpaceDE w:val="0"/>
      <w:autoSpaceDN w:val="0"/>
      <w:adjustRightInd w:val="0"/>
      <w:spacing w:before="240" w:after="120"/>
      <w:textAlignment w:val="baseline"/>
    </w:pPr>
    <w:rPr>
      <w:rFonts w:ascii="Arial" w:hAnsi="Arial"/>
      <w:kern w:val="1"/>
      <w:sz w:val="28"/>
    </w:rPr>
  </w:style>
  <w:style xmlns:w15="http://schemas.microsoft.com/office/word/2012/wordml" w:type="paragraph" w:styleId="BodyText">
    <w:name w:val="Body Text"/>
    <w:basedOn w:val="Normal"/>
    <w:link w:val="BodyTextChar"/>
    <w:uiPriority w:val="99"/>
    <w:rsid w:val="00952BC7"/>
    <w:pPr>
      <w:widowControl w:val="0"/>
      <w:suppressAutoHyphens/>
      <w:overflowPunct w:val="0"/>
      <w:autoSpaceDE w:val="0"/>
      <w:autoSpaceDN w:val="0"/>
      <w:adjustRightInd w:val="0"/>
      <w:spacing w:after="120"/>
      <w:textAlignment w:val="baseline"/>
    </w:pPr>
    <w:rPr>
      <w:kern w:val="1"/>
      <w:sz w:val="20"/>
      <w:szCs w:val="20"/>
    </w:rPr>
  </w:style>
  <w:style xmlns:w15="http://schemas.microsoft.com/office/word/2012/wordml" w:type="character" w:customStyle="1" w:styleId="BodyTextChar">
    <w:name w:val="Body Text Char"/>
    <w:link w:val="BodyText"/>
    <w:uiPriority w:val="99"/>
    <w:locked/>
    <w:rsid w:val="00952BC7"/>
    <w:rPr>
      <w:rFonts w:cs="Times New Roman"/>
      <w:kern w:val="1"/>
      <w:lang w:val="es-ES" w:eastAsia="es-ES" w:bidi="es-ES"/>
    </w:rPr>
  </w:style>
  <w:style xmlns:w15="http://schemas.microsoft.com/office/word/2012/wordml" w:type="paragraph" w:styleId="List">
    <w:name w:val="List"/>
    <w:basedOn w:val="Normal"/>
    <w:uiPriority w:val="99"/>
    <w:rsid w:val="00952BC7"/>
    <w:pPr>
      <w:widowControl w:val="0"/>
      <w:suppressAutoHyphens/>
      <w:overflowPunct w:val="0"/>
      <w:autoSpaceDE w:val="0"/>
      <w:autoSpaceDN w:val="0"/>
      <w:adjustRightInd w:val="0"/>
      <w:textAlignment w:val="baseline"/>
    </w:pPr>
    <w:rPr>
      <w:kern w:val="1"/>
      <w:sz w:val="20"/>
      <w:szCs w:val="20"/>
    </w:rPr>
  </w:style>
  <w:style xmlns:w15="http://schemas.microsoft.com/office/word/2012/wordml" w:type="paragraph" w:customStyle="1" w:styleId="Felirat">
    <w:name w:val="Felirat"/>
    <w:uiPriority w:val="99"/>
    <w:rsid w:val="00952BC7"/>
    <w:pPr>
      <w:widowControl w:val="0"/>
      <w:suppressLineNumbers/>
      <w:suppressAutoHyphens/>
      <w:overflowPunct w:val="0"/>
      <w:autoSpaceDE w:val="0"/>
      <w:autoSpaceDN w:val="0"/>
      <w:adjustRightInd w:val="0"/>
      <w:spacing w:before="120" w:after="120"/>
      <w:textAlignment w:val="baseline"/>
    </w:pPr>
    <w:rPr>
      <w:i/>
      <w:kern w:val="1"/>
      <w:sz w:val="24"/>
    </w:rPr>
  </w:style>
  <w:style xmlns:w15="http://schemas.microsoft.com/office/word/2012/wordml" w:type="paragraph" w:customStyle="1" w:styleId="Trgymutat">
    <w:name w:val="Tárgymutató"/>
    <w:uiPriority w:val="99"/>
    <w:rsid w:val="00952BC7"/>
    <w:pPr>
      <w:widowControl w:val="0"/>
      <w:suppressLineNumbers/>
      <w:suppressAutoHyphens/>
      <w:overflowPunct w:val="0"/>
      <w:autoSpaceDE w:val="0"/>
      <w:autoSpaceDN w:val="0"/>
      <w:adjustRightInd w:val="0"/>
      <w:textAlignment w:val="baseline"/>
    </w:pPr>
    <w:rPr>
      <w:kern w:val="1"/>
    </w:rPr>
  </w:style>
  <w:style xmlns:w15="http://schemas.microsoft.com/office/word/2012/wordml" w:type="paragraph" w:customStyle="1" w:styleId="CM4">
    <w:name w:val="CM4"/>
    <w:uiPriority w:val="99"/>
    <w:rsid w:val="00952BC7"/>
    <w:pPr>
      <w:suppressAutoHyphens/>
      <w:overflowPunct w:val="0"/>
      <w:autoSpaceDE w:val="0"/>
      <w:autoSpaceDN w:val="0"/>
      <w:adjustRightInd w:val="0"/>
      <w:textAlignment w:val="baseline"/>
    </w:pPr>
    <w:rPr>
      <w:rFonts w:ascii="EUAlbertina" w:hAnsi="EUAlbertina"/>
      <w:kern w:val="1"/>
      <w:sz w:val="24"/>
    </w:rPr>
  </w:style>
  <w:style xmlns:w15="http://schemas.microsoft.com/office/word/2012/wordml" w:type="paragraph" w:customStyle="1" w:styleId="Jegyzetszveg1">
    <w:name w:val="Jegyzetszöveg1"/>
    <w:uiPriority w:val="99"/>
    <w:rsid w:val="00952BC7"/>
    <w:pPr>
      <w:widowControl w:val="0"/>
      <w:suppressAutoHyphens/>
      <w:overflowPunct w:val="0"/>
      <w:autoSpaceDE w:val="0"/>
      <w:autoSpaceDN w:val="0"/>
      <w:adjustRightInd w:val="0"/>
      <w:textAlignment w:val="baseline"/>
    </w:pPr>
    <w:rPr>
      <w:kern w:val="1"/>
    </w:rPr>
  </w:style>
  <w:style xmlns:w15="http://schemas.microsoft.com/office/word/2012/wordml" w:type="paragraph" w:customStyle="1" w:styleId="Jegyzetszveg2">
    <w:name w:val="Jegyzetszöveg2"/>
    <w:uiPriority w:val="99"/>
    <w:rsid w:val="00952BC7"/>
    <w:pPr>
      <w:widowControl w:val="0"/>
      <w:suppressAutoHyphens/>
      <w:overflowPunct w:val="0"/>
      <w:autoSpaceDE w:val="0"/>
      <w:autoSpaceDN w:val="0"/>
      <w:adjustRightInd w:val="0"/>
      <w:textAlignment w:val="baseline"/>
    </w:pPr>
    <w:rPr>
      <w:kern w:val="1"/>
    </w:rPr>
  </w:style>
  <w:style xmlns:w15="http://schemas.microsoft.com/office/word/2012/wordml" w:type="paragraph" w:customStyle="1" w:styleId="Megjegyzstrgya1">
    <w:name w:val="Megjegyzés tárgya1"/>
    <w:uiPriority w:val="99"/>
    <w:rsid w:val="00952BC7"/>
    <w:pPr>
      <w:widowControl w:val="0"/>
      <w:suppressAutoHyphens/>
      <w:overflowPunct w:val="0"/>
      <w:autoSpaceDE w:val="0"/>
      <w:autoSpaceDN w:val="0"/>
      <w:adjustRightInd w:val="0"/>
      <w:textAlignment w:val="baseline"/>
    </w:pPr>
    <w:rPr>
      <w:b/>
      <w:kern w:val="1"/>
    </w:rPr>
  </w:style>
  <w:style xmlns:w15="http://schemas.microsoft.com/office/word/2012/wordml" w:type="paragraph" w:customStyle="1" w:styleId="Buborkszveg1">
    <w:name w:val="Buborékszöveg1"/>
    <w:uiPriority w:val="99"/>
    <w:rsid w:val="00952BC7"/>
    <w:pPr>
      <w:widowControl w:val="0"/>
      <w:suppressAutoHyphens/>
      <w:overflowPunct w:val="0"/>
      <w:autoSpaceDE w:val="0"/>
      <w:autoSpaceDN w:val="0"/>
      <w:adjustRightInd w:val="0"/>
      <w:textAlignment w:val="baseline"/>
    </w:pPr>
    <w:rPr>
      <w:rFonts w:ascii="Tahoma" w:hAnsi="Tahoma"/>
      <w:kern w:val="1"/>
      <w:sz w:val="16"/>
    </w:rPr>
  </w:style>
  <w:style xmlns:w15="http://schemas.microsoft.com/office/word/2012/wordml" w:type="paragraph" w:customStyle="1" w:styleId="Tblzattartalom">
    <w:name w:val="Táblázattartalom"/>
    <w:uiPriority w:val="99"/>
    <w:rsid w:val="00952BC7"/>
    <w:pPr>
      <w:widowControl w:val="0"/>
      <w:suppressLineNumbers/>
      <w:suppressAutoHyphens/>
      <w:overflowPunct w:val="0"/>
      <w:autoSpaceDE w:val="0"/>
      <w:autoSpaceDN w:val="0"/>
      <w:adjustRightInd w:val="0"/>
      <w:textAlignment w:val="baseline"/>
    </w:pPr>
    <w:rPr>
      <w:kern w:val="1"/>
    </w:rPr>
  </w:style>
  <w:style xmlns:w15="http://schemas.microsoft.com/office/word/2012/wordml" w:type="paragraph" w:customStyle="1" w:styleId="Tblzatfejlc">
    <w:name w:val="Táblázatfejléc"/>
    <w:uiPriority w:val="99"/>
    <w:rsid w:val="00952BC7"/>
    <w:pPr>
      <w:widowControl w:val="0"/>
      <w:suppressLineNumbers/>
      <w:suppressAutoHyphens/>
      <w:overflowPunct w:val="0"/>
      <w:autoSpaceDE w:val="0"/>
      <w:autoSpaceDN w:val="0"/>
      <w:adjustRightInd w:val="0"/>
      <w:jc w:val="center"/>
      <w:textAlignment w:val="baseline"/>
    </w:pPr>
    <w:rPr>
      <w:b/>
      <w:kern w:val="1"/>
    </w:rPr>
  </w:style>
  <w:style xmlns:w15="http://schemas.microsoft.com/office/word/2012/wordml" w:type="paragraph" w:customStyle="1" w:styleId="Default">
    <w:name w:val="Default"/>
    <w:rsid w:val="00952BC7"/>
    <w:pPr>
      <w:widowControl w:val="0"/>
      <w:suppressAutoHyphens/>
      <w:overflowPunct w:val="0"/>
      <w:autoSpaceDE w:val="0"/>
      <w:autoSpaceDN w:val="0"/>
      <w:adjustRightInd w:val="0"/>
      <w:textAlignment w:val="baseline"/>
    </w:pPr>
    <w:rPr>
      <w:rFonts w:ascii="EUAlbertina" w:hAnsi="EUAlbertina"/>
      <w:color w:val="000000"/>
      <w:kern w:val="1"/>
      <w:sz w:val="24"/>
    </w:rPr>
  </w:style>
  <w:style xmlns:w15="http://schemas.microsoft.com/office/word/2012/wordml" w:type="paragraph" w:customStyle="1" w:styleId="NormlWeb1">
    <w:name w:val="Normál (Web)1"/>
    <w:uiPriority w:val="99"/>
    <w:rsid w:val="00952BC7"/>
    <w:pPr>
      <w:suppressAutoHyphens/>
      <w:overflowPunct w:val="0"/>
      <w:autoSpaceDE w:val="0"/>
      <w:autoSpaceDN w:val="0"/>
      <w:adjustRightInd w:val="0"/>
      <w:spacing w:before="100" w:after="119"/>
      <w:textAlignment w:val="baseline"/>
    </w:pPr>
    <w:rPr>
      <w:kern w:val="1"/>
      <w:sz w:val="24"/>
    </w:rPr>
  </w:style>
  <w:style xmlns:w15="http://schemas.microsoft.com/office/word/2012/wordml" w:type="paragraph" w:customStyle="1" w:styleId="Listaszerbekezds1">
    <w:name w:val="Listaszerű bekezdés1"/>
    <w:uiPriority w:val="99"/>
    <w:rsid w:val="00952BC7"/>
    <w:pPr>
      <w:widowControl w:val="0"/>
      <w:suppressAutoHyphens/>
      <w:overflowPunct w:val="0"/>
      <w:autoSpaceDE w:val="0"/>
      <w:autoSpaceDN w:val="0"/>
      <w:adjustRightInd w:val="0"/>
      <w:ind w:left="720"/>
      <w:textAlignment w:val="baseline"/>
    </w:pPr>
    <w:rPr>
      <w:kern w:val="1"/>
    </w:rPr>
  </w:style>
  <w:style xmlns:w15="http://schemas.microsoft.com/office/word/2012/wordml" w:type="paragraph" w:customStyle="1" w:styleId="Kerettartalom">
    <w:name w:val="Kerettartalom"/>
    <w:basedOn w:val="BodyText"/>
    <w:uiPriority w:val="99"/>
    <w:rsid w:val="00952BC7"/>
  </w:style>
  <w:style xmlns:w15="http://schemas.microsoft.com/office/word/2012/wordml" w:type="paragraph" w:styleId="BalloonText">
    <w:name w:val="Balloon Text"/>
    <w:basedOn w:val="Normal"/>
    <w:link w:val="BalloonTextChar"/>
    <w:uiPriority w:val="99"/>
    <w:rsid w:val="00952BC7"/>
    <w:pPr>
      <w:suppressAutoHyphens/>
      <w:overflowPunct w:val="0"/>
      <w:autoSpaceDE w:val="0"/>
      <w:autoSpaceDN w:val="0"/>
      <w:adjustRightInd w:val="0"/>
      <w:textAlignment w:val="baseline"/>
    </w:pPr>
    <w:rPr>
      <w:rFonts w:ascii="Tahoma" w:hAnsi="Tahoma"/>
      <w:kern w:val="1"/>
      <w:sz w:val="16"/>
      <w:szCs w:val="16"/>
    </w:rPr>
  </w:style>
  <w:style xmlns:w15="http://schemas.microsoft.com/office/word/2012/wordml" w:type="character" w:customStyle="1" w:styleId="BalloonTextChar">
    <w:name w:val="Balloon Text Char"/>
    <w:link w:val="BalloonText"/>
    <w:uiPriority w:val="99"/>
    <w:locked/>
    <w:rsid w:val="00952BC7"/>
    <w:rPr>
      <w:rFonts w:ascii="Tahoma" w:hAnsi="Tahoma" w:cs="Tahoma"/>
      <w:kern w:val="1"/>
      <w:sz w:val="16"/>
      <w:szCs w:val="16"/>
    </w:rPr>
  </w:style>
  <w:style xmlns:w15="http://schemas.microsoft.com/office/word/2012/wordml" w:type="character" w:styleId="CommentReference">
    <w:name w:val="annotation reference"/>
    <w:uiPriority w:val="99"/>
    <w:rsid w:val="00952BC7"/>
    <w:rPr>
      <w:rFonts w:cs="Times New Roman"/>
      <w:sz w:val="16"/>
      <w:szCs w:val="16"/>
    </w:rPr>
  </w:style>
  <w:style xmlns:w15="http://schemas.microsoft.com/office/word/2012/wordml" w:type="paragraph" w:styleId="CommentText">
    <w:name w:val="annotation text"/>
    <w:basedOn w:val="Normal"/>
    <w:link w:val="CommentTextChar"/>
    <w:uiPriority w:val="99"/>
    <w:rsid w:val="00952BC7"/>
    <w:pPr>
      <w:suppressAutoHyphens/>
      <w:overflowPunct w:val="0"/>
      <w:autoSpaceDE w:val="0"/>
      <w:autoSpaceDN w:val="0"/>
      <w:adjustRightInd w:val="0"/>
      <w:textAlignment w:val="baseline"/>
    </w:pPr>
    <w:rPr>
      <w:rFonts w:ascii="Times" w:hAnsi="Times"/>
      <w:kern w:val="1"/>
      <w:sz w:val="20"/>
      <w:szCs w:val="20"/>
    </w:rPr>
  </w:style>
  <w:style xmlns:w15="http://schemas.microsoft.com/office/word/2012/wordml" w:type="character" w:customStyle="1" w:styleId="CommentTextChar">
    <w:name w:val="Comment Text Char"/>
    <w:link w:val="CommentText"/>
    <w:uiPriority w:val="99"/>
    <w:locked/>
    <w:rsid w:val="00952BC7"/>
    <w:rPr>
      <w:rFonts w:ascii="Times" w:hAnsi="Times" w:cs="Times New Roman"/>
      <w:kern w:val="1"/>
    </w:rPr>
  </w:style>
  <w:style xmlns:w15="http://schemas.microsoft.com/office/word/2012/wordml" w:type="paragraph" w:styleId="CommentSubject">
    <w:name w:val="annotation subject"/>
    <w:basedOn w:val="CommentText"/>
    <w:next w:val="CommentText"/>
    <w:link w:val="CommentSubjectChar"/>
    <w:uiPriority w:val="99"/>
    <w:rsid w:val="00952BC7"/>
    <w:rPr>
      <w:b/>
      <w:bCs/>
    </w:rPr>
  </w:style>
  <w:style xmlns:w15="http://schemas.microsoft.com/office/word/2012/wordml" w:type="character" w:customStyle="1" w:styleId="CommentSubjectChar">
    <w:name w:val="Comment Subject Char"/>
    <w:link w:val="CommentSubject"/>
    <w:uiPriority w:val="99"/>
    <w:locked/>
    <w:rsid w:val="00952BC7"/>
    <w:rPr>
      <w:rFonts w:ascii="Times" w:hAnsi="Times" w:cs="Times New Roman"/>
      <w:b/>
      <w:bCs/>
      <w:kern w:val="1"/>
    </w:rPr>
  </w:style>
  <w:style xmlns:w15="http://schemas.microsoft.com/office/word/2012/wordml" w:type="paragraph" w:styleId="Revision">
    <w:name w:val="Revision"/>
    <w:hidden/>
    <w:uiPriority w:val="99"/>
    <w:semiHidden/>
    <w:rsid w:val="00952BC7"/>
    <w:rPr>
      <w:rFonts w:ascii="Times" w:hAnsi="Times"/>
      <w:kern w:val="1"/>
    </w:rPr>
  </w:style>
  <w:style xmlns:w15="http://schemas.microsoft.com/office/word/2012/wordml" w:type="paragraph" w:customStyle="1" w:styleId="np">
    <w:name w:val="np"/>
    <w:basedOn w:val="Normal"/>
    <w:uiPriority w:val="99"/>
    <w:rsid w:val="00C030FC"/>
    <w:pPr>
      <w:spacing w:before="100" w:beforeAutospacing="1" w:after="100" w:afterAutospacing="1"/>
    </w:pPr>
  </w:style>
  <w:style xmlns:w15="http://schemas.microsoft.com/office/word/2012/wordml" w:type="paragraph" w:customStyle="1" w:styleId="CharCharCharCharCharCharCharCharCharCharCharCharCharCharChar1CharCharCharChar">
    <w:name w:val="Char Char Char Char Char Char Char Char Char Char Char Char Char Char Char1 Char Char Char Char"/>
    <w:basedOn w:val="Normal"/>
    <w:uiPriority w:val="99"/>
    <w:rsid w:val="001975FA"/>
    <w:pPr>
      <w:spacing w:after="160" w:line="240" w:lineRule="exact"/>
    </w:pPr>
    <w:rPr>
      <w:rFonts w:ascii="Tahoma" w:hAnsi="Tahoma"/>
      <w:sz w:val="20"/>
      <w:szCs w:val="20"/>
    </w:rPr>
  </w:style>
  <w:style xmlns:w15="http://schemas.microsoft.com/office/word/2012/wordml" w:type="character" w:customStyle="1" w:styleId="apple-converted-space">
    <w:name w:val="apple-converted-space"/>
    <w:basedOn w:val="DefaultParagraphFont"/>
    <w:rsid w:val="000F293F"/>
  </w:style>
  <w:style xmlns:w15="http://schemas.microsoft.com/office/word/2012/wordml" w:type="table" w:styleId="TableGrid">
    <w:name w:val="Table Grid"/>
    <w:basedOn w:val="TableNormal"/>
    <w:uiPriority w:val="59"/>
    <w:locked/>
    <w:rsid w:val="00A2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xmlns:w15="http://schemas.microsoft.com/office/word/2012/wordml" w:type="character" w:customStyle="1" w:styleId="llbChar1">
    <w:name w:val="Élőláb Char1"/>
    <w:uiPriority w:val="99"/>
    <w:rsid w:val="00EB07AE"/>
    <w:rPr>
      <w:sz w:val="24"/>
      <w:szCs w:val="24"/>
      <w:lang w:val="es-ES" w:eastAsia="es-ES"/>
    </w:rPr>
  </w:style>
  <w:style xmlns:w15="http://schemas.microsoft.com/office/word/2012/wordml" w:type="paragraph" w:styleId="FootnoteText">
    <w:name w:val="footnote text"/>
    <w:basedOn w:val="Normal"/>
    <w:link w:val="FootnoteTextChar"/>
    <w:uiPriority w:val="99"/>
    <w:unhideWhenUsed/>
    <w:locked/>
    <w:rsid w:val="00007615"/>
    <w:pPr>
      <w:spacing w:after="200" w:line="276" w:lineRule="auto"/>
    </w:pPr>
    <w:rPr>
      <w:rFonts w:ascii="Calibri" w:eastAsia="Calibri" w:hAnsi="Calibri"/>
      <w:sz w:val="20"/>
      <w:szCs w:val="20"/>
    </w:rPr>
  </w:style>
  <w:style xmlns:w15="http://schemas.microsoft.com/office/word/2012/wordml" w:type="character" w:customStyle="1" w:styleId="FootnoteTextChar">
    <w:name w:val="Footnote Text Char"/>
    <w:link w:val="FootnoteText"/>
    <w:uiPriority w:val="99"/>
    <w:rsid w:val="00007615"/>
    <w:rPr>
      <w:rFonts w:ascii="Calibri" w:eastAsia="Calibri" w:hAnsi="Calibri"/>
      <w:lang w:eastAsia="es-ES"/>
    </w:rPr>
  </w:style>
  <w:style xmlns:w15="http://schemas.microsoft.com/office/word/2012/wordml" w:type="character" w:styleId="FootnoteReference">
    <w:name w:val="footnote reference"/>
    <w:uiPriority w:val="99"/>
    <w:unhideWhenUsed/>
    <w:locked/>
    <w:rsid w:val="00007615"/>
    <w:rPr>
      <w:vertAlign w:val="superscript"/>
    </w:rPr>
  </w:style>
  <w:style xmlns:w15="http://schemas.microsoft.com/office/word/2012/wordml" w:type="paragraph" w:customStyle="1" w:styleId="1txtbody">
    <w:name w:val="1_txtbody"/>
    <w:basedOn w:val="Normal"/>
    <w:qFormat/>
    <w:rsid w:val="00007615"/>
    <w:pPr>
      <w:overflowPunct w:val="0"/>
      <w:autoSpaceDE w:val="0"/>
      <w:autoSpaceDN w:val="0"/>
      <w:adjustRightInd w:val="0"/>
      <w:spacing w:before="60" w:after="60" w:line="280" w:lineRule="atLeast"/>
      <w:ind w:firstLine="425"/>
      <w:jc w:val="both"/>
      <w:textAlignment w:val="baseline"/>
    </w:pPr>
    <w:rPr>
      <w:rFonts w:eastAsia="Arial Unicode MS" w:cs="Calibri"/>
    </w:rPr>
  </w:style>
  <w:style xmlns:w15="http://schemas.microsoft.com/office/word/2012/wordml" w:type="paragraph" w:styleId="NoSpacing">
    <w:name w:val="No Spacing"/>
    <w:link w:val="NoSpacingChar"/>
    <w:uiPriority w:val="1"/>
    <w:qFormat/>
    <w:rsid w:val="00007615"/>
    <w:rPr>
      <w:rFonts w:ascii="Calibri" w:eastAsia="Calibri" w:hAnsi="Calibri"/>
      <w:sz w:val="22"/>
      <w:szCs w:val="22"/>
    </w:rPr>
  </w:style>
  <w:style xmlns:w15="http://schemas.microsoft.com/office/word/2012/wordml" w:type="paragraph" w:customStyle="1" w:styleId="Norml1">
    <w:name w:val="Normál1"/>
    <w:basedOn w:val="Normal"/>
    <w:rsid w:val="00007615"/>
    <w:pPr>
      <w:spacing w:before="120"/>
      <w:jc w:val="both"/>
    </w:pPr>
  </w:style>
  <w:style xmlns:w15="http://schemas.microsoft.com/office/word/2012/wordml" w:type="paragraph" w:customStyle="1" w:styleId="Norml11">
    <w:name w:val="Normál11"/>
    <w:basedOn w:val="Normal"/>
    <w:rsid w:val="004315B4"/>
    <w:pPr>
      <w:spacing w:before="120"/>
      <w:jc w:val="both"/>
    </w:pPr>
  </w:style>
  <w:style xmlns:w15="http://schemas.microsoft.com/office/word/2012/wordml" w:type="paragraph" w:customStyle="1" w:styleId="Pont">
    <w:name w:val="Pont"/>
    <w:basedOn w:val="Normal"/>
    <w:qFormat/>
    <w:rsid w:val="005B4A47"/>
    <w:pPr>
      <w:numPr>
        <w:numId w:val="7"/>
      </w:numPr>
      <w:spacing w:before="200" w:after="200"/>
      <w:jc w:val="both"/>
    </w:pPr>
    <w:rPr>
      <w:rFonts w:eastAsia="Calibri"/>
      <w:szCs w:val="22"/>
    </w:rPr>
  </w:style>
  <w:style xmlns:w15="http://schemas.microsoft.com/office/word/2012/wordml" w:type="numbering" w:customStyle="1" w:styleId="Hatrozat">
    <w:name w:val="Határozat"/>
    <w:uiPriority w:val="99"/>
    <w:rsid w:val="005B4A47"/>
    <w:pPr>
      <w:numPr>
        <w:numId w:val="7"/>
      </w:numPr>
    </w:pPr>
  </w:style>
  <w:style xmlns:w15="http://schemas.microsoft.com/office/word/2012/wordml" w:type="paragraph" w:customStyle="1" w:styleId="Szveg">
    <w:name w:val="Szöveg"/>
    <w:basedOn w:val="Normal"/>
    <w:qFormat/>
    <w:rsid w:val="005B4A47"/>
    <w:pPr>
      <w:spacing w:before="200" w:after="200"/>
      <w:jc w:val="both"/>
    </w:pPr>
    <w:rPr>
      <w:rFonts w:eastAsia="Calibri"/>
      <w:sz w:val="22"/>
      <w:szCs w:val="22"/>
    </w:rPr>
  </w:style>
  <w:style xmlns:w15="http://schemas.microsoft.com/office/word/2012/wordml"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Paragraph"/>
    <w:uiPriority w:val="34"/>
    <w:qFormat/>
    <w:locked/>
    <w:rsid w:val="00E3563D"/>
    <w:rPr>
      <w:sz w:val="24"/>
      <w:szCs w:val="24"/>
    </w:rPr>
  </w:style>
  <w:style xmlns:w15="http://schemas.microsoft.com/office/word/2012/wordml" w:type="character" w:customStyle="1" w:styleId="NoSpacingChar">
    <w:name w:val="No Spacing Char"/>
    <w:link w:val="NoSpacing"/>
    <w:uiPriority w:val="1"/>
    <w:rsid w:val="00260F2B"/>
    <w:rPr>
      <w:rFonts w:ascii="Calibri" w:eastAsia="Calibri" w:hAnsi="Calibr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950">
      <w:bodyDiv w:val="1"/>
      <w:marLeft w:val="0"/>
      <w:marRight w:val="0"/>
      <w:marTop w:val="0"/>
      <w:marBottom w:val="0"/>
      <w:divBdr>
        <w:top w:val="none" w:sz="0" w:space="0" w:color="auto"/>
        <w:left w:val="none" w:sz="0" w:space="0" w:color="auto"/>
        <w:bottom w:val="none" w:sz="0" w:space="0" w:color="auto"/>
        <w:right w:val="none" w:sz="0" w:space="0" w:color="auto"/>
      </w:divBdr>
    </w:div>
    <w:div w:id="39473991">
      <w:bodyDiv w:val="1"/>
      <w:marLeft w:val="0"/>
      <w:marRight w:val="0"/>
      <w:marTop w:val="0"/>
      <w:marBottom w:val="0"/>
      <w:divBdr>
        <w:top w:val="none" w:sz="0" w:space="0" w:color="auto"/>
        <w:left w:val="none" w:sz="0" w:space="0" w:color="auto"/>
        <w:bottom w:val="none" w:sz="0" w:space="0" w:color="auto"/>
        <w:right w:val="none" w:sz="0" w:space="0" w:color="auto"/>
      </w:divBdr>
    </w:div>
    <w:div w:id="45877329">
      <w:bodyDiv w:val="1"/>
      <w:marLeft w:val="0"/>
      <w:marRight w:val="0"/>
      <w:marTop w:val="0"/>
      <w:marBottom w:val="0"/>
      <w:divBdr>
        <w:top w:val="none" w:sz="0" w:space="0" w:color="auto"/>
        <w:left w:val="none" w:sz="0" w:space="0" w:color="auto"/>
        <w:bottom w:val="none" w:sz="0" w:space="0" w:color="auto"/>
        <w:right w:val="none" w:sz="0" w:space="0" w:color="auto"/>
      </w:divBdr>
    </w:div>
    <w:div w:id="118762219">
      <w:bodyDiv w:val="1"/>
      <w:marLeft w:val="0"/>
      <w:marRight w:val="0"/>
      <w:marTop w:val="0"/>
      <w:marBottom w:val="0"/>
      <w:divBdr>
        <w:top w:val="none" w:sz="0" w:space="0" w:color="auto"/>
        <w:left w:val="none" w:sz="0" w:space="0" w:color="auto"/>
        <w:bottom w:val="none" w:sz="0" w:space="0" w:color="auto"/>
        <w:right w:val="none" w:sz="0" w:space="0" w:color="auto"/>
      </w:divBdr>
    </w:div>
    <w:div w:id="151605190">
      <w:bodyDiv w:val="1"/>
      <w:marLeft w:val="0"/>
      <w:marRight w:val="0"/>
      <w:marTop w:val="0"/>
      <w:marBottom w:val="0"/>
      <w:divBdr>
        <w:top w:val="none" w:sz="0" w:space="0" w:color="auto"/>
        <w:left w:val="none" w:sz="0" w:space="0" w:color="auto"/>
        <w:bottom w:val="none" w:sz="0" w:space="0" w:color="auto"/>
        <w:right w:val="none" w:sz="0" w:space="0" w:color="auto"/>
      </w:divBdr>
    </w:div>
    <w:div w:id="177888772">
      <w:bodyDiv w:val="1"/>
      <w:marLeft w:val="0"/>
      <w:marRight w:val="0"/>
      <w:marTop w:val="0"/>
      <w:marBottom w:val="0"/>
      <w:divBdr>
        <w:top w:val="none" w:sz="0" w:space="0" w:color="auto"/>
        <w:left w:val="none" w:sz="0" w:space="0" w:color="auto"/>
        <w:bottom w:val="none" w:sz="0" w:space="0" w:color="auto"/>
        <w:right w:val="none" w:sz="0" w:space="0" w:color="auto"/>
      </w:divBdr>
    </w:div>
    <w:div w:id="242879316">
      <w:bodyDiv w:val="1"/>
      <w:marLeft w:val="0"/>
      <w:marRight w:val="0"/>
      <w:marTop w:val="0"/>
      <w:marBottom w:val="0"/>
      <w:divBdr>
        <w:top w:val="none" w:sz="0" w:space="0" w:color="auto"/>
        <w:left w:val="none" w:sz="0" w:space="0" w:color="auto"/>
        <w:bottom w:val="none" w:sz="0" w:space="0" w:color="auto"/>
        <w:right w:val="none" w:sz="0" w:space="0" w:color="auto"/>
      </w:divBdr>
    </w:div>
    <w:div w:id="244345312">
      <w:bodyDiv w:val="1"/>
      <w:marLeft w:val="0"/>
      <w:marRight w:val="0"/>
      <w:marTop w:val="0"/>
      <w:marBottom w:val="0"/>
      <w:divBdr>
        <w:top w:val="none" w:sz="0" w:space="0" w:color="auto"/>
        <w:left w:val="none" w:sz="0" w:space="0" w:color="auto"/>
        <w:bottom w:val="none" w:sz="0" w:space="0" w:color="auto"/>
        <w:right w:val="none" w:sz="0" w:space="0" w:color="auto"/>
      </w:divBdr>
    </w:div>
    <w:div w:id="357659836">
      <w:bodyDiv w:val="1"/>
      <w:marLeft w:val="0"/>
      <w:marRight w:val="0"/>
      <w:marTop w:val="0"/>
      <w:marBottom w:val="0"/>
      <w:divBdr>
        <w:top w:val="none" w:sz="0" w:space="0" w:color="auto"/>
        <w:left w:val="none" w:sz="0" w:space="0" w:color="auto"/>
        <w:bottom w:val="none" w:sz="0" w:space="0" w:color="auto"/>
        <w:right w:val="none" w:sz="0" w:space="0" w:color="auto"/>
      </w:divBdr>
    </w:div>
    <w:div w:id="372197838">
      <w:bodyDiv w:val="1"/>
      <w:marLeft w:val="0"/>
      <w:marRight w:val="0"/>
      <w:marTop w:val="0"/>
      <w:marBottom w:val="0"/>
      <w:divBdr>
        <w:top w:val="none" w:sz="0" w:space="0" w:color="auto"/>
        <w:left w:val="none" w:sz="0" w:space="0" w:color="auto"/>
        <w:bottom w:val="none" w:sz="0" w:space="0" w:color="auto"/>
        <w:right w:val="none" w:sz="0" w:space="0" w:color="auto"/>
      </w:divBdr>
    </w:div>
    <w:div w:id="375738171">
      <w:bodyDiv w:val="1"/>
      <w:marLeft w:val="0"/>
      <w:marRight w:val="0"/>
      <w:marTop w:val="0"/>
      <w:marBottom w:val="0"/>
      <w:divBdr>
        <w:top w:val="none" w:sz="0" w:space="0" w:color="auto"/>
        <w:left w:val="none" w:sz="0" w:space="0" w:color="auto"/>
        <w:bottom w:val="none" w:sz="0" w:space="0" w:color="auto"/>
        <w:right w:val="none" w:sz="0" w:space="0" w:color="auto"/>
      </w:divBdr>
    </w:div>
    <w:div w:id="482308959">
      <w:bodyDiv w:val="1"/>
      <w:marLeft w:val="0"/>
      <w:marRight w:val="0"/>
      <w:marTop w:val="0"/>
      <w:marBottom w:val="0"/>
      <w:divBdr>
        <w:top w:val="none" w:sz="0" w:space="0" w:color="auto"/>
        <w:left w:val="none" w:sz="0" w:space="0" w:color="auto"/>
        <w:bottom w:val="none" w:sz="0" w:space="0" w:color="auto"/>
        <w:right w:val="none" w:sz="0" w:space="0" w:color="auto"/>
      </w:divBdr>
    </w:div>
    <w:div w:id="527253673">
      <w:bodyDiv w:val="1"/>
      <w:marLeft w:val="0"/>
      <w:marRight w:val="0"/>
      <w:marTop w:val="0"/>
      <w:marBottom w:val="0"/>
      <w:divBdr>
        <w:top w:val="none" w:sz="0" w:space="0" w:color="auto"/>
        <w:left w:val="none" w:sz="0" w:space="0" w:color="auto"/>
        <w:bottom w:val="none" w:sz="0" w:space="0" w:color="auto"/>
        <w:right w:val="none" w:sz="0" w:space="0" w:color="auto"/>
      </w:divBdr>
    </w:div>
    <w:div w:id="569849137">
      <w:bodyDiv w:val="1"/>
      <w:marLeft w:val="0"/>
      <w:marRight w:val="0"/>
      <w:marTop w:val="0"/>
      <w:marBottom w:val="0"/>
      <w:divBdr>
        <w:top w:val="none" w:sz="0" w:space="0" w:color="auto"/>
        <w:left w:val="none" w:sz="0" w:space="0" w:color="auto"/>
        <w:bottom w:val="none" w:sz="0" w:space="0" w:color="auto"/>
        <w:right w:val="none" w:sz="0" w:space="0" w:color="auto"/>
      </w:divBdr>
    </w:div>
    <w:div w:id="662661612">
      <w:bodyDiv w:val="1"/>
      <w:marLeft w:val="0"/>
      <w:marRight w:val="0"/>
      <w:marTop w:val="0"/>
      <w:marBottom w:val="0"/>
      <w:divBdr>
        <w:top w:val="none" w:sz="0" w:space="0" w:color="auto"/>
        <w:left w:val="none" w:sz="0" w:space="0" w:color="auto"/>
        <w:bottom w:val="none" w:sz="0" w:space="0" w:color="auto"/>
        <w:right w:val="none" w:sz="0" w:space="0" w:color="auto"/>
      </w:divBdr>
    </w:div>
    <w:div w:id="669068107">
      <w:bodyDiv w:val="1"/>
      <w:marLeft w:val="0"/>
      <w:marRight w:val="0"/>
      <w:marTop w:val="0"/>
      <w:marBottom w:val="0"/>
      <w:divBdr>
        <w:top w:val="none" w:sz="0" w:space="0" w:color="auto"/>
        <w:left w:val="none" w:sz="0" w:space="0" w:color="auto"/>
        <w:bottom w:val="none" w:sz="0" w:space="0" w:color="auto"/>
        <w:right w:val="none" w:sz="0" w:space="0" w:color="auto"/>
      </w:divBdr>
    </w:div>
    <w:div w:id="702481837">
      <w:bodyDiv w:val="1"/>
      <w:marLeft w:val="0"/>
      <w:marRight w:val="0"/>
      <w:marTop w:val="0"/>
      <w:marBottom w:val="0"/>
      <w:divBdr>
        <w:top w:val="none" w:sz="0" w:space="0" w:color="auto"/>
        <w:left w:val="none" w:sz="0" w:space="0" w:color="auto"/>
        <w:bottom w:val="none" w:sz="0" w:space="0" w:color="auto"/>
        <w:right w:val="none" w:sz="0" w:space="0" w:color="auto"/>
      </w:divBdr>
    </w:div>
    <w:div w:id="760490768">
      <w:bodyDiv w:val="1"/>
      <w:marLeft w:val="0"/>
      <w:marRight w:val="0"/>
      <w:marTop w:val="0"/>
      <w:marBottom w:val="0"/>
      <w:divBdr>
        <w:top w:val="none" w:sz="0" w:space="0" w:color="auto"/>
        <w:left w:val="none" w:sz="0" w:space="0" w:color="auto"/>
        <w:bottom w:val="none" w:sz="0" w:space="0" w:color="auto"/>
        <w:right w:val="none" w:sz="0" w:space="0" w:color="auto"/>
      </w:divBdr>
    </w:div>
    <w:div w:id="829101594">
      <w:bodyDiv w:val="1"/>
      <w:marLeft w:val="0"/>
      <w:marRight w:val="0"/>
      <w:marTop w:val="0"/>
      <w:marBottom w:val="0"/>
      <w:divBdr>
        <w:top w:val="none" w:sz="0" w:space="0" w:color="auto"/>
        <w:left w:val="none" w:sz="0" w:space="0" w:color="auto"/>
        <w:bottom w:val="none" w:sz="0" w:space="0" w:color="auto"/>
        <w:right w:val="none" w:sz="0" w:space="0" w:color="auto"/>
      </w:divBdr>
    </w:div>
    <w:div w:id="846406607">
      <w:bodyDiv w:val="1"/>
      <w:marLeft w:val="0"/>
      <w:marRight w:val="0"/>
      <w:marTop w:val="0"/>
      <w:marBottom w:val="0"/>
      <w:divBdr>
        <w:top w:val="none" w:sz="0" w:space="0" w:color="auto"/>
        <w:left w:val="none" w:sz="0" w:space="0" w:color="auto"/>
        <w:bottom w:val="none" w:sz="0" w:space="0" w:color="auto"/>
        <w:right w:val="none" w:sz="0" w:space="0" w:color="auto"/>
      </w:divBdr>
    </w:div>
    <w:div w:id="868877482">
      <w:bodyDiv w:val="1"/>
      <w:marLeft w:val="0"/>
      <w:marRight w:val="0"/>
      <w:marTop w:val="0"/>
      <w:marBottom w:val="0"/>
      <w:divBdr>
        <w:top w:val="none" w:sz="0" w:space="0" w:color="auto"/>
        <w:left w:val="none" w:sz="0" w:space="0" w:color="auto"/>
        <w:bottom w:val="none" w:sz="0" w:space="0" w:color="auto"/>
        <w:right w:val="none" w:sz="0" w:space="0" w:color="auto"/>
      </w:divBdr>
    </w:div>
    <w:div w:id="906915688">
      <w:bodyDiv w:val="1"/>
      <w:marLeft w:val="0"/>
      <w:marRight w:val="0"/>
      <w:marTop w:val="0"/>
      <w:marBottom w:val="0"/>
      <w:divBdr>
        <w:top w:val="none" w:sz="0" w:space="0" w:color="auto"/>
        <w:left w:val="none" w:sz="0" w:space="0" w:color="auto"/>
        <w:bottom w:val="none" w:sz="0" w:space="0" w:color="auto"/>
        <w:right w:val="none" w:sz="0" w:space="0" w:color="auto"/>
      </w:divBdr>
    </w:div>
    <w:div w:id="913247504">
      <w:bodyDiv w:val="1"/>
      <w:marLeft w:val="0"/>
      <w:marRight w:val="0"/>
      <w:marTop w:val="0"/>
      <w:marBottom w:val="0"/>
      <w:divBdr>
        <w:top w:val="none" w:sz="0" w:space="0" w:color="auto"/>
        <w:left w:val="none" w:sz="0" w:space="0" w:color="auto"/>
        <w:bottom w:val="none" w:sz="0" w:space="0" w:color="auto"/>
        <w:right w:val="none" w:sz="0" w:space="0" w:color="auto"/>
      </w:divBdr>
    </w:div>
    <w:div w:id="946890061">
      <w:bodyDiv w:val="1"/>
      <w:marLeft w:val="0"/>
      <w:marRight w:val="0"/>
      <w:marTop w:val="0"/>
      <w:marBottom w:val="0"/>
      <w:divBdr>
        <w:top w:val="none" w:sz="0" w:space="0" w:color="auto"/>
        <w:left w:val="none" w:sz="0" w:space="0" w:color="auto"/>
        <w:bottom w:val="none" w:sz="0" w:space="0" w:color="auto"/>
        <w:right w:val="none" w:sz="0" w:space="0" w:color="auto"/>
      </w:divBdr>
    </w:div>
    <w:div w:id="948505828">
      <w:bodyDiv w:val="1"/>
      <w:marLeft w:val="0"/>
      <w:marRight w:val="0"/>
      <w:marTop w:val="0"/>
      <w:marBottom w:val="0"/>
      <w:divBdr>
        <w:top w:val="none" w:sz="0" w:space="0" w:color="auto"/>
        <w:left w:val="none" w:sz="0" w:space="0" w:color="auto"/>
        <w:bottom w:val="none" w:sz="0" w:space="0" w:color="auto"/>
        <w:right w:val="none" w:sz="0" w:space="0" w:color="auto"/>
      </w:divBdr>
    </w:div>
    <w:div w:id="981158289">
      <w:bodyDiv w:val="1"/>
      <w:marLeft w:val="0"/>
      <w:marRight w:val="0"/>
      <w:marTop w:val="0"/>
      <w:marBottom w:val="0"/>
      <w:divBdr>
        <w:top w:val="none" w:sz="0" w:space="0" w:color="auto"/>
        <w:left w:val="none" w:sz="0" w:space="0" w:color="auto"/>
        <w:bottom w:val="none" w:sz="0" w:space="0" w:color="auto"/>
        <w:right w:val="none" w:sz="0" w:space="0" w:color="auto"/>
      </w:divBdr>
    </w:div>
    <w:div w:id="1122531965">
      <w:bodyDiv w:val="1"/>
      <w:marLeft w:val="0"/>
      <w:marRight w:val="0"/>
      <w:marTop w:val="0"/>
      <w:marBottom w:val="0"/>
      <w:divBdr>
        <w:top w:val="none" w:sz="0" w:space="0" w:color="auto"/>
        <w:left w:val="none" w:sz="0" w:space="0" w:color="auto"/>
        <w:bottom w:val="none" w:sz="0" w:space="0" w:color="auto"/>
        <w:right w:val="none" w:sz="0" w:space="0" w:color="auto"/>
      </w:divBdr>
    </w:div>
    <w:div w:id="1251697739">
      <w:bodyDiv w:val="1"/>
      <w:marLeft w:val="0"/>
      <w:marRight w:val="0"/>
      <w:marTop w:val="0"/>
      <w:marBottom w:val="0"/>
      <w:divBdr>
        <w:top w:val="none" w:sz="0" w:space="0" w:color="auto"/>
        <w:left w:val="none" w:sz="0" w:space="0" w:color="auto"/>
        <w:bottom w:val="none" w:sz="0" w:space="0" w:color="auto"/>
        <w:right w:val="none" w:sz="0" w:space="0" w:color="auto"/>
      </w:divBdr>
    </w:div>
    <w:div w:id="1254170213">
      <w:bodyDiv w:val="1"/>
      <w:marLeft w:val="0"/>
      <w:marRight w:val="0"/>
      <w:marTop w:val="0"/>
      <w:marBottom w:val="0"/>
      <w:divBdr>
        <w:top w:val="none" w:sz="0" w:space="0" w:color="auto"/>
        <w:left w:val="none" w:sz="0" w:space="0" w:color="auto"/>
        <w:bottom w:val="none" w:sz="0" w:space="0" w:color="auto"/>
        <w:right w:val="none" w:sz="0" w:space="0" w:color="auto"/>
      </w:divBdr>
    </w:div>
    <w:div w:id="1281916041">
      <w:bodyDiv w:val="1"/>
      <w:marLeft w:val="0"/>
      <w:marRight w:val="0"/>
      <w:marTop w:val="0"/>
      <w:marBottom w:val="0"/>
      <w:divBdr>
        <w:top w:val="none" w:sz="0" w:space="0" w:color="auto"/>
        <w:left w:val="none" w:sz="0" w:space="0" w:color="auto"/>
        <w:bottom w:val="none" w:sz="0" w:space="0" w:color="auto"/>
        <w:right w:val="none" w:sz="0" w:space="0" w:color="auto"/>
      </w:divBdr>
    </w:div>
    <w:div w:id="1388801157">
      <w:bodyDiv w:val="1"/>
      <w:marLeft w:val="0"/>
      <w:marRight w:val="0"/>
      <w:marTop w:val="0"/>
      <w:marBottom w:val="0"/>
      <w:divBdr>
        <w:top w:val="none" w:sz="0" w:space="0" w:color="auto"/>
        <w:left w:val="none" w:sz="0" w:space="0" w:color="auto"/>
        <w:bottom w:val="none" w:sz="0" w:space="0" w:color="auto"/>
        <w:right w:val="none" w:sz="0" w:space="0" w:color="auto"/>
      </w:divBdr>
    </w:div>
    <w:div w:id="1389380595">
      <w:bodyDiv w:val="1"/>
      <w:marLeft w:val="0"/>
      <w:marRight w:val="0"/>
      <w:marTop w:val="0"/>
      <w:marBottom w:val="0"/>
      <w:divBdr>
        <w:top w:val="none" w:sz="0" w:space="0" w:color="auto"/>
        <w:left w:val="none" w:sz="0" w:space="0" w:color="auto"/>
        <w:bottom w:val="none" w:sz="0" w:space="0" w:color="auto"/>
        <w:right w:val="none" w:sz="0" w:space="0" w:color="auto"/>
      </w:divBdr>
    </w:div>
    <w:div w:id="1444569688">
      <w:bodyDiv w:val="1"/>
      <w:marLeft w:val="0"/>
      <w:marRight w:val="0"/>
      <w:marTop w:val="0"/>
      <w:marBottom w:val="0"/>
      <w:divBdr>
        <w:top w:val="none" w:sz="0" w:space="0" w:color="auto"/>
        <w:left w:val="none" w:sz="0" w:space="0" w:color="auto"/>
        <w:bottom w:val="none" w:sz="0" w:space="0" w:color="auto"/>
        <w:right w:val="none" w:sz="0" w:space="0" w:color="auto"/>
      </w:divBdr>
    </w:div>
    <w:div w:id="1477331934">
      <w:bodyDiv w:val="1"/>
      <w:marLeft w:val="0"/>
      <w:marRight w:val="0"/>
      <w:marTop w:val="0"/>
      <w:marBottom w:val="0"/>
      <w:divBdr>
        <w:top w:val="none" w:sz="0" w:space="0" w:color="auto"/>
        <w:left w:val="none" w:sz="0" w:space="0" w:color="auto"/>
        <w:bottom w:val="none" w:sz="0" w:space="0" w:color="auto"/>
        <w:right w:val="none" w:sz="0" w:space="0" w:color="auto"/>
      </w:divBdr>
    </w:div>
    <w:div w:id="1487699413">
      <w:bodyDiv w:val="1"/>
      <w:marLeft w:val="0"/>
      <w:marRight w:val="0"/>
      <w:marTop w:val="0"/>
      <w:marBottom w:val="0"/>
      <w:divBdr>
        <w:top w:val="none" w:sz="0" w:space="0" w:color="auto"/>
        <w:left w:val="none" w:sz="0" w:space="0" w:color="auto"/>
        <w:bottom w:val="none" w:sz="0" w:space="0" w:color="auto"/>
        <w:right w:val="none" w:sz="0" w:space="0" w:color="auto"/>
      </w:divBdr>
    </w:div>
    <w:div w:id="1575512356">
      <w:bodyDiv w:val="1"/>
      <w:marLeft w:val="0"/>
      <w:marRight w:val="0"/>
      <w:marTop w:val="0"/>
      <w:marBottom w:val="0"/>
      <w:divBdr>
        <w:top w:val="none" w:sz="0" w:space="0" w:color="auto"/>
        <w:left w:val="none" w:sz="0" w:space="0" w:color="auto"/>
        <w:bottom w:val="none" w:sz="0" w:space="0" w:color="auto"/>
        <w:right w:val="none" w:sz="0" w:space="0" w:color="auto"/>
      </w:divBdr>
    </w:div>
    <w:div w:id="1698967663">
      <w:bodyDiv w:val="1"/>
      <w:marLeft w:val="0"/>
      <w:marRight w:val="0"/>
      <w:marTop w:val="0"/>
      <w:marBottom w:val="0"/>
      <w:divBdr>
        <w:top w:val="none" w:sz="0" w:space="0" w:color="auto"/>
        <w:left w:val="none" w:sz="0" w:space="0" w:color="auto"/>
        <w:bottom w:val="none" w:sz="0" w:space="0" w:color="auto"/>
        <w:right w:val="none" w:sz="0" w:space="0" w:color="auto"/>
      </w:divBdr>
    </w:div>
    <w:div w:id="1715036641">
      <w:bodyDiv w:val="1"/>
      <w:marLeft w:val="0"/>
      <w:marRight w:val="0"/>
      <w:marTop w:val="0"/>
      <w:marBottom w:val="0"/>
      <w:divBdr>
        <w:top w:val="none" w:sz="0" w:space="0" w:color="auto"/>
        <w:left w:val="none" w:sz="0" w:space="0" w:color="auto"/>
        <w:bottom w:val="none" w:sz="0" w:space="0" w:color="auto"/>
        <w:right w:val="none" w:sz="0" w:space="0" w:color="auto"/>
      </w:divBdr>
      <w:divsChild>
        <w:div w:id="2054114245">
          <w:marLeft w:val="0"/>
          <w:marRight w:val="0"/>
          <w:marTop w:val="0"/>
          <w:marBottom w:val="0"/>
          <w:divBdr>
            <w:top w:val="none" w:sz="0" w:space="0" w:color="auto"/>
            <w:left w:val="none" w:sz="0" w:space="0" w:color="auto"/>
            <w:bottom w:val="none" w:sz="0" w:space="0" w:color="auto"/>
            <w:right w:val="none" w:sz="0" w:space="0" w:color="auto"/>
          </w:divBdr>
          <w:divsChild>
            <w:div w:id="201207965">
              <w:marLeft w:val="0"/>
              <w:marRight w:val="0"/>
              <w:marTop w:val="0"/>
              <w:marBottom w:val="0"/>
              <w:divBdr>
                <w:top w:val="none" w:sz="0" w:space="0" w:color="auto"/>
                <w:left w:val="none" w:sz="0" w:space="0" w:color="auto"/>
                <w:bottom w:val="none" w:sz="0" w:space="0" w:color="auto"/>
                <w:right w:val="none" w:sz="0" w:space="0" w:color="auto"/>
              </w:divBdr>
              <w:divsChild>
                <w:div w:id="201329001">
                  <w:marLeft w:val="75"/>
                  <w:marRight w:val="0"/>
                  <w:marTop w:val="0"/>
                  <w:marBottom w:val="0"/>
                  <w:divBdr>
                    <w:top w:val="none" w:sz="0" w:space="0" w:color="auto"/>
                    <w:left w:val="none" w:sz="0" w:space="0" w:color="auto"/>
                    <w:bottom w:val="none" w:sz="0" w:space="0" w:color="auto"/>
                    <w:right w:val="none" w:sz="0" w:space="0" w:color="auto"/>
                  </w:divBdr>
                  <w:divsChild>
                    <w:div w:id="184639762">
                      <w:marLeft w:val="0"/>
                      <w:marRight w:val="0"/>
                      <w:marTop w:val="0"/>
                      <w:marBottom w:val="0"/>
                      <w:divBdr>
                        <w:top w:val="none" w:sz="0" w:space="0" w:color="auto"/>
                        <w:left w:val="none" w:sz="0" w:space="0" w:color="auto"/>
                        <w:bottom w:val="none" w:sz="0" w:space="0" w:color="auto"/>
                        <w:right w:val="none" w:sz="0" w:space="0" w:color="auto"/>
                      </w:divBdr>
                      <w:divsChild>
                        <w:div w:id="1352219642">
                          <w:marLeft w:val="0"/>
                          <w:marRight w:val="0"/>
                          <w:marTop w:val="0"/>
                          <w:marBottom w:val="0"/>
                          <w:divBdr>
                            <w:top w:val="none" w:sz="0" w:space="0" w:color="auto"/>
                            <w:left w:val="none" w:sz="0" w:space="0" w:color="auto"/>
                            <w:bottom w:val="none" w:sz="0" w:space="0" w:color="auto"/>
                            <w:right w:val="none" w:sz="0" w:space="0" w:color="auto"/>
                          </w:divBdr>
                          <w:divsChild>
                            <w:div w:id="8443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235910">
      <w:bodyDiv w:val="1"/>
      <w:marLeft w:val="0"/>
      <w:marRight w:val="0"/>
      <w:marTop w:val="0"/>
      <w:marBottom w:val="0"/>
      <w:divBdr>
        <w:top w:val="none" w:sz="0" w:space="0" w:color="auto"/>
        <w:left w:val="none" w:sz="0" w:space="0" w:color="auto"/>
        <w:bottom w:val="none" w:sz="0" w:space="0" w:color="auto"/>
        <w:right w:val="none" w:sz="0" w:space="0" w:color="auto"/>
      </w:divBdr>
    </w:div>
    <w:div w:id="1862355036">
      <w:bodyDiv w:val="1"/>
      <w:marLeft w:val="0"/>
      <w:marRight w:val="0"/>
      <w:marTop w:val="0"/>
      <w:marBottom w:val="0"/>
      <w:divBdr>
        <w:top w:val="none" w:sz="0" w:space="0" w:color="auto"/>
        <w:left w:val="none" w:sz="0" w:space="0" w:color="auto"/>
        <w:bottom w:val="none" w:sz="0" w:space="0" w:color="auto"/>
        <w:right w:val="none" w:sz="0" w:space="0" w:color="auto"/>
      </w:divBdr>
    </w:div>
    <w:div w:id="1895658671">
      <w:bodyDiv w:val="1"/>
      <w:marLeft w:val="0"/>
      <w:marRight w:val="0"/>
      <w:marTop w:val="0"/>
      <w:marBottom w:val="0"/>
      <w:divBdr>
        <w:top w:val="none" w:sz="0" w:space="0" w:color="auto"/>
        <w:left w:val="none" w:sz="0" w:space="0" w:color="auto"/>
        <w:bottom w:val="none" w:sz="0" w:space="0" w:color="auto"/>
        <w:right w:val="none" w:sz="0" w:space="0" w:color="auto"/>
      </w:divBdr>
    </w:div>
    <w:div w:id="1934892320">
      <w:marLeft w:val="0"/>
      <w:marRight w:val="0"/>
      <w:marTop w:val="0"/>
      <w:marBottom w:val="0"/>
      <w:divBdr>
        <w:top w:val="none" w:sz="0" w:space="0" w:color="auto"/>
        <w:left w:val="none" w:sz="0" w:space="0" w:color="auto"/>
        <w:bottom w:val="none" w:sz="0" w:space="0" w:color="auto"/>
        <w:right w:val="none" w:sz="0" w:space="0" w:color="auto"/>
      </w:divBdr>
    </w:div>
    <w:div w:id="1995063820">
      <w:bodyDiv w:val="1"/>
      <w:marLeft w:val="0"/>
      <w:marRight w:val="0"/>
      <w:marTop w:val="0"/>
      <w:marBottom w:val="0"/>
      <w:divBdr>
        <w:top w:val="none" w:sz="0" w:space="0" w:color="auto"/>
        <w:left w:val="none" w:sz="0" w:space="0" w:color="auto"/>
        <w:bottom w:val="none" w:sz="0" w:space="0" w:color="auto"/>
        <w:right w:val="none" w:sz="0" w:space="0" w:color="auto"/>
      </w:divBdr>
    </w:div>
    <w:div w:id="20022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header" Target="header1.xml" /></Relationships>
</file>

<file path=word/_rels/footer1.xml.rels><?xml version="1.0" encoding="utf-8"?><Relationships xmlns="http://schemas.openxmlformats.org/package/2006/relationships"><Relationship Id="rId2" Type="http://schemas.openxmlformats.org/officeDocument/2006/relationships/hyperlink" Target="mailto:tamas.andreka@am.gov.hu" TargetMode="External" /><Relationship Id="rId1" Type="http://schemas.openxmlformats.org/officeDocument/2006/relationships/hyperlink" Target="mailto:hunor.orban@am.gov.hu" TargetMode="Externa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6EE0-199B-4FC1-B18C-AC88A2E4B692}">
  <ds:schemaRefs>
    <ds:schemaRef ds:uri="http://schemas.openxmlformats.org/officeDocument/2006/bibliography"/>
  </ds:schemaRefs>
</ds:datastoreItem>
</file>

<file path=customXml/itemProps2.xml><?xml version="1.0" encoding="utf-8"?>
<ds:datastoreItem xmlns:ds="http://schemas.openxmlformats.org/officeDocument/2006/customXml" ds:itemID="{9E583BA0-6B7E-46A6-A9AC-32EEF0DF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1927</Words>
  <Characters>10987</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Sütő Tímea dr.</dc:creator>
  <cp:lastModifiedBy>John McCarthy</cp:lastModifiedBy>
  <cp:revision>5</cp:revision>
  <cp:lastPrinted>2019-06-12T12:18:00Z</cp:lastPrinted>
  <dcterms:created xsi:type="dcterms:W3CDTF">2019-06-25T07:45:00Z</dcterms:created>
  <dcterms:modified xsi:type="dcterms:W3CDTF">2019-07-01T09:19:00Z</dcterms:modified>
</cp:coreProperties>
</file>