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164" w:rsidRPr="00814C17" w:rsidRDefault="004A4164" w:rsidP="004A4164">
      <w:pPr>
        <w:jc w:val="center"/>
        <w:rPr>
          <w:rFonts w:ascii="Courier New" w:hAnsi="Courier New"/>
          <w:sz w:val="20"/>
          <w:szCs w:val="20"/>
        </w:rPr>
      </w:pPr>
      <w:bookmarkStart w:id="0" w:name="_GoBack"/>
      <w:bookmarkEnd w:id="0"/>
      <w:r>
        <w:rPr>
          <w:rFonts w:ascii="Courier New" w:hAnsi="Courier New"/>
          <w:sz w:val="20"/>
        </w:rPr>
        <w:t>1. ------IND- 2019 0309 HU- HR- ------ 20190703 --- --- PROJET</w:t>
      </w:r>
    </w:p>
    <w:p w:rsidR="00FC1B4C" w:rsidRPr="00D4046D" w:rsidRDefault="00FC1B4C" w:rsidP="004A4164">
      <w:pPr>
        <w:jc w:val="center"/>
        <w:rPr>
          <w:b/>
        </w:rPr>
      </w:pPr>
      <w:r>
        <w:rPr>
          <w:b/>
        </w:rPr>
        <w:t xml:space="preserve">Ministar poljoprivrede </w:t>
      </w:r>
    </w:p>
    <w:p w:rsidR="00FC1B4C" w:rsidRPr="00D4046D" w:rsidRDefault="00FC1B4C" w:rsidP="004A4164">
      <w:pPr>
        <w:jc w:val="center"/>
        <w:rPr>
          <w:b/>
        </w:rPr>
      </w:pPr>
    </w:p>
    <w:p w:rsidR="00FC1B4C" w:rsidRPr="00D4046D" w:rsidRDefault="00453591" w:rsidP="004A4164">
      <w:pPr>
        <w:jc w:val="center"/>
        <w:rPr>
          <w:b/>
        </w:rPr>
      </w:pPr>
      <w:r>
        <w:rPr>
          <w:b/>
        </w:rPr>
        <w:t>Uredba .../2019 od ... .... 2019</w:t>
      </w:r>
    </w:p>
    <w:p w:rsidR="00FC1B4C" w:rsidRPr="00D4046D" w:rsidRDefault="00FC1B4C" w:rsidP="004A4164">
      <w:pPr>
        <w:jc w:val="both"/>
        <w:rPr>
          <w:b/>
          <w:bCs/>
        </w:rPr>
      </w:pPr>
    </w:p>
    <w:p w:rsidR="00FC1B4C" w:rsidRPr="00D4046D" w:rsidRDefault="00FC1B4C" w:rsidP="004A4164">
      <w:pPr>
        <w:jc w:val="center"/>
        <w:rPr>
          <w:rFonts w:eastAsiaTheme="minorHAnsi"/>
          <w:b/>
          <w:bCs/>
        </w:rPr>
      </w:pPr>
      <w:r>
        <w:rPr>
          <w:b/>
        </w:rPr>
        <w:t>o izmjeni Uredbe 53/2017 ministra poljoprivrede od 18. listopada 2017. o uvjetima rada uređaja za loženje s ukupnom nazivnom toplinskom ulaznom snagom većom od ili jednakom 140 kW</w:t>
      </w:r>
      <w:r>
        <w:rPr>
          <w:b/>
          <w:vertAlign w:val="subscript"/>
        </w:rPr>
        <w:t>th</w:t>
      </w:r>
      <w:r>
        <w:rPr>
          <w:b/>
        </w:rPr>
        <w:t>, ali manjom od 50 MW</w:t>
      </w:r>
      <w:r>
        <w:rPr>
          <w:b/>
          <w:vertAlign w:val="subscript"/>
        </w:rPr>
        <w:t>th</w:t>
      </w:r>
      <w:r>
        <w:rPr>
          <w:b/>
        </w:rPr>
        <w:t>, te o graničnim vrijednostima onečišćujućih tvari u zraku emitiranih iz njih</w:t>
      </w:r>
    </w:p>
    <w:p w:rsidR="00FC1B4C" w:rsidRPr="00D4046D" w:rsidRDefault="00FC1B4C" w:rsidP="004A4164">
      <w:pPr>
        <w:jc w:val="both"/>
        <w:rPr>
          <w:rFonts w:eastAsiaTheme="minorHAnsi"/>
          <w:b/>
          <w:bCs/>
        </w:rPr>
      </w:pPr>
    </w:p>
    <w:p w:rsidR="00FC1B4C" w:rsidRPr="00D4046D" w:rsidRDefault="00FC1B4C" w:rsidP="004A4164">
      <w:pPr>
        <w:jc w:val="both"/>
        <w:rPr>
          <w:i/>
          <w:iCs/>
          <w:u w:val="single"/>
        </w:rPr>
      </w:pPr>
    </w:p>
    <w:p w:rsidR="00FC1B4C" w:rsidRPr="00D4046D" w:rsidRDefault="00FC1B4C" w:rsidP="004A4164">
      <w:pPr>
        <w:jc w:val="both"/>
        <w:rPr>
          <w:bCs/>
          <w:iCs/>
        </w:rPr>
      </w:pPr>
      <w:r>
        <w:t>U skladu s ovlaštenjem danim na temelju članka 110. stavka 8. točke (g) Zakona LIII iz 1995. o općim pravilima za zaštitu okoliša, djelujući u okviru svojih dužnosti, kako je utvrđeno člankom 79. stavkom 9. Uredbe Vlade br. 94/2018 od 22. svibnja 2018. o dužnostima i ovlastima članova Vlade, ovime donosim sljedeće:</w:t>
      </w:r>
    </w:p>
    <w:p w:rsidR="00FC1B4C" w:rsidRPr="00D4046D" w:rsidRDefault="00FC1B4C" w:rsidP="004A4164">
      <w:pPr>
        <w:jc w:val="both"/>
        <w:rPr>
          <w:i/>
        </w:rPr>
      </w:pPr>
    </w:p>
    <w:p w:rsidR="00287AE1" w:rsidRDefault="00D606F7" w:rsidP="004A4164">
      <w:pPr>
        <w:keepNext/>
        <w:keepLines/>
        <w:jc w:val="center"/>
        <w:rPr>
          <w:b/>
        </w:rPr>
      </w:pPr>
      <w:r>
        <w:rPr>
          <w:b/>
        </w:rPr>
        <w:t>Članak 1.</w:t>
      </w:r>
    </w:p>
    <w:p w:rsidR="00D606F7" w:rsidRDefault="00D606F7" w:rsidP="004A4164">
      <w:pPr>
        <w:keepNext/>
        <w:keepLines/>
        <w:jc w:val="center"/>
        <w:rPr>
          <w:b/>
        </w:rPr>
      </w:pPr>
    </w:p>
    <w:p w:rsidR="009F7DF7" w:rsidRPr="009F7DF7" w:rsidRDefault="004A4164" w:rsidP="004A4164">
      <w:pPr>
        <w:pStyle w:val="ListParagraph"/>
        <w:autoSpaceDE w:val="0"/>
        <w:autoSpaceDN w:val="0"/>
        <w:adjustRightInd w:val="0"/>
        <w:spacing w:before="60"/>
        <w:ind w:left="0"/>
        <w:jc w:val="both"/>
        <w:rPr>
          <w:bCs/>
          <w:iCs/>
        </w:rPr>
      </w:pPr>
      <w:r>
        <w:t>1. Točka 1.a navedena u nastavku dodaje se članku 2. stavku 1. Uredbe 53/2017 ministra poljoprivrede od 18. listopada 2017. o uvjetima rada uređaja za loženje s ukupnom nazivnom toplinskom ulaznom snagom većom od ili jednakom 140 kW</w:t>
      </w:r>
      <w:r>
        <w:rPr>
          <w:vertAlign w:val="subscript"/>
        </w:rPr>
        <w:t>th</w:t>
      </w:r>
      <w:r>
        <w:t>, ali manjom od 50 MW</w:t>
      </w:r>
      <w:r>
        <w:rPr>
          <w:vertAlign w:val="subscript"/>
        </w:rPr>
        <w:t>th</w:t>
      </w:r>
      <w:r>
        <w:t>, te o graničnim vrijednostima onečišćujućih tvari u zraku emitiranih iz njih (dalje u tekstu „Uredba”):</w:t>
      </w:r>
    </w:p>
    <w:p w:rsidR="009F7DF7" w:rsidRPr="009F7DF7" w:rsidRDefault="009F7DF7" w:rsidP="004A4164">
      <w:pPr>
        <w:autoSpaceDE w:val="0"/>
        <w:autoSpaceDN w:val="0"/>
        <w:adjustRightInd w:val="0"/>
        <w:spacing w:before="60"/>
        <w:jc w:val="both"/>
        <w:rPr>
          <w:bCs/>
          <w:i/>
          <w:iCs/>
        </w:rPr>
      </w:pPr>
      <w:r>
        <w:rPr>
          <w:i/>
        </w:rPr>
        <w:t>(Za potrebe ove Uredbe)</w:t>
      </w:r>
    </w:p>
    <w:p w:rsidR="009F7DF7" w:rsidRDefault="009F7DF7" w:rsidP="004A4164">
      <w:pPr>
        <w:autoSpaceDE w:val="0"/>
        <w:autoSpaceDN w:val="0"/>
        <w:adjustRightInd w:val="0"/>
        <w:spacing w:before="60"/>
        <w:jc w:val="both"/>
        <w:rPr>
          <w:bCs/>
          <w:iCs/>
        </w:rPr>
      </w:pPr>
      <w:r>
        <w:t>„1.a ‚</w:t>
      </w:r>
      <w:r>
        <w:rPr>
          <w:i/>
        </w:rPr>
        <w:t>sustav za prijenos plina</w:t>
      </w:r>
      <w:r>
        <w:t>’ znači kooperativni sustav prirodnog plina u skladu sa Zakonom XL iz 2008. o opskrbi prirodnim plinom;”</w:t>
      </w:r>
    </w:p>
    <w:p w:rsidR="009F7DF7" w:rsidRDefault="009F7DF7" w:rsidP="004A4164">
      <w:pPr>
        <w:autoSpaceDE w:val="0"/>
        <w:autoSpaceDN w:val="0"/>
        <w:adjustRightInd w:val="0"/>
        <w:spacing w:before="60"/>
        <w:jc w:val="both"/>
        <w:rPr>
          <w:bCs/>
          <w:iCs/>
        </w:rPr>
      </w:pPr>
    </w:p>
    <w:p w:rsidR="00D606F7" w:rsidRDefault="009F7DF7" w:rsidP="004A4164">
      <w:pPr>
        <w:keepNext/>
        <w:keepLines/>
        <w:autoSpaceDE w:val="0"/>
        <w:autoSpaceDN w:val="0"/>
        <w:adjustRightInd w:val="0"/>
        <w:spacing w:before="60"/>
        <w:jc w:val="both"/>
        <w:rPr>
          <w:bCs/>
          <w:iCs/>
        </w:rPr>
      </w:pPr>
      <w:r>
        <w:t>2. Članak 2. stavak 1. točka 9. Uredbe zamjenjuje se sljedećim:</w:t>
      </w:r>
    </w:p>
    <w:p w:rsidR="00D606F7" w:rsidRDefault="00D606F7" w:rsidP="004A4164">
      <w:pPr>
        <w:autoSpaceDE w:val="0"/>
        <w:autoSpaceDN w:val="0"/>
        <w:adjustRightInd w:val="0"/>
        <w:spacing w:before="60"/>
        <w:jc w:val="both"/>
        <w:rPr>
          <w:bCs/>
          <w:iCs/>
        </w:rPr>
      </w:pPr>
      <w:r>
        <w:t>„9. ‚</w:t>
      </w:r>
      <w:r>
        <w:rPr>
          <w:i/>
        </w:rPr>
        <w:t>ukupna nazivna toplinska ulazna snaga</w:t>
      </w:r>
      <w:r>
        <w:t>’ znači zbroj nazivnih toplinskih ulaznih snaga uređaja za loženje, izračunan prema pravilu zbrajanja, koji je u slučaju uređaja za loženje jednak njegovoj nazivnoj toplinskoj ulaznoj snazi;”</w:t>
      </w:r>
    </w:p>
    <w:p w:rsidR="00D606F7" w:rsidRDefault="00D606F7" w:rsidP="004A4164">
      <w:pPr>
        <w:autoSpaceDE w:val="0"/>
        <w:autoSpaceDN w:val="0"/>
        <w:adjustRightInd w:val="0"/>
        <w:spacing w:before="60"/>
        <w:jc w:val="both"/>
        <w:rPr>
          <w:bCs/>
          <w:iCs/>
        </w:rPr>
      </w:pPr>
    </w:p>
    <w:p w:rsidR="00D606F7" w:rsidRPr="00D606F7" w:rsidRDefault="00D606F7" w:rsidP="004A4164">
      <w:pPr>
        <w:keepNext/>
        <w:keepLines/>
        <w:jc w:val="center"/>
        <w:rPr>
          <w:b/>
        </w:rPr>
      </w:pPr>
      <w:r>
        <w:rPr>
          <w:b/>
        </w:rPr>
        <w:t>Članak 2.</w:t>
      </w:r>
    </w:p>
    <w:p w:rsidR="00DE6CCA" w:rsidRPr="00D4046D" w:rsidRDefault="00DE6CCA" w:rsidP="004A4164">
      <w:pPr>
        <w:pStyle w:val="ListParagraph"/>
        <w:keepNext/>
        <w:keepLines/>
        <w:ind w:left="0"/>
        <w:jc w:val="center"/>
        <w:rPr>
          <w:i/>
        </w:rPr>
      </w:pPr>
    </w:p>
    <w:p w:rsidR="00F3461C" w:rsidRPr="004A4164" w:rsidRDefault="004A4164" w:rsidP="004A4164">
      <w:pPr>
        <w:keepNext/>
        <w:keepLines/>
        <w:autoSpaceDE w:val="0"/>
        <w:autoSpaceDN w:val="0"/>
        <w:adjustRightInd w:val="0"/>
        <w:spacing w:before="60"/>
        <w:jc w:val="both"/>
        <w:rPr>
          <w:bCs/>
          <w:iCs/>
        </w:rPr>
      </w:pPr>
      <w:r>
        <w:t>1. Članak 4. stavci 6. i 7. Uredbe stupaju na snagu u sljedećem obliku:</w:t>
      </w:r>
    </w:p>
    <w:p w:rsidR="00287AE1" w:rsidRPr="00D4046D" w:rsidRDefault="00287AE1" w:rsidP="004A4164">
      <w:pPr>
        <w:autoSpaceDE w:val="0"/>
        <w:autoSpaceDN w:val="0"/>
        <w:adjustRightInd w:val="0"/>
        <w:spacing w:before="60"/>
        <w:jc w:val="both"/>
        <w:rPr>
          <w:bCs/>
          <w:iCs/>
        </w:rPr>
      </w:pPr>
      <w:r>
        <w:t>„6. Granične vrijednosti emisija navedene u Prilogu 1. primjenjuju se na uređaje za loženje kategorije I. s ukupnom nazivnom toplinskom ulaznom snagom većom od ili jednakom 1 MW</w:t>
      </w:r>
      <w:r>
        <w:rPr>
          <w:vertAlign w:val="subscript"/>
        </w:rPr>
        <w:t>th</w:t>
      </w:r>
      <w:r>
        <w:t xml:space="preserve"> koji rade najviše 500 radnih sati godišnje kao tekući prosjek tijekom razdoblja od pet godina, uz iznimku da granična vrijednost emisija za krute materijale za uređaje za loženje goriva iz krute biomase iznosi 200 mg/Nm</w:t>
      </w:r>
      <w:r>
        <w:rPr>
          <w:vertAlign w:val="superscript"/>
        </w:rPr>
        <w:t>3</w:t>
      </w:r>
      <w:r>
        <w:t>, a granična vrijednost emisija za ugljikov monoksid iznosi 375 mg/Nm</w:t>
      </w:r>
      <w:r>
        <w:rPr>
          <w:vertAlign w:val="superscript"/>
        </w:rPr>
        <w:t>3</w:t>
      </w:r>
      <w:r>
        <w:t>.</w:t>
      </w:r>
    </w:p>
    <w:p w:rsidR="00287AE1" w:rsidRPr="00D4046D" w:rsidRDefault="00287AE1" w:rsidP="004A4164">
      <w:pPr>
        <w:jc w:val="both"/>
        <w:rPr>
          <w:i/>
        </w:rPr>
      </w:pPr>
      <w:r>
        <w:t>7. Do 1. siječnja 2030. granične vrijednosti navedene u Prilogu 1. primjenjuju se na uređaje za loženje kategorije I. s ukupnom nazivnom toplinskom ulaznom snagom većom od 5 MW</w:t>
      </w:r>
      <w:r>
        <w:rPr>
          <w:vertAlign w:val="subscript"/>
        </w:rPr>
        <w:t>th</w:t>
      </w:r>
      <w:r>
        <w:t xml:space="preserve"> pri čemu se 50 % proizvodnje korisne topline takvih uređaja, kao tekući prosjek tijekom razdoblja od pet godina, pruža u obliku pare ili tople ili vruće vode za javnu mrežu za centralizirano grijanje, uz iznimku da granična vrijednost emisija za sumporov dioksid za uređaje za loženje krutih i tekućih goriva iznosi 1 100 mg/Nm</w:t>
      </w:r>
      <w:r>
        <w:rPr>
          <w:vertAlign w:val="superscript"/>
        </w:rPr>
        <w:t>3</w:t>
      </w:r>
      <w:r>
        <w:t xml:space="preserve">, a granična vrijednost emisija za krute materijale za uređaje za loženje </w:t>
      </w:r>
      <w:r>
        <w:lastRenderedPageBreak/>
        <w:t>krutih goriva iznosi 150 mg/Nm</w:t>
      </w:r>
      <w:r>
        <w:rPr>
          <w:vertAlign w:val="superscript"/>
        </w:rPr>
        <w:t>3</w:t>
      </w:r>
      <w:r>
        <w:t>, dok granična vrijednost emisija za ugljikov monoksid za uređaje za loženje goriva iz krute biomase iznosi 375 mg/Nm</w:t>
      </w:r>
      <w:r>
        <w:rPr>
          <w:vertAlign w:val="superscript"/>
        </w:rPr>
        <w:t>3</w:t>
      </w:r>
      <w:r>
        <w:t>.”</w:t>
      </w:r>
    </w:p>
    <w:p w:rsidR="00FE5F56" w:rsidRPr="00D4046D" w:rsidRDefault="00FE5F56" w:rsidP="004A4164">
      <w:pPr>
        <w:autoSpaceDE w:val="0"/>
        <w:autoSpaceDN w:val="0"/>
        <w:adjustRightInd w:val="0"/>
        <w:spacing w:before="60"/>
        <w:jc w:val="both"/>
        <w:rPr>
          <w:bCs/>
          <w:iCs/>
        </w:rPr>
      </w:pPr>
    </w:p>
    <w:p w:rsidR="004257C8" w:rsidRPr="00D4046D" w:rsidRDefault="00FC1B4C" w:rsidP="004A4164">
      <w:pPr>
        <w:keepNext/>
        <w:keepLines/>
        <w:autoSpaceDE w:val="0"/>
        <w:autoSpaceDN w:val="0"/>
        <w:adjustRightInd w:val="0"/>
        <w:spacing w:before="60"/>
        <w:jc w:val="both"/>
        <w:rPr>
          <w:bCs/>
          <w:iCs/>
        </w:rPr>
      </w:pPr>
      <w:r>
        <w:t>2. Članak 4. stavak 9. Uredbe stupa na snagu u sljedećem obliku:</w:t>
      </w:r>
    </w:p>
    <w:p w:rsidR="004257C8" w:rsidRDefault="004257C8" w:rsidP="004A4164">
      <w:pPr>
        <w:autoSpaceDE w:val="0"/>
        <w:autoSpaceDN w:val="0"/>
        <w:adjustRightInd w:val="0"/>
        <w:jc w:val="both"/>
        <w:rPr>
          <w:rFonts w:eastAsiaTheme="minorEastAsia"/>
        </w:rPr>
      </w:pPr>
      <w:r>
        <w:t>„9. Do 1. siječnja 2030. granične vrijednosti emisija navedene u Prilogu 1. primjenjuju se na dušikove okside iz motora i plinskih turbina kategorije 1. s ukupnom nazivnom toplinskom ulaznom snagom većom od 5 MW</w:t>
      </w:r>
      <w:r>
        <w:rPr>
          <w:vertAlign w:val="subscript"/>
        </w:rPr>
        <w:t>th</w:t>
      </w:r>
      <w:r>
        <w:t xml:space="preserve"> i koji se upotrebljavaju za pokretanje stanica za komprimiranje plina potrebnih radi osiguravanja sigurnosti i zaštite sustava za prijenos plina, uz iznimku da u slučaju plinskih motora puštenih u rad prije 1. siječnja 1994., granična vrijednost emisija za dušikove okside iznosi 565 mg/Nm</w:t>
      </w:r>
      <w:r>
        <w:rPr>
          <w:vertAlign w:val="superscript"/>
        </w:rPr>
        <w:t>3</w:t>
      </w:r>
      <w:r>
        <w:t>.”</w:t>
      </w:r>
    </w:p>
    <w:p w:rsidR="00740D2A" w:rsidRPr="00D4046D" w:rsidRDefault="00740D2A" w:rsidP="004A4164">
      <w:pPr>
        <w:autoSpaceDE w:val="0"/>
        <w:autoSpaceDN w:val="0"/>
        <w:adjustRightInd w:val="0"/>
        <w:jc w:val="both"/>
        <w:rPr>
          <w:bCs/>
          <w:iCs/>
        </w:rPr>
      </w:pPr>
    </w:p>
    <w:p w:rsidR="00FC1B4C" w:rsidRPr="00D4046D" w:rsidRDefault="004257C8" w:rsidP="004A4164">
      <w:pPr>
        <w:keepNext/>
        <w:keepLines/>
        <w:autoSpaceDE w:val="0"/>
        <w:autoSpaceDN w:val="0"/>
        <w:adjustRightInd w:val="0"/>
        <w:spacing w:before="60"/>
        <w:jc w:val="both"/>
        <w:rPr>
          <w:bCs/>
          <w:iCs/>
        </w:rPr>
      </w:pPr>
      <w:r>
        <w:t>3. Članak 4. stavak 10. Uredbe zamjenjuje se sljedećim:</w:t>
      </w:r>
    </w:p>
    <w:p w:rsidR="00FC1B4C" w:rsidRPr="00D4046D" w:rsidRDefault="00FC1B4C" w:rsidP="004A4164">
      <w:pPr>
        <w:autoSpaceDE w:val="0"/>
        <w:autoSpaceDN w:val="0"/>
        <w:adjustRightInd w:val="0"/>
        <w:spacing w:before="60"/>
        <w:jc w:val="both"/>
        <w:rPr>
          <w:bCs/>
          <w:iCs/>
        </w:rPr>
      </w:pPr>
      <w:r>
        <w:t>„10. Granične vrijednosti emisija navedene u Prilogu 1. primjenjuju se na uređaje za loženje kategorije II. koji rade najviše 500 radnih sati godišnje kao tekući prosjek tijekom razdoblja od tri godine, uz iznimku da granična vrijednost emisija za krute materijale za uređaje za loženje krutih goriva iznosi 100 mg/Nm</w:t>
      </w:r>
      <w:r>
        <w:rPr>
          <w:vertAlign w:val="superscript"/>
        </w:rPr>
        <w:t>3</w:t>
      </w:r>
      <w:r>
        <w:t>, a granična vrijednost emisija za ugljikov monoksid za uređaje za loženje s ukupnom nazivnom toplinskom ulaznom snagom većom od ili jednakom 1 MW</w:t>
      </w:r>
      <w:r>
        <w:rPr>
          <w:vertAlign w:val="subscript"/>
        </w:rPr>
        <w:t>th</w:t>
      </w:r>
      <w:r>
        <w:t xml:space="preserve"> u kojima se loži gorivo iz krute biomase iznosi 375 mg/Nm</w:t>
      </w:r>
      <w:r>
        <w:rPr>
          <w:vertAlign w:val="superscript"/>
        </w:rPr>
        <w:t>3</w:t>
      </w:r>
      <w:r>
        <w:t>.”</w:t>
      </w:r>
    </w:p>
    <w:p w:rsidR="00DE6CCA" w:rsidRPr="00D4046D" w:rsidRDefault="00DE6CCA" w:rsidP="004A4164">
      <w:pPr>
        <w:autoSpaceDE w:val="0"/>
        <w:autoSpaceDN w:val="0"/>
        <w:adjustRightInd w:val="0"/>
        <w:spacing w:before="60"/>
        <w:jc w:val="both"/>
        <w:rPr>
          <w:bCs/>
          <w:iCs/>
        </w:rPr>
      </w:pPr>
    </w:p>
    <w:p w:rsidR="00DE6CCA" w:rsidRPr="00D4046D" w:rsidRDefault="004916B6" w:rsidP="004A4164">
      <w:pPr>
        <w:pStyle w:val="ListParagraph"/>
        <w:keepNext/>
        <w:keepLines/>
        <w:autoSpaceDE w:val="0"/>
        <w:autoSpaceDN w:val="0"/>
        <w:adjustRightInd w:val="0"/>
        <w:spacing w:before="60"/>
        <w:ind w:left="0"/>
        <w:jc w:val="both"/>
        <w:rPr>
          <w:bCs/>
          <w:iCs/>
        </w:rPr>
      </w:pPr>
      <w:r>
        <w:t>4. Članak 4. stavak 13. Uredbe zamjenjuje se sljedećim:</w:t>
      </w:r>
    </w:p>
    <w:p w:rsidR="00DE6CCA" w:rsidRPr="00553495" w:rsidRDefault="00DE6CCA" w:rsidP="004A4164">
      <w:pPr>
        <w:keepNext/>
        <w:keepLines/>
        <w:autoSpaceDE w:val="0"/>
        <w:autoSpaceDN w:val="0"/>
        <w:adjustRightInd w:val="0"/>
        <w:jc w:val="both"/>
        <w:rPr>
          <w:bCs/>
          <w:iCs/>
        </w:rPr>
      </w:pPr>
      <w:r>
        <w:t>„13. U slučaju stacionarnih motora, granične vrijednosti emisija ne primjenjuju se na</w:t>
      </w:r>
    </w:p>
    <w:p w:rsidR="00DE6CCA" w:rsidRPr="00D4046D" w:rsidRDefault="00DE6CCA" w:rsidP="004A4164">
      <w:pPr>
        <w:autoSpaceDE w:val="0"/>
        <w:autoSpaceDN w:val="0"/>
        <w:adjustRightInd w:val="0"/>
        <w:jc w:val="both"/>
      </w:pPr>
      <w:r>
        <w:t>(</w:t>
      </w:r>
      <w:r>
        <w:rPr>
          <w:i/>
        </w:rPr>
        <w:t>a)</w:t>
      </w:r>
      <w:r>
        <w:t xml:space="preserve"> motore s nazivnom toplinskom ulaznom snagom manjom od 1 MW</w:t>
      </w:r>
      <w:r>
        <w:rPr>
          <w:vertAlign w:val="subscript"/>
        </w:rPr>
        <w:t>th</w:t>
      </w:r>
      <w:r>
        <w:t>, čija je upotreba goriva manja od 50 kg/h; i</w:t>
      </w:r>
    </w:p>
    <w:p w:rsidR="00DE6CCA" w:rsidRPr="00D4046D" w:rsidRDefault="00DE6CCA" w:rsidP="004A4164">
      <w:pPr>
        <w:autoSpaceDE w:val="0"/>
        <w:autoSpaceDN w:val="0"/>
        <w:adjustRightInd w:val="0"/>
        <w:jc w:val="both"/>
      </w:pPr>
      <w:r>
        <w:t>(</w:t>
      </w:r>
      <w:r>
        <w:rPr>
          <w:i/>
        </w:rPr>
        <w:t>b)</w:t>
      </w:r>
      <w:r>
        <w:t xml:space="preserve"> stacionarne motore s napajanjem u slučaju nužde koji rade manje od 50 sati godišnje.”</w:t>
      </w:r>
    </w:p>
    <w:p w:rsidR="00DE6CCA" w:rsidRPr="00D4046D" w:rsidRDefault="00DE6CCA" w:rsidP="004A4164">
      <w:pPr>
        <w:pStyle w:val="ListParagraph"/>
        <w:autoSpaceDE w:val="0"/>
        <w:autoSpaceDN w:val="0"/>
        <w:adjustRightInd w:val="0"/>
        <w:spacing w:before="60"/>
        <w:ind w:left="0"/>
        <w:jc w:val="both"/>
        <w:rPr>
          <w:bCs/>
          <w:iCs/>
        </w:rPr>
      </w:pPr>
    </w:p>
    <w:p w:rsidR="00FC1B4C" w:rsidRPr="00D4046D" w:rsidRDefault="00D606F7" w:rsidP="004A4164">
      <w:pPr>
        <w:keepNext/>
        <w:keepLines/>
        <w:autoSpaceDE w:val="0"/>
        <w:autoSpaceDN w:val="0"/>
        <w:adjustRightInd w:val="0"/>
        <w:jc w:val="center"/>
        <w:rPr>
          <w:b/>
          <w:bCs/>
          <w:iCs/>
        </w:rPr>
      </w:pPr>
      <w:r>
        <w:rPr>
          <w:b/>
        </w:rPr>
        <w:t>Članak 3.</w:t>
      </w:r>
    </w:p>
    <w:p w:rsidR="00D26C98" w:rsidRPr="00D4046D" w:rsidRDefault="00D26C98" w:rsidP="004A4164">
      <w:pPr>
        <w:keepNext/>
        <w:keepLines/>
        <w:autoSpaceDE w:val="0"/>
        <w:autoSpaceDN w:val="0"/>
        <w:adjustRightInd w:val="0"/>
        <w:jc w:val="center"/>
        <w:rPr>
          <w:bCs/>
          <w:iCs/>
        </w:rPr>
      </w:pPr>
    </w:p>
    <w:p w:rsidR="00FC1B4C" w:rsidRPr="00D4046D" w:rsidRDefault="00FC1B4C" w:rsidP="004A4164">
      <w:pPr>
        <w:keepNext/>
        <w:keepLines/>
        <w:autoSpaceDE w:val="0"/>
        <w:autoSpaceDN w:val="0"/>
        <w:adjustRightInd w:val="0"/>
        <w:jc w:val="both"/>
      </w:pPr>
      <w:r>
        <w:t>Članak 12. stavci 2. i 3. Uredbe zamjenjuje se sljedećim:</w:t>
      </w:r>
    </w:p>
    <w:p w:rsidR="00D26C98" w:rsidRPr="00D4046D" w:rsidRDefault="00D26C98" w:rsidP="004A4164">
      <w:pPr>
        <w:keepNext/>
        <w:keepLines/>
        <w:autoSpaceDE w:val="0"/>
        <w:autoSpaceDN w:val="0"/>
        <w:adjustRightInd w:val="0"/>
        <w:jc w:val="both"/>
      </w:pPr>
    </w:p>
    <w:p w:rsidR="006B0CC9" w:rsidRPr="00D4046D" w:rsidRDefault="00FC1B4C" w:rsidP="004A4164">
      <w:pPr>
        <w:autoSpaceDE w:val="0"/>
        <w:autoSpaceDN w:val="0"/>
        <w:adjustRightInd w:val="0"/>
        <w:spacing w:before="60"/>
        <w:jc w:val="both"/>
      </w:pPr>
      <w:r>
        <w:t>„2. Do 31. prosinca 2029. granične vrijednosti emisija navedene u Prilogu 1. primjenjuju se na uređaje za loženje kategorije I. s ukupnom nazivnom toplinskom ulaznom snagom većom od ili jednakom 1 MW</w:t>
      </w:r>
      <w:r>
        <w:rPr>
          <w:vertAlign w:val="subscript"/>
        </w:rPr>
        <w:t>th</w:t>
      </w:r>
      <w:r>
        <w:t>, ali manjom od 5 MW</w:t>
      </w:r>
      <w:r>
        <w:rPr>
          <w:vertAlign w:val="subscript"/>
        </w:rPr>
        <w:t>th</w:t>
      </w:r>
      <w:r>
        <w:t xml:space="preserve">, uz sljedeće iznimke: </w:t>
      </w:r>
    </w:p>
    <w:p w:rsidR="00FC1B4C" w:rsidRPr="00D4046D" w:rsidRDefault="00FC1B4C" w:rsidP="004A4164">
      <w:pPr>
        <w:pStyle w:val="ListParagraph"/>
        <w:numPr>
          <w:ilvl w:val="0"/>
          <w:numId w:val="50"/>
        </w:numPr>
        <w:autoSpaceDE w:val="0"/>
        <w:autoSpaceDN w:val="0"/>
        <w:adjustRightInd w:val="0"/>
        <w:spacing w:before="60"/>
        <w:ind w:left="426" w:hanging="426"/>
        <w:jc w:val="both"/>
      </w:pPr>
      <w:r>
        <w:t>u slučaju loženja krute biomase, granična vrijednost emisija za ugljikov monoksid iznosi 375 mg/Nm</w:t>
      </w:r>
      <w:r>
        <w:rPr>
          <w:vertAlign w:val="superscript"/>
        </w:rPr>
        <w:t>3</w:t>
      </w:r>
      <w:r>
        <w:t>;</w:t>
      </w:r>
    </w:p>
    <w:p w:rsidR="006B0CC9" w:rsidRPr="00D4046D" w:rsidRDefault="006B0CC9" w:rsidP="004A4164">
      <w:pPr>
        <w:pStyle w:val="ListParagraph"/>
        <w:numPr>
          <w:ilvl w:val="0"/>
          <w:numId w:val="50"/>
        </w:numPr>
        <w:autoSpaceDE w:val="0"/>
        <w:autoSpaceDN w:val="0"/>
        <w:adjustRightInd w:val="0"/>
        <w:spacing w:before="60"/>
        <w:ind w:left="426" w:hanging="426"/>
        <w:jc w:val="both"/>
      </w:pPr>
      <w:r>
        <w:t>u slučaju plinskih motora puštenih u rad prije 1. siječnja 1994. s ukupnom nazivnom toplinskom ulaznom snagom većom od 3 MW</w:t>
      </w:r>
      <w:r>
        <w:rPr>
          <w:vertAlign w:val="subscript"/>
        </w:rPr>
        <w:t>th</w:t>
      </w:r>
      <w:r>
        <w:t>, granična vrijednost emisija za dušikove okside iznosi 565 mg/Nm</w:t>
      </w:r>
      <w:r>
        <w:rPr>
          <w:vertAlign w:val="superscript"/>
        </w:rPr>
        <w:t>3</w:t>
      </w:r>
      <w:r>
        <w:t>, granična vrijednost emisija CO za četverotaktne motore iznosi 375 mg/Nm</w:t>
      </w:r>
      <w:r>
        <w:rPr>
          <w:vertAlign w:val="superscript"/>
        </w:rPr>
        <w:t>3</w:t>
      </w:r>
      <w:r>
        <w:t>, za dvotaktne motore iznosi 320 mg/Nm</w:t>
      </w:r>
      <w:r>
        <w:rPr>
          <w:vertAlign w:val="superscript"/>
        </w:rPr>
        <w:t>3</w:t>
      </w:r>
      <w:r>
        <w:t>, a za ukupne organske spojeve, izražene kao C (ugljik), osim metana, granična vrijednost emisija iznosi 115 mg/Nm</w:t>
      </w:r>
      <w:r>
        <w:rPr>
          <w:vertAlign w:val="superscript"/>
        </w:rPr>
        <w:t>3</w:t>
      </w:r>
      <w:r>
        <w:t>.</w:t>
      </w:r>
    </w:p>
    <w:p w:rsidR="006B0CC9" w:rsidRPr="00D4046D" w:rsidRDefault="00115E21" w:rsidP="004A4164">
      <w:pPr>
        <w:autoSpaceDE w:val="0"/>
        <w:autoSpaceDN w:val="0"/>
        <w:adjustRightInd w:val="0"/>
        <w:jc w:val="both"/>
      </w:pPr>
      <w:r>
        <w:t>3. Do 31. prosinca 2024. granične vrijednosti emisija navedene u Prilogu 1. primjenjuju se na uređaje za loženje kategorije I. s ukupnom nazivnom toplinskom ulaznom snagom većom od 5 MW</w:t>
      </w:r>
      <w:r>
        <w:rPr>
          <w:vertAlign w:val="subscript"/>
        </w:rPr>
        <w:t>th</w:t>
      </w:r>
      <w:r>
        <w:t>, uz sljedeće iznimke:</w:t>
      </w:r>
    </w:p>
    <w:p w:rsidR="006B0CC9" w:rsidRPr="00D4046D" w:rsidRDefault="00FC1B4C" w:rsidP="004A4164">
      <w:pPr>
        <w:pStyle w:val="ListParagraph"/>
        <w:numPr>
          <w:ilvl w:val="0"/>
          <w:numId w:val="55"/>
        </w:numPr>
        <w:autoSpaceDE w:val="0"/>
        <w:autoSpaceDN w:val="0"/>
        <w:adjustRightInd w:val="0"/>
        <w:spacing w:before="60"/>
        <w:ind w:left="426" w:hanging="426"/>
        <w:jc w:val="both"/>
      </w:pPr>
      <w:r>
        <w:t>u slučaju loženja krute biomase, granična vrijednost emisija za ugljikov monoksid iznosi 375 mg/Nm</w:t>
      </w:r>
      <w:r>
        <w:rPr>
          <w:vertAlign w:val="superscript"/>
        </w:rPr>
        <w:t>3</w:t>
      </w:r>
      <w:r>
        <w:t>;</w:t>
      </w:r>
    </w:p>
    <w:p w:rsidR="00FC1B4C" w:rsidRPr="00D4046D" w:rsidRDefault="006B0CC9" w:rsidP="004A4164">
      <w:pPr>
        <w:pStyle w:val="ListParagraph"/>
        <w:numPr>
          <w:ilvl w:val="0"/>
          <w:numId w:val="55"/>
        </w:numPr>
        <w:autoSpaceDE w:val="0"/>
        <w:autoSpaceDN w:val="0"/>
        <w:adjustRightInd w:val="0"/>
        <w:spacing w:before="60"/>
        <w:ind w:left="426" w:hanging="426"/>
        <w:jc w:val="both"/>
      </w:pPr>
      <w:r>
        <w:lastRenderedPageBreak/>
        <w:t>u slučaju plinskih motora puštenih u rad prije 1. siječnja 1994. granična vrijednost emisija za dušikove okside iznosi 565 mg/Nm3, granična vrijednost emisija za ugljikov monoksid za četverotaktne motore iznosi 375 mg/Nm</w:t>
      </w:r>
      <w:r>
        <w:rPr>
          <w:vertAlign w:val="superscript"/>
        </w:rPr>
        <w:t>3</w:t>
      </w:r>
      <w:r>
        <w:t>, za dvotaktne motore iznosi 320 mg/Nm</w:t>
      </w:r>
      <w:r>
        <w:rPr>
          <w:vertAlign w:val="superscript"/>
        </w:rPr>
        <w:t>3</w:t>
      </w:r>
      <w:r>
        <w:t>, a za ukupne organske spojeve, izražene kao C (ugljik), osim metana, granična vrijednost emisija iznosi 115 mg/Nm</w:t>
      </w:r>
      <w:r>
        <w:rPr>
          <w:vertAlign w:val="superscript"/>
        </w:rPr>
        <w:t>3</w:t>
      </w:r>
      <w:r>
        <w:t>.</w:t>
      </w:r>
    </w:p>
    <w:p w:rsidR="00115E21" w:rsidRPr="00D4046D" w:rsidRDefault="00115E21" w:rsidP="004A4164">
      <w:pPr>
        <w:autoSpaceDE w:val="0"/>
        <w:autoSpaceDN w:val="0"/>
        <w:adjustRightInd w:val="0"/>
        <w:jc w:val="both"/>
      </w:pPr>
    </w:p>
    <w:p w:rsidR="00115E21" w:rsidRPr="00D4046D" w:rsidRDefault="00D606F7" w:rsidP="004A4164">
      <w:pPr>
        <w:keepNext/>
        <w:keepLines/>
        <w:autoSpaceDE w:val="0"/>
        <w:autoSpaceDN w:val="0"/>
        <w:adjustRightInd w:val="0"/>
        <w:jc w:val="center"/>
        <w:rPr>
          <w:b/>
        </w:rPr>
      </w:pPr>
      <w:r>
        <w:rPr>
          <w:b/>
        </w:rPr>
        <w:t>Članak 4.</w:t>
      </w:r>
    </w:p>
    <w:p w:rsidR="00FC1B4C" w:rsidRPr="00D4046D" w:rsidRDefault="00FC1B4C" w:rsidP="004A4164">
      <w:pPr>
        <w:keepNext/>
        <w:keepLines/>
        <w:autoSpaceDE w:val="0"/>
        <w:autoSpaceDN w:val="0"/>
        <w:adjustRightInd w:val="0"/>
      </w:pPr>
    </w:p>
    <w:p w:rsidR="00C77639" w:rsidRPr="00D4046D" w:rsidRDefault="00C77639" w:rsidP="004A4164">
      <w:pPr>
        <w:autoSpaceDE w:val="0"/>
        <w:autoSpaceDN w:val="0"/>
        <w:adjustRightInd w:val="0"/>
      </w:pPr>
      <w:r>
        <w:t>1. Prilog 1. Uredbi mijenja se u skladu s Prilogom 1.</w:t>
      </w:r>
    </w:p>
    <w:p w:rsidR="00C77639" w:rsidRPr="00D4046D" w:rsidRDefault="00C77639" w:rsidP="004A4164">
      <w:pPr>
        <w:autoSpaceDE w:val="0"/>
        <w:autoSpaceDN w:val="0"/>
        <w:adjustRightInd w:val="0"/>
      </w:pPr>
    </w:p>
    <w:p w:rsidR="00C77639" w:rsidRPr="00D4046D" w:rsidRDefault="00C77639" w:rsidP="004A4164">
      <w:pPr>
        <w:autoSpaceDE w:val="0"/>
        <w:autoSpaceDN w:val="0"/>
        <w:adjustRightInd w:val="0"/>
      </w:pPr>
      <w:r>
        <w:t>2. Prilog 2. Uredbi stupa na snagu u skladu s Prilogom 2.</w:t>
      </w:r>
    </w:p>
    <w:p w:rsidR="00C77639" w:rsidRPr="00D4046D" w:rsidRDefault="00C77639" w:rsidP="004A4164">
      <w:pPr>
        <w:autoSpaceDE w:val="0"/>
        <w:autoSpaceDN w:val="0"/>
        <w:adjustRightInd w:val="0"/>
      </w:pPr>
    </w:p>
    <w:p w:rsidR="00C77639" w:rsidRPr="00D4046D" w:rsidRDefault="00C77639" w:rsidP="004A4164">
      <w:pPr>
        <w:autoSpaceDE w:val="0"/>
        <w:autoSpaceDN w:val="0"/>
        <w:adjustRightInd w:val="0"/>
      </w:pPr>
      <w:r>
        <w:t>3. Prilog 3. Uredbi stupa na snagu u skladu s Prilogom 3.</w:t>
      </w:r>
    </w:p>
    <w:p w:rsidR="00462608" w:rsidRPr="00D4046D" w:rsidRDefault="00462608" w:rsidP="004A4164">
      <w:pPr>
        <w:autoSpaceDE w:val="0"/>
        <w:autoSpaceDN w:val="0"/>
        <w:adjustRightInd w:val="0"/>
      </w:pPr>
    </w:p>
    <w:p w:rsidR="00462608" w:rsidRPr="00D4046D" w:rsidRDefault="00462608" w:rsidP="004A4164">
      <w:pPr>
        <w:autoSpaceDE w:val="0"/>
        <w:autoSpaceDN w:val="0"/>
        <w:adjustRightInd w:val="0"/>
      </w:pPr>
      <w:r>
        <w:t>4. Prilog 4. Uredbi mijenja se u skladu s Prilogom 4.</w:t>
      </w:r>
    </w:p>
    <w:p w:rsidR="00462608" w:rsidRPr="00D4046D" w:rsidRDefault="00462608" w:rsidP="004A4164">
      <w:pPr>
        <w:autoSpaceDE w:val="0"/>
        <w:autoSpaceDN w:val="0"/>
        <w:adjustRightInd w:val="0"/>
      </w:pPr>
    </w:p>
    <w:p w:rsidR="00462608" w:rsidRPr="00D4046D" w:rsidRDefault="00462608" w:rsidP="004A4164">
      <w:pPr>
        <w:autoSpaceDE w:val="0"/>
        <w:autoSpaceDN w:val="0"/>
        <w:adjustRightInd w:val="0"/>
      </w:pPr>
      <w:r>
        <w:t>5. Prilog 5. Uredbi mijenja se u skladu s Prilogom 5.</w:t>
      </w:r>
    </w:p>
    <w:p w:rsidR="00C77639" w:rsidRDefault="00C77639" w:rsidP="004A4164">
      <w:pPr>
        <w:autoSpaceDE w:val="0"/>
        <w:autoSpaceDN w:val="0"/>
        <w:adjustRightInd w:val="0"/>
      </w:pPr>
    </w:p>
    <w:p w:rsidR="00052A46" w:rsidRPr="00D4046D" w:rsidRDefault="00D606F7" w:rsidP="004A4164">
      <w:pPr>
        <w:keepNext/>
        <w:keepLines/>
        <w:autoSpaceDE w:val="0"/>
        <w:autoSpaceDN w:val="0"/>
        <w:adjustRightInd w:val="0"/>
        <w:jc w:val="center"/>
        <w:rPr>
          <w:b/>
        </w:rPr>
      </w:pPr>
      <w:r>
        <w:rPr>
          <w:b/>
        </w:rPr>
        <w:t>Članak 5.</w:t>
      </w:r>
    </w:p>
    <w:p w:rsidR="00052A46" w:rsidRDefault="00052A46" w:rsidP="004A4164">
      <w:pPr>
        <w:keepNext/>
        <w:keepLines/>
        <w:autoSpaceDE w:val="0"/>
        <w:autoSpaceDN w:val="0"/>
        <w:adjustRightInd w:val="0"/>
      </w:pPr>
    </w:p>
    <w:p w:rsidR="00052A46" w:rsidRDefault="00052A46" w:rsidP="004A4164">
      <w:pPr>
        <w:autoSpaceDE w:val="0"/>
        <w:autoSpaceDN w:val="0"/>
        <w:adjustRightInd w:val="0"/>
      </w:pPr>
      <w:r>
        <w:t>Podtočka 3.4. točke 3. Priloga 4. Uredbi ovime prestaje važiti.</w:t>
      </w:r>
    </w:p>
    <w:p w:rsidR="00052A46" w:rsidRPr="00D4046D" w:rsidRDefault="00052A46" w:rsidP="004A4164">
      <w:pPr>
        <w:autoSpaceDE w:val="0"/>
        <w:autoSpaceDN w:val="0"/>
        <w:adjustRightInd w:val="0"/>
      </w:pPr>
    </w:p>
    <w:p w:rsidR="00C77639" w:rsidRPr="00D4046D" w:rsidRDefault="00D606F7" w:rsidP="004A4164">
      <w:pPr>
        <w:keepNext/>
        <w:keepLines/>
        <w:autoSpaceDE w:val="0"/>
        <w:autoSpaceDN w:val="0"/>
        <w:adjustRightInd w:val="0"/>
        <w:jc w:val="center"/>
        <w:rPr>
          <w:b/>
        </w:rPr>
      </w:pPr>
      <w:r>
        <w:rPr>
          <w:b/>
        </w:rPr>
        <w:t>Članak 6.</w:t>
      </w:r>
    </w:p>
    <w:p w:rsidR="00C77639" w:rsidRPr="00D4046D" w:rsidRDefault="00C77639" w:rsidP="004A4164">
      <w:pPr>
        <w:keepNext/>
        <w:keepLines/>
        <w:autoSpaceDE w:val="0"/>
        <w:autoSpaceDN w:val="0"/>
        <w:adjustRightInd w:val="0"/>
      </w:pPr>
    </w:p>
    <w:p w:rsidR="00FC1B4C" w:rsidRPr="00D4046D" w:rsidRDefault="00FC1B4C" w:rsidP="004A4164">
      <w:pPr>
        <w:autoSpaceDE w:val="0"/>
        <w:autoSpaceDN w:val="0"/>
        <w:adjustRightInd w:val="0"/>
        <w:jc w:val="both"/>
      </w:pPr>
      <w:r>
        <w:t>1. Ova Uredba, uz iznimke definirane u stavcima 2. i 3., stupa na snagu petnaestog dana nakon njezine objave.</w:t>
      </w:r>
    </w:p>
    <w:p w:rsidR="004916B6" w:rsidRPr="00D4046D" w:rsidRDefault="004916B6" w:rsidP="004A4164">
      <w:pPr>
        <w:autoSpaceDE w:val="0"/>
        <w:autoSpaceDN w:val="0"/>
        <w:adjustRightInd w:val="0"/>
        <w:jc w:val="both"/>
      </w:pPr>
    </w:p>
    <w:p w:rsidR="004916B6" w:rsidRDefault="004A4164" w:rsidP="004A4164">
      <w:pPr>
        <w:pStyle w:val="ListParagraph"/>
        <w:autoSpaceDE w:val="0"/>
        <w:autoSpaceDN w:val="0"/>
        <w:adjustRightInd w:val="0"/>
        <w:ind w:left="0"/>
        <w:jc w:val="both"/>
      </w:pPr>
      <w:r>
        <w:t>2. Članak 2. stavci 1. i 2., članak 4. stavak 3. i Prilog 3. stupaju na snagu 1. siječnja 2025.</w:t>
      </w:r>
    </w:p>
    <w:p w:rsidR="00567A90" w:rsidRPr="00D4046D" w:rsidRDefault="00567A90" w:rsidP="004A4164">
      <w:pPr>
        <w:pStyle w:val="ListParagraph"/>
        <w:autoSpaceDE w:val="0"/>
        <w:autoSpaceDN w:val="0"/>
        <w:adjustRightInd w:val="0"/>
        <w:ind w:left="0"/>
        <w:jc w:val="both"/>
      </w:pPr>
    </w:p>
    <w:p w:rsidR="00767D9D" w:rsidRDefault="004A4164" w:rsidP="004A4164">
      <w:pPr>
        <w:pStyle w:val="ListParagraph"/>
        <w:autoSpaceDE w:val="0"/>
        <w:autoSpaceDN w:val="0"/>
        <w:adjustRightInd w:val="0"/>
        <w:ind w:left="0"/>
        <w:jc w:val="both"/>
      </w:pPr>
      <w:r>
        <w:t>3. Članak 4. stavak 2. i Prilog 2. stupaju na snagu 1. siječnja 2030.</w:t>
      </w:r>
    </w:p>
    <w:p w:rsidR="00567A90" w:rsidRPr="00567A90" w:rsidRDefault="00567A90" w:rsidP="004A4164">
      <w:pPr>
        <w:pStyle w:val="ListParagraph"/>
        <w:autoSpaceDE w:val="0"/>
        <w:autoSpaceDN w:val="0"/>
        <w:adjustRightInd w:val="0"/>
        <w:ind w:left="0"/>
        <w:jc w:val="both"/>
        <w:rPr>
          <w:rFonts w:eastAsiaTheme="minorHAnsi"/>
        </w:rPr>
      </w:pPr>
    </w:p>
    <w:p w:rsidR="00767D9D" w:rsidRPr="001E77B8" w:rsidRDefault="001F134F" w:rsidP="004A4164">
      <w:pPr>
        <w:keepNext/>
        <w:keepLines/>
        <w:jc w:val="center"/>
        <w:rPr>
          <w:b/>
        </w:rPr>
      </w:pPr>
      <w:r>
        <w:rPr>
          <w:b/>
        </w:rPr>
        <w:t>Članak 7.</w:t>
      </w:r>
    </w:p>
    <w:p w:rsidR="00716094" w:rsidRPr="00D4046D" w:rsidRDefault="00716094" w:rsidP="004A4164">
      <w:pPr>
        <w:keepNext/>
        <w:keepLines/>
      </w:pPr>
    </w:p>
    <w:p w:rsidR="00716094" w:rsidRPr="00D4046D" w:rsidRDefault="00716094" w:rsidP="004A4164">
      <w:pPr>
        <w:autoSpaceDE w:val="0"/>
        <w:autoSpaceDN w:val="0"/>
        <w:adjustRightInd w:val="0"/>
        <w:jc w:val="both"/>
        <w:rPr>
          <w:rFonts w:eastAsiaTheme="minorEastAsia"/>
        </w:rPr>
      </w:pPr>
      <w:r>
        <w:t>1. Ova Uredba služi u svrhu sukladnosti s Direktivom (EU) 2015/2193 Europskog parlamenta i Vijeća od 25. studenoga 2015. o ograničenju emisija određenih onečišćujućih tvari u zrak iz srednjih uređaja za loženje.</w:t>
      </w:r>
    </w:p>
    <w:p w:rsidR="00716094" w:rsidRPr="00D4046D" w:rsidRDefault="00716094" w:rsidP="004A4164">
      <w:pPr>
        <w:autoSpaceDE w:val="0"/>
        <w:autoSpaceDN w:val="0"/>
        <w:adjustRightInd w:val="0"/>
        <w:jc w:val="both"/>
        <w:rPr>
          <w:rFonts w:eastAsiaTheme="minorEastAsia"/>
        </w:rPr>
      </w:pPr>
    </w:p>
    <w:p w:rsidR="00716094" w:rsidRPr="00D4046D" w:rsidRDefault="00716094" w:rsidP="004A4164">
      <w:pPr>
        <w:autoSpaceDE w:val="0"/>
        <w:autoSpaceDN w:val="0"/>
        <w:adjustRightInd w:val="0"/>
        <w:jc w:val="both"/>
        <w:rPr>
          <w:rFonts w:eastAsiaTheme="minorEastAsia"/>
        </w:rPr>
      </w:pPr>
      <w:r>
        <w:t>2. Ispunjen je zahtjev za slanje prethodne obavijesti o ovoj Uredbi, kako je propisano člancima 5. do 7. Direktive (EU) 2015/1535 Europskog parlamenta i Vijeća od 9. rujna 2015. o utvrđivanju postupka pružanja informacija u području tehničkih propisa i pravila o uslugama informacijskog društva.</w:t>
      </w:r>
    </w:p>
    <w:p w:rsidR="00716094" w:rsidRPr="00D4046D" w:rsidRDefault="00716094" w:rsidP="004A4164"/>
    <w:p w:rsidR="00115E21" w:rsidRPr="000B1A9E" w:rsidRDefault="00115E21" w:rsidP="004A4164">
      <w:r>
        <w:t>U Budimpešti, [dana] lipnja 2019.”</w:t>
      </w:r>
    </w:p>
    <w:p w:rsidR="00115E21" w:rsidRPr="00832B17" w:rsidRDefault="00115E21" w:rsidP="004A4164"/>
    <w:p w:rsidR="004A4164" w:rsidRDefault="002125C2" w:rsidP="004A4164">
      <w:pPr>
        <w:ind w:left="6379"/>
      </w:pPr>
      <w:r>
        <w:t>dr. István Nagy</w:t>
      </w:r>
    </w:p>
    <w:p w:rsidR="004A4164" w:rsidRPr="004A4164" w:rsidRDefault="004A4164" w:rsidP="004A4164">
      <w:pPr>
        <w:ind w:left="6379"/>
      </w:pPr>
      <w:r>
        <w:rPr>
          <w:i/>
        </w:rPr>
        <w:t>ministar poljoprivrede</w:t>
      </w:r>
    </w:p>
    <w:p w:rsidR="00FC1B4C" w:rsidRPr="00D4046D" w:rsidRDefault="00FC1B4C" w:rsidP="004A4164">
      <w:pPr>
        <w:keepNext/>
        <w:keepLines/>
        <w:pageBreakBefore/>
        <w:autoSpaceDE w:val="0"/>
        <w:autoSpaceDN w:val="0"/>
        <w:adjustRightInd w:val="0"/>
        <w:jc w:val="right"/>
        <w:rPr>
          <w:i/>
        </w:rPr>
      </w:pPr>
      <w:r>
        <w:rPr>
          <w:i/>
        </w:rPr>
        <w:lastRenderedPageBreak/>
        <w:t>Prilog 1. Uredbi br. .../2019 od ... ... 2019. ministra poljoprivrede</w:t>
      </w:r>
    </w:p>
    <w:p w:rsidR="00FC1B4C" w:rsidRDefault="00FC1B4C" w:rsidP="004A4164">
      <w:pPr>
        <w:keepNext/>
        <w:keepLines/>
        <w:autoSpaceDE w:val="0"/>
        <w:autoSpaceDN w:val="0"/>
        <w:adjustRightInd w:val="0"/>
      </w:pPr>
    </w:p>
    <w:p w:rsidR="004A4164" w:rsidRPr="00D4046D" w:rsidRDefault="004A4164" w:rsidP="004A4164">
      <w:pPr>
        <w:keepNext/>
        <w:keepLines/>
        <w:autoSpaceDE w:val="0"/>
        <w:autoSpaceDN w:val="0"/>
        <w:adjustRightInd w:val="0"/>
      </w:pPr>
    </w:p>
    <w:p w:rsidR="00FC1B4C" w:rsidRPr="00D4046D" w:rsidRDefault="00FC1B4C" w:rsidP="004A4164">
      <w:pPr>
        <w:keepNext/>
        <w:keepLines/>
        <w:autoSpaceDE w:val="0"/>
        <w:autoSpaceDN w:val="0"/>
        <w:adjustRightInd w:val="0"/>
      </w:pPr>
      <w:r>
        <w:t>1. Podtočka 2.3. točke 2. Priloga 1. Uredbi zamjenjuje se sljedećim:</w:t>
      </w:r>
    </w:p>
    <w:p w:rsidR="00FC1B4C" w:rsidRPr="00D4046D" w:rsidRDefault="00FC1B4C" w:rsidP="004A4164">
      <w:pPr>
        <w:keepNext/>
        <w:keepLines/>
        <w:autoSpaceDE w:val="0"/>
        <w:autoSpaceDN w:val="0"/>
        <w:adjustRightInd w:val="0"/>
      </w:pPr>
    </w:p>
    <w:p w:rsidR="00FC1B4C" w:rsidRPr="00D4046D" w:rsidRDefault="00FC1B4C" w:rsidP="004A4164">
      <w:pPr>
        <w:autoSpaceDE w:val="0"/>
        <w:autoSpaceDN w:val="0"/>
        <w:adjustRightInd w:val="0"/>
        <w:jc w:val="both"/>
      </w:pPr>
      <w:r>
        <w:t>„2.3. Granična vrijednost emisija za NOx iznosi 320 mg/m</w:t>
      </w:r>
      <w:r>
        <w:rPr>
          <w:vertAlign w:val="superscript"/>
        </w:rPr>
        <w:t>3</w:t>
      </w:r>
      <w:r>
        <w:t xml:space="preserve"> za loženje lignita, 300 mg/m</w:t>
      </w:r>
      <w:r>
        <w:rPr>
          <w:vertAlign w:val="superscript"/>
        </w:rPr>
        <w:t>3</w:t>
      </w:r>
      <w:r>
        <w:t xml:space="preserve"> za kotlove za loženje s fluidom u kojima se lože goriva iz krute biomase te 210 mg/m</w:t>
      </w:r>
      <w:r>
        <w:rPr>
          <w:vertAlign w:val="superscript"/>
        </w:rPr>
        <w:t>3</w:t>
      </w:r>
      <w:r>
        <w:t xml:space="preserve"> za kotlove za loženje s fluidom u kojima se lože druga kruta goriva.”.</w:t>
      </w:r>
    </w:p>
    <w:p w:rsidR="00FC1B4C" w:rsidRPr="00D4046D" w:rsidRDefault="00FC1B4C" w:rsidP="004A4164">
      <w:pPr>
        <w:autoSpaceDE w:val="0"/>
        <w:autoSpaceDN w:val="0"/>
        <w:adjustRightInd w:val="0"/>
        <w:jc w:val="both"/>
      </w:pPr>
    </w:p>
    <w:p w:rsidR="00462608" w:rsidRPr="00D4046D" w:rsidRDefault="00462608" w:rsidP="004A4164">
      <w:pPr>
        <w:autoSpaceDE w:val="0"/>
        <w:autoSpaceDN w:val="0"/>
        <w:adjustRightInd w:val="0"/>
        <w:jc w:val="both"/>
      </w:pPr>
    </w:p>
    <w:p w:rsidR="00462608" w:rsidRPr="00D4046D" w:rsidRDefault="00462608" w:rsidP="004A4164">
      <w:pPr>
        <w:keepNext/>
        <w:keepLines/>
        <w:autoSpaceDE w:val="0"/>
        <w:autoSpaceDN w:val="0"/>
        <w:adjustRightInd w:val="0"/>
        <w:jc w:val="both"/>
      </w:pPr>
      <w:r>
        <w:t>2. Podtočka 3.1. točke 3. Priloga 1. Uredbi zamjenjuje se sljedećim:</w:t>
      </w:r>
    </w:p>
    <w:p w:rsidR="00462608" w:rsidRPr="00D4046D" w:rsidRDefault="00462608" w:rsidP="004A4164">
      <w:pPr>
        <w:keepNext/>
        <w:keepLines/>
        <w:autoSpaceDE w:val="0"/>
        <w:autoSpaceDN w:val="0"/>
        <w:adjustRightInd w:val="0"/>
        <w:jc w:val="both"/>
      </w:pPr>
    </w:p>
    <w:p w:rsidR="00462608" w:rsidRPr="00D4046D" w:rsidRDefault="00462608" w:rsidP="004A4164">
      <w:pPr>
        <w:autoSpaceDE w:val="0"/>
        <w:autoSpaceDN w:val="0"/>
        <w:adjustRightInd w:val="0"/>
        <w:jc w:val="both"/>
      </w:pPr>
      <w:r>
        <w:t>„3.1. Granična vrijednost emisija za NOx iznosi 300 mg/m</w:t>
      </w:r>
      <w:r>
        <w:rPr>
          <w:vertAlign w:val="superscript"/>
        </w:rPr>
        <w:t>3</w:t>
      </w:r>
      <w:r>
        <w:t xml:space="preserve"> za dvotaktne motore, 225 mg/m</w:t>
      </w:r>
      <w:r>
        <w:rPr>
          <w:vertAlign w:val="superscript"/>
        </w:rPr>
        <w:t>3</w:t>
      </w:r>
      <w:r>
        <w:t xml:space="preserve"> za četverotaktne plinske motore u kojima se loži bioplin i odlagališni plin, 1 650 mg/m</w:t>
      </w:r>
      <w:r>
        <w:rPr>
          <w:vertAlign w:val="superscript"/>
        </w:rPr>
        <w:t>3</w:t>
      </w:r>
      <w:r>
        <w:t xml:space="preserve"> za dizelske motore koji se isključivo upotrebljavaju za bušenje u svrhu istraživanja i 1 500 mg/m</w:t>
      </w:r>
      <w:r>
        <w:rPr>
          <w:vertAlign w:val="superscript"/>
        </w:rPr>
        <w:t>3</w:t>
      </w:r>
      <w:r>
        <w:t xml:space="preserve"> za druge dizelske motore.”.</w:t>
      </w:r>
    </w:p>
    <w:p w:rsidR="00C060D9" w:rsidRDefault="00C060D9" w:rsidP="004A4164">
      <w:pPr>
        <w:autoSpaceDE w:val="0"/>
        <w:autoSpaceDN w:val="0"/>
        <w:adjustRightInd w:val="0"/>
        <w:jc w:val="both"/>
      </w:pPr>
    </w:p>
    <w:p w:rsidR="004A4164" w:rsidRPr="00D4046D" w:rsidRDefault="004A4164" w:rsidP="004A4164">
      <w:pPr>
        <w:autoSpaceDE w:val="0"/>
        <w:autoSpaceDN w:val="0"/>
        <w:adjustRightInd w:val="0"/>
        <w:jc w:val="both"/>
      </w:pPr>
    </w:p>
    <w:p w:rsidR="00C060D9" w:rsidRPr="00D4046D" w:rsidRDefault="00C060D9" w:rsidP="004A4164">
      <w:pPr>
        <w:keepNext/>
        <w:keepLines/>
        <w:autoSpaceDE w:val="0"/>
        <w:autoSpaceDN w:val="0"/>
        <w:adjustRightInd w:val="0"/>
        <w:jc w:val="both"/>
      </w:pPr>
      <w:r>
        <w:t xml:space="preserve">3. Sljedeća podtočka 3.4. dodaje se točki 3. Priloga 1. Uredbi: </w:t>
      </w:r>
    </w:p>
    <w:p w:rsidR="00C060D9" w:rsidRPr="00D4046D" w:rsidRDefault="00C060D9" w:rsidP="004A4164">
      <w:pPr>
        <w:keepNext/>
        <w:keepLines/>
        <w:autoSpaceDE w:val="0"/>
        <w:autoSpaceDN w:val="0"/>
        <w:adjustRightInd w:val="0"/>
        <w:jc w:val="both"/>
      </w:pPr>
    </w:p>
    <w:p w:rsidR="00C060D9" w:rsidRPr="00D4046D" w:rsidRDefault="00C060D9" w:rsidP="004A4164">
      <w:pPr>
        <w:autoSpaceDE w:val="0"/>
        <w:autoSpaceDN w:val="0"/>
        <w:adjustRightInd w:val="0"/>
        <w:jc w:val="both"/>
      </w:pPr>
      <w:r>
        <w:t>„3.4. Granična vrijednost emisija ukupnog organskog ugljika (TOC) za plinske motore u kojima se upotrebljava prirodni plin sa sadržajem etana većim od 5 % iznosi 95 mg/m</w:t>
      </w:r>
      <w:r>
        <w:rPr>
          <w:vertAlign w:val="superscript"/>
        </w:rPr>
        <w:t>3</w:t>
      </w:r>
      <w:r>
        <w:t>.”.</w:t>
      </w:r>
    </w:p>
    <w:p w:rsidR="00FC1B4C" w:rsidRPr="00D4046D" w:rsidRDefault="006B7400" w:rsidP="004A4164">
      <w:pPr>
        <w:keepNext/>
        <w:keepLines/>
        <w:pageBreakBefore/>
        <w:autoSpaceDE w:val="0"/>
        <w:autoSpaceDN w:val="0"/>
        <w:adjustRightInd w:val="0"/>
        <w:jc w:val="right"/>
        <w:rPr>
          <w:i/>
        </w:rPr>
      </w:pPr>
      <w:r>
        <w:rPr>
          <w:i/>
        </w:rPr>
        <w:lastRenderedPageBreak/>
        <w:t>Prilog 2. Uredbi br. .../2019 od ... ... 2019. ministra poljoprivrede</w:t>
      </w:r>
    </w:p>
    <w:p w:rsidR="00FC1B4C" w:rsidRDefault="00FC1B4C" w:rsidP="004A4164">
      <w:pPr>
        <w:keepNext/>
        <w:keepLines/>
        <w:autoSpaceDE w:val="0"/>
        <w:autoSpaceDN w:val="0"/>
        <w:adjustRightInd w:val="0"/>
      </w:pPr>
    </w:p>
    <w:p w:rsidR="004A4164" w:rsidRPr="00D4046D" w:rsidRDefault="004A4164" w:rsidP="004A4164">
      <w:pPr>
        <w:keepNext/>
        <w:keepLines/>
        <w:autoSpaceDE w:val="0"/>
        <w:autoSpaceDN w:val="0"/>
        <w:adjustRightInd w:val="0"/>
      </w:pPr>
    </w:p>
    <w:p w:rsidR="00FC1B4C" w:rsidRPr="00D4046D" w:rsidRDefault="00FC1B4C" w:rsidP="004A4164">
      <w:pPr>
        <w:autoSpaceDE w:val="0"/>
        <w:autoSpaceDN w:val="0"/>
        <w:adjustRightInd w:val="0"/>
        <w:jc w:val="both"/>
      </w:pPr>
      <w:r>
        <w:t>1. U polju B:5 tablice u točki 2. iz Priloga 2. Uredbi, broj „1 500” zamjenjuje se brojem „375”.</w:t>
      </w:r>
    </w:p>
    <w:p w:rsidR="00FC1B4C" w:rsidRDefault="00FC1B4C" w:rsidP="004A4164">
      <w:pPr>
        <w:autoSpaceDE w:val="0"/>
        <w:autoSpaceDN w:val="0"/>
        <w:adjustRightInd w:val="0"/>
        <w:jc w:val="both"/>
      </w:pPr>
    </w:p>
    <w:p w:rsidR="004A4164" w:rsidRPr="00D4046D" w:rsidRDefault="004A4164" w:rsidP="004A4164">
      <w:pPr>
        <w:autoSpaceDE w:val="0"/>
        <w:autoSpaceDN w:val="0"/>
        <w:adjustRightInd w:val="0"/>
        <w:jc w:val="both"/>
      </w:pPr>
    </w:p>
    <w:p w:rsidR="00FC1B4C" w:rsidRPr="00D4046D" w:rsidRDefault="00FC1B4C" w:rsidP="004A4164">
      <w:pPr>
        <w:keepNext/>
        <w:keepLines/>
        <w:autoSpaceDE w:val="0"/>
        <w:autoSpaceDN w:val="0"/>
        <w:adjustRightInd w:val="0"/>
      </w:pPr>
      <w:r>
        <w:t>2. Podtočka 2.5. točke 2. Priloga 2. Uredbi stupa na snagu kako slijedi:</w:t>
      </w:r>
    </w:p>
    <w:p w:rsidR="00FC1B4C" w:rsidRPr="00D4046D" w:rsidRDefault="00FC1B4C" w:rsidP="004A4164">
      <w:pPr>
        <w:keepNext/>
        <w:keepLines/>
        <w:autoSpaceDE w:val="0"/>
        <w:autoSpaceDN w:val="0"/>
        <w:adjustRightInd w:val="0"/>
      </w:pPr>
    </w:p>
    <w:p w:rsidR="00FC1B4C" w:rsidRPr="00D4046D" w:rsidRDefault="00FC1B4C" w:rsidP="004A4164">
      <w:pPr>
        <w:autoSpaceDE w:val="0"/>
        <w:autoSpaceDN w:val="0"/>
        <w:adjustRightInd w:val="0"/>
        <w:jc w:val="both"/>
      </w:pPr>
      <w:r>
        <w:t>„2.5. Granična vrijednost emisija za NOx iznosi 320 mg/Nm</w:t>
      </w:r>
      <w:r>
        <w:rPr>
          <w:vertAlign w:val="superscript"/>
        </w:rPr>
        <w:t>3</w:t>
      </w:r>
      <w:r>
        <w:t xml:space="preserve"> za loženje lignita, 300 mg/Nm</w:t>
      </w:r>
      <w:r>
        <w:rPr>
          <w:vertAlign w:val="superscript"/>
        </w:rPr>
        <w:t>3</w:t>
      </w:r>
      <w:r>
        <w:t xml:space="preserve"> za kotlove za loženje s fluidom u kojima se lože goriva iz krute biomase te 210 mg/Nm</w:t>
      </w:r>
      <w:r>
        <w:rPr>
          <w:vertAlign w:val="superscript"/>
        </w:rPr>
        <w:t>3</w:t>
      </w:r>
      <w:r>
        <w:t xml:space="preserve"> za kotlove za loženje s fluidom u kojima se lože druga kruta goriva.”.</w:t>
      </w:r>
    </w:p>
    <w:p w:rsidR="00FC1B4C" w:rsidRDefault="00FC1B4C" w:rsidP="004A4164">
      <w:pPr>
        <w:autoSpaceDE w:val="0"/>
        <w:autoSpaceDN w:val="0"/>
        <w:adjustRightInd w:val="0"/>
        <w:jc w:val="both"/>
      </w:pPr>
    </w:p>
    <w:p w:rsidR="004A4164" w:rsidRPr="00D4046D" w:rsidRDefault="004A4164" w:rsidP="004A4164">
      <w:pPr>
        <w:autoSpaceDE w:val="0"/>
        <w:autoSpaceDN w:val="0"/>
        <w:adjustRightInd w:val="0"/>
        <w:jc w:val="both"/>
      </w:pPr>
    </w:p>
    <w:p w:rsidR="00DD14C1" w:rsidRPr="00D4046D" w:rsidRDefault="00C060D9" w:rsidP="004A4164">
      <w:pPr>
        <w:keepNext/>
        <w:keepLines/>
        <w:autoSpaceDE w:val="0"/>
        <w:autoSpaceDN w:val="0"/>
        <w:adjustRightInd w:val="0"/>
        <w:jc w:val="both"/>
      </w:pPr>
      <w:r>
        <w:t>3. Podtočka 3.3. točke 3. Priloga 2. Uredbi stupa na snagu kako slijedi:</w:t>
      </w:r>
    </w:p>
    <w:p w:rsidR="00DD14C1" w:rsidRPr="00D4046D" w:rsidRDefault="00DD14C1" w:rsidP="004A4164">
      <w:pPr>
        <w:keepNext/>
        <w:keepLines/>
        <w:autoSpaceDE w:val="0"/>
        <w:autoSpaceDN w:val="0"/>
        <w:adjustRightInd w:val="0"/>
        <w:jc w:val="both"/>
      </w:pPr>
    </w:p>
    <w:p w:rsidR="00DD14C1" w:rsidRPr="00D4046D" w:rsidRDefault="00DD14C1" w:rsidP="004A4164">
      <w:pPr>
        <w:autoSpaceDE w:val="0"/>
        <w:autoSpaceDN w:val="0"/>
        <w:adjustRightInd w:val="0"/>
        <w:jc w:val="both"/>
      </w:pPr>
      <w:r>
        <w:t>„3.3. Granična vrijednost emisija za NOx iznosi 1 500 mg/Nm</w:t>
      </w:r>
      <w:r>
        <w:rPr>
          <w:vertAlign w:val="superscript"/>
        </w:rPr>
        <w:t>3</w:t>
      </w:r>
      <w:r>
        <w:t xml:space="preserve"> u sljedećim slučajevima:</w:t>
      </w:r>
    </w:p>
    <w:p w:rsidR="00DD14C1" w:rsidRPr="00D4046D" w:rsidRDefault="00DD14C1" w:rsidP="004A4164">
      <w:pPr>
        <w:autoSpaceDE w:val="0"/>
        <w:autoSpaceDN w:val="0"/>
        <w:adjustRightInd w:val="0"/>
        <w:jc w:val="both"/>
      </w:pPr>
      <w:r>
        <w:t>(a)</w:t>
      </w:r>
      <w:r>
        <w:tab/>
        <w:t>za dizelske motore čija je izrada počela prije 18. svibnja 2006.;</w:t>
      </w:r>
    </w:p>
    <w:p w:rsidR="00FC1B4C" w:rsidRPr="00D4046D" w:rsidRDefault="00DD14C1" w:rsidP="004A4164">
      <w:pPr>
        <w:autoSpaceDE w:val="0"/>
        <w:autoSpaceDN w:val="0"/>
        <w:adjustRightInd w:val="0"/>
        <w:jc w:val="both"/>
      </w:pPr>
      <w:r>
        <w:t>(b)</w:t>
      </w:r>
      <w:r>
        <w:tab/>
        <w:t>za motore s dvojnim gorivom u načinu rada s tekućim gorivom.”.</w:t>
      </w:r>
    </w:p>
    <w:p w:rsidR="00400308" w:rsidRDefault="00400308" w:rsidP="004A4164"/>
    <w:p w:rsidR="004A4164" w:rsidRPr="00D4046D" w:rsidRDefault="004A4164" w:rsidP="004A4164"/>
    <w:p w:rsidR="00400308" w:rsidRPr="00D4046D" w:rsidRDefault="00400308" w:rsidP="004A4164">
      <w:pPr>
        <w:keepNext/>
        <w:keepLines/>
        <w:autoSpaceDE w:val="0"/>
        <w:autoSpaceDN w:val="0"/>
        <w:adjustRightInd w:val="0"/>
        <w:jc w:val="both"/>
      </w:pPr>
      <w:r>
        <w:t xml:space="preserve">4. Sljedeća podtočka 3.8. dodaje se točki 3. Priloga 2. Uredbi: </w:t>
      </w:r>
    </w:p>
    <w:p w:rsidR="00400308" w:rsidRPr="00D4046D" w:rsidRDefault="00400308" w:rsidP="004A4164">
      <w:pPr>
        <w:keepNext/>
        <w:keepLines/>
        <w:autoSpaceDE w:val="0"/>
        <w:autoSpaceDN w:val="0"/>
        <w:adjustRightInd w:val="0"/>
        <w:jc w:val="both"/>
      </w:pPr>
    </w:p>
    <w:p w:rsidR="00400308" w:rsidRPr="00D4046D" w:rsidRDefault="00400308" w:rsidP="004A4164">
      <w:pPr>
        <w:autoSpaceDE w:val="0"/>
        <w:autoSpaceDN w:val="0"/>
        <w:adjustRightInd w:val="0"/>
        <w:jc w:val="both"/>
      </w:pPr>
      <w:r>
        <w:t>„3.8. Granična vrijednost emisija ukupnog organskog ugljika (TOC) za plinske motore u kojima se upotrebljava prirodni plin sa sadržajem etana većim od 5 % iznosi 95 mg/m</w:t>
      </w:r>
      <w:r>
        <w:rPr>
          <w:vertAlign w:val="superscript"/>
        </w:rPr>
        <w:t>3</w:t>
      </w:r>
      <w:r>
        <w:t>.”.</w:t>
      </w:r>
    </w:p>
    <w:p w:rsidR="00FC1B4C" w:rsidRPr="00D4046D" w:rsidRDefault="006B7400" w:rsidP="004A4164">
      <w:pPr>
        <w:keepNext/>
        <w:keepLines/>
        <w:pageBreakBefore/>
        <w:autoSpaceDE w:val="0"/>
        <w:autoSpaceDN w:val="0"/>
        <w:adjustRightInd w:val="0"/>
        <w:jc w:val="right"/>
        <w:rPr>
          <w:i/>
        </w:rPr>
      </w:pPr>
      <w:r>
        <w:rPr>
          <w:i/>
        </w:rPr>
        <w:lastRenderedPageBreak/>
        <w:t>Prilog 3. Uredbi br. .../2019 od ... ... 2019. ministra poljoprivrede</w:t>
      </w:r>
    </w:p>
    <w:p w:rsidR="00FC1B4C" w:rsidRDefault="00FC1B4C" w:rsidP="004A4164">
      <w:pPr>
        <w:keepNext/>
        <w:keepLines/>
        <w:autoSpaceDE w:val="0"/>
        <w:autoSpaceDN w:val="0"/>
        <w:adjustRightInd w:val="0"/>
        <w:jc w:val="both"/>
      </w:pPr>
    </w:p>
    <w:p w:rsidR="004A4164" w:rsidRPr="00D4046D" w:rsidRDefault="004A4164" w:rsidP="004A4164">
      <w:pPr>
        <w:keepNext/>
        <w:keepLines/>
        <w:autoSpaceDE w:val="0"/>
        <w:autoSpaceDN w:val="0"/>
        <w:adjustRightInd w:val="0"/>
        <w:jc w:val="both"/>
      </w:pPr>
    </w:p>
    <w:p w:rsidR="00FC1B4C" w:rsidRPr="00D4046D" w:rsidRDefault="00FC1B4C" w:rsidP="004A4164">
      <w:pPr>
        <w:autoSpaceDE w:val="0"/>
        <w:autoSpaceDN w:val="0"/>
        <w:adjustRightInd w:val="0"/>
        <w:jc w:val="both"/>
      </w:pPr>
      <w:r>
        <w:t>1. U polju B:5 tablice u točki 2. iz Priloga 3. Uredbi, broj „1 500” zamjenjuje se brojem „375”.</w:t>
      </w:r>
    </w:p>
    <w:p w:rsidR="00FC1B4C" w:rsidRDefault="00FC1B4C" w:rsidP="004A4164">
      <w:pPr>
        <w:autoSpaceDE w:val="0"/>
        <w:autoSpaceDN w:val="0"/>
        <w:adjustRightInd w:val="0"/>
        <w:jc w:val="both"/>
      </w:pPr>
    </w:p>
    <w:p w:rsidR="004A4164" w:rsidRPr="00D4046D" w:rsidRDefault="004A4164" w:rsidP="004A4164">
      <w:pPr>
        <w:autoSpaceDE w:val="0"/>
        <w:autoSpaceDN w:val="0"/>
        <w:adjustRightInd w:val="0"/>
        <w:jc w:val="both"/>
      </w:pPr>
    </w:p>
    <w:p w:rsidR="00FC1B4C" w:rsidRPr="00D4046D" w:rsidRDefault="00FC1B4C" w:rsidP="004A4164">
      <w:pPr>
        <w:keepNext/>
        <w:keepLines/>
        <w:autoSpaceDE w:val="0"/>
        <w:autoSpaceDN w:val="0"/>
        <w:adjustRightInd w:val="0"/>
        <w:jc w:val="both"/>
      </w:pPr>
      <w:r>
        <w:t>2. Podtočka 2.6. točke 2. Priloga 3. Uredbi stupa na snagu kako slijedi:</w:t>
      </w:r>
    </w:p>
    <w:p w:rsidR="00FC1B4C" w:rsidRPr="00D4046D" w:rsidRDefault="00FC1B4C" w:rsidP="004A4164">
      <w:pPr>
        <w:keepNext/>
        <w:keepLines/>
        <w:autoSpaceDE w:val="0"/>
        <w:autoSpaceDN w:val="0"/>
        <w:adjustRightInd w:val="0"/>
        <w:jc w:val="both"/>
      </w:pPr>
    </w:p>
    <w:p w:rsidR="00FC1B4C" w:rsidRPr="00D4046D" w:rsidRDefault="00FC1B4C" w:rsidP="004A4164">
      <w:pPr>
        <w:autoSpaceDE w:val="0"/>
        <w:autoSpaceDN w:val="0"/>
        <w:adjustRightInd w:val="0"/>
        <w:jc w:val="both"/>
      </w:pPr>
      <w:r>
        <w:t>„2.6. Granična vrijednost emisija za NOx iznosi 320 mg/m</w:t>
      </w:r>
      <w:r>
        <w:rPr>
          <w:vertAlign w:val="superscript"/>
        </w:rPr>
        <w:t>3</w:t>
      </w:r>
      <w:r>
        <w:t xml:space="preserve"> za loženje lignita, 300 mg/m</w:t>
      </w:r>
      <w:r>
        <w:rPr>
          <w:vertAlign w:val="superscript"/>
        </w:rPr>
        <w:t>3</w:t>
      </w:r>
      <w:r>
        <w:t xml:space="preserve"> za kotlove za loženje s fluidom u kojima se lože goriva iz krute biomase te 210 mg/m</w:t>
      </w:r>
      <w:r>
        <w:rPr>
          <w:vertAlign w:val="superscript"/>
        </w:rPr>
        <w:t>3</w:t>
      </w:r>
      <w:r>
        <w:t xml:space="preserve"> za kotlove za loženje s fluidom u kojima se lože druga kruta goriva.”.</w:t>
      </w:r>
    </w:p>
    <w:p w:rsidR="00FC1B4C" w:rsidRDefault="00FC1B4C" w:rsidP="004A4164">
      <w:pPr>
        <w:autoSpaceDE w:val="0"/>
        <w:autoSpaceDN w:val="0"/>
        <w:adjustRightInd w:val="0"/>
        <w:jc w:val="both"/>
      </w:pPr>
    </w:p>
    <w:p w:rsidR="004A4164" w:rsidRPr="00D4046D" w:rsidRDefault="004A4164" w:rsidP="004A4164">
      <w:pPr>
        <w:autoSpaceDE w:val="0"/>
        <w:autoSpaceDN w:val="0"/>
        <w:adjustRightInd w:val="0"/>
        <w:jc w:val="both"/>
      </w:pPr>
    </w:p>
    <w:p w:rsidR="00FC1B4C" w:rsidRPr="00D4046D" w:rsidRDefault="00A00383" w:rsidP="004A4164">
      <w:pPr>
        <w:keepNext/>
        <w:keepLines/>
        <w:autoSpaceDE w:val="0"/>
        <w:autoSpaceDN w:val="0"/>
        <w:adjustRightInd w:val="0"/>
        <w:jc w:val="both"/>
      </w:pPr>
      <w:r>
        <w:t>3. Podtočka 3.2. točke 3. Priloga 3. Uredbi stupa na snagu kako slijedi:</w:t>
      </w:r>
    </w:p>
    <w:p w:rsidR="00F86AAE" w:rsidRPr="00D4046D" w:rsidRDefault="00F86AAE" w:rsidP="004A4164">
      <w:pPr>
        <w:keepNext/>
        <w:keepLines/>
      </w:pPr>
    </w:p>
    <w:p w:rsidR="00F86AAE" w:rsidRPr="00D4046D" w:rsidRDefault="00F86AAE" w:rsidP="004A4164">
      <w:r>
        <w:t>„3.2. Granična vrijednost emisija za NOx iznosi 1 500 mg/Nm</w:t>
      </w:r>
      <w:r>
        <w:rPr>
          <w:vertAlign w:val="superscript"/>
        </w:rPr>
        <w:t>3</w:t>
      </w:r>
      <w:r>
        <w:t xml:space="preserve"> u sljedećim slučajevima:</w:t>
      </w:r>
    </w:p>
    <w:p w:rsidR="00F86AAE" w:rsidRPr="00D4046D" w:rsidRDefault="00F86AAE" w:rsidP="004A4164">
      <w:r>
        <w:t>(a)</w:t>
      </w:r>
      <w:r>
        <w:tab/>
        <w:t>za dizelske motore čija je izrada počela prije 18. svibnja 2006.;</w:t>
      </w:r>
    </w:p>
    <w:p w:rsidR="00A00383" w:rsidRPr="00D4046D" w:rsidRDefault="00F86AAE" w:rsidP="004A4164">
      <w:r>
        <w:t>(b)</w:t>
      </w:r>
      <w:r>
        <w:tab/>
        <w:t>za motore s dvojnim gorivom u načinu rada s tekućim gorivom.”.</w:t>
      </w:r>
    </w:p>
    <w:p w:rsidR="00A00383" w:rsidRDefault="00A00383" w:rsidP="004A4164"/>
    <w:p w:rsidR="004A4164" w:rsidRPr="00D4046D" w:rsidRDefault="004A4164" w:rsidP="004A4164"/>
    <w:p w:rsidR="00A00383" w:rsidRPr="00D4046D" w:rsidRDefault="00A00383" w:rsidP="004A4164">
      <w:pPr>
        <w:keepNext/>
        <w:keepLines/>
        <w:autoSpaceDE w:val="0"/>
        <w:autoSpaceDN w:val="0"/>
        <w:adjustRightInd w:val="0"/>
        <w:jc w:val="both"/>
      </w:pPr>
      <w:r>
        <w:t xml:space="preserve">4. Točka 3. Priloga 3. Uredbi stupa na snagu sa sljedećim podtočkama 3.9. i 3.10.: </w:t>
      </w:r>
    </w:p>
    <w:p w:rsidR="00A00383" w:rsidRPr="00D4046D" w:rsidRDefault="00A00383" w:rsidP="004A4164">
      <w:pPr>
        <w:keepNext/>
        <w:keepLines/>
        <w:autoSpaceDE w:val="0"/>
        <w:autoSpaceDN w:val="0"/>
        <w:adjustRightInd w:val="0"/>
        <w:jc w:val="both"/>
      </w:pPr>
    </w:p>
    <w:p w:rsidR="00D4046D" w:rsidRPr="00D4046D" w:rsidRDefault="00A00383" w:rsidP="004A4164">
      <w:pPr>
        <w:autoSpaceDE w:val="0"/>
        <w:autoSpaceDN w:val="0"/>
        <w:adjustRightInd w:val="0"/>
        <w:jc w:val="both"/>
      </w:pPr>
      <w:r>
        <w:t>„3.9. Granična vrijednost emisija ukupnog organskog ugljika (TOC) za plinske motore u kojima se upotrebljava prirodni plin sa sadržajem etana većim od 5 % iznosi 95 mg/m</w:t>
      </w:r>
      <w:r>
        <w:rPr>
          <w:vertAlign w:val="superscript"/>
        </w:rPr>
        <w:t>3</w:t>
      </w:r>
      <w:r>
        <w:t>.</w:t>
      </w:r>
    </w:p>
    <w:p w:rsidR="00380F30" w:rsidRPr="00D4046D" w:rsidRDefault="00380F30" w:rsidP="004A4164">
      <w:pPr>
        <w:autoSpaceDE w:val="0"/>
        <w:autoSpaceDN w:val="0"/>
        <w:adjustRightInd w:val="0"/>
        <w:jc w:val="both"/>
        <w:rPr>
          <w:rFonts w:eastAsiaTheme="minorEastAsia"/>
        </w:rPr>
      </w:pPr>
      <w:r>
        <w:t>3.10. U slučaju plinskih motora koji su pušteni u rad prije 1. siječnja 1994. i koji se upotrebljavaju za pokretanje stanica za komprimiranje plina potrebnih radi osiguravanja sigurnosti i zaštite sustava za prijenos plina, granična vrijednost emisija CO za četverotaktne motore iznosi 375 mg/m</w:t>
      </w:r>
      <w:r>
        <w:rPr>
          <w:vertAlign w:val="superscript"/>
        </w:rPr>
        <w:t>3</w:t>
      </w:r>
      <w:r>
        <w:t>, za dvotaktne motore iznosi 320 mg/m</w:t>
      </w:r>
      <w:r>
        <w:rPr>
          <w:vertAlign w:val="superscript"/>
        </w:rPr>
        <w:t>3</w:t>
      </w:r>
      <w:r>
        <w:t>, a granična vrijednost emisija ukupnog organskog ugljika (TOC) iznosi 115 mg/m</w:t>
      </w:r>
      <w:r>
        <w:rPr>
          <w:vertAlign w:val="superscript"/>
        </w:rPr>
        <w:t>3</w:t>
      </w:r>
      <w:r>
        <w:t xml:space="preserve"> do 1. siječnja 2030.”.</w:t>
      </w:r>
    </w:p>
    <w:p w:rsidR="00F94FF8" w:rsidRPr="00D4046D" w:rsidRDefault="00F94FF8" w:rsidP="004A4164">
      <w:pPr>
        <w:keepNext/>
        <w:keepLines/>
        <w:pageBreakBefore/>
        <w:autoSpaceDE w:val="0"/>
        <w:autoSpaceDN w:val="0"/>
        <w:adjustRightInd w:val="0"/>
        <w:jc w:val="right"/>
        <w:rPr>
          <w:i/>
        </w:rPr>
      </w:pPr>
      <w:r>
        <w:rPr>
          <w:i/>
        </w:rPr>
        <w:lastRenderedPageBreak/>
        <w:t>Prilog 4. Uredbi br. .../2019 od ... ... 2019. ministra poljoprivrede</w:t>
      </w:r>
    </w:p>
    <w:p w:rsidR="00846AD7" w:rsidRPr="00D4046D" w:rsidRDefault="00846AD7" w:rsidP="004A4164">
      <w:pPr>
        <w:keepNext/>
        <w:keepLines/>
      </w:pPr>
    </w:p>
    <w:p w:rsidR="00F94FF8" w:rsidRPr="00D4046D" w:rsidRDefault="00F94FF8" w:rsidP="004A4164">
      <w:pPr>
        <w:keepNext/>
        <w:keepLines/>
      </w:pPr>
    </w:p>
    <w:p w:rsidR="00F94FF8" w:rsidRPr="00D4046D" w:rsidRDefault="00F94FF8" w:rsidP="004A4164">
      <w:pPr>
        <w:keepNext/>
        <w:keepLines/>
        <w:autoSpaceDE w:val="0"/>
        <w:autoSpaceDN w:val="0"/>
        <w:adjustRightInd w:val="0"/>
      </w:pPr>
      <w:r>
        <w:t>1. Podtočka 2.5. točke 2. Priloga 4. Uredbi zamjenjuje se sljedećim:</w:t>
      </w:r>
    </w:p>
    <w:p w:rsidR="00F94FF8" w:rsidRPr="00D4046D" w:rsidRDefault="00F94FF8" w:rsidP="004A4164">
      <w:pPr>
        <w:keepNext/>
        <w:keepLines/>
        <w:autoSpaceDE w:val="0"/>
        <w:autoSpaceDN w:val="0"/>
        <w:adjustRightInd w:val="0"/>
      </w:pPr>
    </w:p>
    <w:p w:rsidR="00F94FF8" w:rsidRPr="00D4046D" w:rsidRDefault="00F94FF8" w:rsidP="004A4164">
      <w:pPr>
        <w:autoSpaceDE w:val="0"/>
        <w:autoSpaceDN w:val="0"/>
        <w:adjustRightInd w:val="0"/>
        <w:jc w:val="both"/>
      </w:pPr>
      <w:r>
        <w:t>„2.5. Granična vrijednost emisija za NOx iznosi 320 mg/m</w:t>
      </w:r>
      <w:r>
        <w:rPr>
          <w:vertAlign w:val="superscript"/>
        </w:rPr>
        <w:t>3</w:t>
      </w:r>
      <w:r>
        <w:t xml:space="preserve"> za loženje lignita, 300 mg/m</w:t>
      </w:r>
      <w:r>
        <w:rPr>
          <w:vertAlign w:val="superscript"/>
        </w:rPr>
        <w:t>3</w:t>
      </w:r>
      <w:r>
        <w:t xml:space="preserve"> za kotlove za loženje s fluidom u kojima se lože goriva iz krute biomase te 210 mg/m</w:t>
      </w:r>
      <w:r>
        <w:rPr>
          <w:vertAlign w:val="superscript"/>
        </w:rPr>
        <w:t>3</w:t>
      </w:r>
      <w:r>
        <w:t xml:space="preserve"> za kotlove za loženje s fluidom u kojima se lože druga kruta goriva.”.</w:t>
      </w:r>
    </w:p>
    <w:p w:rsidR="00F94FF8" w:rsidRDefault="00F94FF8" w:rsidP="004A4164">
      <w:pPr>
        <w:autoSpaceDE w:val="0"/>
        <w:autoSpaceDN w:val="0"/>
        <w:adjustRightInd w:val="0"/>
        <w:jc w:val="both"/>
      </w:pPr>
    </w:p>
    <w:p w:rsidR="004A4164" w:rsidRPr="00D4046D" w:rsidRDefault="004A4164" w:rsidP="004A4164">
      <w:pPr>
        <w:autoSpaceDE w:val="0"/>
        <w:autoSpaceDN w:val="0"/>
        <w:adjustRightInd w:val="0"/>
        <w:jc w:val="both"/>
      </w:pPr>
    </w:p>
    <w:p w:rsidR="00F94FF8" w:rsidRPr="00D4046D" w:rsidRDefault="00F94FF8" w:rsidP="004A4164">
      <w:pPr>
        <w:keepNext/>
        <w:keepLines/>
        <w:autoSpaceDE w:val="0"/>
        <w:autoSpaceDN w:val="0"/>
        <w:adjustRightInd w:val="0"/>
        <w:jc w:val="both"/>
      </w:pPr>
      <w:r>
        <w:t>2. Podtočka 3.3. točke 3. Priloga 4. Uredbi zamjenjuje se sljedećim:</w:t>
      </w:r>
    </w:p>
    <w:p w:rsidR="00F94FF8" w:rsidRPr="00D4046D" w:rsidRDefault="00F94FF8" w:rsidP="004A4164">
      <w:pPr>
        <w:keepNext/>
        <w:keepLines/>
        <w:autoSpaceDE w:val="0"/>
        <w:autoSpaceDN w:val="0"/>
        <w:adjustRightInd w:val="0"/>
        <w:jc w:val="both"/>
      </w:pPr>
    </w:p>
    <w:p w:rsidR="00D92A3F" w:rsidRPr="00EF21F5" w:rsidRDefault="00FE7228" w:rsidP="004A4164">
      <w:pPr>
        <w:autoSpaceDE w:val="0"/>
        <w:autoSpaceDN w:val="0"/>
        <w:adjustRightInd w:val="0"/>
        <w:jc w:val="both"/>
      </w:pPr>
      <w:r>
        <w:t>„3.3. Granična vrijednost emisija za NOx za dizelske motore, ako je njihova emisija NOx ograničena zbog primarnih mjera, iznosi 1 650 mg/m</w:t>
      </w:r>
      <w:r>
        <w:rPr>
          <w:vertAlign w:val="superscript"/>
        </w:rPr>
        <w:t>3</w:t>
      </w:r>
      <w:r>
        <w:t xml:space="preserve"> za dizelske motore koji se isključivo upotrebljavaju za bušenje u svrhu istraživanja i 1 500 mg/m</w:t>
      </w:r>
      <w:r>
        <w:rPr>
          <w:vertAlign w:val="superscript"/>
        </w:rPr>
        <w:t>3</w:t>
      </w:r>
      <w:r>
        <w:t xml:space="preserve"> za druge dizelske motore.”.</w:t>
      </w:r>
    </w:p>
    <w:p w:rsidR="00D92A3F" w:rsidRDefault="00D92A3F" w:rsidP="004A4164">
      <w:pPr>
        <w:autoSpaceDE w:val="0"/>
        <w:autoSpaceDN w:val="0"/>
        <w:adjustRightInd w:val="0"/>
        <w:jc w:val="both"/>
      </w:pPr>
    </w:p>
    <w:p w:rsidR="004A4164" w:rsidRPr="00EF21F5" w:rsidRDefault="004A4164" w:rsidP="004A4164">
      <w:pPr>
        <w:autoSpaceDE w:val="0"/>
        <w:autoSpaceDN w:val="0"/>
        <w:adjustRightInd w:val="0"/>
        <w:jc w:val="both"/>
      </w:pPr>
    </w:p>
    <w:p w:rsidR="003758D5" w:rsidRPr="00EF21F5" w:rsidRDefault="003758D5" w:rsidP="004A4164">
      <w:pPr>
        <w:keepNext/>
        <w:keepLines/>
        <w:autoSpaceDE w:val="0"/>
        <w:autoSpaceDN w:val="0"/>
        <w:adjustRightInd w:val="0"/>
        <w:jc w:val="both"/>
      </w:pPr>
      <w:r>
        <w:t>3. Sljedeća podtočka 3.8. dodaje se točki 3. Priloga 4. Uredbi:</w:t>
      </w:r>
    </w:p>
    <w:p w:rsidR="003758D5" w:rsidRPr="00EF21F5" w:rsidRDefault="003758D5" w:rsidP="004A4164">
      <w:pPr>
        <w:keepNext/>
        <w:keepLines/>
        <w:autoSpaceDE w:val="0"/>
        <w:autoSpaceDN w:val="0"/>
        <w:adjustRightInd w:val="0"/>
        <w:jc w:val="both"/>
      </w:pPr>
    </w:p>
    <w:p w:rsidR="00D92A3F" w:rsidRPr="00D4046D" w:rsidRDefault="003758D5" w:rsidP="004A4164">
      <w:pPr>
        <w:autoSpaceDE w:val="0"/>
        <w:autoSpaceDN w:val="0"/>
        <w:adjustRightInd w:val="0"/>
        <w:jc w:val="both"/>
      </w:pPr>
      <w:r>
        <w:t>„3.8. Granična vrijednost emisija ukupnog organskog ugljika (TOC) za plinske motore u kojima se upotrebljava prirodni plin sa sadržajem etana većim od 5 % iznosi 95 mg/m</w:t>
      </w:r>
      <w:r>
        <w:rPr>
          <w:vertAlign w:val="superscript"/>
        </w:rPr>
        <w:t>3</w:t>
      </w:r>
      <w:r>
        <w:t>.”.</w:t>
      </w:r>
    </w:p>
    <w:p w:rsidR="001733D0" w:rsidRPr="00D4046D" w:rsidRDefault="001733D0" w:rsidP="004A4164">
      <w:pPr>
        <w:keepNext/>
        <w:keepLines/>
        <w:pageBreakBefore/>
        <w:jc w:val="right"/>
        <w:rPr>
          <w:i/>
        </w:rPr>
      </w:pPr>
      <w:r>
        <w:rPr>
          <w:i/>
        </w:rPr>
        <w:lastRenderedPageBreak/>
        <w:t>Prilog 5. Uredbi br. .../2019 od ... ... 2019. ministra poljoprivrede</w:t>
      </w:r>
    </w:p>
    <w:p w:rsidR="001733D0" w:rsidRPr="00D4046D" w:rsidRDefault="001733D0" w:rsidP="004A4164">
      <w:pPr>
        <w:keepNext/>
        <w:keepLines/>
        <w:autoSpaceDE w:val="0"/>
        <w:autoSpaceDN w:val="0"/>
        <w:adjustRightInd w:val="0"/>
        <w:jc w:val="both"/>
      </w:pPr>
    </w:p>
    <w:p w:rsidR="001733D0" w:rsidRPr="00D4046D" w:rsidRDefault="001733D0" w:rsidP="004A4164">
      <w:pPr>
        <w:keepNext/>
        <w:keepLines/>
        <w:autoSpaceDE w:val="0"/>
        <w:autoSpaceDN w:val="0"/>
        <w:adjustRightInd w:val="0"/>
        <w:jc w:val="both"/>
      </w:pPr>
    </w:p>
    <w:p w:rsidR="00F94FF8" w:rsidRPr="00D4046D" w:rsidRDefault="001733D0" w:rsidP="004A4164">
      <w:pPr>
        <w:autoSpaceDE w:val="0"/>
        <w:autoSpaceDN w:val="0"/>
        <w:adjustRightInd w:val="0"/>
        <w:jc w:val="both"/>
      </w:pPr>
      <w:r>
        <w:t xml:space="preserve">1. U polju B:5 tablice u točki 2. iz Priloga 5. Uredbi, broj „1 500” zamjenjuje se brojem „375”. </w:t>
      </w:r>
    </w:p>
    <w:p w:rsidR="00F94FF8" w:rsidRDefault="00F94FF8" w:rsidP="004A4164">
      <w:pPr>
        <w:autoSpaceDE w:val="0"/>
        <w:autoSpaceDN w:val="0"/>
        <w:adjustRightInd w:val="0"/>
      </w:pPr>
    </w:p>
    <w:p w:rsidR="004A4164" w:rsidRPr="00D4046D" w:rsidRDefault="004A4164" w:rsidP="004A4164">
      <w:pPr>
        <w:autoSpaceDE w:val="0"/>
        <w:autoSpaceDN w:val="0"/>
        <w:adjustRightInd w:val="0"/>
      </w:pPr>
    </w:p>
    <w:p w:rsidR="00F94FF8" w:rsidRPr="00D4046D" w:rsidRDefault="001733D0" w:rsidP="004A4164">
      <w:pPr>
        <w:keepNext/>
        <w:keepLines/>
        <w:autoSpaceDE w:val="0"/>
        <w:autoSpaceDN w:val="0"/>
        <w:adjustRightInd w:val="0"/>
      </w:pPr>
      <w:r>
        <w:t>2. Podtočke 2.3. i 2.4. točke 2. Priloga 5. Uredbi zamjenjuju se sljedećim:</w:t>
      </w:r>
    </w:p>
    <w:p w:rsidR="00F94FF8" w:rsidRPr="00D4046D" w:rsidRDefault="00F94FF8" w:rsidP="004A4164">
      <w:pPr>
        <w:keepNext/>
        <w:keepLines/>
        <w:autoSpaceDE w:val="0"/>
        <w:autoSpaceDN w:val="0"/>
        <w:adjustRightInd w:val="0"/>
      </w:pPr>
    </w:p>
    <w:p w:rsidR="00F94FF8" w:rsidRPr="00D4046D" w:rsidRDefault="00F94FF8" w:rsidP="004A4164">
      <w:pPr>
        <w:autoSpaceDE w:val="0"/>
        <w:autoSpaceDN w:val="0"/>
        <w:adjustRightInd w:val="0"/>
        <w:jc w:val="both"/>
      </w:pPr>
      <w:r>
        <w:t>„2.3. Granična vrijednost emisija za NOx za uređaje za loženje krutih goriva s ukupnom nazivnom toplinskom ulaznom snagom većom od ili jednakom 1 MW</w:t>
      </w:r>
      <w:r>
        <w:rPr>
          <w:vertAlign w:val="subscript"/>
        </w:rPr>
        <w:t>th</w:t>
      </w:r>
      <w:r>
        <w:t>, ali manjom od 5 MW</w:t>
      </w:r>
      <w:r>
        <w:rPr>
          <w:vertAlign w:val="subscript"/>
        </w:rPr>
        <w:t>th</w:t>
      </w:r>
      <w:r>
        <w:t>, iznosi 500 mg/Nm</w:t>
      </w:r>
      <w:r>
        <w:rPr>
          <w:vertAlign w:val="superscript"/>
        </w:rPr>
        <w:t>3</w:t>
      </w:r>
      <w:r>
        <w:t>, uz iznimku da za loženje lignita iznosi 320 mg/Nm</w:t>
      </w:r>
      <w:r>
        <w:rPr>
          <w:vertAlign w:val="superscript"/>
        </w:rPr>
        <w:t>3</w:t>
      </w:r>
      <w:r>
        <w:t>, a za kotlove za loženje s fluidom u kojima se lože goriva iz krute biomase iznosi 300 mg/Nm</w:t>
      </w:r>
      <w:r>
        <w:rPr>
          <w:vertAlign w:val="superscript"/>
        </w:rPr>
        <w:t>3</w:t>
      </w:r>
      <w:r>
        <w:t>.</w:t>
      </w:r>
    </w:p>
    <w:p w:rsidR="00F94FF8" w:rsidRPr="00D4046D" w:rsidRDefault="00F94FF8" w:rsidP="004A4164">
      <w:pPr>
        <w:autoSpaceDE w:val="0"/>
        <w:autoSpaceDN w:val="0"/>
        <w:adjustRightInd w:val="0"/>
        <w:jc w:val="both"/>
      </w:pPr>
      <w:r>
        <w:t>2.4. Granična vrijednost emisija za NOx za kotlove za loženje s fluidom u kojima se lože druga kruta goriva iznosi 210 mg/Nm</w:t>
      </w:r>
      <w:r>
        <w:rPr>
          <w:vertAlign w:val="superscript"/>
        </w:rPr>
        <w:t>3</w:t>
      </w:r>
      <w:r>
        <w:t>.”.</w:t>
      </w:r>
    </w:p>
    <w:p w:rsidR="001733D0" w:rsidRDefault="001733D0" w:rsidP="004A4164"/>
    <w:p w:rsidR="004A4164" w:rsidRPr="00D4046D" w:rsidRDefault="004A4164" w:rsidP="004A4164"/>
    <w:p w:rsidR="001733D0" w:rsidRPr="00D4046D" w:rsidRDefault="001733D0" w:rsidP="004A4164">
      <w:pPr>
        <w:keepNext/>
        <w:keepLines/>
        <w:autoSpaceDE w:val="0"/>
        <w:autoSpaceDN w:val="0"/>
        <w:adjustRightInd w:val="0"/>
      </w:pPr>
      <w:r>
        <w:t>3. Podtočka 3.2. točke 3. Priloga 5. Uredbi zamjenjuje se sljedećim:</w:t>
      </w:r>
    </w:p>
    <w:p w:rsidR="001733D0" w:rsidRPr="00D4046D" w:rsidRDefault="001733D0" w:rsidP="004A4164">
      <w:pPr>
        <w:keepNext/>
        <w:keepLines/>
      </w:pPr>
    </w:p>
    <w:p w:rsidR="001733D0" w:rsidRPr="00D4046D" w:rsidRDefault="001733D0" w:rsidP="004A4164">
      <w:pPr>
        <w:jc w:val="both"/>
      </w:pPr>
      <w:r>
        <w:t>„3.2. U slučaju motora koji godišnje rade 500–1 500 sati, ako je njihova emisija NOx ograničena zbog primarnih mjera, primjenjuju se sljedeće granične vrijednosti emisija za NOx:</w:t>
      </w:r>
    </w:p>
    <w:p w:rsidR="001733D0" w:rsidRPr="00D4046D" w:rsidRDefault="001733D0" w:rsidP="004A4164">
      <w:pPr>
        <w:jc w:val="both"/>
      </w:pPr>
      <w:r>
        <w:t>(a) 1 300 mg/Nm</w:t>
      </w:r>
      <w:r>
        <w:rPr>
          <w:vertAlign w:val="superscript"/>
        </w:rPr>
        <w:t xml:space="preserve">3 </w:t>
      </w:r>
      <w:r>
        <w:t>za dizelske motore s ukupnom nazivnom toplinskom ulaznom snagom do najviše 20 MW</w:t>
      </w:r>
      <w:r>
        <w:rPr>
          <w:vertAlign w:val="subscript"/>
        </w:rPr>
        <w:t>th</w:t>
      </w:r>
      <w:r>
        <w:t xml:space="preserve"> s ≤ 1 200 r/min;</w:t>
      </w:r>
    </w:p>
    <w:p w:rsidR="001733D0" w:rsidRPr="00EF21F5" w:rsidRDefault="001733D0" w:rsidP="004A4164">
      <w:pPr>
        <w:jc w:val="both"/>
      </w:pPr>
      <w:r>
        <w:t>(b) 1 500 mg/Nm</w:t>
      </w:r>
      <w:r>
        <w:rPr>
          <w:vertAlign w:val="superscript"/>
        </w:rPr>
        <w:t xml:space="preserve">3 </w:t>
      </w:r>
      <w:r>
        <w:t>za dizelske motore s ukupnom nazivnom toplinskom ulaznom snagom većom od 20 MW</w:t>
      </w:r>
      <w:r>
        <w:rPr>
          <w:vertAlign w:val="subscript"/>
        </w:rPr>
        <w:t>th</w:t>
      </w:r>
      <w:r>
        <w:t xml:space="preserve"> i za motore s dvojnim gorivom u načinu rada s tekućim gorivom;</w:t>
      </w:r>
    </w:p>
    <w:p w:rsidR="007A2FAA" w:rsidRPr="00EF21F5" w:rsidRDefault="001733D0" w:rsidP="004A4164">
      <w:pPr>
        <w:jc w:val="both"/>
      </w:pPr>
      <w:r>
        <w:t>(c) 750 mg/Nm</w:t>
      </w:r>
      <w:r>
        <w:rPr>
          <w:vertAlign w:val="superscript"/>
        </w:rPr>
        <w:t>3</w:t>
      </w:r>
      <w:r>
        <w:t xml:space="preserve"> za dizelske motore s &gt; 1 200 r/min;</w:t>
      </w:r>
    </w:p>
    <w:p w:rsidR="00F94FF8" w:rsidRPr="00EF21F5" w:rsidRDefault="007A2FAA" w:rsidP="004A4164">
      <w:pPr>
        <w:jc w:val="both"/>
      </w:pPr>
      <w:r>
        <w:t>(d) 380 mg/Nm</w:t>
      </w:r>
      <w:r>
        <w:rPr>
          <w:vertAlign w:val="superscript"/>
        </w:rPr>
        <w:t>3</w:t>
      </w:r>
      <w:r>
        <w:t xml:space="preserve"> za motore s dvojnim gorivom u načinu rada s plinovitim gorivom.”.</w:t>
      </w:r>
    </w:p>
    <w:p w:rsidR="00C828A5" w:rsidRDefault="00C828A5" w:rsidP="004A4164">
      <w:pPr>
        <w:jc w:val="both"/>
      </w:pPr>
    </w:p>
    <w:p w:rsidR="004A4164" w:rsidRPr="00EF21F5" w:rsidRDefault="004A4164" w:rsidP="004A4164">
      <w:pPr>
        <w:jc w:val="both"/>
      </w:pPr>
    </w:p>
    <w:p w:rsidR="003758D5" w:rsidRPr="00EF21F5" w:rsidRDefault="003758D5" w:rsidP="004A4164">
      <w:pPr>
        <w:keepNext/>
        <w:keepLines/>
      </w:pPr>
      <w:r>
        <w:t>4. Sljedeća podtočka 3.9. dodaje se točki 3. Priloga 5. Uredbi:</w:t>
      </w:r>
    </w:p>
    <w:p w:rsidR="003758D5" w:rsidRPr="00EF21F5" w:rsidRDefault="003758D5" w:rsidP="004A4164">
      <w:pPr>
        <w:keepNext/>
        <w:keepLines/>
      </w:pPr>
    </w:p>
    <w:p w:rsidR="00C828A5" w:rsidRPr="00C828A5" w:rsidRDefault="003758D5" w:rsidP="004A4164">
      <w:pPr>
        <w:rPr>
          <w:rFonts w:eastAsiaTheme="minorHAnsi"/>
        </w:rPr>
      </w:pPr>
      <w:r>
        <w:t>„3.9. Granična vrijednost emisija ukupnog organskog ugljika (TOC) za plinske motore u kojima se upotrebljava prirodni plin sa sadržajem etana većim od 5 % iznosi 95 mg/m</w:t>
      </w:r>
      <w:r>
        <w:rPr>
          <w:vertAlign w:val="superscript"/>
        </w:rPr>
        <w:t>3</w:t>
      </w:r>
      <w:r>
        <w:t>.”.</w:t>
      </w:r>
    </w:p>
    <w:sectPr w:rsidR="00C828A5" w:rsidRPr="00C828A5" w:rsidSect="00034634">
      <w:headerReference w:type="default" r:id="rId9"/>
      <w:footerReference w:type="default" r:id="rId10"/>
      <w:footnotePr>
        <w:pos w:val="beneathText"/>
      </w:footnotePr>
      <w:pgSz w:w="11960" w:h="16900"/>
      <w:pgMar w:top="1276" w:right="1134" w:bottom="710" w:left="1134" w:header="425" w:footer="42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86F" w:rsidRDefault="0043786F">
      <w:r>
        <w:separator/>
      </w:r>
    </w:p>
  </w:endnote>
  <w:endnote w:type="continuationSeparator" w:id="0">
    <w:p w:rsidR="0043786F" w:rsidRDefault="00437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1E0" w:firstRow="1" w:lastRow="1" w:firstColumn="1" w:lastColumn="1" w:noHBand="0" w:noVBand="0"/>
    </w:tblPr>
    <w:tblGrid>
      <w:gridCol w:w="2988"/>
      <w:gridCol w:w="4235"/>
      <w:gridCol w:w="2685"/>
    </w:tblGrid>
    <w:tr w:rsidR="00F80E39" w:rsidRPr="008430F8" w:rsidTr="004A4164">
      <w:trPr>
        <w:cantSplit/>
      </w:trPr>
      <w:tc>
        <w:tcPr>
          <w:tcW w:w="1508" w:type="pct"/>
          <w:hideMark/>
        </w:tcPr>
        <w:p w:rsidR="00F80E39" w:rsidRPr="008430F8" w:rsidRDefault="00F80E39" w:rsidP="00A00383">
          <w:pPr>
            <w:pStyle w:val="Footer"/>
            <w:jc w:val="center"/>
            <w:rPr>
              <w:sz w:val="16"/>
              <w:szCs w:val="16"/>
            </w:rPr>
          </w:pPr>
          <w:r>
            <w:rPr>
              <w:sz w:val="16"/>
            </w:rPr>
            <w:t>Sastavili:</w:t>
          </w:r>
        </w:p>
        <w:p w:rsidR="00F80E39" w:rsidRPr="008430F8" w:rsidRDefault="00F80E39" w:rsidP="00A00383">
          <w:pPr>
            <w:pStyle w:val="Footer"/>
            <w:jc w:val="center"/>
            <w:rPr>
              <w:sz w:val="16"/>
              <w:szCs w:val="16"/>
            </w:rPr>
          </w:pPr>
          <w:r>
            <w:rPr>
              <w:sz w:val="16"/>
            </w:rPr>
            <w:t>dr. Hunor Orban</w:t>
          </w:r>
        </w:p>
        <w:p w:rsidR="00F80E39" w:rsidRPr="008430F8" w:rsidRDefault="00F80E39" w:rsidP="00A00383">
          <w:pPr>
            <w:pStyle w:val="Footer"/>
            <w:jc w:val="center"/>
            <w:rPr>
              <w:i/>
              <w:sz w:val="16"/>
              <w:szCs w:val="16"/>
            </w:rPr>
          </w:pPr>
          <w:r>
            <w:rPr>
              <w:i/>
              <w:sz w:val="16"/>
            </w:rPr>
            <w:t>voditelj odjela</w:t>
          </w:r>
        </w:p>
        <w:p w:rsidR="00F80E39" w:rsidRPr="008430F8" w:rsidRDefault="00F80E39" w:rsidP="00A00383">
          <w:pPr>
            <w:pStyle w:val="Footer"/>
            <w:jc w:val="center"/>
            <w:rPr>
              <w:sz w:val="16"/>
              <w:szCs w:val="16"/>
            </w:rPr>
          </w:pPr>
          <w:r>
            <w:rPr>
              <w:sz w:val="16"/>
            </w:rPr>
            <w:t>+36 (1) 795 5859</w:t>
          </w:r>
        </w:p>
        <w:p w:rsidR="00F80E39" w:rsidRPr="008430F8" w:rsidRDefault="004B1473" w:rsidP="00A00383">
          <w:pPr>
            <w:pStyle w:val="Footer"/>
            <w:jc w:val="center"/>
            <w:rPr>
              <w:i/>
              <w:sz w:val="16"/>
              <w:szCs w:val="16"/>
            </w:rPr>
          </w:pPr>
          <w:hyperlink r:id="rId1">
            <w:r w:rsidR="002125C2">
              <w:rPr>
                <w:rStyle w:val="Hyperlink"/>
                <w:i/>
                <w:sz w:val="16"/>
              </w:rPr>
              <w:t>hunor.orban@am.gov.hu</w:t>
            </w:r>
          </w:hyperlink>
        </w:p>
        <w:p w:rsidR="00F80E39" w:rsidRDefault="00F80E39" w:rsidP="00A00383">
          <w:pPr>
            <w:pStyle w:val="Footer"/>
            <w:jc w:val="center"/>
            <w:rPr>
              <w:sz w:val="16"/>
              <w:szCs w:val="16"/>
            </w:rPr>
          </w:pPr>
        </w:p>
        <w:p w:rsidR="00F80E39" w:rsidRPr="008430F8" w:rsidRDefault="00F80E39" w:rsidP="00A00383">
          <w:pPr>
            <w:tabs>
              <w:tab w:val="center" w:pos="4536"/>
              <w:tab w:val="right" w:pos="9072"/>
            </w:tabs>
            <w:jc w:val="center"/>
            <w:rPr>
              <w:sz w:val="16"/>
              <w:szCs w:val="16"/>
            </w:rPr>
          </w:pPr>
          <w:r>
            <w:rPr>
              <w:sz w:val="16"/>
            </w:rPr>
            <w:t>dr. Tamás Andréka</w:t>
          </w:r>
        </w:p>
        <w:p w:rsidR="00F80E39" w:rsidRPr="008430F8" w:rsidRDefault="00F80E39" w:rsidP="00A00383">
          <w:pPr>
            <w:tabs>
              <w:tab w:val="center" w:pos="4536"/>
              <w:tab w:val="right" w:pos="9072"/>
            </w:tabs>
            <w:jc w:val="center"/>
            <w:rPr>
              <w:i/>
              <w:sz w:val="16"/>
              <w:szCs w:val="16"/>
            </w:rPr>
          </w:pPr>
          <w:r>
            <w:rPr>
              <w:i/>
              <w:sz w:val="16"/>
            </w:rPr>
            <w:t>voditelj odjela</w:t>
          </w:r>
        </w:p>
        <w:p w:rsidR="00F80E39" w:rsidRPr="008430F8" w:rsidRDefault="00F80E39" w:rsidP="00A00383">
          <w:pPr>
            <w:tabs>
              <w:tab w:val="center" w:pos="4536"/>
              <w:tab w:val="right" w:pos="9072"/>
            </w:tabs>
            <w:jc w:val="center"/>
            <w:rPr>
              <w:i/>
              <w:sz w:val="16"/>
              <w:szCs w:val="16"/>
            </w:rPr>
          </w:pPr>
          <w:r>
            <w:rPr>
              <w:i/>
              <w:sz w:val="16"/>
            </w:rPr>
            <w:t>+36 (1) 795 3801</w:t>
          </w:r>
        </w:p>
        <w:p w:rsidR="00F80E39" w:rsidRPr="008430F8" w:rsidRDefault="004B1473" w:rsidP="00A00383">
          <w:pPr>
            <w:tabs>
              <w:tab w:val="center" w:pos="4536"/>
              <w:tab w:val="right" w:pos="9072"/>
            </w:tabs>
            <w:jc w:val="center"/>
            <w:rPr>
              <w:i/>
              <w:sz w:val="16"/>
              <w:szCs w:val="16"/>
            </w:rPr>
          </w:pPr>
          <w:hyperlink r:id="rId2">
            <w:r w:rsidR="002125C2">
              <w:rPr>
                <w:rStyle w:val="Hyperlink"/>
                <w:i/>
                <w:sz w:val="16"/>
              </w:rPr>
              <w:t>tamas.andreka@am.gov.hu</w:t>
            </w:r>
          </w:hyperlink>
        </w:p>
      </w:tc>
      <w:tc>
        <w:tcPr>
          <w:tcW w:w="2137" w:type="pct"/>
          <w:hideMark/>
        </w:tcPr>
        <w:p w:rsidR="00F80E39" w:rsidRPr="008430F8" w:rsidRDefault="00F80E39" w:rsidP="00A00383">
          <w:pPr>
            <w:pStyle w:val="Footer"/>
            <w:jc w:val="center"/>
            <w:rPr>
              <w:sz w:val="16"/>
              <w:szCs w:val="16"/>
            </w:rPr>
          </w:pPr>
          <w:r>
            <w:rPr>
              <w:sz w:val="16"/>
            </w:rPr>
            <w:t>Pregledali:</w:t>
          </w:r>
        </w:p>
        <w:p w:rsidR="00F80E39" w:rsidRPr="008430F8" w:rsidRDefault="00F80E39" w:rsidP="00A00383">
          <w:pPr>
            <w:pStyle w:val="Footer"/>
            <w:jc w:val="center"/>
            <w:rPr>
              <w:sz w:val="16"/>
              <w:szCs w:val="16"/>
            </w:rPr>
          </w:pPr>
          <w:r>
            <w:rPr>
              <w:sz w:val="16"/>
            </w:rPr>
            <w:t>Tibor Zoltán László</w:t>
          </w:r>
        </w:p>
        <w:p w:rsidR="00F80E39" w:rsidRPr="008430F8" w:rsidRDefault="00F80E39" w:rsidP="00A00383">
          <w:pPr>
            <w:pStyle w:val="Footer"/>
            <w:jc w:val="center"/>
            <w:rPr>
              <w:i/>
              <w:sz w:val="16"/>
              <w:szCs w:val="16"/>
            </w:rPr>
          </w:pPr>
          <w:r>
            <w:rPr>
              <w:i/>
              <w:sz w:val="16"/>
            </w:rPr>
            <w:t xml:space="preserve">zamjenik ministra </w:t>
          </w:r>
        </w:p>
        <w:p w:rsidR="00F80E39" w:rsidRPr="008430F8" w:rsidRDefault="00F80E39" w:rsidP="00A00383">
          <w:pPr>
            <w:pStyle w:val="Footer"/>
            <w:jc w:val="center"/>
            <w:rPr>
              <w:sz w:val="16"/>
              <w:szCs w:val="16"/>
            </w:rPr>
          </w:pPr>
        </w:p>
        <w:p w:rsidR="00F80E39" w:rsidRPr="008430F8" w:rsidRDefault="00F80E39" w:rsidP="00A00383">
          <w:pPr>
            <w:pStyle w:val="Footer"/>
            <w:jc w:val="center"/>
            <w:rPr>
              <w:sz w:val="16"/>
              <w:szCs w:val="16"/>
            </w:rPr>
          </w:pPr>
          <w:r>
            <w:rPr>
              <w:sz w:val="16"/>
            </w:rPr>
            <w:t>dr. András Rácz</w:t>
          </w:r>
        </w:p>
        <w:p w:rsidR="00F80E39" w:rsidRPr="008430F8" w:rsidRDefault="00F80E39" w:rsidP="00A00383">
          <w:pPr>
            <w:pStyle w:val="Footer"/>
            <w:jc w:val="center"/>
            <w:rPr>
              <w:i/>
              <w:sz w:val="16"/>
              <w:szCs w:val="16"/>
            </w:rPr>
          </w:pPr>
          <w:r>
            <w:rPr>
              <w:i/>
              <w:sz w:val="16"/>
            </w:rPr>
            <w:t xml:space="preserve">ministar </w:t>
          </w:r>
        </w:p>
        <w:p w:rsidR="00F80E39" w:rsidRPr="008430F8" w:rsidRDefault="00F80E39" w:rsidP="00A00383">
          <w:pPr>
            <w:pStyle w:val="Footer"/>
            <w:jc w:val="center"/>
            <w:rPr>
              <w:sz w:val="16"/>
              <w:szCs w:val="16"/>
            </w:rPr>
          </w:pPr>
        </w:p>
        <w:p w:rsidR="00F80E39" w:rsidRPr="008430F8" w:rsidRDefault="00F80E39" w:rsidP="00A00383">
          <w:pPr>
            <w:pStyle w:val="Footer"/>
            <w:jc w:val="center"/>
            <w:rPr>
              <w:sz w:val="16"/>
              <w:szCs w:val="16"/>
            </w:rPr>
          </w:pPr>
          <w:r>
            <w:rPr>
              <w:sz w:val="16"/>
            </w:rPr>
            <w:t>dr. István Tomasitz</w:t>
          </w:r>
        </w:p>
        <w:p w:rsidR="00F80E39" w:rsidRPr="008430F8" w:rsidRDefault="00F80E39" w:rsidP="00A00383">
          <w:pPr>
            <w:pStyle w:val="Footer"/>
            <w:jc w:val="center"/>
            <w:rPr>
              <w:i/>
              <w:sz w:val="16"/>
              <w:szCs w:val="16"/>
              <w:highlight w:val="yellow"/>
            </w:rPr>
          </w:pPr>
          <w:r>
            <w:rPr>
              <w:i/>
              <w:sz w:val="16"/>
            </w:rPr>
            <w:t>ministar</w:t>
          </w:r>
        </w:p>
      </w:tc>
      <w:tc>
        <w:tcPr>
          <w:tcW w:w="1355" w:type="pct"/>
          <w:hideMark/>
        </w:tcPr>
        <w:p w:rsidR="00F80E39" w:rsidRPr="001F2F45" w:rsidRDefault="00F80E39" w:rsidP="00A00383">
          <w:pPr>
            <w:pStyle w:val="Footer"/>
            <w:jc w:val="center"/>
            <w:rPr>
              <w:sz w:val="16"/>
              <w:szCs w:val="16"/>
            </w:rPr>
          </w:pPr>
          <w:r>
            <w:rPr>
              <w:sz w:val="16"/>
            </w:rPr>
            <w:t>Odobrio:</w:t>
          </w:r>
        </w:p>
        <w:p w:rsidR="00F80E39" w:rsidRDefault="00F80E39" w:rsidP="00A00383">
          <w:pPr>
            <w:pStyle w:val="Footer"/>
            <w:jc w:val="center"/>
            <w:rPr>
              <w:sz w:val="16"/>
              <w:szCs w:val="16"/>
              <w:highlight w:val="yellow"/>
            </w:rPr>
          </w:pPr>
        </w:p>
        <w:p w:rsidR="00F80E39" w:rsidRDefault="00F80E39" w:rsidP="00A00383">
          <w:pPr>
            <w:pStyle w:val="Footer"/>
            <w:jc w:val="center"/>
            <w:rPr>
              <w:sz w:val="16"/>
              <w:szCs w:val="16"/>
              <w:highlight w:val="yellow"/>
            </w:rPr>
          </w:pPr>
        </w:p>
        <w:p w:rsidR="00F80E39" w:rsidRDefault="00F80E39" w:rsidP="00A00383">
          <w:pPr>
            <w:pStyle w:val="Footer"/>
            <w:jc w:val="center"/>
            <w:rPr>
              <w:sz w:val="16"/>
              <w:szCs w:val="16"/>
              <w:highlight w:val="yellow"/>
            </w:rPr>
          </w:pPr>
        </w:p>
        <w:p w:rsidR="00F80E39" w:rsidRPr="008430F8" w:rsidRDefault="00F80E39" w:rsidP="00A00383">
          <w:pPr>
            <w:pStyle w:val="Footer"/>
            <w:jc w:val="center"/>
            <w:rPr>
              <w:sz w:val="16"/>
              <w:szCs w:val="16"/>
            </w:rPr>
          </w:pPr>
          <w:r>
            <w:rPr>
              <w:sz w:val="16"/>
            </w:rPr>
            <w:t>dr. István Nagy</w:t>
          </w:r>
        </w:p>
        <w:p w:rsidR="00F80E39" w:rsidRPr="008430F8" w:rsidRDefault="00F80E39" w:rsidP="004A4164">
          <w:pPr>
            <w:pStyle w:val="Footer"/>
            <w:jc w:val="center"/>
            <w:rPr>
              <w:sz w:val="16"/>
              <w:szCs w:val="16"/>
              <w:highlight w:val="yellow"/>
            </w:rPr>
          </w:pPr>
          <w:r>
            <w:rPr>
              <w:i/>
              <w:sz w:val="16"/>
            </w:rPr>
            <w:t>ministar</w:t>
          </w:r>
        </w:p>
      </w:tc>
    </w:tr>
  </w:tbl>
  <w:p w:rsidR="00F80E39" w:rsidRPr="00BE1C91" w:rsidRDefault="00F80E39" w:rsidP="00BE1C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86F" w:rsidRDefault="0043786F">
      <w:r>
        <w:separator/>
      </w:r>
    </w:p>
  </w:footnote>
  <w:footnote w:type="continuationSeparator" w:id="0">
    <w:p w:rsidR="0043786F" w:rsidRDefault="004378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E39" w:rsidRDefault="00F80E39">
    <w:pPr>
      <w:pStyle w:val="Header"/>
      <w:jc w:val="center"/>
    </w:pPr>
    <w:r>
      <w:fldChar w:fldCharType="begin"/>
    </w:r>
    <w:r>
      <w:instrText>PAGE   \* MERGEFORMAT</w:instrText>
    </w:r>
    <w:r>
      <w:fldChar w:fldCharType="separate"/>
    </w:r>
    <w:r w:rsidR="004B1473">
      <w:rPr>
        <w:noProof/>
      </w:rPr>
      <w:t>8</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DC8ED10C"/>
    <w:lvl w:ilvl="0">
      <w:start w:val="1"/>
      <w:numFmt w:val="none"/>
      <w:pStyle w:val="Heading1"/>
      <w:suff w:val="nothing"/>
      <w:lvlText w:val=""/>
      <w:lvlJc w:val="left"/>
      <w:rPr>
        <w:rFonts w:cs="Times New Roman"/>
      </w:rPr>
    </w:lvl>
    <w:lvl w:ilvl="1">
      <w:start w:val="1"/>
      <w:numFmt w:val="none"/>
      <w:pStyle w:val="Heading2"/>
      <w:lvlText w:val=""/>
      <w:legacy w:legacy="1" w:legacySpace="0" w:legacyIndent="0"/>
      <w:lvlJc w:val="left"/>
      <w:rPr>
        <w:rFonts w:cs="Times New Roman"/>
      </w:rPr>
    </w:lvl>
    <w:lvl w:ilvl="2">
      <w:start w:val="1"/>
      <w:numFmt w:val="none"/>
      <w:pStyle w:val="Heading3"/>
      <w:lvlText w:val=""/>
      <w:legacy w:legacy="1" w:legacySpace="0" w:legacyIndent="0"/>
      <w:lvlJc w:val="left"/>
      <w:rPr>
        <w:rFonts w:cs="Times New Roman"/>
      </w:rPr>
    </w:lvl>
    <w:lvl w:ilvl="3">
      <w:start w:val="1"/>
      <w:numFmt w:val="none"/>
      <w:pStyle w:val="Heading4"/>
      <w:lvlText w:val=""/>
      <w:legacy w:legacy="1" w:legacySpace="0" w:legacyIndent="0"/>
      <w:lvlJc w:val="left"/>
      <w:rPr>
        <w:rFonts w:cs="Times New Roman"/>
      </w:rPr>
    </w:lvl>
    <w:lvl w:ilvl="4">
      <w:start w:val="1"/>
      <w:numFmt w:val="none"/>
      <w:pStyle w:val="Heading5"/>
      <w:lvlText w:val=""/>
      <w:legacy w:legacy="1" w:legacySpace="0" w:legacyIndent="0"/>
      <w:lvlJc w:val="left"/>
      <w:rPr>
        <w:rFonts w:cs="Times New Roman"/>
      </w:rPr>
    </w:lvl>
    <w:lvl w:ilvl="5">
      <w:start w:val="1"/>
      <w:numFmt w:val="none"/>
      <w:pStyle w:val="Heading6"/>
      <w:lvlText w:val=""/>
      <w:legacy w:legacy="1" w:legacySpace="0" w:legacyIndent="0"/>
      <w:lvlJc w:val="left"/>
      <w:rPr>
        <w:rFonts w:cs="Times New Roman"/>
      </w:rPr>
    </w:lvl>
    <w:lvl w:ilvl="6">
      <w:numFmt w:val="none"/>
      <w:lvlText w:val=""/>
      <w:lvlJc w:val="left"/>
      <w:rPr>
        <w:rFonts w:cs="Times New Roman"/>
      </w:rPr>
    </w:lvl>
    <w:lvl w:ilvl="7">
      <w:numFmt w:val="none"/>
      <w:lvlText w:val=""/>
      <w:lvlJc w:val="left"/>
      <w:rPr>
        <w:rFonts w:cs="Times New Roman"/>
      </w:rPr>
    </w:lvl>
    <w:lvl w:ilvl="8">
      <w:numFmt w:val="none"/>
      <w:lvlText w:val=""/>
      <w:lvlJc w:val="left"/>
      <w:rPr>
        <w:rFonts w:cs="Times New Roman"/>
      </w:rPr>
    </w:lvl>
  </w:abstractNum>
  <w:abstractNum w:abstractNumId="1">
    <w:nsid w:val="07AC1137"/>
    <w:multiLevelType w:val="hybridMultilevel"/>
    <w:tmpl w:val="AA70FEA4"/>
    <w:lvl w:ilvl="0" w:tplc="63DA0A84">
      <w:start w:val="1"/>
      <w:numFmt w:val="lowerLetter"/>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2">
    <w:nsid w:val="08AB38DA"/>
    <w:multiLevelType w:val="hybridMultilevel"/>
    <w:tmpl w:val="A09853F0"/>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3">
    <w:nsid w:val="0A2C7999"/>
    <w:multiLevelType w:val="hybridMultilevel"/>
    <w:tmpl w:val="5E6810F6"/>
    <w:lvl w:ilvl="0" w:tplc="B1AA730E">
      <w:start w:val="1"/>
      <w:numFmt w:val="lowerLetter"/>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4">
    <w:nsid w:val="0F902EFF"/>
    <w:multiLevelType w:val="hybridMultilevel"/>
    <w:tmpl w:val="97983F9E"/>
    <w:lvl w:ilvl="0" w:tplc="040E001B">
      <w:start w:val="1"/>
      <w:numFmt w:val="lowerRoman"/>
      <w:lvlText w:val="%1."/>
      <w:lvlJc w:val="righ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5">
    <w:nsid w:val="1322206F"/>
    <w:multiLevelType w:val="hybridMultilevel"/>
    <w:tmpl w:val="F4B694CA"/>
    <w:lvl w:ilvl="0" w:tplc="E722CB0C">
      <w:start w:val="1"/>
      <w:numFmt w:val="decimal"/>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6">
    <w:nsid w:val="13D46F2A"/>
    <w:multiLevelType w:val="multilevel"/>
    <w:tmpl w:val="788C1934"/>
    <w:styleLink w:val="Hatrozat"/>
    <w:lvl w:ilvl="0">
      <w:start w:val="1"/>
      <w:numFmt w:val="decimal"/>
      <w:pStyle w:val="Pont"/>
      <w:suff w:val="space"/>
      <w:lvlText w:val="%1."/>
      <w:lvlJc w:val="left"/>
      <w:pPr>
        <w:ind w:left="0" w:firstLine="284"/>
      </w:pPr>
      <w:rPr>
        <w:rFonts w:hint="default"/>
      </w:rPr>
    </w:lvl>
    <w:lvl w:ilvl="1">
      <w:start w:val="1"/>
      <w:numFmt w:val="lowerLetter"/>
      <w:suff w:val="space"/>
      <w:lvlText w:val="%2)"/>
      <w:lvlJc w:val="left"/>
      <w:pPr>
        <w:ind w:left="0" w:firstLine="284"/>
      </w:pPr>
      <w:rPr>
        <w:rFonts w:hint="default"/>
      </w:rPr>
    </w:lvl>
    <w:lvl w:ilvl="2">
      <w:start w:val="1"/>
      <w:numFmt w:val="lowerRoman"/>
      <w:lvlText w:val="%3)"/>
      <w:lvlJc w:val="left"/>
      <w:pPr>
        <w:ind w:left="0" w:firstLine="284"/>
      </w:pPr>
      <w:rPr>
        <w:rFonts w:hint="default"/>
      </w:rPr>
    </w:lvl>
    <w:lvl w:ilvl="3">
      <w:start w:val="1"/>
      <w:numFmt w:val="decimal"/>
      <w:lvlText w:val="(%4)"/>
      <w:lvlJc w:val="left"/>
      <w:pPr>
        <w:ind w:left="0" w:firstLine="284"/>
      </w:pPr>
      <w:rPr>
        <w:rFonts w:hint="default"/>
      </w:rPr>
    </w:lvl>
    <w:lvl w:ilvl="4">
      <w:start w:val="1"/>
      <w:numFmt w:val="lowerLetter"/>
      <w:lvlText w:val="(%5)"/>
      <w:lvlJc w:val="left"/>
      <w:pPr>
        <w:ind w:left="0" w:firstLine="284"/>
      </w:pPr>
      <w:rPr>
        <w:rFonts w:hint="default"/>
      </w:rPr>
    </w:lvl>
    <w:lvl w:ilvl="5">
      <w:start w:val="1"/>
      <w:numFmt w:val="lowerRoman"/>
      <w:lvlText w:val="(%6)"/>
      <w:lvlJc w:val="left"/>
      <w:pPr>
        <w:ind w:left="0" w:firstLine="284"/>
      </w:pPr>
      <w:rPr>
        <w:rFonts w:hint="default"/>
      </w:rPr>
    </w:lvl>
    <w:lvl w:ilvl="6">
      <w:start w:val="1"/>
      <w:numFmt w:val="decimal"/>
      <w:lvlText w:val="%7."/>
      <w:lvlJc w:val="left"/>
      <w:pPr>
        <w:ind w:left="0" w:firstLine="284"/>
      </w:pPr>
      <w:rPr>
        <w:rFonts w:hint="default"/>
      </w:rPr>
    </w:lvl>
    <w:lvl w:ilvl="7">
      <w:start w:val="1"/>
      <w:numFmt w:val="lowerLetter"/>
      <w:lvlText w:val="%8."/>
      <w:lvlJc w:val="left"/>
      <w:pPr>
        <w:ind w:left="0" w:firstLine="284"/>
      </w:pPr>
      <w:rPr>
        <w:rFonts w:hint="default"/>
      </w:rPr>
    </w:lvl>
    <w:lvl w:ilvl="8">
      <w:start w:val="1"/>
      <w:numFmt w:val="lowerRoman"/>
      <w:lvlText w:val="%9."/>
      <w:lvlJc w:val="left"/>
      <w:pPr>
        <w:ind w:left="0" w:firstLine="284"/>
      </w:pPr>
      <w:rPr>
        <w:rFonts w:hint="default"/>
      </w:rPr>
    </w:lvl>
  </w:abstractNum>
  <w:abstractNum w:abstractNumId="7">
    <w:nsid w:val="1459464A"/>
    <w:multiLevelType w:val="hybridMultilevel"/>
    <w:tmpl w:val="0A9AF2F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166D78A1"/>
    <w:multiLevelType w:val="hybridMultilevel"/>
    <w:tmpl w:val="A22AA9C2"/>
    <w:lvl w:ilvl="0" w:tplc="D292B9E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19B03D7D"/>
    <w:multiLevelType w:val="hybridMultilevel"/>
    <w:tmpl w:val="3ADC8102"/>
    <w:lvl w:ilvl="0" w:tplc="7B061F6E">
      <w:start w:val="1"/>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0">
    <w:nsid w:val="1B717131"/>
    <w:multiLevelType w:val="hybridMultilevel"/>
    <w:tmpl w:val="7BC2264C"/>
    <w:lvl w:ilvl="0" w:tplc="040E0001">
      <w:start w:val="1"/>
      <w:numFmt w:val="bullet"/>
      <w:lvlText w:val=""/>
      <w:lvlJc w:val="left"/>
      <w:pPr>
        <w:ind w:left="1004" w:hanging="360"/>
      </w:pPr>
      <w:rPr>
        <w:rFonts w:ascii="Symbol" w:hAnsi="Symbol" w:hint="default"/>
      </w:rPr>
    </w:lvl>
    <w:lvl w:ilvl="1" w:tplc="040E0015">
      <w:start w:val="1"/>
      <w:numFmt w:val="upperLetter"/>
      <w:lvlText w:val="%2."/>
      <w:lvlJc w:val="left"/>
      <w:pPr>
        <w:ind w:left="1724" w:hanging="360"/>
      </w:pPr>
      <w:rPr>
        <w:rFonts w:hint="default"/>
      </w:rPr>
    </w:lvl>
    <w:lvl w:ilvl="2" w:tplc="040E0003">
      <w:start w:val="1"/>
      <w:numFmt w:val="bullet"/>
      <w:lvlText w:val="o"/>
      <w:lvlJc w:val="left"/>
      <w:pPr>
        <w:ind w:left="2444" w:hanging="360"/>
      </w:pPr>
      <w:rPr>
        <w:rFonts w:ascii="Courier New" w:hAnsi="Courier New" w:cs="Courier New" w:hint="default"/>
      </w:rPr>
    </w:lvl>
    <w:lvl w:ilvl="3" w:tplc="040E0003">
      <w:start w:val="1"/>
      <w:numFmt w:val="bullet"/>
      <w:lvlText w:val="o"/>
      <w:lvlJc w:val="left"/>
      <w:pPr>
        <w:ind w:left="3164" w:hanging="360"/>
      </w:pPr>
      <w:rPr>
        <w:rFonts w:ascii="Courier New" w:hAnsi="Courier New" w:cs="Courier New"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1">
    <w:nsid w:val="1FED0AE2"/>
    <w:multiLevelType w:val="hybridMultilevel"/>
    <w:tmpl w:val="A9F0E078"/>
    <w:lvl w:ilvl="0" w:tplc="D494AEF0">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1BC545B"/>
    <w:multiLevelType w:val="hybridMultilevel"/>
    <w:tmpl w:val="607865A8"/>
    <w:lvl w:ilvl="0" w:tplc="761C912A">
      <w:start w:val="1"/>
      <w:numFmt w:val="lowerLetter"/>
      <w:lvlText w:val="%1)"/>
      <w:lvlJc w:val="left"/>
      <w:pPr>
        <w:ind w:left="600" w:hanging="360"/>
      </w:pPr>
      <w:rPr>
        <w:rFonts w:hint="default"/>
      </w:rPr>
    </w:lvl>
    <w:lvl w:ilvl="1" w:tplc="040E0019" w:tentative="1">
      <w:start w:val="1"/>
      <w:numFmt w:val="lowerLetter"/>
      <w:lvlText w:val="%2."/>
      <w:lvlJc w:val="left"/>
      <w:pPr>
        <w:ind w:left="1320" w:hanging="360"/>
      </w:pPr>
    </w:lvl>
    <w:lvl w:ilvl="2" w:tplc="040E001B" w:tentative="1">
      <w:start w:val="1"/>
      <w:numFmt w:val="lowerRoman"/>
      <w:lvlText w:val="%3."/>
      <w:lvlJc w:val="right"/>
      <w:pPr>
        <w:ind w:left="2040" w:hanging="180"/>
      </w:pPr>
    </w:lvl>
    <w:lvl w:ilvl="3" w:tplc="040E000F" w:tentative="1">
      <w:start w:val="1"/>
      <w:numFmt w:val="decimal"/>
      <w:lvlText w:val="%4."/>
      <w:lvlJc w:val="left"/>
      <w:pPr>
        <w:ind w:left="2760" w:hanging="360"/>
      </w:pPr>
    </w:lvl>
    <w:lvl w:ilvl="4" w:tplc="040E0019" w:tentative="1">
      <w:start w:val="1"/>
      <w:numFmt w:val="lowerLetter"/>
      <w:lvlText w:val="%5."/>
      <w:lvlJc w:val="left"/>
      <w:pPr>
        <w:ind w:left="3480" w:hanging="360"/>
      </w:pPr>
    </w:lvl>
    <w:lvl w:ilvl="5" w:tplc="040E001B" w:tentative="1">
      <w:start w:val="1"/>
      <w:numFmt w:val="lowerRoman"/>
      <w:lvlText w:val="%6."/>
      <w:lvlJc w:val="right"/>
      <w:pPr>
        <w:ind w:left="4200" w:hanging="180"/>
      </w:pPr>
    </w:lvl>
    <w:lvl w:ilvl="6" w:tplc="040E000F" w:tentative="1">
      <w:start w:val="1"/>
      <w:numFmt w:val="decimal"/>
      <w:lvlText w:val="%7."/>
      <w:lvlJc w:val="left"/>
      <w:pPr>
        <w:ind w:left="4920" w:hanging="360"/>
      </w:pPr>
    </w:lvl>
    <w:lvl w:ilvl="7" w:tplc="040E0019" w:tentative="1">
      <w:start w:val="1"/>
      <w:numFmt w:val="lowerLetter"/>
      <w:lvlText w:val="%8."/>
      <w:lvlJc w:val="left"/>
      <w:pPr>
        <w:ind w:left="5640" w:hanging="360"/>
      </w:pPr>
    </w:lvl>
    <w:lvl w:ilvl="8" w:tplc="040E001B" w:tentative="1">
      <w:start w:val="1"/>
      <w:numFmt w:val="lowerRoman"/>
      <w:lvlText w:val="%9."/>
      <w:lvlJc w:val="right"/>
      <w:pPr>
        <w:ind w:left="6360" w:hanging="180"/>
      </w:pPr>
    </w:lvl>
  </w:abstractNum>
  <w:abstractNum w:abstractNumId="13">
    <w:nsid w:val="2232086E"/>
    <w:multiLevelType w:val="hybridMultilevel"/>
    <w:tmpl w:val="76143F6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23440ECC"/>
    <w:multiLevelType w:val="hybridMultilevel"/>
    <w:tmpl w:val="A7341F6A"/>
    <w:lvl w:ilvl="0" w:tplc="DFA09F68">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23D97682"/>
    <w:multiLevelType w:val="hybridMultilevel"/>
    <w:tmpl w:val="83ACFF2C"/>
    <w:lvl w:ilvl="0" w:tplc="040E0001">
      <w:start w:val="1"/>
      <w:numFmt w:val="bullet"/>
      <w:lvlText w:val=""/>
      <w:lvlJc w:val="left"/>
      <w:pPr>
        <w:ind w:left="1004" w:hanging="360"/>
      </w:pPr>
      <w:rPr>
        <w:rFonts w:ascii="Symbol" w:hAnsi="Symbol" w:hint="default"/>
      </w:rPr>
    </w:lvl>
    <w:lvl w:ilvl="1" w:tplc="040E0017">
      <w:start w:val="1"/>
      <w:numFmt w:val="lowerLetter"/>
      <w:lvlText w:val="%2)"/>
      <w:lvlJc w:val="left"/>
      <w:pPr>
        <w:ind w:left="1724" w:hanging="360"/>
      </w:pPr>
      <w:rPr>
        <w:rFonts w:hint="default"/>
      </w:rPr>
    </w:lvl>
    <w:lvl w:ilvl="2" w:tplc="040E0003">
      <w:start w:val="1"/>
      <w:numFmt w:val="bullet"/>
      <w:lvlText w:val="o"/>
      <w:lvlJc w:val="left"/>
      <w:pPr>
        <w:ind w:left="2444" w:hanging="360"/>
      </w:pPr>
      <w:rPr>
        <w:rFonts w:ascii="Courier New" w:hAnsi="Courier New" w:cs="Courier New" w:hint="default"/>
      </w:rPr>
    </w:lvl>
    <w:lvl w:ilvl="3" w:tplc="1278D1EE">
      <w:numFmt w:val="bullet"/>
      <w:lvlText w:val="-"/>
      <w:lvlJc w:val="left"/>
      <w:pPr>
        <w:ind w:left="3164" w:hanging="360"/>
      </w:pPr>
      <w:rPr>
        <w:rFonts w:ascii="Times New Roman" w:eastAsiaTheme="minorHAnsi" w:hAnsi="Times New Roman" w:cs="Times New Roman"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6">
    <w:nsid w:val="28226C78"/>
    <w:multiLevelType w:val="hybridMultilevel"/>
    <w:tmpl w:val="170699F6"/>
    <w:lvl w:ilvl="0" w:tplc="040E0001">
      <w:start w:val="1"/>
      <w:numFmt w:val="bullet"/>
      <w:lvlText w:val=""/>
      <w:lvlJc w:val="left"/>
      <w:pPr>
        <w:ind w:left="1647" w:hanging="360"/>
      </w:pPr>
      <w:rPr>
        <w:rFonts w:ascii="Symbol" w:hAnsi="Symbol" w:hint="default"/>
      </w:rPr>
    </w:lvl>
    <w:lvl w:ilvl="1" w:tplc="040E0003" w:tentative="1">
      <w:start w:val="1"/>
      <w:numFmt w:val="bullet"/>
      <w:lvlText w:val="o"/>
      <w:lvlJc w:val="left"/>
      <w:pPr>
        <w:ind w:left="2367" w:hanging="360"/>
      </w:pPr>
      <w:rPr>
        <w:rFonts w:ascii="Courier New" w:hAnsi="Courier New" w:cs="Courier New" w:hint="default"/>
      </w:rPr>
    </w:lvl>
    <w:lvl w:ilvl="2" w:tplc="040E0005" w:tentative="1">
      <w:start w:val="1"/>
      <w:numFmt w:val="bullet"/>
      <w:lvlText w:val=""/>
      <w:lvlJc w:val="left"/>
      <w:pPr>
        <w:ind w:left="3087" w:hanging="360"/>
      </w:pPr>
      <w:rPr>
        <w:rFonts w:ascii="Wingdings" w:hAnsi="Wingdings" w:hint="default"/>
      </w:rPr>
    </w:lvl>
    <w:lvl w:ilvl="3" w:tplc="040E0001" w:tentative="1">
      <w:start w:val="1"/>
      <w:numFmt w:val="bullet"/>
      <w:lvlText w:val=""/>
      <w:lvlJc w:val="left"/>
      <w:pPr>
        <w:ind w:left="3807" w:hanging="360"/>
      </w:pPr>
      <w:rPr>
        <w:rFonts w:ascii="Symbol" w:hAnsi="Symbol" w:hint="default"/>
      </w:rPr>
    </w:lvl>
    <w:lvl w:ilvl="4" w:tplc="040E0003" w:tentative="1">
      <w:start w:val="1"/>
      <w:numFmt w:val="bullet"/>
      <w:lvlText w:val="o"/>
      <w:lvlJc w:val="left"/>
      <w:pPr>
        <w:ind w:left="4527" w:hanging="360"/>
      </w:pPr>
      <w:rPr>
        <w:rFonts w:ascii="Courier New" w:hAnsi="Courier New" w:cs="Courier New" w:hint="default"/>
      </w:rPr>
    </w:lvl>
    <w:lvl w:ilvl="5" w:tplc="040E0005" w:tentative="1">
      <w:start w:val="1"/>
      <w:numFmt w:val="bullet"/>
      <w:lvlText w:val=""/>
      <w:lvlJc w:val="left"/>
      <w:pPr>
        <w:ind w:left="5247" w:hanging="360"/>
      </w:pPr>
      <w:rPr>
        <w:rFonts w:ascii="Wingdings" w:hAnsi="Wingdings" w:hint="default"/>
      </w:rPr>
    </w:lvl>
    <w:lvl w:ilvl="6" w:tplc="040E0001" w:tentative="1">
      <w:start w:val="1"/>
      <w:numFmt w:val="bullet"/>
      <w:lvlText w:val=""/>
      <w:lvlJc w:val="left"/>
      <w:pPr>
        <w:ind w:left="5967" w:hanging="360"/>
      </w:pPr>
      <w:rPr>
        <w:rFonts w:ascii="Symbol" w:hAnsi="Symbol" w:hint="default"/>
      </w:rPr>
    </w:lvl>
    <w:lvl w:ilvl="7" w:tplc="040E0003" w:tentative="1">
      <w:start w:val="1"/>
      <w:numFmt w:val="bullet"/>
      <w:lvlText w:val="o"/>
      <w:lvlJc w:val="left"/>
      <w:pPr>
        <w:ind w:left="6687" w:hanging="360"/>
      </w:pPr>
      <w:rPr>
        <w:rFonts w:ascii="Courier New" w:hAnsi="Courier New" w:cs="Courier New" w:hint="default"/>
      </w:rPr>
    </w:lvl>
    <w:lvl w:ilvl="8" w:tplc="040E0005" w:tentative="1">
      <w:start w:val="1"/>
      <w:numFmt w:val="bullet"/>
      <w:lvlText w:val=""/>
      <w:lvlJc w:val="left"/>
      <w:pPr>
        <w:ind w:left="7407" w:hanging="360"/>
      </w:pPr>
      <w:rPr>
        <w:rFonts w:ascii="Wingdings" w:hAnsi="Wingdings" w:hint="default"/>
      </w:rPr>
    </w:lvl>
  </w:abstractNum>
  <w:abstractNum w:abstractNumId="17">
    <w:nsid w:val="28BA2D46"/>
    <w:multiLevelType w:val="hybridMultilevel"/>
    <w:tmpl w:val="FD10E004"/>
    <w:lvl w:ilvl="0" w:tplc="1F7A10E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2A7804AA"/>
    <w:multiLevelType w:val="hybridMultilevel"/>
    <w:tmpl w:val="69A41C20"/>
    <w:lvl w:ilvl="0" w:tplc="80386DFA">
      <w:start w:val="1"/>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2C2C5199"/>
    <w:multiLevelType w:val="hybridMultilevel"/>
    <w:tmpl w:val="444C878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2E8B43AF"/>
    <w:multiLevelType w:val="hybridMultilevel"/>
    <w:tmpl w:val="31F860A8"/>
    <w:lvl w:ilvl="0" w:tplc="BF6E6C0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30086D20"/>
    <w:multiLevelType w:val="hybridMultilevel"/>
    <w:tmpl w:val="3B72E9D2"/>
    <w:lvl w:ilvl="0" w:tplc="78E0ACD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309C1775"/>
    <w:multiLevelType w:val="hybridMultilevel"/>
    <w:tmpl w:val="D04C7A1E"/>
    <w:lvl w:ilvl="0" w:tplc="1D1E69E4">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3">
    <w:nsid w:val="318034BE"/>
    <w:multiLevelType w:val="hybridMultilevel"/>
    <w:tmpl w:val="43A0DED8"/>
    <w:lvl w:ilvl="0" w:tplc="414EBEC6">
      <w:start w:val="4"/>
      <w:numFmt w:val="decimal"/>
      <w:lvlText w:val="%1."/>
      <w:lvlJc w:val="left"/>
      <w:pPr>
        <w:ind w:left="100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35263FE2"/>
    <w:multiLevelType w:val="hybridMultilevel"/>
    <w:tmpl w:val="2F0AD7B4"/>
    <w:lvl w:ilvl="0" w:tplc="040E0017">
      <w:start w:val="1"/>
      <w:numFmt w:val="lowerLetter"/>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25">
    <w:nsid w:val="362D232A"/>
    <w:multiLevelType w:val="hybridMultilevel"/>
    <w:tmpl w:val="6284F890"/>
    <w:lvl w:ilvl="0" w:tplc="5BAAEC72">
      <w:start w:val="3"/>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6">
    <w:nsid w:val="39B92C01"/>
    <w:multiLevelType w:val="hybridMultilevel"/>
    <w:tmpl w:val="82F69C86"/>
    <w:lvl w:ilvl="0" w:tplc="6450D7E2">
      <w:start w:val="1"/>
      <w:numFmt w:val="lowerLetter"/>
      <w:lvlText w:val="%1)"/>
      <w:lvlJc w:val="left"/>
      <w:pPr>
        <w:ind w:left="564" w:hanging="360"/>
      </w:pPr>
      <w:rPr>
        <w:rFonts w:hint="default"/>
        <w:i/>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abstractNum w:abstractNumId="27">
    <w:nsid w:val="3ABB52B6"/>
    <w:multiLevelType w:val="hybridMultilevel"/>
    <w:tmpl w:val="7904F22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3B2E2184"/>
    <w:multiLevelType w:val="hybridMultilevel"/>
    <w:tmpl w:val="CFFE03E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44221D6C"/>
    <w:multiLevelType w:val="hybridMultilevel"/>
    <w:tmpl w:val="F4B694CA"/>
    <w:lvl w:ilvl="0" w:tplc="E722CB0C">
      <w:start w:val="1"/>
      <w:numFmt w:val="decimal"/>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0">
    <w:nsid w:val="49E4694D"/>
    <w:multiLevelType w:val="hybridMultilevel"/>
    <w:tmpl w:val="56AA0878"/>
    <w:lvl w:ilvl="0" w:tplc="C7FED732">
      <w:start w:val="1"/>
      <w:numFmt w:val="decimal"/>
      <w:lvlText w:val="(%1)"/>
      <w:lvlJc w:val="left"/>
      <w:pPr>
        <w:ind w:left="795" w:hanging="43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4DAA2F1E"/>
    <w:multiLevelType w:val="hybridMultilevel"/>
    <w:tmpl w:val="E042DE26"/>
    <w:lvl w:ilvl="0" w:tplc="E0C6CA42">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2">
    <w:nsid w:val="4F0237B5"/>
    <w:multiLevelType w:val="hybridMultilevel"/>
    <w:tmpl w:val="B3682B3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50D00081"/>
    <w:multiLevelType w:val="hybridMultilevel"/>
    <w:tmpl w:val="3ED862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5113106B"/>
    <w:multiLevelType w:val="hybridMultilevel"/>
    <w:tmpl w:val="F0E41994"/>
    <w:lvl w:ilvl="0" w:tplc="040E0001">
      <w:start w:val="1"/>
      <w:numFmt w:val="bullet"/>
      <w:lvlText w:val=""/>
      <w:lvlJc w:val="left"/>
      <w:pPr>
        <w:ind w:left="1287" w:hanging="360"/>
      </w:pPr>
      <w:rPr>
        <w:rFonts w:ascii="Symbol" w:hAnsi="Symbol" w:hint="default"/>
      </w:rPr>
    </w:lvl>
    <w:lvl w:ilvl="1" w:tplc="040E0003">
      <w:start w:val="1"/>
      <w:numFmt w:val="bullet"/>
      <w:lvlText w:val="o"/>
      <w:lvlJc w:val="left"/>
      <w:pPr>
        <w:ind w:left="2007" w:hanging="360"/>
      </w:pPr>
      <w:rPr>
        <w:rFonts w:ascii="Courier New" w:hAnsi="Courier New" w:cs="Courier New" w:hint="default"/>
      </w:rPr>
    </w:lvl>
    <w:lvl w:ilvl="2" w:tplc="040E0005">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35">
    <w:nsid w:val="51D94018"/>
    <w:multiLevelType w:val="hybridMultilevel"/>
    <w:tmpl w:val="35A2DB8C"/>
    <w:lvl w:ilvl="0" w:tplc="040E0001">
      <w:start w:val="1"/>
      <w:numFmt w:val="bullet"/>
      <w:lvlText w:val=""/>
      <w:lvlJc w:val="left"/>
      <w:pPr>
        <w:ind w:left="1004" w:hanging="360"/>
      </w:pPr>
      <w:rPr>
        <w:rFonts w:ascii="Symbol" w:hAnsi="Symbol" w:hint="default"/>
      </w:rPr>
    </w:lvl>
    <w:lvl w:ilvl="1" w:tplc="040E0017">
      <w:start w:val="1"/>
      <w:numFmt w:val="lowerLetter"/>
      <w:lvlText w:val="%2)"/>
      <w:lvlJc w:val="left"/>
      <w:pPr>
        <w:ind w:left="1724" w:hanging="360"/>
      </w:pPr>
      <w:rPr>
        <w:rFonts w:hint="default"/>
      </w:rPr>
    </w:lvl>
    <w:lvl w:ilvl="2" w:tplc="040E0001">
      <w:start w:val="1"/>
      <w:numFmt w:val="bullet"/>
      <w:lvlText w:val=""/>
      <w:lvlJc w:val="left"/>
      <w:pPr>
        <w:ind w:left="2444" w:hanging="360"/>
      </w:pPr>
      <w:rPr>
        <w:rFonts w:ascii="Symbol" w:hAnsi="Symbol" w:hint="default"/>
      </w:rPr>
    </w:lvl>
    <w:lvl w:ilvl="3" w:tplc="1278D1EE">
      <w:numFmt w:val="bullet"/>
      <w:lvlText w:val="-"/>
      <w:lvlJc w:val="left"/>
      <w:pPr>
        <w:ind w:left="3164" w:hanging="360"/>
      </w:pPr>
      <w:rPr>
        <w:rFonts w:ascii="Times New Roman" w:eastAsiaTheme="minorHAnsi" w:hAnsi="Times New Roman" w:cs="Times New Roman"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36">
    <w:nsid w:val="52C2322C"/>
    <w:multiLevelType w:val="hybridMultilevel"/>
    <w:tmpl w:val="66D47482"/>
    <w:lvl w:ilvl="0" w:tplc="607AC56C">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53F946A3"/>
    <w:multiLevelType w:val="hybridMultilevel"/>
    <w:tmpl w:val="95D4883C"/>
    <w:lvl w:ilvl="0" w:tplc="3170F946">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54161A68"/>
    <w:multiLevelType w:val="hybridMultilevel"/>
    <w:tmpl w:val="18EC847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nsid w:val="54B86F51"/>
    <w:multiLevelType w:val="hybridMultilevel"/>
    <w:tmpl w:val="BE3C9156"/>
    <w:lvl w:ilvl="0" w:tplc="FDC61A56">
      <w:start w:val="1"/>
      <w:numFmt w:val="lowerLetter"/>
      <w:lvlText w:val="%1)"/>
      <w:lvlJc w:val="left"/>
      <w:pPr>
        <w:ind w:left="720" w:hanging="360"/>
      </w:pPr>
      <w:rPr>
        <w:rFonts w:hint="default"/>
        <w:i/>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nsid w:val="54F80072"/>
    <w:multiLevelType w:val="hybridMultilevel"/>
    <w:tmpl w:val="A190BF10"/>
    <w:lvl w:ilvl="0" w:tplc="1D28F45A">
      <w:start w:val="1"/>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41">
    <w:nsid w:val="552E12DD"/>
    <w:multiLevelType w:val="hybridMultilevel"/>
    <w:tmpl w:val="50507982"/>
    <w:lvl w:ilvl="0" w:tplc="16BC8DC6">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nsid w:val="5B854844"/>
    <w:multiLevelType w:val="hybridMultilevel"/>
    <w:tmpl w:val="767013BC"/>
    <w:lvl w:ilvl="0" w:tplc="BF7815E0">
      <w:start w:val="3"/>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3">
    <w:nsid w:val="5DE25F6B"/>
    <w:multiLevelType w:val="hybridMultilevel"/>
    <w:tmpl w:val="943094E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nsid w:val="5F2547F8"/>
    <w:multiLevelType w:val="hybridMultilevel"/>
    <w:tmpl w:val="2C88C7C6"/>
    <w:lvl w:ilvl="0" w:tplc="A7D62CE2">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nsid w:val="6193091C"/>
    <w:multiLevelType w:val="hybridMultilevel"/>
    <w:tmpl w:val="3D6CB02C"/>
    <w:lvl w:ilvl="0" w:tplc="89366B0C">
      <w:numFmt w:val="bullet"/>
      <w:lvlText w:val="-"/>
      <w:lvlJc w:val="left"/>
      <w:pPr>
        <w:ind w:left="72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nsid w:val="62A926A0"/>
    <w:multiLevelType w:val="hybridMultilevel"/>
    <w:tmpl w:val="45180D86"/>
    <w:lvl w:ilvl="0" w:tplc="E722CB0C">
      <w:start w:val="1"/>
      <w:numFmt w:val="decimal"/>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47">
    <w:nsid w:val="640F55AC"/>
    <w:multiLevelType w:val="hybridMultilevel"/>
    <w:tmpl w:val="E4785FB6"/>
    <w:lvl w:ilvl="0" w:tplc="4294975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nsid w:val="64D50681"/>
    <w:multiLevelType w:val="hybridMultilevel"/>
    <w:tmpl w:val="7F86C5B0"/>
    <w:lvl w:ilvl="0" w:tplc="27C40B86">
      <w:start w:val="1"/>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49">
    <w:nsid w:val="67196AEE"/>
    <w:multiLevelType w:val="hybridMultilevel"/>
    <w:tmpl w:val="4EEE792E"/>
    <w:lvl w:ilvl="0" w:tplc="7FF2D8B8">
      <w:start w:val="1"/>
      <w:numFmt w:val="lowerLetter"/>
      <w:lvlText w:val="%1)"/>
      <w:lvlJc w:val="left"/>
      <w:pPr>
        <w:ind w:left="720" w:hanging="360"/>
      </w:pPr>
      <w:rPr>
        <w:rFonts w:ascii="Times New Roman" w:eastAsia="Calibri"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nsid w:val="6A0060BC"/>
    <w:multiLevelType w:val="hybridMultilevel"/>
    <w:tmpl w:val="C7883BA2"/>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nsid w:val="6E044C19"/>
    <w:multiLevelType w:val="hybridMultilevel"/>
    <w:tmpl w:val="E0666E3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nsid w:val="6FA970B5"/>
    <w:multiLevelType w:val="hybridMultilevel"/>
    <w:tmpl w:val="E2822D0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nsid w:val="711B7A4D"/>
    <w:multiLevelType w:val="hybridMultilevel"/>
    <w:tmpl w:val="11F2E90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nsid w:val="77610588"/>
    <w:multiLevelType w:val="hybridMultilevel"/>
    <w:tmpl w:val="49FA6070"/>
    <w:lvl w:ilvl="0" w:tplc="2594F29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nsid w:val="7D366475"/>
    <w:multiLevelType w:val="hybridMultilevel"/>
    <w:tmpl w:val="B8AAF768"/>
    <w:lvl w:ilvl="0" w:tplc="040E0001">
      <w:start w:val="1"/>
      <w:numFmt w:val="bullet"/>
      <w:lvlText w:val=""/>
      <w:lvlJc w:val="left"/>
      <w:pPr>
        <w:ind w:left="1004" w:hanging="360"/>
      </w:pPr>
      <w:rPr>
        <w:rFonts w:ascii="Symbol" w:hAnsi="Symbol" w:hint="default"/>
      </w:rPr>
    </w:lvl>
    <w:lvl w:ilvl="1" w:tplc="040E0015">
      <w:start w:val="1"/>
      <w:numFmt w:val="upperLetter"/>
      <w:lvlText w:val="%2."/>
      <w:lvlJc w:val="left"/>
      <w:pPr>
        <w:ind w:left="1724" w:hanging="360"/>
      </w:pPr>
      <w:rPr>
        <w:rFonts w:hint="default"/>
      </w:rPr>
    </w:lvl>
    <w:lvl w:ilvl="2" w:tplc="040E0001">
      <w:start w:val="1"/>
      <w:numFmt w:val="bullet"/>
      <w:lvlText w:val=""/>
      <w:lvlJc w:val="left"/>
      <w:pPr>
        <w:ind w:left="2444" w:hanging="360"/>
      </w:pPr>
      <w:rPr>
        <w:rFonts w:ascii="Symbol" w:hAnsi="Symbol" w:hint="default"/>
      </w:rPr>
    </w:lvl>
    <w:lvl w:ilvl="3" w:tplc="040E0003">
      <w:start w:val="1"/>
      <w:numFmt w:val="bullet"/>
      <w:lvlText w:val="o"/>
      <w:lvlJc w:val="left"/>
      <w:pPr>
        <w:ind w:left="3164" w:hanging="360"/>
      </w:pPr>
      <w:rPr>
        <w:rFonts w:ascii="Courier New" w:hAnsi="Courier New" w:cs="Courier New"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56">
    <w:nsid w:val="7FB81426"/>
    <w:multiLevelType w:val="hybridMultilevel"/>
    <w:tmpl w:val="692C4330"/>
    <w:lvl w:ilvl="0" w:tplc="155CD2C0">
      <w:start w:val="1"/>
      <w:numFmt w:val="bullet"/>
      <w:lvlText w:val="•"/>
      <w:lvlJc w:val="left"/>
      <w:pPr>
        <w:tabs>
          <w:tab w:val="num" w:pos="720"/>
        </w:tabs>
        <w:ind w:left="720" w:hanging="360"/>
      </w:pPr>
      <w:rPr>
        <w:rFonts w:ascii="Arial" w:hAnsi="Arial" w:cs="Times New Roman" w:hint="default"/>
      </w:rPr>
    </w:lvl>
    <w:lvl w:ilvl="1" w:tplc="A5820EA8">
      <w:start w:val="243"/>
      <w:numFmt w:val="bullet"/>
      <w:lvlText w:val="•"/>
      <w:lvlJc w:val="left"/>
      <w:pPr>
        <w:tabs>
          <w:tab w:val="num" w:pos="1440"/>
        </w:tabs>
        <w:ind w:left="1440" w:hanging="360"/>
      </w:pPr>
      <w:rPr>
        <w:rFonts w:ascii="Arial" w:hAnsi="Arial" w:cs="Times New Roman" w:hint="default"/>
      </w:rPr>
    </w:lvl>
    <w:lvl w:ilvl="2" w:tplc="A656B96A">
      <w:start w:val="1"/>
      <w:numFmt w:val="bullet"/>
      <w:lvlText w:val="•"/>
      <w:lvlJc w:val="left"/>
      <w:pPr>
        <w:tabs>
          <w:tab w:val="num" w:pos="2160"/>
        </w:tabs>
        <w:ind w:left="2160" w:hanging="360"/>
      </w:pPr>
      <w:rPr>
        <w:rFonts w:ascii="Arial" w:hAnsi="Arial" w:cs="Times New Roman" w:hint="default"/>
      </w:rPr>
    </w:lvl>
    <w:lvl w:ilvl="3" w:tplc="B998A3B0">
      <w:start w:val="1"/>
      <w:numFmt w:val="bullet"/>
      <w:lvlText w:val="•"/>
      <w:lvlJc w:val="left"/>
      <w:pPr>
        <w:tabs>
          <w:tab w:val="num" w:pos="2880"/>
        </w:tabs>
        <w:ind w:left="2880" w:hanging="360"/>
      </w:pPr>
      <w:rPr>
        <w:rFonts w:ascii="Arial" w:hAnsi="Arial" w:cs="Times New Roman" w:hint="default"/>
      </w:rPr>
    </w:lvl>
    <w:lvl w:ilvl="4" w:tplc="35020F16">
      <w:start w:val="1"/>
      <w:numFmt w:val="bullet"/>
      <w:lvlText w:val="•"/>
      <w:lvlJc w:val="left"/>
      <w:pPr>
        <w:tabs>
          <w:tab w:val="num" w:pos="3600"/>
        </w:tabs>
        <w:ind w:left="3600" w:hanging="360"/>
      </w:pPr>
      <w:rPr>
        <w:rFonts w:ascii="Arial" w:hAnsi="Arial" w:cs="Times New Roman" w:hint="default"/>
      </w:rPr>
    </w:lvl>
    <w:lvl w:ilvl="5" w:tplc="FE9E8A36">
      <w:start w:val="1"/>
      <w:numFmt w:val="bullet"/>
      <w:lvlText w:val="•"/>
      <w:lvlJc w:val="left"/>
      <w:pPr>
        <w:tabs>
          <w:tab w:val="num" w:pos="4320"/>
        </w:tabs>
        <w:ind w:left="4320" w:hanging="360"/>
      </w:pPr>
      <w:rPr>
        <w:rFonts w:ascii="Arial" w:hAnsi="Arial" w:cs="Times New Roman" w:hint="default"/>
      </w:rPr>
    </w:lvl>
    <w:lvl w:ilvl="6" w:tplc="B8842322">
      <w:start w:val="1"/>
      <w:numFmt w:val="bullet"/>
      <w:lvlText w:val="•"/>
      <w:lvlJc w:val="left"/>
      <w:pPr>
        <w:tabs>
          <w:tab w:val="num" w:pos="5040"/>
        </w:tabs>
        <w:ind w:left="5040" w:hanging="360"/>
      </w:pPr>
      <w:rPr>
        <w:rFonts w:ascii="Arial" w:hAnsi="Arial" w:cs="Times New Roman" w:hint="default"/>
      </w:rPr>
    </w:lvl>
    <w:lvl w:ilvl="7" w:tplc="565A2A32">
      <w:start w:val="1"/>
      <w:numFmt w:val="bullet"/>
      <w:lvlText w:val="•"/>
      <w:lvlJc w:val="left"/>
      <w:pPr>
        <w:tabs>
          <w:tab w:val="num" w:pos="5760"/>
        </w:tabs>
        <w:ind w:left="5760" w:hanging="360"/>
      </w:pPr>
      <w:rPr>
        <w:rFonts w:ascii="Arial" w:hAnsi="Arial" w:cs="Times New Roman" w:hint="default"/>
      </w:rPr>
    </w:lvl>
    <w:lvl w:ilvl="8" w:tplc="14321904">
      <w:start w:val="1"/>
      <w:numFmt w:val="bullet"/>
      <w:lvlText w:val="•"/>
      <w:lvlJc w:val="left"/>
      <w:pPr>
        <w:tabs>
          <w:tab w:val="num" w:pos="6480"/>
        </w:tabs>
        <w:ind w:left="6480" w:hanging="360"/>
      </w:pPr>
      <w:rPr>
        <w:rFonts w:ascii="Arial" w:hAnsi="Arial" w:cs="Times New Roman" w:hint="default"/>
      </w:rPr>
    </w:lvl>
  </w:abstractNum>
  <w:num w:numId="1">
    <w:abstractNumId w:val="0"/>
  </w:num>
  <w:num w:numId="2">
    <w:abstractNumId w:val="37"/>
  </w:num>
  <w:num w:numId="3">
    <w:abstractNumId w:val="14"/>
  </w:num>
  <w:num w:numId="4">
    <w:abstractNumId w:val="7"/>
  </w:num>
  <w:num w:numId="5">
    <w:abstractNumId w:val="53"/>
  </w:num>
  <w:num w:numId="6">
    <w:abstractNumId w:val="38"/>
  </w:num>
  <w:num w:numId="7">
    <w:abstractNumId w:val="6"/>
  </w:num>
  <w:num w:numId="8">
    <w:abstractNumId w:val="13"/>
  </w:num>
  <w:num w:numId="9">
    <w:abstractNumId w:val="39"/>
  </w:num>
  <w:num w:numId="10">
    <w:abstractNumId w:val="41"/>
  </w:num>
  <w:num w:numId="11">
    <w:abstractNumId w:val="28"/>
  </w:num>
  <w:num w:numId="12">
    <w:abstractNumId w:val="49"/>
  </w:num>
  <w:num w:numId="13">
    <w:abstractNumId w:val="51"/>
  </w:num>
  <w:num w:numId="14">
    <w:abstractNumId w:val="21"/>
  </w:num>
  <w:num w:numId="15">
    <w:abstractNumId w:val="30"/>
  </w:num>
  <w:num w:numId="16">
    <w:abstractNumId w:val="11"/>
  </w:num>
  <w:num w:numId="17">
    <w:abstractNumId w:val="36"/>
  </w:num>
  <w:num w:numId="18">
    <w:abstractNumId w:val="26"/>
  </w:num>
  <w:num w:numId="19">
    <w:abstractNumId w:val="12"/>
  </w:num>
  <w:num w:numId="20">
    <w:abstractNumId w:val="56"/>
  </w:num>
  <w:num w:numId="21">
    <w:abstractNumId w:val="52"/>
  </w:num>
  <w:num w:numId="22">
    <w:abstractNumId w:val="55"/>
  </w:num>
  <w:num w:numId="23">
    <w:abstractNumId w:val="29"/>
  </w:num>
  <w:num w:numId="24">
    <w:abstractNumId w:val="2"/>
  </w:num>
  <w:num w:numId="25">
    <w:abstractNumId w:val="46"/>
  </w:num>
  <w:num w:numId="26">
    <w:abstractNumId w:val="25"/>
  </w:num>
  <w:num w:numId="27">
    <w:abstractNumId w:val="15"/>
  </w:num>
  <w:num w:numId="28">
    <w:abstractNumId w:val="35"/>
  </w:num>
  <w:num w:numId="29">
    <w:abstractNumId w:val="34"/>
  </w:num>
  <w:num w:numId="30">
    <w:abstractNumId w:val="16"/>
  </w:num>
  <w:num w:numId="31">
    <w:abstractNumId w:val="23"/>
  </w:num>
  <w:num w:numId="32">
    <w:abstractNumId w:val="10"/>
  </w:num>
  <w:num w:numId="33">
    <w:abstractNumId w:val="5"/>
  </w:num>
  <w:num w:numId="34">
    <w:abstractNumId w:val="50"/>
  </w:num>
  <w:num w:numId="35">
    <w:abstractNumId w:val="19"/>
  </w:num>
  <w:num w:numId="36">
    <w:abstractNumId w:val="43"/>
  </w:num>
  <w:num w:numId="37">
    <w:abstractNumId w:val="24"/>
  </w:num>
  <w:num w:numId="38">
    <w:abstractNumId w:val="4"/>
  </w:num>
  <w:num w:numId="39">
    <w:abstractNumId w:val="8"/>
  </w:num>
  <w:num w:numId="40">
    <w:abstractNumId w:val="33"/>
  </w:num>
  <w:num w:numId="41">
    <w:abstractNumId w:val="17"/>
  </w:num>
  <w:num w:numId="42">
    <w:abstractNumId w:val="54"/>
  </w:num>
  <w:num w:numId="43">
    <w:abstractNumId w:val="32"/>
  </w:num>
  <w:num w:numId="44">
    <w:abstractNumId w:val="18"/>
  </w:num>
  <w:num w:numId="45">
    <w:abstractNumId w:val="31"/>
  </w:num>
  <w:num w:numId="46">
    <w:abstractNumId w:val="42"/>
  </w:num>
  <w:num w:numId="47">
    <w:abstractNumId w:val="22"/>
  </w:num>
  <w:num w:numId="48">
    <w:abstractNumId w:val="47"/>
  </w:num>
  <w:num w:numId="49">
    <w:abstractNumId w:val="20"/>
  </w:num>
  <w:num w:numId="50">
    <w:abstractNumId w:val="3"/>
  </w:num>
  <w:num w:numId="51">
    <w:abstractNumId w:val="45"/>
  </w:num>
  <w:num w:numId="52">
    <w:abstractNumId w:val="44"/>
  </w:num>
  <w:num w:numId="53">
    <w:abstractNumId w:val="48"/>
  </w:num>
  <w:num w:numId="54">
    <w:abstractNumId w:val="9"/>
  </w:num>
  <w:num w:numId="55">
    <w:abstractNumId w:val="1"/>
  </w:num>
  <w:num w:numId="56">
    <w:abstractNumId w:val="40"/>
  </w:num>
  <w:num w:numId="57">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isplayHorizontalDrawingGridEvery w:val="2"/>
  <w:characterSpacingControl w:val="doNotCompress"/>
  <w:hdrShapeDefaults>
    <o:shapedefaults v:ext="edit" spidmax="6145"/>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C4F"/>
    <w:rsid w:val="00001734"/>
    <w:rsid w:val="000018EB"/>
    <w:rsid w:val="000025FE"/>
    <w:rsid w:val="00003492"/>
    <w:rsid w:val="00003B2A"/>
    <w:rsid w:val="00004008"/>
    <w:rsid w:val="0000455E"/>
    <w:rsid w:val="0000500B"/>
    <w:rsid w:val="00005099"/>
    <w:rsid w:val="00005223"/>
    <w:rsid w:val="00005607"/>
    <w:rsid w:val="00005BA4"/>
    <w:rsid w:val="00007615"/>
    <w:rsid w:val="000077B3"/>
    <w:rsid w:val="00011BDB"/>
    <w:rsid w:val="00013E4F"/>
    <w:rsid w:val="00014BFC"/>
    <w:rsid w:val="0001679C"/>
    <w:rsid w:val="0001776F"/>
    <w:rsid w:val="000204D1"/>
    <w:rsid w:val="00021D4A"/>
    <w:rsid w:val="000220F7"/>
    <w:rsid w:val="00022466"/>
    <w:rsid w:val="00022D9E"/>
    <w:rsid w:val="000251AD"/>
    <w:rsid w:val="00025649"/>
    <w:rsid w:val="00025BAE"/>
    <w:rsid w:val="00025F54"/>
    <w:rsid w:val="00026267"/>
    <w:rsid w:val="00027582"/>
    <w:rsid w:val="0003010B"/>
    <w:rsid w:val="00030C3E"/>
    <w:rsid w:val="00030C8E"/>
    <w:rsid w:val="00031562"/>
    <w:rsid w:val="00033D2A"/>
    <w:rsid w:val="00034634"/>
    <w:rsid w:val="00036C04"/>
    <w:rsid w:val="00036D14"/>
    <w:rsid w:val="00037664"/>
    <w:rsid w:val="00037A82"/>
    <w:rsid w:val="00037DC4"/>
    <w:rsid w:val="00040430"/>
    <w:rsid w:val="00041469"/>
    <w:rsid w:val="00041FCC"/>
    <w:rsid w:val="00042265"/>
    <w:rsid w:val="000434E1"/>
    <w:rsid w:val="000439EB"/>
    <w:rsid w:val="00044AE7"/>
    <w:rsid w:val="000477B7"/>
    <w:rsid w:val="0005065B"/>
    <w:rsid w:val="00052934"/>
    <w:rsid w:val="00052A46"/>
    <w:rsid w:val="0005378A"/>
    <w:rsid w:val="00053E13"/>
    <w:rsid w:val="00057C00"/>
    <w:rsid w:val="000601EE"/>
    <w:rsid w:val="00060E94"/>
    <w:rsid w:val="00061D37"/>
    <w:rsid w:val="00063587"/>
    <w:rsid w:val="00063976"/>
    <w:rsid w:val="00067F6D"/>
    <w:rsid w:val="00067F79"/>
    <w:rsid w:val="000701FB"/>
    <w:rsid w:val="00070C1A"/>
    <w:rsid w:val="000748E7"/>
    <w:rsid w:val="00074BC8"/>
    <w:rsid w:val="0007564D"/>
    <w:rsid w:val="00076626"/>
    <w:rsid w:val="000767FC"/>
    <w:rsid w:val="00077CF7"/>
    <w:rsid w:val="00081927"/>
    <w:rsid w:val="00081A06"/>
    <w:rsid w:val="00082666"/>
    <w:rsid w:val="00083CA9"/>
    <w:rsid w:val="00083E4E"/>
    <w:rsid w:val="00084421"/>
    <w:rsid w:val="00085B41"/>
    <w:rsid w:val="00086456"/>
    <w:rsid w:val="00086C1A"/>
    <w:rsid w:val="00086F7A"/>
    <w:rsid w:val="00087C5B"/>
    <w:rsid w:val="000911EF"/>
    <w:rsid w:val="00091523"/>
    <w:rsid w:val="00091691"/>
    <w:rsid w:val="00093F20"/>
    <w:rsid w:val="00096036"/>
    <w:rsid w:val="00097EFF"/>
    <w:rsid w:val="000A0140"/>
    <w:rsid w:val="000A0D0C"/>
    <w:rsid w:val="000A0D6C"/>
    <w:rsid w:val="000A339F"/>
    <w:rsid w:val="000A36E3"/>
    <w:rsid w:val="000A3E8E"/>
    <w:rsid w:val="000A5F68"/>
    <w:rsid w:val="000A7D46"/>
    <w:rsid w:val="000B1A9E"/>
    <w:rsid w:val="000B1E88"/>
    <w:rsid w:val="000B28F1"/>
    <w:rsid w:val="000B36C1"/>
    <w:rsid w:val="000B4295"/>
    <w:rsid w:val="000B6EEB"/>
    <w:rsid w:val="000C14DB"/>
    <w:rsid w:val="000C239F"/>
    <w:rsid w:val="000C68A1"/>
    <w:rsid w:val="000D0CBA"/>
    <w:rsid w:val="000D1245"/>
    <w:rsid w:val="000D1C42"/>
    <w:rsid w:val="000D2977"/>
    <w:rsid w:val="000D3FC7"/>
    <w:rsid w:val="000D4AF9"/>
    <w:rsid w:val="000D6D8B"/>
    <w:rsid w:val="000E0155"/>
    <w:rsid w:val="000E03ED"/>
    <w:rsid w:val="000E0B67"/>
    <w:rsid w:val="000E1BBB"/>
    <w:rsid w:val="000E1D19"/>
    <w:rsid w:val="000E2607"/>
    <w:rsid w:val="000E3D72"/>
    <w:rsid w:val="000E426D"/>
    <w:rsid w:val="000E6D9F"/>
    <w:rsid w:val="000E77C6"/>
    <w:rsid w:val="000F0C17"/>
    <w:rsid w:val="000F1BDB"/>
    <w:rsid w:val="000F21EB"/>
    <w:rsid w:val="000F26FF"/>
    <w:rsid w:val="000F2835"/>
    <w:rsid w:val="000F293F"/>
    <w:rsid w:val="000F3148"/>
    <w:rsid w:val="000F35EE"/>
    <w:rsid w:val="000F5A10"/>
    <w:rsid w:val="000F6399"/>
    <w:rsid w:val="000F789E"/>
    <w:rsid w:val="00100E19"/>
    <w:rsid w:val="00101196"/>
    <w:rsid w:val="00101825"/>
    <w:rsid w:val="00101A71"/>
    <w:rsid w:val="00102591"/>
    <w:rsid w:val="00105368"/>
    <w:rsid w:val="00105442"/>
    <w:rsid w:val="0010573A"/>
    <w:rsid w:val="00105A4D"/>
    <w:rsid w:val="00106F62"/>
    <w:rsid w:val="0010705A"/>
    <w:rsid w:val="001070DE"/>
    <w:rsid w:val="0011146D"/>
    <w:rsid w:val="0011488B"/>
    <w:rsid w:val="00115125"/>
    <w:rsid w:val="00115E21"/>
    <w:rsid w:val="0011614B"/>
    <w:rsid w:val="001242D4"/>
    <w:rsid w:val="00124F42"/>
    <w:rsid w:val="001262C7"/>
    <w:rsid w:val="00130E91"/>
    <w:rsid w:val="0013166D"/>
    <w:rsid w:val="001319A9"/>
    <w:rsid w:val="00132C3D"/>
    <w:rsid w:val="00132D0C"/>
    <w:rsid w:val="00134D7C"/>
    <w:rsid w:val="00134E8A"/>
    <w:rsid w:val="00136CD2"/>
    <w:rsid w:val="00136F1A"/>
    <w:rsid w:val="00141A72"/>
    <w:rsid w:val="00141B3C"/>
    <w:rsid w:val="00141BBA"/>
    <w:rsid w:val="0014246A"/>
    <w:rsid w:val="0014467E"/>
    <w:rsid w:val="00144AC0"/>
    <w:rsid w:val="00145AE5"/>
    <w:rsid w:val="00146609"/>
    <w:rsid w:val="00146C4F"/>
    <w:rsid w:val="0014750B"/>
    <w:rsid w:val="00150748"/>
    <w:rsid w:val="00151B87"/>
    <w:rsid w:val="00152530"/>
    <w:rsid w:val="00152F96"/>
    <w:rsid w:val="00153694"/>
    <w:rsid w:val="00153B28"/>
    <w:rsid w:val="00154D37"/>
    <w:rsid w:val="001550D8"/>
    <w:rsid w:val="001555BD"/>
    <w:rsid w:val="00155D74"/>
    <w:rsid w:val="0016066E"/>
    <w:rsid w:val="00161233"/>
    <w:rsid w:val="0016173A"/>
    <w:rsid w:val="00163D44"/>
    <w:rsid w:val="00164FDE"/>
    <w:rsid w:val="00166B2B"/>
    <w:rsid w:val="001726CB"/>
    <w:rsid w:val="0017288F"/>
    <w:rsid w:val="001731E7"/>
    <w:rsid w:val="001733D0"/>
    <w:rsid w:val="00173EB3"/>
    <w:rsid w:val="00175AE7"/>
    <w:rsid w:val="00175BC0"/>
    <w:rsid w:val="00175F85"/>
    <w:rsid w:val="00177C4E"/>
    <w:rsid w:val="0018146D"/>
    <w:rsid w:val="00181C0B"/>
    <w:rsid w:val="00183579"/>
    <w:rsid w:val="0018475E"/>
    <w:rsid w:val="001859EB"/>
    <w:rsid w:val="00185F2F"/>
    <w:rsid w:val="0018605A"/>
    <w:rsid w:val="001866FD"/>
    <w:rsid w:val="00186D2C"/>
    <w:rsid w:val="00186D91"/>
    <w:rsid w:val="001870EC"/>
    <w:rsid w:val="001875CB"/>
    <w:rsid w:val="00187C14"/>
    <w:rsid w:val="00190FAC"/>
    <w:rsid w:val="00192353"/>
    <w:rsid w:val="00193DCC"/>
    <w:rsid w:val="001941D3"/>
    <w:rsid w:val="0019746D"/>
    <w:rsid w:val="001975FA"/>
    <w:rsid w:val="001A0857"/>
    <w:rsid w:val="001A2873"/>
    <w:rsid w:val="001A2B02"/>
    <w:rsid w:val="001A39C3"/>
    <w:rsid w:val="001A635C"/>
    <w:rsid w:val="001B0E10"/>
    <w:rsid w:val="001B1E45"/>
    <w:rsid w:val="001B26F2"/>
    <w:rsid w:val="001B2A19"/>
    <w:rsid w:val="001B2B91"/>
    <w:rsid w:val="001B34F3"/>
    <w:rsid w:val="001B480C"/>
    <w:rsid w:val="001B516B"/>
    <w:rsid w:val="001B53A0"/>
    <w:rsid w:val="001B7CFD"/>
    <w:rsid w:val="001C1149"/>
    <w:rsid w:val="001C2137"/>
    <w:rsid w:val="001C57DE"/>
    <w:rsid w:val="001C5D0F"/>
    <w:rsid w:val="001C5F87"/>
    <w:rsid w:val="001C6570"/>
    <w:rsid w:val="001C7218"/>
    <w:rsid w:val="001D11DC"/>
    <w:rsid w:val="001D15E2"/>
    <w:rsid w:val="001D2872"/>
    <w:rsid w:val="001D32AD"/>
    <w:rsid w:val="001D6239"/>
    <w:rsid w:val="001D7B3D"/>
    <w:rsid w:val="001E1D08"/>
    <w:rsid w:val="001E259E"/>
    <w:rsid w:val="001E3296"/>
    <w:rsid w:val="001E5449"/>
    <w:rsid w:val="001E6E74"/>
    <w:rsid w:val="001E77B8"/>
    <w:rsid w:val="001F025D"/>
    <w:rsid w:val="001F0A54"/>
    <w:rsid w:val="001F134F"/>
    <w:rsid w:val="001F1A97"/>
    <w:rsid w:val="001F1D25"/>
    <w:rsid w:val="001F2F45"/>
    <w:rsid w:val="001F3A97"/>
    <w:rsid w:val="001F51A0"/>
    <w:rsid w:val="001F5519"/>
    <w:rsid w:val="001F5715"/>
    <w:rsid w:val="001F7317"/>
    <w:rsid w:val="001F73B4"/>
    <w:rsid w:val="001F7D6A"/>
    <w:rsid w:val="002010F7"/>
    <w:rsid w:val="002023B0"/>
    <w:rsid w:val="00202F9A"/>
    <w:rsid w:val="002030AB"/>
    <w:rsid w:val="00203791"/>
    <w:rsid w:val="0020655F"/>
    <w:rsid w:val="00206DCD"/>
    <w:rsid w:val="002073E6"/>
    <w:rsid w:val="00210B7F"/>
    <w:rsid w:val="00211539"/>
    <w:rsid w:val="0021161B"/>
    <w:rsid w:val="00211BC3"/>
    <w:rsid w:val="00211D2F"/>
    <w:rsid w:val="00212335"/>
    <w:rsid w:val="002125C2"/>
    <w:rsid w:val="00212ACD"/>
    <w:rsid w:val="00212BE3"/>
    <w:rsid w:val="00213457"/>
    <w:rsid w:val="00213E05"/>
    <w:rsid w:val="00214768"/>
    <w:rsid w:val="002149B5"/>
    <w:rsid w:val="00214A02"/>
    <w:rsid w:val="00214B8E"/>
    <w:rsid w:val="00214EF9"/>
    <w:rsid w:val="00215588"/>
    <w:rsid w:val="00215824"/>
    <w:rsid w:val="00215C33"/>
    <w:rsid w:val="002169DE"/>
    <w:rsid w:val="00216BC0"/>
    <w:rsid w:val="00216F59"/>
    <w:rsid w:val="00217DA4"/>
    <w:rsid w:val="00220E65"/>
    <w:rsid w:val="002212EB"/>
    <w:rsid w:val="002221B4"/>
    <w:rsid w:val="00222E88"/>
    <w:rsid w:val="00222F0D"/>
    <w:rsid w:val="00223FA1"/>
    <w:rsid w:val="002246F6"/>
    <w:rsid w:val="0022480D"/>
    <w:rsid w:val="00224907"/>
    <w:rsid w:val="0022527F"/>
    <w:rsid w:val="002252D8"/>
    <w:rsid w:val="00225CE5"/>
    <w:rsid w:val="0022627B"/>
    <w:rsid w:val="00226C3B"/>
    <w:rsid w:val="00226F5A"/>
    <w:rsid w:val="00226FC9"/>
    <w:rsid w:val="00227149"/>
    <w:rsid w:val="002275C4"/>
    <w:rsid w:val="002276A3"/>
    <w:rsid w:val="002278B5"/>
    <w:rsid w:val="00227E33"/>
    <w:rsid w:val="00227F34"/>
    <w:rsid w:val="0023004D"/>
    <w:rsid w:val="00230B11"/>
    <w:rsid w:val="00233BBD"/>
    <w:rsid w:val="00233FB6"/>
    <w:rsid w:val="00234DAE"/>
    <w:rsid w:val="00235E18"/>
    <w:rsid w:val="00236666"/>
    <w:rsid w:val="002366C2"/>
    <w:rsid w:val="0023719F"/>
    <w:rsid w:val="002371FB"/>
    <w:rsid w:val="002373EA"/>
    <w:rsid w:val="0024176D"/>
    <w:rsid w:val="002422E4"/>
    <w:rsid w:val="002424C0"/>
    <w:rsid w:val="00242BEE"/>
    <w:rsid w:val="00245247"/>
    <w:rsid w:val="00246989"/>
    <w:rsid w:val="002474EB"/>
    <w:rsid w:val="00251E4F"/>
    <w:rsid w:val="00252B8D"/>
    <w:rsid w:val="00252E20"/>
    <w:rsid w:val="00253B69"/>
    <w:rsid w:val="00253E74"/>
    <w:rsid w:val="00254E98"/>
    <w:rsid w:val="0025781F"/>
    <w:rsid w:val="002578FC"/>
    <w:rsid w:val="00260129"/>
    <w:rsid w:val="00260F2B"/>
    <w:rsid w:val="00261C8C"/>
    <w:rsid w:val="00263725"/>
    <w:rsid w:val="00263888"/>
    <w:rsid w:val="00264058"/>
    <w:rsid w:val="00264E70"/>
    <w:rsid w:val="002660CD"/>
    <w:rsid w:val="002662B4"/>
    <w:rsid w:val="00266C56"/>
    <w:rsid w:val="00267149"/>
    <w:rsid w:val="00267757"/>
    <w:rsid w:val="00267924"/>
    <w:rsid w:val="0027404F"/>
    <w:rsid w:val="00274944"/>
    <w:rsid w:val="00274DFA"/>
    <w:rsid w:val="00276176"/>
    <w:rsid w:val="0027663D"/>
    <w:rsid w:val="0027728A"/>
    <w:rsid w:val="00277925"/>
    <w:rsid w:val="00280650"/>
    <w:rsid w:val="00280C24"/>
    <w:rsid w:val="0028345C"/>
    <w:rsid w:val="00284211"/>
    <w:rsid w:val="0028436E"/>
    <w:rsid w:val="0028549A"/>
    <w:rsid w:val="00285788"/>
    <w:rsid w:val="002857B5"/>
    <w:rsid w:val="00286606"/>
    <w:rsid w:val="002878B1"/>
    <w:rsid w:val="00287AE1"/>
    <w:rsid w:val="00287C04"/>
    <w:rsid w:val="00292116"/>
    <w:rsid w:val="002959F0"/>
    <w:rsid w:val="00296BDB"/>
    <w:rsid w:val="002A0514"/>
    <w:rsid w:val="002A087B"/>
    <w:rsid w:val="002A0CC8"/>
    <w:rsid w:val="002A13E9"/>
    <w:rsid w:val="002A4869"/>
    <w:rsid w:val="002A6DB8"/>
    <w:rsid w:val="002B0384"/>
    <w:rsid w:val="002B15E0"/>
    <w:rsid w:val="002B20AA"/>
    <w:rsid w:val="002B2273"/>
    <w:rsid w:val="002B3328"/>
    <w:rsid w:val="002B349F"/>
    <w:rsid w:val="002B3760"/>
    <w:rsid w:val="002B3E9C"/>
    <w:rsid w:val="002B58AE"/>
    <w:rsid w:val="002B6E5F"/>
    <w:rsid w:val="002C04C8"/>
    <w:rsid w:val="002C0701"/>
    <w:rsid w:val="002C1B15"/>
    <w:rsid w:val="002C217C"/>
    <w:rsid w:val="002C35A9"/>
    <w:rsid w:val="002C4097"/>
    <w:rsid w:val="002C4F6F"/>
    <w:rsid w:val="002C5EF8"/>
    <w:rsid w:val="002C6D4B"/>
    <w:rsid w:val="002C71D2"/>
    <w:rsid w:val="002D0E25"/>
    <w:rsid w:val="002D288C"/>
    <w:rsid w:val="002D2978"/>
    <w:rsid w:val="002D2ECE"/>
    <w:rsid w:val="002D30E3"/>
    <w:rsid w:val="002D39B8"/>
    <w:rsid w:val="002D4013"/>
    <w:rsid w:val="002D7957"/>
    <w:rsid w:val="002E14B8"/>
    <w:rsid w:val="002E1755"/>
    <w:rsid w:val="002E349B"/>
    <w:rsid w:val="002E3D60"/>
    <w:rsid w:val="002E3DC9"/>
    <w:rsid w:val="002E4930"/>
    <w:rsid w:val="002E5373"/>
    <w:rsid w:val="002E5553"/>
    <w:rsid w:val="002E5CF8"/>
    <w:rsid w:val="002E623B"/>
    <w:rsid w:val="002E6298"/>
    <w:rsid w:val="002E65BA"/>
    <w:rsid w:val="002E741E"/>
    <w:rsid w:val="002E76D8"/>
    <w:rsid w:val="002E793A"/>
    <w:rsid w:val="002F05BE"/>
    <w:rsid w:val="002F07BB"/>
    <w:rsid w:val="002F2587"/>
    <w:rsid w:val="002F2D51"/>
    <w:rsid w:val="002F3008"/>
    <w:rsid w:val="002F4316"/>
    <w:rsid w:val="002F4541"/>
    <w:rsid w:val="002F4D09"/>
    <w:rsid w:val="002F5DF3"/>
    <w:rsid w:val="002F636C"/>
    <w:rsid w:val="002F7BD9"/>
    <w:rsid w:val="00301115"/>
    <w:rsid w:val="003015E7"/>
    <w:rsid w:val="00305DAE"/>
    <w:rsid w:val="00306529"/>
    <w:rsid w:val="00306CA3"/>
    <w:rsid w:val="003117AF"/>
    <w:rsid w:val="003129D0"/>
    <w:rsid w:val="003136C4"/>
    <w:rsid w:val="0031427E"/>
    <w:rsid w:val="003149B4"/>
    <w:rsid w:val="003161BF"/>
    <w:rsid w:val="0031730A"/>
    <w:rsid w:val="003200A0"/>
    <w:rsid w:val="00320D1D"/>
    <w:rsid w:val="00323084"/>
    <w:rsid w:val="00325218"/>
    <w:rsid w:val="00326CF8"/>
    <w:rsid w:val="00326F5A"/>
    <w:rsid w:val="003301AF"/>
    <w:rsid w:val="00331A0A"/>
    <w:rsid w:val="003333CF"/>
    <w:rsid w:val="00333F88"/>
    <w:rsid w:val="00334614"/>
    <w:rsid w:val="00335388"/>
    <w:rsid w:val="00335C58"/>
    <w:rsid w:val="003360E9"/>
    <w:rsid w:val="003366DB"/>
    <w:rsid w:val="00336EB2"/>
    <w:rsid w:val="003401BD"/>
    <w:rsid w:val="00340786"/>
    <w:rsid w:val="003409C4"/>
    <w:rsid w:val="003409ED"/>
    <w:rsid w:val="003411D9"/>
    <w:rsid w:val="00341394"/>
    <w:rsid w:val="00341C30"/>
    <w:rsid w:val="0034257F"/>
    <w:rsid w:val="00342C9B"/>
    <w:rsid w:val="00343D77"/>
    <w:rsid w:val="00345B67"/>
    <w:rsid w:val="00346FDD"/>
    <w:rsid w:val="00347641"/>
    <w:rsid w:val="003508F8"/>
    <w:rsid w:val="00350C28"/>
    <w:rsid w:val="00351B3F"/>
    <w:rsid w:val="00352B7C"/>
    <w:rsid w:val="003539B4"/>
    <w:rsid w:val="0035506F"/>
    <w:rsid w:val="00356539"/>
    <w:rsid w:val="003578B6"/>
    <w:rsid w:val="00357E96"/>
    <w:rsid w:val="00360AD7"/>
    <w:rsid w:val="00360D43"/>
    <w:rsid w:val="00366B07"/>
    <w:rsid w:val="003673F4"/>
    <w:rsid w:val="003678AC"/>
    <w:rsid w:val="00373451"/>
    <w:rsid w:val="0037393C"/>
    <w:rsid w:val="003758D5"/>
    <w:rsid w:val="00376747"/>
    <w:rsid w:val="003779CB"/>
    <w:rsid w:val="00380F30"/>
    <w:rsid w:val="00381873"/>
    <w:rsid w:val="00381E6F"/>
    <w:rsid w:val="0038257F"/>
    <w:rsid w:val="00384149"/>
    <w:rsid w:val="00385359"/>
    <w:rsid w:val="00385D51"/>
    <w:rsid w:val="00387EC6"/>
    <w:rsid w:val="00387F16"/>
    <w:rsid w:val="00387F37"/>
    <w:rsid w:val="00390264"/>
    <w:rsid w:val="00392F41"/>
    <w:rsid w:val="003931D9"/>
    <w:rsid w:val="0039322A"/>
    <w:rsid w:val="003933D2"/>
    <w:rsid w:val="003933E7"/>
    <w:rsid w:val="00393F5A"/>
    <w:rsid w:val="00394C76"/>
    <w:rsid w:val="00394CC1"/>
    <w:rsid w:val="003978F4"/>
    <w:rsid w:val="00397B4B"/>
    <w:rsid w:val="003A0573"/>
    <w:rsid w:val="003A2125"/>
    <w:rsid w:val="003A24E6"/>
    <w:rsid w:val="003A3359"/>
    <w:rsid w:val="003A3633"/>
    <w:rsid w:val="003A4528"/>
    <w:rsid w:val="003A541B"/>
    <w:rsid w:val="003B0319"/>
    <w:rsid w:val="003B18F6"/>
    <w:rsid w:val="003B19D6"/>
    <w:rsid w:val="003B222A"/>
    <w:rsid w:val="003B2656"/>
    <w:rsid w:val="003B3A2A"/>
    <w:rsid w:val="003B410F"/>
    <w:rsid w:val="003B56BD"/>
    <w:rsid w:val="003B7B72"/>
    <w:rsid w:val="003C1D33"/>
    <w:rsid w:val="003C22FB"/>
    <w:rsid w:val="003C4DDC"/>
    <w:rsid w:val="003C6B97"/>
    <w:rsid w:val="003C74DB"/>
    <w:rsid w:val="003D289F"/>
    <w:rsid w:val="003D46C5"/>
    <w:rsid w:val="003D567D"/>
    <w:rsid w:val="003D6814"/>
    <w:rsid w:val="003D6835"/>
    <w:rsid w:val="003D7B13"/>
    <w:rsid w:val="003E1DC4"/>
    <w:rsid w:val="003E1EA3"/>
    <w:rsid w:val="003E2176"/>
    <w:rsid w:val="003E3D8D"/>
    <w:rsid w:val="003E42E7"/>
    <w:rsid w:val="003E4487"/>
    <w:rsid w:val="003E497F"/>
    <w:rsid w:val="003E4D8D"/>
    <w:rsid w:val="003E686B"/>
    <w:rsid w:val="003F0D23"/>
    <w:rsid w:val="003F2491"/>
    <w:rsid w:val="003F34DD"/>
    <w:rsid w:val="003F38A3"/>
    <w:rsid w:val="003F45EE"/>
    <w:rsid w:val="003F6227"/>
    <w:rsid w:val="003F7732"/>
    <w:rsid w:val="003F7FFE"/>
    <w:rsid w:val="00400308"/>
    <w:rsid w:val="00401586"/>
    <w:rsid w:val="004024BC"/>
    <w:rsid w:val="00402C08"/>
    <w:rsid w:val="00405AC1"/>
    <w:rsid w:val="00406793"/>
    <w:rsid w:val="00407DEE"/>
    <w:rsid w:val="00410767"/>
    <w:rsid w:val="00410A47"/>
    <w:rsid w:val="00410BFC"/>
    <w:rsid w:val="00411155"/>
    <w:rsid w:val="004126D4"/>
    <w:rsid w:val="004134FB"/>
    <w:rsid w:val="004152BB"/>
    <w:rsid w:val="00415A59"/>
    <w:rsid w:val="0041707F"/>
    <w:rsid w:val="00417EA6"/>
    <w:rsid w:val="00417EB4"/>
    <w:rsid w:val="00417EFE"/>
    <w:rsid w:val="004201AD"/>
    <w:rsid w:val="00420E1A"/>
    <w:rsid w:val="00421D9C"/>
    <w:rsid w:val="0042245D"/>
    <w:rsid w:val="00422496"/>
    <w:rsid w:val="0042339A"/>
    <w:rsid w:val="00423CE8"/>
    <w:rsid w:val="00424087"/>
    <w:rsid w:val="004242BB"/>
    <w:rsid w:val="004257C8"/>
    <w:rsid w:val="00425EF8"/>
    <w:rsid w:val="0042616D"/>
    <w:rsid w:val="004315B4"/>
    <w:rsid w:val="00431DB7"/>
    <w:rsid w:val="00433811"/>
    <w:rsid w:val="00437368"/>
    <w:rsid w:val="004373A7"/>
    <w:rsid w:val="0043786F"/>
    <w:rsid w:val="00440301"/>
    <w:rsid w:val="004420B9"/>
    <w:rsid w:val="0044382A"/>
    <w:rsid w:val="004442C7"/>
    <w:rsid w:val="00444AE1"/>
    <w:rsid w:val="004453B7"/>
    <w:rsid w:val="004465D4"/>
    <w:rsid w:val="00447248"/>
    <w:rsid w:val="00447473"/>
    <w:rsid w:val="0044775B"/>
    <w:rsid w:val="00450E59"/>
    <w:rsid w:val="00453591"/>
    <w:rsid w:val="004569DC"/>
    <w:rsid w:val="00456F71"/>
    <w:rsid w:val="0046090A"/>
    <w:rsid w:val="00462608"/>
    <w:rsid w:val="0046358A"/>
    <w:rsid w:val="00465FA8"/>
    <w:rsid w:val="00467B9F"/>
    <w:rsid w:val="00467E7C"/>
    <w:rsid w:val="0047020D"/>
    <w:rsid w:val="004708CA"/>
    <w:rsid w:val="00471460"/>
    <w:rsid w:val="00474D76"/>
    <w:rsid w:val="00477284"/>
    <w:rsid w:val="00477685"/>
    <w:rsid w:val="00477943"/>
    <w:rsid w:val="0048211C"/>
    <w:rsid w:val="004832F2"/>
    <w:rsid w:val="00483857"/>
    <w:rsid w:val="0048454F"/>
    <w:rsid w:val="00484A22"/>
    <w:rsid w:val="00485275"/>
    <w:rsid w:val="00485378"/>
    <w:rsid w:val="004855FE"/>
    <w:rsid w:val="004859AF"/>
    <w:rsid w:val="00486D48"/>
    <w:rsid w:val="00490A7B"/>
    <w:rsid w:val="004916B6"/>
    <w:rsid w:val="00491ABF"/>
    <w:rsid w:val="004922C0"/>
    <w:rsid w:val="00492C65"/>
    <w:rsid w:val="004953C8"/>
    <w:rsid w:val="00495C23"/>
    <w:rsid w:val="0049610D"/>
    <w:rsid w:val="00497234"/>
    <w:rsid w:val="00497B93"/>
    <w:rsid w:val="004A0231"/>
    <w:rsid w:val="004A1390"/>
    <w:rsid w:val="004A2AD0"/>
    <w:rsid w:val="004A34E2"/>
    <w:rsid w:val="004A38BD"/>
    <w:rsid w:val="004A3E3A"/>
    <w:rsid w:val="004A4164"/>
    <w:rsid w:val="004A4A1B"/>
    <w:rsid w:val="004A4CD6"/>
    <w:rsid w:val="004A516B"/>
    <w:rsid w:val="004A72AB"/>
    <w:rsid w:val="004B0C55"/>
    <w:rsid w:val="004B0D88"/>
    <w:rsid w:val="004B122E"/>
    <w:rsid w:val="004B1473"/>
    <w:rsid w:val="004B289A"/>
    <w:rsid w:val="004B2CC8"/>
    <w:rsid w:val="004B2DAB"/>
    <w:rsid w:val="004B4658"/>
    <w:rsid w:val="004B497A"/>
    <w:rsid w:val="004B72D3"/>
    <w:rsid w:val="004B75B9"/>
    <w:rsid w:val="004B7C63"/>
    <w:rsid w:val="004C006E"/>
    <w:rsid w:val="004C12F8"/>
    <w:rsid w:val="004C25B7"/>
    <w:rsid w:val="004C2F10"/>
    <w:rsid w:val="004C3418"/>
    <w:rsid w:val="004C3D6D"/>
    <w:rsid w:val="004C3DCC"/>
    <w:rsid w:val="004C483E"/>
    <w:rsid w:val="004C5B8B"/>
    <w:rsid w:val="004C611E"/>
    <w:rsid w:val="004D0F04"/>
    <w:rsid w:val="004D1D1A"/>
    <w:rsid w:val="004D3A71"/>
    <w:rsid w:val="004D3E32"/>
    <w:rsid w:val="004D4DA4"/>
    <w:rsid w:val="004D55AC"/>
    <w:rsid w:val="004D5EB7"/>
    <w:rsid w:val="004D6E04"/>
    <w:rsid w:val="004E087F"/>
    <w:rsid w:val="004E2349"/>
    <w:rsid w:val="004E2AE8"/>
    <w:rsid w:val="004E2E1F"/>
    <w:rsid w:val="004E48CF"/>
    <w:rsid w:val="004E60C0"/>
    <w:rsid w:val="004E6771"/>
    <w:rsid w:val="004E6C2B"/>
    <w:rsid w:val="004F4B8E"/>
    <w:rsid w:val="004F5107"/>
    <w:rsid w:val="004F5C3D"/>
    <w:rsid w:val="004F63F5"/>
    <w:rsid w:val="004F64F0"/>
    <w:rsid w:val="004F6592"/>
    <w:rsid w:val="00500A4C"/>
    <w:rsid w:val="005011A0"/>
    <w:rsid w:val="005014F9"/>
    <w:rsid w:val="00501616"/>
    <w:rsid w:val="00502019"/>
    <w:rsid w:val="00502FB3"/>
    <w:rsid w:val="0050547B"/>
    <w:rsid w:val="0050683A"/>
    <w:rsid w:val="005068D5"/>
    <w:rsid w:val="00506B75"/>
    <w:rsid w:val="00506CE6"/>
    <w:rsid w:val="00506DB9"/>
    <w:rsid w:val="00506FDF"/>
    <w:rsid w:val="005100CF"/>
    <w:rsid w:val="0051075B"/>
    <w:rsid w:val="005121F0"/>
    <w:rsid w:val="00512A58"/>
    <w:rsid w:val="00512E3F"/>
    <w:rsid w:val="00514EF1"/>
    <w:rsid w:val="005150C5"/>
    <w:rsid w:val="0051612F"/>
    <w:rsid w:val="005175F2"/>
    <w:rsid w:val="005204ED"/>
    <w:rsid w:val="00521BE3"/>
    <w:rsid w:val="00522C57"/>
    <w:rsid w:val="0052378C"/>
    <w:rsid w:val="00523794"/>
    <w:rsid w:val="005243B7"/>
    <w:rsid w:val="00525566"/>
    <w:rsid w:val="00525A66"/>
    <w:rsid w:val="005265E0"/>
    <w:rsid w:val="00526C33"/>
    <w:rsid w:val="00527149"/>
    <w:rsid w:val="00527729"/>
    <w:rsid w:val="00527975"/>
    <w:rsid w:val="00527CA7"/>
    <w:rsid w:val="005318A3"/>
    <w:rsid w:val="005332CC"/>
    <w:rsid w:val="00533870"/>
    <w:rsid w:val="0053564B"/>
    <w:rsid w:val="0053721B"/>
    <w:rsid w:val="005418A8"/>
    <w:rsid w:val="005423F7"/>
    <w:rsid w:val="00544CCC"/>
    <w:rsid w:val="00546039"/>
    <w:rsid w:val="00546123"/>
    <w:rsid w:val="005463B2"/>
    <w:rsid w:val="00550F68"/>
    <w:rsid w:val="00551F39"/>
    <w:rsid w:val="00553495"/>
    <w:rsid w:val="005552CE"/>
    <w:rsid w:val="00555D34"/>
    <w:rsid w:val="00556994"/>
    <w:rsid w:val="0055717C"/>
    <w:rsid w:val="00557922"/>
    <w:rsid w:val="00560952"/>
    <w:rsid w:val="00560C6A"/>
    <w:rsid w:val="00561AEE"/>
    <w:rsid w:val="0056250B"/>
    <w:rsid w:val="00562A25"/>
    <w:rsid w:val="00562D78"/>
    <w:rsid w:val="00562F47"/>
    <w:rsid w:val="00564187"/>
    <w:rsid w:val="00567A90"/>
    <w:rsid w:val="00570548"/>
    <w:rsid w:val="005715EB"/>
    <w:rsid w:val="00572FA3"/>
    <w:rsid w:val="005756FB"/>
    <w:rsid w:val="00577EA4"/>
    <w:rsid w:val="005802E9"/>
    <w:rsid w:val="00581E46"/>
    <w:rsid w:val="005832CA"/>
    <w:rsid w:val="00583361"/>
    <w:rsid w:val="00584078"/>
    <w:rsid w:val="00584DAD"/>
    <w:rsid w:val="005850BA"/>
    <w:rsid w:val="00590B33"/>
    <w:rsid w:val="0059127F"/>
    <w:rsid w:val="00594151"/>
    <w:rsid w:val="005967DC"/>
    <w:rsid w:val="00596CEE"/>
    <w:rsid w:val="005978D1"/>
    <w:rsid w:val="005A05E0"/>
    <w:rsid w:val="005A06A0"/>
    <w:rsid w:val="005A0F6E"/>
    <w:rsid w:val="005A25C9"/>
    <w:rsid w:val="005A35F4"/>
    <w:rsid w:val="005A39B6"/>
    <w:rsid w:val="005A4EA3"/>
    <w:rsid w:val="005A63E5"/>
    <w:rsid w:val="005A7110"/>
    <w:rsid w:val="005B20ED"/>
    <w:rsid w:val="005B22B5"/>
    <w:rsid w:val="005B3101"/>
    <w:rsid w:val="005B3D6B"/>
    <w:rsid w:val="005B3F2A"/>
    <w:rsid w:val="005B4584"/>
    <w:rsid w:val="005B4A47"/>
    <w:rsid w:val="005B4FC8"/>
    <w:rsid w:val="005B5042"/>
    <w:rsid w:val="005B5ED4"/>
    <w:rsid w:val="005C01B9"/>
    <w:rsid w:val="005C0C0E"/>
    <w:rsid w:val="005C1144"/>
    <w:rsid w:val="005C208B"/>
    <w:rsid w:val="005C3337"/>
    <w:rsid w:val="005C48EC"/>
    <w:rsid w:val="005C5DEA"/>
    <w:rsid w:val="005C7426"/>
    <w:rsid w:val="005D120A"/>
    <w:rsid w:val="005D16C4"/>
    <w:rsid w:val="005D2317"/>
    <w:rsid w:val="005D312D"/>
    <w:rsid w:val="005D3834"/>
    <w:rsid w:val="005D3B53"/>
    <w:rsid w:val="005D43BD"/>
    <w:rsid w:val="005D7D8F"/>
    <w:rsid w:val="005E4431"/>
    <w:rsid w:val="005E4939"/>
    <w:rsid w:val="005E4EF3"/>
    <w:rsid w:val="005E71B3"/>
    <w:rsid w:val="005F311D"/>
    <w:rsid w:val="005F45A0"/>
    <w:rsid w:val="005F49C9"/>
    <w:rsid w:val="005F5D55"/>
    <w:rsid w:val="005F6E73"/>
    <w:rsid w:val="00600731"/>
    <w:rsid w:val="00600778"/>
    <w:rsid w:val="00601BE3"/>
    <w:rsid w:val="00602116"/>
    <w:rsid w:val="006035D9"/>
    <w:rsid w:val="00603712"/>
    <w:rsid w:val="00604693"/>
    <w:rsid w:val="00604F43"/>
    <w:rsid w:val="006051CC"/>
    <w:rsid w:val="00605244"/>
    <w:rsid w:val="00605786"/>
    <w:rsid w:val="00605B69"/>
    <w:rsid w:val="00606056"/>
    <w:rsid w:val="00606EF8"/>
    <w:rsid w:val="00607111"/>
    <w:rsid w:val="00607B5D"/>
    <w:rsid w:val="00607E48"/>
    <w:rsid w:val="006113A8"/>
    <w:rsid w:val="00611E46"/>
    <w:rsid w:val="006129B5"/>
    <w:rsid w:val="00612A84"/>
    <w:rsid w:val="006131E8"/>
    <w:rsid w:val="00613736"/>
    <w:rsid w:val="00614BBE"/>
    <w:rsid w:val="00616374"/>
    <w:rsid w:val="0062041C"/>
    <w:rsid w:val="00620DD2"/>
    <w:rsid w:val="0062342D"/>
    <w:rsid w:val="006275D2"/>
    <w:rsid w:val="00630AF8"/>
    <w:rsid w:val="0063108D"/>
    <w:rsid w:val="006332B1"/>
    <w:rsid w:val="00634DF2"/>
    <w:rsid w:val="0063549F"/>
    <w:rsid w:val="006373E3"/>
    <w:rsid w:val="00637DE7"/>
    <w:rsid w:val="00640110"/>
    <w:rsid w:val="00640C0A"/>
    <w:rsid w:val="00641A32"/>
    <w:rsid w:val="00641C16"/>
    <w:rsid w:val="0064223D"/>
    <w:rsid w:val="00642567"/>
    <w:rsid w:val="00642F67"/>
    <w:rsid w:val="006446DF"/>
    <w:rsid w:val="00644B00"/>
    <w:rsid w:val="006455C0"/>
    <w:rsid w:val="006456B5"/>
    <w:rsid w:val="006470C9"/>
    <w:rsid w:val="0065198B"/>
    <w:rsid w:val="006536F7"/>
    <w:rsid w:val="006542CE"/>
    <w:rsid w:val="00654AC7"/>
    <w:rsid w:val="00655715"/>
    <w:rsid w:val="00655F2E"/>
    <w:rsid w:val="0065668C"/>
    <w:rsid w:val="00657C41"/>
    <w:rsid w:val="00660F3E"/>
    <w:rsid w:val="006613AF"/>
    <w:rsid w:val="006620E3"/>
    <w:rsid w:val="006628C6"/>
    <w:rsid w:val="00662977"/>
    <w:rsid w:val="006653CD"/>
    <w:rsid w:val="00665E58"/>
    <w:rsid w:val="006664A5"/>
    <w:rsid w:val="00666DAC"/>
    <w:rsid w:val="0067206B"/>
    <w:rsid w:val="00672666"/>
    <w:rsid w:val="00673013"/>
    <w:rsid w:val="00673C46"/>
    <w:rsid w:val="00675EC8"/>
    <w:rsid w:val="006779E8"/>
    <w:rsid w:val="0068088D"/>
    <w:rsid w:val="00680CFC"/>
    <w:rsid w:val="00681860"/>
    <w:rsid w:val="00682A95"/>
    <w:rsid w:val="0068408D"/>
    <w:rsid w:val="0068474E"/>
    <w:rsid w:val="006850DB"/>
    <w:rsid w:val="00686046"/>
    <w:rsid w:val="00686E1B"/>
    <w:rsid w:val="0068718B"/>
    <w:rsid w:val="00692050"/>
    <w:rsid w:val="00692383"/>
    <w:rsid w:val="00693536"/>
    <w:rsid w:val="006946AD"/>
    <w:rsid w:val="00695119"/>
    <w:rsid w:val="00695360"/>
    <w:rsid w:val="006954B8"/>
    <w:rsid w:val="00695800"/>
    <w:rsid w:val="006958A5"/>
    <w:rsid w:val="00695AF9"/>
    <w:rsid w:val="00695C2F"/>
    <w:rsid w:val="00697110"/>
    <w:rsid w:val="006A01BE"/>
    <w:rsid w:val="006A0E3E"/>
    <w:rsid w:val="006A1034"/>
    <w:rsid w:val="006A197F"/>
    <w:rsid w:val="006A1D4C"/>
    <w:rsid w:val="006A29F3"/>
    <w:rsid w:val="006A357A"/>
    <w:rsid w:val="006A57D6"/>
    <w:rsid w:val="006A5B0F"/>
    <w:rsid w:val="006A6642"/>
    <w:rsid w:val="006A6BD0"/>
    <w:rsid w:val="006B0548"/>
    <w:rsid w:val="006B068C"/>
    <w:rsid w:val="006B0704"/>
    <w:rsid w:val="006B0C6A"/>
    <w:rsid w:val="006B0CC9"/>
    <w:rsid w:val="006B1C78"/>
    <w:rsid w:val="006B1F6C"/>
    <w:rsid w:val="006B386A"/>
    <w:rsid w:val="006B3E13"/>
    <w:rsid w:val="006B4C9D"/>
    <w:rsid w:val="006B68EE"/>
    <w:rsid w:val="006B6A0C"/>
    <w:rsid w:val="006B7400"/>
    <w:rsid w:val="006C0ADB"/>
    <w:rsid w:val="006C3B13"/>
    <w:rsid w:val="006C41F6"/>
    <w:rsid w:val="006C51E8"/>
    <w:rsid w:val="006C5938"/>
    <w:rsid w:val="006C5E5C"/>
    <w:rsid w:val="006C61C7"/>
    <w:rsid w:val="006C6823"/>
    <w:rsid w:val="006C6EEC"/>
    <w:rsid w:val="006C7492"/>
    <w:rsid w:val="006D0196"/>
    <w:rsid w:val="006D0911"/>
    <w:rsid w:val="006D0941"/>
    <w:rsid w:val="006D0E2C"/>
    <w:rsid w:val="006D2461"/>
    <w:rsid w:val="006D25CF"/>
    <w:rsid w:val="006D294E"/>
    <w:rsid w:val="006D296D"/>
    <w:rsid w:val="006D386A"/>
    <w:rsid w:val="006D3981"/>
    <w:rsid w:val="006D5042"/>
    <w:rsid w:val="006E00E3"/>
    <w:rsid w:val="006E0E34"/>
    <w:rsid w:val="006E0E5F"/>
    <w:rsid w:val="006E25B2"/>
    <w:rsid w:val="006E2811"/>
    <w:rsid w:val="006E3058"/>
    <w:rsid w:val="006E4750"/>
    <w:rsid w:val="006E6093"/>
    <w:rsid w:val="006E7461"/>
    <w:rsid w:val="006E7C46"/>
    <w:rsid w:val="006F11CA"/>
    <w:rsid w:val="006F148A"/>
    <w:rsid w:val="006F1F90"/>
    <w:rsid w:val="006F20D6"/>
    <w:rsid w:val="006F3D7C"/>
    <w:rsid w:val="006F4B49"/>
    <w:rsid w:val="006F6C33"/>
    <w:rsid w:val="006F70B6"/>
    <w:rsid w:val="006F7449"/>
    <w:rsid w:val="00700F55"/>
    <w:rsid w:val="007061FD"/>
    <w:rsid w:val="00707414"/>
    <w:rsid w:val="00710CA2"/>
    <w:rsid w:val="00710D8F"/>
    <w:rsid w:val="007123BB"/>
    <w:rsid w:val="007159F7"/>
    <w:rsid w:val="00715ABD"/>
    <w:rsid w:val="00716094"/>
    <w:rsid w:val="007167A0"/>
    <w:rsid w:val="00716A11"/>
    <w:rsid w:val="00716ECC"/>
    <w:rsid w:val="007205A2"/>
    <w:rsid w:val="007209DF"/>
    <w:rsid w:val="00720DE8"/>
    <w:rsid w:val="00722A48"/>
    <w:rsid w:val="0072368C"/>
    <w:rsid w:val="0072401A"/>
    <w:rsid w:val="00724D71"/>
    <w:rsid w:val="00726868"/>
    <w:rsid w:val="00726968"/>
    <w:rsid w:val="00727105"/>
    <w:rsid w:val="0073040D"/>
    <w:rsid w:val="00730426"/>
    <w:rsid w:val="00732499"/>
    <w:rsid w:val="007325F1"/>
    <w:rsid w:val="00732EA1"/>
    <w:rsid w:val="00734599"/>
    <w:rsid w:val="007346FF"/>
    <w:rsid w:val="0073490E"/>
    <w:rsid w:val="007349F8"/>
    <w:rsid w:val="00735A11"/>
    <w:rsid w:val="007401A5"/>
    <w:rsid w:val="00740773"/>
    <w:rsid w:val="00740D2A"/>
    <w:rsid w:val="0074220F"/>
    <w:rsid w:val="00744AB6"/>
    <w:rsid w:val="00744C32"/>
    <w:rsid w:val="007460E9"/>
    <w:rsid w:val="007477C0"/>
    <w:rsid w:val="007517FE"/>
    <w:rsid w:val="00752381"/>
    <w:rsid w:val="00752444"/>
    <w:rsid w:val="00752F01"/>
    <w:rsid w:val="00755649"/>
    <w:rsid w:val="00757272"/>
    <w:rsid w:val="00761E3E"/>
    <w:rsid w:val="00762B92"/>
    <w:rsid w:val="00764F07"/>
    <w:rsid w:val="00765725"/>
    <w:rsid w:val="00766033"/>
    <w:rsid w:val="00766AB0"/>
    <w:rsid w:val="00766C01"/>
    <w:rsid w:val="007674C9"/>
    <w:rsid w:val="00767D9D"/>
    <w:rsid w:val="007701AA"/>
    <w:rsid w:val="00772E35"/>
    <w:rsid w:val="0077535E"/>
    <w:rsid w:val="00775F0F"/>
    <w:rsid w:val="00776B15"/>
    <w:rsid w:val="00780CB0"/>
    <w:rsid w:val="007811FA"/>
    <w:rsid w:val="00781974"/>
    <w:rsid w:val="00782E73"/>
    <w:rsid w:val="0078399A"/>
    <w:rsid w:val="00784010"/>
    <w:rsid w:val="00784231"/>
    <w:rsid w:val="00785B7C"/>
    <w:rsid w:val="007869C0"/>
    <w:rsid w:val="00786B84"/>
    <w:rsid w:val="007909B3"/>
    <w:rsid w:val="00790BBE"/>
    <w:rsid w:val="00791E4B"/>
    <w:rsid w:val="00793951"/>
    <w:rsid w:val="00795CD9"/>
    <w:rsid w:val="00795E68"/>
    <w:rsid w:val="007963BF"/>
    <w:rsid w:val="007963F0"/>
    <w:rsid w:val="0079738D"/>
    <w:rsid w:val="00797775"/>
    <w:rsid w:val="00797A83"/>
    <w:rsid w:val="007A0252"/>
    <w:rsid w:val="007A1368"/>
    <w:rsid w:val="007A2FAA"/>
    <w:rsid w:val="007A4AE4"/>
    <w:rsid w:val="007A4ED6"/>
    <w:rsid w:val="007A5F99"/>
    <w:rsid w:val="007A6B40"/>
    <w:rsid w:val="007B073F"/>
    <w:rsid w:val="007B07FB"/>
    <w:rsid w:val="007B24D4"/>
    <w:rsid w:val="007B2F50"/>
    <w:rsid w:val="007B3946"/>
    <w:rsid w:val="007B3F52"/>
    <w:rsid w:val="007B4807"/>
    <w:rsid w:val="007B4D0B"/>
    <w:rsid w:val="007B57BA"/>
    <w:rsid w:val="007B63E4"/>
    <w:rsid w:val="007B6977"/>
    <w:rsid w:val="007B6B46"/>
    <w:rsid w:val="007C1769"/>
    <w:rsid w:val="007C246F"/>
    <w:rsid w:val="007C30D6"/>
    <w:rsid w:val="007C3385"/>
    <w:rsid w:val="007C36C7"/>
    <w:rsid w:val="007C4815"/>
    <w:rsid w:val="007C5A6E"/>
    <w:rsid w:val="007C6E4B"/>
    <w:rsid w:val="007D05A4"/>
    <w:rsid w:val="007D3BE6"/>
    <w:rsid w:val="007D4B54"/>
    <w:rsid w:val="007D4D4A"/>
    <w:rsid w:val="007D605E"/>
    <w:rsid w:val="007D67C2"/>
    <w:rsid w:val="007D67FB"/>
    <w:rsid w:val="007D68F8"/>
    <w:rsid w:val="007D7286"/>
    <w:rsid w:val="007D755F"/>
    <w:rsid w:val="007E0985"/>
    <w:rsid w:val="007E0C0E"/>
    <w:rsid w:val="007E1CE3"/>
    <w:rsid w:val="007E1ECF"/>
    <w:rsid w:val="007E22FA"/>
    <w:rsid w:val="007E5556"/>
    <w:rsid w:val="007E56C2"/>
    <w:rsid w:val="007E6DA6"/>
    <w:rsid w:val="007E6F4D"/>
    <w:rsid w:val="007F0451"/>
    <w:rsid w:val="007F0B08"/>
    <w:rsid w:val="007F3754"/>
    <w:rsid w:val="007F5567"/>
    <w:rsid w:val="007F5954"/>
    <w:rsid w:val="007F6115"/>
    <w:rsid w:val="007F6620"/>
    <w:rsid w:val="007F75FC"/>
    <w:rsid w:val="00800109"/>
    <w:rsid w:val="00800D5C"/>
    <w:rsid w:val="00802CCB"/>
    <w:rsid w:val="0080469C"/>
    <w:rsid w:val="00805BC6"/>
    <w:rsid w:val="00805D4E"/>
    <w:rsid w:val="0080664F"/>
    <w:rsid w:val="00807831"/>
    <w:rsid w:val="0081034A"/>
    <w:rsid w:val="008106A5"/>
    <w:rsid w:val="00810C36"/>
    <w:rsid w:val="00810D5E"/>
    <w:rsid w:val="00810EC8"/>
    <w:rsid w:val="00811849"/>
    <w:rsid w:val="00812214"/>
    <w:rsid w:val="00812D7F"/>
    <w:rsid w:val="00814437"/>
    <w:rsid w:val="008166F5"/>
    <w:rsid w:val="00817A3D"/>
    <w:rsid w:val="00817CE3"/>
    <w:rsid w:val="00820109"/>
    <w:rsid w:val="00820E6B"/>
    <w:rsid w:val="0082100F"/>
    <w:rsid w:val="008217C0"/>
    <w:rsid w:val="00824DEE"/>
    <w:rsid w:val="00825B7C"/>
    <w:rsid w:val="00826640"/>
    <w:rsid w:val="00827A62"/>
    <w:rsid w:val="00830819"/>
    <w:rsid w:val="008317B5"/>
    <w:rsid w:val="00831E83"/>
    <w:rsid w:val="00832B17"/>
    <w:rsid w:val="0083617E"/>
    <w:rsid w:val="00836286"/>
    <w:rsid w:val="00837998"/>
    <w:rsid w:val="00837CC1"/>
    <w:rsid w:val="00840254"/>
    <w:rsid w:val="00842219"/>
    <w:rsid w:val="00842FC3"/>
    <w:rsid w:val="008430F8"/>
    <w:rsid w:val="00843652"/>
    <w:rsid w:val="00843C81"/>
    <w:rsid w:val="00844091"/>
    <w:rsid w:val="0084447C"/>
    <w:rsid w:val="00844D3B"/>
    <w:rsid w:val="00845A07"/>
    <w:rsid w:val="00845B67"/>
    <w:rsid w:val="00846799"/>
    <w:rsid w:val="00846AD7"/>
    <w:rsid w:val="00847300"/>
    <w:rsid w:val="00847CD4"/>
    <w:rsid w:val="008500DA"/>
    <w:rsid w:val="00850CE9"/>
    <w:rsid w:val="00852205"/>
    <w:rsid w:val="00852E91"/>
    <w:rsid w:val="008535BC"/>
    <w:rsid w:val="0085525C"/>
    <w:rsid w:val="0085773B"/>
    <w:rsid w:val="008602EE"/>
    <w:rsid w:val="00862D51"/>
    <w:rsid w:val="00862F79"/>
    <w:rsid w:val="00863421"/>
    <w:rsid w:val="00864772"/>
    <w:rsid w:val="00865F58"/>
    <w:rsid w:val="00866594"/>
    <w:rsid w:val="008666CD"/>
    <w:rsid w:val="00867111"/>
    <w:rsid w:val="00867338"/>
    <w:rsid w:val="00870A43"/>
    <w:rsid w:val="00871391"/>
    <w:rsid w:val="00871518"/>
    <w:rsid w:val="00871E0F"/>
    <w:rsid w:val="00871E89"/>
    <w:rsid w:val="008727A3"/>
    <w:rsid w:val="0087311F"/>
    <w:rsid w:val="00873861"/>
    <w:rsid w:val="00875128"/>
    <w:rsid w:val="008771CD"/>
    <w:rsid w:val="008775ED"/>
    <w:rsid w:val="00877C14"/>
    <w:rsid w:val="00877D44"/>
    <w:rsid w:val="00880304"/>
    <w:rsid w:val="00881CA8"/>
    <w:rsid w:val="008836EF"/>
    <w:rsid w:val="00885001"/>
    <w:rsid w:val="00885424"/>
    <w:rsid w:val="00887516"/>
    <w:rsid w:val="00890850"/>
    <w:rsid w:val="008910E1"/>
    <w:rsid w:val="00891971"/>
    <w:rsid w:val="008930A6"/>
    <w:rsid w:val="00893855"/>
    <w:rsid w:val="008948A5"/>
    <w:rsid w:val="00894D98"/>
    <w:rsid w:val="00895B11"/>
    <w:rsid w:val="00897A22"/>
    <w:rsid w:val="008A04DB"/>
    <w:rsid w:val="008A092A"/>
    <w:rsid w:val="008A0C5D"/>
    <w:rsid w:val="008A3137"/>
    <w:rsid w:val="008A31E5"/>
    <w:rsid w:val="008A363D"/>
    <w:rsid w:val="008A39F7"/>
    <w:rsid w:val="008A3BB9"/>
    <w:rsid w:val="008A4083"/>
    <w:rsid w:val="008A6697"/>
    <w:rsid w:val="008B01A9"/>
    <w:rsid w:val="008B091F"/>
    <w:rsid w:val="008B1A4A"/>
    <w:rsid w:val="008B2938"/>
    <w:rsid w:val="008B4CA7"/>
    <w:rsid w:val="008B4E8E"/>
    <w:rsid w:val="008B568D"/>
    <w:rsid w:val="008B6FF8"/>
    <w:rsid w:val="008B7425"/>
    <w:rsid w:val="008B7DFF"/>
    <w:rsid w:val="008C0602"/>
    <w:rsid w:val="008C0F4F"/>
    <w:rsid w:val="008C3FEF"/>
    <w:rsid w:val="008C417E"/>
    <w:rsid w:val="008C45EE"/>
    <w:rsid w:val="008C4D3A"/>
    <w:rsid w:val="008C7669"/>
    <w:rsid w:val="008D12E3"/>
    <w:rsid w:val="008D3939"/>
    <w:rsid w:val="008D3C46"/>
    <w:rsid w:val="008D4DCB"/>
    <w:rsid w:val="008D5F59"/>
    <w:rsid w:val="008D6339"/>
    <w:rsid w:val="008D6B25"/>
    <w:rsid w:val="008D6F9C"/>
    <w:rsid w:val="008D7AF7"/>
    <w:rsid w:val="008E21F0"/>
    <w:rsid w:val="008E2256"/>
    <w:rsid w:val="008E253D"/>
    <w:rsid w:val="008E2621"/>
    <w:rsid w:val="008E3080"/>
    <w:rsid w:val="008E5710"/>
    <w:rsid w:val="008E5822"/>
    <w:rsid w:val="008F2335"/>
    <w:rsid w:val="008F26B9"/>
    <w:rsid w:val="008F3366"/>
    <w:rsid w:val="008F35EA"/>
    <w:rsid w:val="008F3D63"/>
    <w:rsid w:val="008F4018"/>
    <w:rsid w:val="008F479C"/>
    <w:rsid w:val="008F5170"/>
    <w:rsid w:val="008F5444"/>
    <w:rsid w:val="008F571C"/>
    <w:rsid w:val="00900027"/>
    <w:rsid w:val="00900FA8"/>
    <w:rsid w:val="00902696"/>
    <w:rsid w:val="009029D3"/>
    <w:rsid w:val="009038FB"/>
    <w:rsid w:val="00903FE6"/>
    <w:rsid w:val="00904433"/>
    <w:rsid w:val="00904D4D"/>
    <w:rsid w:val="00905404"/>
    <w:rsid w:val="009067A1"/>
    <w:rsid w:val="009067FA"/>
    <w:rsid w:val="00907732"/>
    <w:rsid w:val="00907936"/>
    <w:rsid w:val="009122AA"/>
    <w:rsid w:val="009128E1"/>
    <w:rsid w:val="00913E5F"/>
    <w:rsid w:val="009144BC"/>
    <w:rsid w:val="00914881"/>
    <w:rsid w:val="009155E0"/>
    <w:rsid w:val="00916696"/>
    <w:rsid w:val="00920529"/>
    <w:rsid w:val="0092153B"/>
    <w:rsid w:val="0092313F"/>
    <w:rsid w:val="00924590"/>
    <w:rsid w:val="0092745E"/>
    <w:rsid w:val="00927DD4"/>
    <w:rsid w:val="0093110C"/>
    <w:rsid w:val="00931DF8"/>
    <w:rsid w:val="009325D2"/>
    <w:rsid w:val="00933F16"/>
    <w:rsid w:val="009343C8"/>
    <w:rsid w:val="00935890"/>
    <w:rsid w:val="00936496"/>
    <w:rsid w:val="0093690F"/>
    <w:rsid w:val="00936AE5"/>
    <w:rsid w:val="00937B4D"/>
    <w:rsid w:val="00937EB7"/>
    <w:rsid w:val="0094124A"/>
    <w:rsid w:val="00941988"/>
    <w:rsid w:val="009425DB"/>
    <w:rsid w:val="009439F8"/>
    <w:rsid w:val="00943BD2"/>
    <w:rsid w:val="00944110"/>
    <w:rsid w:val="00944530"/>
    <w:rsid w:val="00945848"/>
    <w:rsid w:val="00945CFC"/>
    <w:rsid w:val="00947767"/>
    <w:rsid w:val="00950C05"/>
    <w:rsid w:val="00952BC7"/>
    <w:rsid w:val="009536DC"/>
    <w:rsid w:val="00953C5F"/>
    <w:rsid w:val="00954A92"/>
    <w:rsid w:val="009551BA"/>
    <w:rsid w:val="0095537A"/>
    <w:rsid w:val="0095639E"/>
    <w:rsid w:val="00960F17"/>
    <w:rsid w:val="00961035"/>
    <w:rsid w:val="00961AE7"/>
    <w:rsid w:val="00962BE7"/>
    <w:rsid w:val="009649FE"/>
    <w:rsid w:val="00964A20"/>
    <w:rsid w:val="00965877"/>
    <w:rsid w:val="00965BDE"/>
    <w:rsid w:val="00965EC8"/>
    <w:rsid w:val="00965F62"/>
    <w:rsid w:val="00967CF6"/>
    <w:rsid w:val="009701E8"/>
    <w:rsid w:val="00971A14"/>
    <w:rsid w:val="009731A7"/>
    <w:rsid w:val="00973C7F"/>
    <w:rsid w:val="00973DFD"/>
    <w:rsid w:val="00974863"/>
    <w:rsid w:val="00977546"/>
    <w:rsid w:val="00977D82"/>
    <w:rsid w:val="00980470"/>
    <w:rsid w:val="009840D3"/>
    <w:rsid w:val="0098452F"/>
    <w:rsid w:val="00986F7F"/>
    <w:rsid w:val="00987126"/>
    <w:rsid w:val="0098714B"/>
    <w:rsid w:val="009873DB"/>
    <w:rsid w:val="009875D3"/>
    <w:rsid w:val="00987ABB"/>
    <w:rsid w:val="00990E00"/>
    <w:rsid w:val="0099128D"/>
    <w:rsid w:val="00991A45"/>
    <w:rsid w:val="00991AF6"/>
    <w:rsid w:val="00992BB6"/>
    <w:rsid w:val="00993C4D"/>
    <w:rsid w:val="00994743"/>
    <w:rsid w:val="00994FAF"/>
    <w:rsid w:val="00994FEB"/>
    <w:rsid w:val="0099735A"/>
    <w:rsid w:val="009A1117"/>
    <w:rsid w:val="009A1280"/>
    <w:rsid w:val="009A1FFC"/>
    <w:rsid w:val="009A26DF"/>
    <w:rsid w:val="009A3CC0"/>
    <w:rsid w:val="009A4A72"/>
    <w:rsid w:val="009A5BA2"/>
    <w:rsid w:val="009A74BE"/>
    <w:rsid w:val="009A7695"/>
    <w:rsid w:val="009A774D"/>
    <w:rsid w:val="009B0CC8"/>
    <w:rsid w:val="009B2BF6"/>
    <w:rsid w:val="009B33D9"/>
    <w:rsid w:val="009B3E81"/>
    <w:rsid w:val="009B4078"/>
    <w:rsid w:val="009B4177"/>
    <w:rsid w:val="009B4242"/>
    <w:rsid w:val="009B5F3E"/>
    <w:rsid w:val="009B5FAF"/>
    <w:rsid w:val="009B6422"/>
    <w:rsid w:val="009B727B"/>
    <w:rsid w:val="009B79EC"/>
    <w:rsid w:val="009C110F"/>
    <w:rsid w:val="009C1DA4"/>
    <w:rsid w:val="009C27EA"/>
    <w:rsid w:val="009C2D80"/>
    <w:rsid w:val="009C62D4"/>
    <w:rsid w:val="009C6777"/>
    <w:rsid w:val="009C7B22"/>
    <w:rsid w:val="009D10C1"/>
    <w:rsid w:val="009D153C"/>
    <w:rsid w:val="009D15EC"/>
    <w:rsid w:val="009D1612"/>
    <w:rsid w:val="009D26C1"/>
    <w:rsid w:val="009D382F"/>
    <w:rsid w:val="009D41A3"/>
    <w:rsid w:val="009D492D"/>
    <w:rsid w:val="009D584C"/>
    <w:rsid w:val="009D7310"/>
    <w:rsid w:val="009D7C39"/>
    <w:rsid w:val="009D7FAE"/>
    <w:rsid w:val="009E012D"/>
    <w:rsid w:val="009E0F47"/>
    <w:rsid w:val="009E26E8"/>
    <w:rsid w:val="009E3BDF"/>
    <w:rsid w:val="009E4F19"/>
    <w:rsid w:val="009E567C"/>
    <w:rsid w:val="009E598F"/>
    <w:rsid w:val="009F006C"/>
    <w:rsid w:val="009F09C6"/>
    <w:rsid w:val="009F325A"/>
    <w:rsid w:val="009F3A76"/>
    <w:rsid w:val="009F3DAC"/>
    <w:rsid w:val="009F5153"/>
    <w:rsid w:val="009F5245"/>
    <w:rsid w:val="009F557B"/>
    <w:rsid w:val="009F7144"/>
    <w:rsid w:val="009F7DF7"/>
    <w:rsid w:val="009F7FF9"/>
    <w:rsid w:val="00A00211"/>
    <w:rsid w:val="00A00383"/>
    <w:rsid w:val="00A00445"/>
    <w:rsid w:val="00A02D2C"/>
    <w:rsid w:val="00A04044"/>
    <w:rsid w:val="00A05356"/>
    <w:rsid w:val="00A053F7"/>
    <w:rsid w:val="00A07A7D"/>
    <w:rsid w:val="00A1279A"/>
    <w:rsid w:val="00A12E5B"/>
    <w:rsid w:val="00A13311"/>
    <w:rsid w:val="00A13BD4"/>
    <w:rsid w:val="00A1436D"/>
    <w:rsid w:val="00A14C18"/>
    <w:rsid w:val="00A15EE1"/>
    <w:rsid w:val="00A160FE"/>
    <w:rsid w:val="00A17C25"/>
    <w:rsid w:val="00A211FC"/>
    <w:rsid w:val="00A22081"/>
    <w:rsid w:val="00A22335"/>
    <w:rsid w:val="00A22F57"/>
    <w:rsid w:val="00A2339A"/>
    <w:rsid w:val="00A24505"/>
    <w:rsid w:val="00A2789C"/>
    <w:rsid w:val="00A31D86"/>
    <w:rsid w:val="00A32127"/>
    <w:rsid w:val="00A32D5C"/>
    <w:rsid w:val="00A37F24"/>
    <w:rsid w:val="00A4121E"/>
    <w:rsid w:val="00A423DD"/>
    <w:rsid w:val="00A42626"/>
    <w:rsid w:val="00A446FB"/>
    <w:rsid w:val="00A447B6"/>
    <w:rsid w:val="00A45E33"/>
    <w:rsid w:val="00A47D17"/>
    <w:rsid w:val="00A52110"/>
    <w:rsid w:val="00A529FD"/>
    <w:rsid w:val="00A52EFF"/>
    <w:rsid w:val="00A5313A"/>
    <w:rsid w:val="00A55FA5"/>
    <w:rsid w:val="00A5648A"/>
    <w:rsid w:val="00A56A46"/>
    <w:rsid w:val="00A60D42"/>
    <w:rsid w:val="00A63E55"/>
    <w:rsid w:val="00A65B32"/>
    <w:rsid w:val="00A6755D"/>
    <w:rsid w:val="00A67AE7"/>
    <w:rsid w:val="00A715A2"/>
    <w:rsid w:val="00A72097"/>
    <w:rsid w:val="00A72906"/>
    <w:rsid w:val="00A74604"/>
    <w:rsid w:val="00A74B23"/>
    <w:rsid w:val="00A7665F"/>
    <w:rsid w:val="00A81AD9"/>
    <w:rsid w:val="00A81ED0"/>
    <w:rsid w:val="00A826E4"/>
    <w:rsid w:val="00A838A4"/>
    <w:rsid w:val="00A83917"/>
    <w:rsid w:val="00A83CE5"/>
    <w:rsid w:val="00A85857"/>
    <w:rsid w:val="00A86BBD"/>
    <w:rsid w:val="00A871BA"/>
    <w:rsid w:val="00A87DD7"/>
    <w:rsid w:val="00A906C3"/>
    <w:rsid w:val="00A925AF"/>
    <w:rsid w:val="00A92E20"/>
    <w:rsid w:val="00A9726B"/>
    <w:rsid w:val="00AA04B7"/>
    <w:rsid w:val="00AA05CF"/>
    <w:rsid w:val="00AA1579"/>
    <w:rsid w:val="00AA1980"/>
    <w:rsid w:val="00AA2555"/>
    <w:rsid w:val="00AA2719"/>
    <w:rsid w:val="00AA3605"/>
    <w:rsid w:val="00AA382D"/>
    <w:rsid w:val="00AA3B4D"/>
    <w:rsid w:val="00AA472F"/>
    <w:rsid w:val="00AA7755"/>
    <w:rsid w:val="00AA7F8E"/>
    <w:rsid w:val="00AB03A1"/>
    <w:rsid w:val="00AB152F"/>
    <w:rsid w:val="00AB1B7B"/>
    <w:rsid w:val="00AB4535"/>
    <w:rsid w:val="00AB5185"/>
    <w:rsid w:val="00AB585B"/>
    <w:rsid w:val="00AB6307"/>
    <w:rsid w:val="00AB6358"/>
    <w:rsid w:val="00AB759C"/>
    <w:rsid w:val="00AB793D"/>
    <w:rsid w:val="00AB7D0A"/>
    <w:rsid w:val="00AC2E5E"/>
    <w:rsid w:val="00AC4C09"/>
    <w:rsid w:val="00AC4D4B"/>
    <w:rsid w:val="00AC5154"/>
    <w:rsid w:val="00AC694F"/>
    <w:rsid w:val="00AD4CFD"/>
    <w:rsid w:val="00AD5E3A"/>
    <w:rsid w:val="00AD7718"/>
    <w:rsid w:val="00AE23CB"/>
    <w:rsid w:val="00AE31EF"/>
    <w:rsid w:val="00AE3303"/>
    <w:rsid w:val="00AE3397"/>
    <w:rsid w:val="00AE3CD9"/>
    <w:rsid w:val="00AE40A6"/>
    <w:rsid w:val="00AE46B7"/>
    <w:rsid w:val="00AE6620"/>
    <w:rsid w:val="00AE6C7E"/>
    <w:rsid w:val="00AE725B"/>
    <w:rsid w:val="00AF1EB7"/>
    <w:rsid w:val="00AF2C7E"/>
    <w:rsid w:val="00AF43A4"/>
    <w:rsid w:val="00AF5F78"/>
    <w:rsid w:val="00B01A07"/>
    <w:rsid w:val="00B01BBF"/>
    <w:rsid w:val="00B034B5"/>
    <w:rsid w:val="00B0508A"/>
    <w:rsid w:val="00B06756"/>
    <w:rsid w:val="00B067F9"/>
    <w:rsid w:val="00B0773A"/>
    <w:rsid w:val="00B101D1"/>
    <w:rsid w:val="00B11B5A"/>
    <w:rsid w:val="00B13CD8"/>
    <w:rsid w:val="00B141B1"/>
    <w:rsid w:val="00B151A2"/>
    <w:rsid w:val="00B15312"/>
    <w:rsid w:val="00B1586D"/>
    <w:rsid w:val="00B167B2"/>
    <w:rsid w:val="00B21013"/>
    <w:rsid w:val="00B21A8E"/>
    <w:rsid w:val="00B2314A"/>
    <w:rsid w:val="00B235A7"/>
    <w:rsid w:val="00B23A9E"/>
    <w:rsid w:val="00B23B55"/>
    <w:rsid w:val="00B23D92"/>
    <w:rsid w:val="00B23F9F"/>
    <w:rsid w:val="00B2536C"/>
    <w:rsid w:val="00B26098"/>
    <w:rsid w:val="00B26614"/>
    <w:rsid w:val="00B2750E"/>
    <w:rsid w:val="00B3261E"/>
    <w:rsid w:val="00B327DB"/>
    <w:rsid w:val="00B3287E"/>
    <w:rsid w:val="00B32C09"/>
    <w:rsid w:val="00B32C53"/>
    <w:rsid w:val="00B33495"/>
    <w:rsid w:val="00B3393F"/>
    <w:rsid w:val="00B33D2F"/>
    <w:rsid w:val="00B34192"/>
    <w:rsid w:val="00B34C33"/>
    <w:rsid w:val="00B34DC2"/>
    <w:rsid w:val="00B350F7"/>
    <w:rsid w:val="00B355CB"/>
    <w:rsid w:val="00B35C49"/>
    <w:rsid w:val="00B35D18"/>
    <w:rsid w:val="00B3608D"/>
    <w:rsid w:val="00B3625C"/>
    <w:rsid w:val="00B37B82"/>
    <w:rsid w:val="00B410FE"/>
    <w:rsid w:val="00B412EE"/>
    <w:rsid w:val="00B4186E"/>
    <w:rsid w:val="00B42A23"/>
    <w:rsid w:val="00B476FF"/>
    <w:rsid w:val="00B47C44"/>
    <w:rsid w:val="00B51611"/>
    <w:rsid w:val="00B520B4"/>
    <w:rsid w:val="00B53282"/>
    <w:rsid w:val="00B5480F"/>
    <w:rsid w:val="00B5490F"/>
    <w:rsid w:val="00B569BF"/>
    <w:rsid w:val="00B56D84"/>
    <w:rsid w:val="00B57A80"/>
    <w:rsid w:val="00B60394"/>
    <w:rsid w:val="00B61C3B"/>
    <w:rsid w:val="00B6250E"/>
    <w:rsid w:val="00B62E92"/>
    <w:rsid w:val="00B63612"/>
    <w:rsid w:val="00B665D0"/>
    <w:rsid w:val="00B677F8"/>
    <w:rsid w:val="00B715BB"/>
    <w:rsid w:val="00B73506"/>
    <w:rsid w:val="00B737C2"/>
    <w:rsid w:val="00B75A20"/>
    <w:rsid w:val="00B75D51"/>
    <w:rsid w:val="00B766DB"/>
    <w:rsid w:val="00B77B91"/>
    <w:rsid w:val="00B77DB9"/>
    <w:rsid w:val="00B80DF0"/>
    <w:rsid w:val="00B8204F"/>
    <w:rsid w:val="00B8213B"/>
    <w:rsid w:val="00B82399"/>
    <w:rsid w:val="00B823AE"/>
    <w:rsid w:val="00B82856"/>
    <w:rsid w:val="00B848B5"/>
    <w:rsid w:val="00B85535"/>
    <w:rsid w:val="00B874B5"/>
    <w:rsid w:val="00B87A48"/>
    <w:rsid w:val="00B9024A"/>
    <w:rsid w:val="00B9097F"/>
    <w:rsid w:val="00B90D65"/>
    <w:rsid w:val="00B9156E"/>
    <w:rsid w:val="00B92F03"/>
    <w:rsid w:val="00B94240"/>
    <w:rsid w:val="00B94AD3"/>
    <w:rsid w:val="00B9582A"/>
    <w:rsid w:val="00B95EEE"/>
    <w:rsid w:val="00B96341"/>
    <w:rsid w:val="00B96608"/>
    <w:rsid w:val="00B96F76"/>
    <w:rsid w:val="00B97E76"/>
    <w:rsid w:val="00BA1103"/>
    <w:rsid w:val="00BA1395"/>
    <w:rsid w:val="00BA4663"/>
    <w:rsid w:val="00BA55BD"/>
    <w:rsid w:val="00BA590D"/>
    <w:rsid w:val="00BA6654"/>
    <w:rsid w:val="00BB0137"/>
    <w:rsid w:val="00BB29E9"/>
    <w:rsid w:val="00BB34CA"/>
    <w:rsid w:val="00BB3A4B"/>
    <w:rsid w:val="00BB3CB2"/>
    <w:rsid w:val="00BB408F"/>
    <w:rsid w:val="00BB4545"/>
    <w:rsid w:val="00BB46FF"/>
    <w:rsid w:val="00BB4B4C"/>
    <w:rsid w:val="00BB56BB"/>
    <w:rsid w:val="00BB588A"/>
    <w:rsid w:val="00BC0BA6"/>
    <w:rsid w:val="00BC3078"/>
    <w:rsid w:val="00BC3897"/>
    <w:rsid w:val="00BC3F98"/>
    <w:rsid w:val="00BC51BC"/>
    <w:rsid w:val="00BC60AB"/>
    <w:rsid w:val="00BC668B"/>
    <w:rsid w:val="00BC6916"/>
    <w:rsid w:val="00BD03CF"/>
    <w:rsid w:val="00BD1C90"/>
    <w:rsid w:val="00BD1CF0"/>
    <w:rsid w:val="00BD2045"/>
    <w:rsid w:val="00BD225D"/>
    <w:rsid w:val="00BD3778"/>
    <w:rsid w:val="00BD651E"/>
    <w:rsid w:val="00BD6CD5"/>
    <w:rsid w:val="00BD7866"/>
    <w:rsid w:val="00BD78E7"/>
    <w:rsid w:val="00BE1C91"/>
    <w:rsid w:val="00BE35C4"/>
    <w:rsid w:val="00BE4CA3"/>
    <w:rsid w:val="00BE5064"/>
    <w:rsid w:val="00BE5734"/>
    <w:rsid w:val="00BE72B0"/>
    <w:rsid w:val="00BE7398"/>
    <w:rsid w:val="00BF04D3"/>
    <w:rsid w:val="00BF0AA1"/>
    <w:rsid w:val="00BF0C39"/>
    <w:rsid w:val="00BF2CA3"/>
    <w:rsid w:val="00BF4DC3"/>
    <w:rsid w:val="00BF6E59"/>
    <w:rsid w:val="00C00243"/>
    <w:rsid w:val="00C01DA2"/>
    <w:rsid w:val="00C02B26"/>
    <w:rsid w:val="00C030FC"/>
    <w:rsid w:val="00C03514"/>
    <w:rsid w:val="00C04981"/>
    <w:rsid w:val="00C04EE8"/>
    <w:rsid w:val="00C060D9"/>
    <w:rsid w:val="00C06B9A"/>
    <w:rsid w:val="00C137C0"/>
    <w:rsid w:val="00C138DB"/>
    <w:rsid w:val="00C147D9"/>
    <w:rsid w:val="00C1569B"/>
    <w:rsid w:val="00C172CA"/>
    <w:rsid w:val="00C175F2"/>
    <w:rsid w:val="00C202A7"/>
    <w:rsid w:val="00C205D0"/>
    <w:rsid w:val="00C20AFA"/>
    <w:rsid w:val="00C21A0B"/>
    <w:rsid w:val="00C21BDC"/>
    <w:rsid w:val="00C21DBB"/>
    <w:rsid w:val="00C225CE"/>
    <w:rsid w:val="00C229E7"/>
    <w:rsid w:val="00C23C8E"/>
    <w:rsid w:val="00C24AF8"/>
    <w:rsid w:val="00C2539C"/>
    <w:rsid w:val="00C2632D"/>
    <w:rsid w:val="00C273BC"/>
    <w:rsid w:val="00C32442"/>
    <w:rsid w:val="00C32503"/>
    <w:rsid w:val="00C32B34"/>
    <w:rsid w:val="00C33A24"/>
    <w:rsid w:val="00C33EB0"/>
    <w:rsid w:val="00C351BA"/>
    <w:rsid w:val="00C36FAB"/>
    <w:rsid w:val="00C371DE"/>
    <w:rsid w:val="00C3751E"/>
    <w:rsid w:val="00C37617"/>
    <w:rsid w:val="00C40E92"/>
    <w:rsid w:val="00C4116D"/>
    <w:rsid w:val="00C413E1"/>
    <w:rsid w:val="00C420AF"/>
    <w:rsid w:val="00C43BB4"/>
    <w:rsid w:val="00C4425D"/>
    <w:rsid w:val="00C45650"/>
    <w:rsid w:val="00C460A7"/>
    <w:rsid w:val="00C463C1"/>
    <w:rsid w:val="00C46CBC"/>
    <w:rsid w:val="00C47C4F"/>
    <w:rsid w:val="00C5586F"/>
    <w:rsid w:val="00C5759C"/>
    <w:rsid w:val="00C60C62"/>
    <w:rsid w:val="00C62611"/>
    <w:rsid w:val="00C630A8"/>
    <w:rsid w:val="00C645E1"/>
    <w:rsid w:val="00C6484D"/>
    <w:rsid w:val="00C6502E"/>
    <w:rsid w:val="00C658CE"/>
    <w:rsid w:val="00C70069"/>
    <w:rsid w:val="00C714E3"/>
    <w:rsid w:val="00C71527"/>
    <w:rsid w:val="00C71647"/>
    <w:rsid w:val="00C72954"/>
    <w:rsid w:val="00C73D32"/>
    <w:rsid w:val="00C768C7"/>
    <w:rsid w:val="00C77639"/>
    <w:rsid w:val="00C811F6"/>
    <w:rsid w:val="00C81F9C"/>
    <w:rsid w:val="00C828A5"/>
    <w:rsid w:val="00C8297C"/>
    <w:rsid w:val="00C83B40"/>
    <w:rsid w:val="00C84483"/>
    <w:rsid w:val="00C86705"/>
    <w:rsid w:val="00C9091E"/>
    <w:rsid w:val="00C91441"/>
    <w:rsid w:val="00C916DE"/>
    <w:rsid w:val="00C944CF"/>
    <w:rsid w:val="00C958AD"/>
    <w:rsid w:val="00C95936"/>
    <w:rsid w:val="00C95D50"/>
    <w:rsid w:val="00C962F2"/>
    <w:rsid w:val="00CA0704"/>
    <w:rsid w:val="00CA07D7"/>
    <w:rsid w:val="00CA18D9"/>
    <w:rsid w:val="00CA4108"/>
    <w:rsid w:val="00CA5D32"/>
    <w:rsid w:val="00CA6E77"/>
    <w:rsid w:val="00CB0C3A"/>
    <w:rsid w:val="00CB254C"/>
    <w:rsid w:val="00CB2C6B"/>
    <w:rsid w:val="00CB46AE"/>
    <w:rsid w:val="00CB53B0"/>
    <w:rsid w:val="00CB6D1E"/>
    <w:rsid w:val="00CB71D3"/>
    <w:rsid w:val="00CC00E5"/>
    <w:rsid w:val="00CC019D"/>
    <w:rsid w:val="00CC17E6"/>
    <w:rsid w:val="00CC1906"/>
    <w:rsid w:val="00CC1C19"/>
    <w:rsid w:val="00CC241E"/>
    <w:rsid w:val="00CC2425"/>
    <w:rsid w:val="00CC285B"/>
    <w:rsid w:val="00CC288F"/>
    <w:rsid w:val="00CC4365"/>
    <w:rsid w:val="00CC5310"/>
    <w:rsid w:val="00CC6626"/>
    <w:rsid w:val="00CC67E0"/>
    <w:rsid w:val="00CC6969"/>
    <w:rsid w:val="00CC69B8"/>
    <w:rsid w:val="00CC719C"/>
    <w:rsid w:val="00CC7707"/>
    <w:rsid w:val="00CD06DA"/>
    <w:rsid w:val="00CD17FD"/>
    <w:rsid w:val="00CD19FB"/>
    <w:rsid w:val="00CD2C69"/>
    <w:rsid w:val="00CD30B2"/>
    <w:rsid w:val="00CD3965"/>
    <w:rsid w:val="00CD3D59"/>
    <w:rsid w:val="00CD6D0A"/>
    <w:rsid w:val="00CD7A79"/>
    <w:rsid w:val="00CE0BDE"/>
    <w:rsid w:val="00CE116C"/>
    <w:rsid w:val="00CE1AD0"/>
    <w:rsid w:val="00CE2DE4"/>
    <w:rsid w:val="00CE408B"/>
    <w:rsid w:val="00CE7631"/>
    <w:rsid w:val="00CF1AAA"/>
    <w:rsid w:val="00CF2459"/>
    <w:rsid w:val="00CF6A44"/>
    <w:rsid w:val="00D00BD1"/>
    <w:rsid w:val="00D024E6"/>
    <w:rsid w:val="00D02AA3"/>
    <w:rsid w:val="00D02ADF"/>
    <w:rsid w:val="00D03A5E"/>
    <w:rsid w:val="00D043EE"/>
    <w:rsid w:val="00D04D0B"/>
    <w:rsid w:val="00D1047B"/>
    <w:rsid w:val="00D10E17"/>
    <w:rsid w:val="00D11112"/>
    <w:rsid w:val="00D1310E"/>
    <w:rsid w:val="00D133B2"/>
    <w:rsid w:val="00D15320"/>
    <w:rsid w:val="00D155D7"/>
    <w:rsid w:val="00D200B9"/>
    <w:rsid w:val="00D20A25"/>
    <w:rsid w:val="00D215E2"/>
    <w:rsid w:val="00D21823"/>
    <w:rsid w:val="00D24111"/>
    <w:rsid w:val="00D26C40"/>
    <w:rsid w:val="00D26C98"/>
    <w:rsid w:val="00D26E71"/>
    <w:rsid w:val="00D2742F"/>
    <w:rsid w:val="00D27BBD"/>
    <w:rsid w:val="00D307F4"/>
    <w:rsid w:val="00D30AA5"/>
    <w:rsid w:val="00D31046"/>
    <w:rsid w:val="00D315FB"/>
    <w:rsid w:val="00D31C4E"/>
    <w:rsid w:val="00D33171"/>
    <w:rsid w:val="00D3462C"/>
    <w:rsid w:val="00D34E8C"/>
    <w:rsid w:val="00D3576A"/>
    <w:rsid w:val="00D36358"/>
    <w:rsid w:val="00D36379"/>
    <w:rsid w:val="00D363A2"/>
    <w:rsid w:val="00D36895"/>
    <w:rsid w:val="00D37275"/>
    <w:rsid w:val="00D3763F"/>
    <w:rsid w:val="00D37CEB"/>
    <w:rsid w:val="00D4046D"/>
    <w:rsid w:val="00D4085D"/>
    <w:rsid w:val="00D40DAD"/>
    <w:rsid w:val="00D427E6"/>
    <w:rsid w:val="00D448C0"/>
    <w:rsid w:val="00D46B5E"/>
    <w:rsid w:val="00D470BE"/>
    <w:rsid w:val="00D473A4"/>
    <w:rsid w:val="00D47E24"/>
    <w:rsid w:val="00D51BD5"/>
    <w:rsid w:val="00D52B8E"/>
    <w:rsid w:val="00D534A6"/>
    <w:rsid w:val="00D559E6"/>
    <w:rsid w:val="00D561A9"/>
    <w:rsid w:val="00D566D4"/>
    <w:rsid w:val="00D5765C"/>
    <w:rsid w:val="00D57914"/>
    <w:rsid w:val="00D57B02"/>
    <w:rsid w:val="00D57C8E"/>
    <w:rsid w:val="00D604E3"/>
    <w:rsid w:val="00D606F7"/>
    <w:rsid w:val="00D613CA"/>
    <w:rsid w:val="00D645DB"/>
    <w:rsid w:val="00D656D1"/>
    <w:rsid w:val="00D66BC0"/>
    <w:rsid w:val="00D677A3"/>
    <w:rsid w:val="00D67A60"/>
    <w:rsid w:val="00D705EC"/>
    <w:rsid w:val="00D71090"/>
    <w:rsid w:val="00D71EB4"/>
    <w:rsid w:val="00D7210B"/>
    <w:rsid w:val="00D72194"/>
    <w:rsid w:val="00D727F9"/>
    <w:rsid w:val="00D72CBE"/>
    <w:rsid w:val="00D73046"/>
    <w:rsid w:val="00D741DD"/>
    <w:rsid w:val="00D7511D"/>
    <w:rsid w:val="00D763E3"/>
    <w:rsid w:val="00D82D8E"/>
    <w:rsid w:val="00D84ADF"/>
    <w:rsid w:val="00D85239"/>
    <w:rsid w:val="00D862B5"/>
    <w:rsid w:val="00D877D7"/>
    <w:rsid w:val="00D92A3F"/>
    <w:rsid w:val="00D945C6"/>
    <w:rsid w:val="00D94A06"/>
    <w:rsid w:val="00D94AAD"/>
    <w:rsid w:val="00D94CEA"/>
    <w:rsid w:val="00D95E73"/>
    <w:rsid w:val="00D9703C"/>
    <w:rsid w:val="00D975A7"/>
    <w:rsid w:val="00D97F86"/>
    <w:rsid w:val="00DA1E7A"/>
    <w:rsid w:val="00DA2814"/>
    <w:rsid w:val="00DA2A9C"/>
    <w:rsid w:val="00DA2F81"/>
    <w:rsid w:val="00DA4110"/>
    <w:rsid w:val="00DA4ADC"/>
    <w:rsid w:val="00DA635E"/>
    <w:rsid w:val="00DA7351"/>
    <w:rsid w:val="00DA7810"/>
    <w:rsid w:val="00DB0D84"/>
    <w:rsid w:val="00DB2385"/>
    <w:rsid w:val="00DB26E9"/>
    <w:rsid w:val="00DB35F5"/>
    <w:rsid w:val="00DB6238"/>
    <w:rsid w:val="00DB72A0"/>
    <w:rsid w:val="00DB73A5"/>
    <w:rsid w:val="00DC0791"/>
    <w:rsid w:val="00DC0B69"/>
    <w:rsid w:val="00DC2897"/>
    <w:rsid w:val="00DC2A77"/>
    <w:rsid w:val="00DC4EBC"/>
    <w:rsid w:val="00DC5F53"/>
    <w:rsid w:val="00DC6F49"/>
    <w:rsid w:val="00DD14C1"/>
    <w:rsid w:val="00DD44E0"/>
    <w:rsid w:val="00DD4BF2"/>
    <w:rsid w:val="00DD505F"/>
    <w:rsid w:val="00DD5337"/>
    <w:rsid w:val="00DE17E1"/>
    <w:rsid w:val="00DE1BC3"/>
    <w:rsid w:val="00DE1FC8"/>
    <w:rsid w:val="00DE225D"/>
    <w:rsid w:val="00DE256C"/>
    <w:rsid w:val="00DE2BDE"/>
    <w:rsid w:val="00DE343F"/>
    <w:rsid w:val="00DE34E6"/>
    <w:rsid w:val="00DE37AE"/>
    <w:rsid w:val="00DE3F81"/>
    <w:rsid w:val="00DE6CCA"/>
    <w:rsid w:val="00DF11B3"/>
    <w:rsid w:val="00DF2F23"/>
    <w:rsid w:val="00DF3670"/>
    <w:rsid w:val="00DF37D0"/>
    <w:rsid w:val="00DF3CB6"/>
    <w:rsid w:val="00DF57F8"/>
    <w:rsid w:val="00DF5B3A"/>
    <w:rsid w:val="00DF6C03"/>
    <w:rsid w:val="00DF7D3B"/>
    <w:rsid w:val="00E011A8"/>
    <w:rsid w:val="00E03038"/>
    <w:rsid w:val="00E0316F"/>
    <w:rsid w:val="00E035A9"/>
    <w:rsid w:val="00E04610"/>
    <w:rsid w:val="00E051A1"/>
    <w:rsid w:val="00E060C6"/>
    <w:rsid w:val="00E0623D"/>
    <w:rsid w:val="00E06283"/>
    <w:rsid w:val="00E079BE"/>
    <w:rsid w:val="00E10614"/>
    <w:rsid w:val="00E10C86"/>
    <w:rsid w:val="00E1120B"/>
    <w:rsid w:val="00E11C2C"/>
    <w:rsid w:val="00E12510"/>
    <w:rsid w:val="00E13209"/>
    <w:rsid w:val="00E15859"/>
    <w:rsid w:val="00E15BCB"/>
    <w:rsid w:val="00E169DA"/>
    <w:rsid w:val="00E171DF"/>
    <w:rsid w:val="00E1746B"/>
    <w:rsid w:val="00E20FD1"/>
    <w:rsid w:val="00E212CF"/>
    <w:rsid w:val="00E22A67"/>
    <w:rsid w:val="00E22BE3"/>
    <w:rsid w:val="00E23694"/>
    <w:rsid w:val="00E27033"/>
    <w:rsid w:val="00E27AD8"/>
    <w:rsid w:val="00E3046A"/>
    <w:rsid w:val="00E31247"/>
    <w:rsid w:val="00E34260"/>
    <w:rsid w:val="00E3563D"/>
    <w:rsid w:val="00E36371"/>
    <w:rsid w:val="00E36670"/>
    <w:rsid w:val="00E373FA"/>
    <w:rsid w:val="00E3797E"/>
    <w:rsid w:val="00E40B11"/>
    <w:rsid w:val="00E42642"/>
    <w:rsid w:val="00E42AA3"/>
    <w:rsid w:val="00E43ACE"/>
    <w:rsid w:val="00E441AD"/>
    <w:rsid w:val="00E44AA5"/>
    <w:rsid w:val="00E45F1F"/>
    <w:rsid w:val="00E47143"/>
    <w:rsid w:val="00E474B0"/>
    <w:rsid w:val="00E47A3B"/>
    <w:rsid w:val="00E55080"/>
    <w:rsid w:val="00E553D5"/>
    <w:rsid w:val="00E5544F"/>
    <w:rsid w:val="00E55DF3"/>
    <w:rsid w:val="00E562BD"/>
    <w:rsid w:val="00E56C89"/>
    <w:rsid w:val="00E56E26"/>
    <w:rsid w:val="00E62207"/>
    <w:rsid w:val="00E63E13"/>
    <w:rsid w:val="00E65C94"/>
    <w:rsid w:val="00E6655B"/>
    <w:rsid w:val="00E66F54"/>
    <w:rsid w:val="00E6772E"/>
    <w:rsid w:val="00E71099"/>
    <w:rsid w:val="00E71A0D"/>
    <w:rsid w:val="00E74900"/>
    <w:rsid w:val="00E76D98"/>
    <w:rsid w:val="00E773D1"/>
    <w:rsid w:val="00E77497"/>
    <w:rsid w:val="00E803FD"/>
    <w:rsid w:val="00E815D3"/>
    <w:rsid w:val="00E818E5"/>
    <w:rsid w:val="00E81A57"/>
    <w:rsid w:val="00E81BF9"/>
    <w:rsid w:val="00E82BC0"/>
    <w:rsid w:val="00E834C6"/>
    <w:rsid w:val="00E83CF6"/>
    <w:rsid w:val="00E83F33"/>
    <w:rsid w:val="00E84185"/>
    <w:rsid w:val="00E84A4D"/>
    <w:rsid w:val="00E86443"/>
    <w:rsid w:val="00E879F9"/>
    <w:rsid w:val="00E90E35"/>
    <w:rsid w:val="00E91614"/>
    <w:rsid w:val="00E93E81"/>
    <w:rsid w:val="00E943FF"/>
    <w:rsid w:val="00E961D2"/>
    <w:rsid w:val="00E96719"/>
    <w:rsid w:val="00E97517"/>
    <w:rsid w:val="00EA175A"/>
    <w:rsid w:val="00EA1875"/>
    <w:rsid w:val="00EA20E2"/>
    <w:rsid w:val="00EA242B"/>
    <w:rsid w:val="00EA272A"/>
    <w:rsid w:val="00EA5EFE"/>
    <w:rsid w:val="00EA6129"/>
    <w:rsid w:val="00EB07AE"/>
    <w:rsid w:val="00EB0B29"/>
    <w:rsid w:val="00EB220B"/>
    <w:rsid w:val="00EB2328"/>
    <w:rsid w:val="00EB232E"/>
    <w:rsid w:val="00EB2394"/>
    <w:rsid w:val="00EB24FA"/>
    <w:rsid w:val="00EB3445"/>
    <w:rsid w:val="00EB3DA0"/>
    <w:rsid w:val="00EB5E7D"/>
    <w:rsid w:val="00EB6870"/>
    <w:rsid w:val="00EB7BE1"/>
    <w:rsid w:val="00EB7F43"/>
    <w:rsid w:val="00EC09FC"/>
    <w:rsid w:val="00EC0FAB"/>
    <w:rsid w:val="00EC1367"/>
    <w:rsid w:val="00EC2EF3"/>
    <w:rsid w:val="00EC47BD"/>
    <w:rsid w:val="00EC7B5A"/>
    <w:rsid w:val="00ED0911"/>
    <w:rsid w:val="00ED21A3"/>
    <w:rsid w:val="00ED2F66"/>
    <w:rsid w:val="00ED31E8"/>
    <w:rsid w:val="00ED48C0"/>
    <w:rsid w:val="00ED65AA"/>
    <w:rsid w:val="00ED7592"/>
    <w:rsid w:val="00EE038D"/>
    <w:rsid w:val="00EE1DBD"/>
    <w:rsid w:val="00EE1EF6"/>
    <w:rsid w:val="00EE2E96"/>
    <w:rsid w:val="00EE2F38"/>
    <w:rsid w:val="00EE305E"/>
    <w:rsid w:val="00EE6BC6"/>
    <w:rsid w:val="00EE7235"/>
    <w:rsid w:val="00EE769A"/>
    <w:rsid w:val="00EF057D"/>
    <w:rsid w:val="00EF1D33"/>
    <w:rsid w:val="00EF21F5"/>
    <w:rsid w:val="00EF24DE"/>
    <w:rsid w:val="00EF3C06"/>
    <w:rsid w:val="00EF5AAD"/>
    <w:rsid w:val="00EF6992"/>
    <w:rsid w:val="00EF6C8E"/>
    <w:rsid w:val="00EF74BD"/>
    <w:rsid w:val="00F01707"/>
    <w:rsid w:val="00F01DCA"/>
    <w:rsid w:val="00F01FDE"/>
    <w:rsid w:val="00F024BC"/>
    <w:rsid w:val="00F04DBE"/>
    <w:rsid w:val="00F068E7"/>
    <w:rsid w:val="00F07F8D"/>
    <w:rsid w:val="00F10438"/>
    <w:rsid w:val="00F10996"/>
    <w:rsid w:val="00F124DE"/>
    <w:rsid w:val="00F139E7"/>
    <w:rsid w:val="00F13F57"/>
    <w:rsid w:val="00F1540C"/>
    <w:rsid w:val="00F15789"/>
    <w:rsid w:val="00F15CC4"/>
    <w:rsid w:val="00F17882"/>
    <w:rsid w:val="00F20BC1"/>
    <w:rsid w:val="00F21299"/>
    <w:rsid w:val="00F23877"/>
    <w:rsid w:val="00F24BF9"/>
    <w:rsid w:val="00F24D02"/>
    <w:rsid w:val="00F2596B"/>
    <w:rsid w:val="00F262BC"/>
    <w:rsid w:val="00F26E07"/>
    <w:rsid w:val="00F30202"/>
    <w:rsid w:val="00F3284E"/>
    <w:rsid w:val="00F33E54"/>
    <w:rsid w:val="00F34320"/>
    <w:rsid w:val="00F3461C"/>
    <w:rsid w:val="00F357DD"/>
    <w:rsid w:val="00F372E3"/>
    <w:rsid w:val="00F37E26"/>
    <w:rsid w:val="00F40431"/>
    <w:rsid w:val="00F40457"/>
    <w:rsid w:val="00F40B86"/>
    <w:rsid w:val="00F42052"/>
    <w:rsid w:val="00F4218B"/>
    <w:rsid w:val="00F42F9A"/>
    <w:rsid w:val="00F43026"/>
    <w:rsid w:val="00F44340"/>
    <w:rsid w:val="00F444EC"/>
    <w:rsid w:val="00F44BE2"/>
    <w:rsid w:val="00F45A0B"/>
    <w:rsid w:val="00F45DC6"/>
    <w:rsid w:val="00F4634F"/>
    <w:rsid w:val="00F465B3"/>
    <w:rsid w:val="00F46BF0"/>
    <w:rsid w:val="00F47EEC"/>
    <w:rsid w:val="00F521C4"/>
    <w:rsid w:val="00F527F1"/>
    <w:rsid w:val="00F53289"/>
    <w:rsid w:val="00F541DD"/>
    <w:rsid w:val="00F560F7"/>
    <w:rsid w:val="00F56844"/>
    <w:rsid w:val="00F6036D"/>
    <w:rsid w:val="00F62091"/>
    <w:rsid w:val="00F62119"/>
    <w:rsid w:val="00F63592"/>
    <w:rsid w:val="00F635F4"/>
    <w:rsid w:val="00F64922"/>
    <w:rsid w:val="00F64E40"/>
    <w:rsid w:val="00F66272"/>
    <w:rsid w:val="00F6727C"/>
    <w:rsid w:val="00F67858"/>
    <w:rsid w:val="00F703D8"/>
    <w:rsid w:val="00F70D3C"/>
    <w:rsid w:val="00F717E7"/>
    <w:rsid w:val="00F7201D"/>
    <w:rsid w:val="00F72A4F"/>
    <w:rsid w:val="00F73FD6"/>
    <w:rsid w:val="00F75077"/>
    <w:rsid w:val="00F76C9B"/>
    <w:rsid w:val="00F7749C"/>
    <w:rsid w:val="00F80102"/>
    <w:rsid w:val="00F806EB"/>
    <w:rsid w:val="00F80A21"/>
    <w:rsid w:val="00F80E39"/>
    <w:rsid w:val="00F8106B"/>
    <w:rsid w:val="00F8379A"/>
    <w:rsid w:val="00F83F67"/>
    <w:rsid w:val="00F8652B"/>
    <w:rsid w:val="00F86A71"/>
    <w:rsid w:val="00F86AAE"/>
    <w:rsid w:val="00F90BAA"/>
    <w:rsid w:val="00F90CAD"/>
    <w:rsid w:val="00F913DE"/>
    <w:rsid w:val="00F940B7"/>
    <w:rsid w:val="00F94363"/>
    <w:rsid w:val="00F94FF8"/>
    <w:rsid w:val="00F9591D"/>
    <w:rsid w:val="00F96BB7"/>
    <w:rsid w:val="00F96E6F"/>
    <w:rsid w:val="00F9745A"/>
    <w:rsid w:val="00F97EEF"/>
    <w:rsid w:val="00FA14CA"/>
    <w:rsid w:val="00FA3461"/>
    <w:rsid w:val="00FA55D3"/>
    <w:rsid w:val="00FA7426"/>
    <w:rsid w:val="00FB2F99"/>
    <w:rsid w:val="00FB3B6A"/>
    <w:rsid w:val="00FB608A"/>
    <w:rsid w:val="00FB6185"/>
    <w:rsid w:val="00FB6802"/>
    <w:rsid w:val="00FB6924"/>
    <w:rsid w:val="00FB6CA2"/>
    <w:rsid w:val="00FB7744"/>
    <w:rsid w:val="00FC1B4C"/>
    <w:rsid w:val="00FC61F9"/>
    <w:rsid w:val="00FD00F3"/>
    <w:rsid w:val="00FD1F8C"/>
    <w:rsid w:val="00FD53B4"/>
    <w:rsid w:val="00FD59A1"/>
    <w:rsid w:val="00FD6F19"/>
    <w:rsid w:val="00FE0C4A"/>
    <w:rsid w:val="00FE297E"/>
    <w:rsid w:val="00FE3421"/>
    <w:rsid w:val="00FE3892"/>
    <w:rsid w:val="00FE3C4E"/>
    <w:rsid w:val="00FE43E0"/>
    <w:rsid w:val="00FE48DE"/>
    <w:rsid w:val="00FE4C47"/>
    <w:rsid w:val="00FE5004"/>
    <w:rsid w:val="00FE5F56"/>
    <w:rsid w:val="00FE6842"/>
    <w:rsid w:val="00FE7228"/>
    <w:rsid w:val="00FE7F58"/>
    <w:rsid w:val="00FF06C9"/>
    <w:rsid w:val="00FF1BF8"/>
    <w:rsid w:val="00FF398E"/>
    <w:rsid w:val="00FF41E2"/>
    <w:rsid w:val="00FF4CBF"/>
    <w:rsid w:val="00FF5B82"/>
    <w:rsid w:val="00FF6E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CAC12FBB-53F7-4C63-84A9-209E1B687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en-GB" w:bidi="en-GB"/>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C4F"/>
    <w:rPr>
      <w:sz w:val="24"/>
      <w:szCs w:val="24"/>
    </w:rPr>
  </w:style>
  <w:style w:type="paragraph" w:styleId="Heading1">
    <w:name w:val="heading 1"/>
    <w:basedOn w:val="Normal"/>
    <w:next w:val="BodyText"/>
    <w:link w:val="Heading1Char"/>
    <w:uiPriority w:val="99"/>
    <w:qFormat/>
    <w:rsid w:val="00952BC7"/>
    <w:pPr>
      <w:keepNext/>
      <w:widowControl w:val="0"/>
      <w:numPr>
        <w:numId w:val="1"/>
      </w:numPr>
      <w:suppressAutoHyphens/>
      <w:overflowPunct w:val="0"/>
      <w:autoSpaceDE w:val="0"/>
      <w:autoSpaceDN w:val="0"/>
      <w:adjustRightInd w:val="0"/>
      <w:spacing w:before="240" w:after="60"/>
      <w:textAlignment w:val="baseline"/>
      <w:outlineLvl w:val="0"/>
    </w:pPr>
    <w:rPr>
      <w:b/>
      <w:kern w:val="1"/>
      <w:sz w:val="40"/>
      <w:szCs w:val="20"/>
    </w:rPr>
  </w:style>
  <w:style w:type="paragraph" w:styleId="Heading2">
    <w:name w:val="heading 2"/>
    <w:basedOn w:val="Normal"/>
    <w:next w:val="BodyText"/>
    <w:link w:val="Heading2Char"/>
    <w:uiPriority w:val="99"/>
    <w:qFormat/>
    <w:rsid w:val="00952BC7"/>
    <w:pPr>
      <w:keepNext/>
      <w:widowControl w:val="0"/>
      <w:numPr>
        <w:ilvl w:val="1"/>
        <w:numId w:val="1"/>
      </w:numPr>
      <w:suppressAutoHyphens/>
      <w:overflowPunct w:val="0"/>
      <w:autoSpaceDE w:val="0"/>
      <w:autoSpaceDN w:val="0"/>
      <w:adjustRightInd w:val="0"/>
      <w:spacing w:before="240" w:after="60"/>
      <w:textAlignment w:val="baseline"/>
      <w:outlineLvl w:val="1"/>
    </w:pPr>
    <w:rPr>
      <w:b/>
      <w:kern w:val="1"/>
      <w:sz w:val="32"/>
      <w:szCs w:val="20"/>
    </w:rPr>
  </w:style>
  <w:style w:type="paragraph" w:styleId="Heading3">
    <w:name w:val="heading 3"/>
    <w:basedOn w:val="Normal"/>
    <w:next w:val="BodyText"/>
    <w:link w:val="Heading3Char"/>
    <w:uiPriority w:val="99"/>
    <w:qFormat/>
    <w:rsid w:val="00952BC7"/>
    <w:pPr>
      <w:keepNext/>
      <w:widowControl w:val="0"/>
      <w:numPr>
        <w:ilvl w:val="2"/>
        <w:numId w:val="1"/>
      </w:numPr>
      <w:suppressAutoHyphens/>
      <w:overflowPunct w:val="0"/>
      <w:autoSpaceDE w:val="0"/>
      <w:autoSpaceDN w:val="0"/>
      <w:adjustRightInd w:val="0"/>
      <w:spacing w:before="240" w:after="60"/>
      <w:textAlignment w:val="baseline"/>
      <w:outlineLvl w:val="2"/>
    </w:pPr>
    <w:rPr>
      <w:b/>
      <w:kern w:val="1"/>
      <w:sz w:val="32"/>
      <w:szCs w:val="20"/>
    </w:rPr>
  </w:style>
  <w:style w:type="paragraph" w:styleId="Heading4">
    <w:name w:val="heading 4"/>
    <w:basedOn w:val="Normal"/>
    <w:next w:val="BodyText"/>
    <w:link w:val="Heading4Char"/>
    <w:uiPriority w:val="99"/>
    <w:qFormat/>
    <w:rsid w:val="00952BC7"/>
    <w:pPr>
      <w:keepNext/>
      <w:widowControl w:val="0"/>
      <w:numPr>
        <w:ilvl w:val="3"/>
        <w:numId w:val="1"/>
      </w:numPr>
      <w:suppressAutoHyphens/>
      <w:overflowPunct w:val="0"/>
      <w:autoSpaceDE w:val="0"/>
      <w:autoSpaceDN w:val="0"/>
      <w:adjustRightInd w:val="0"/>
      <w:spacing w:before="240" w:after="60"/>
      <w:textAlignment w:val="baseline"/>
      <w:outlineLvl w:val="3"/>
    </w:pPr>
    <w:rPr>
      <w:b/>
      <w:kern w:val="1"/>
      <w:szCs w:val="20"/>
    </w:rPr>
  </w:style>
  <w:style w:type="paragraph" w:styleId="Heading5">
    <w:name w:val="heading 5"/>
    <w:basedOn w:val="Normal"/>
    <w:next w:val="BodyText"/>
    <w:link w:val="Heading5Char"/>
    <w:uiPriority w:val="99"/>
    <w:qFormat/>
    <w:rsid w:val="00952BC7"/>
    <w:pPr>
      <w:keepNext/>
      <w:widowControl w:val="0"/>
      <w:numPr>
        <w:ilvl w:val="4"/>
        <w:numId w:val="1"/>
      </w:numPr>
      <w:suppressAutoHyphens/>
      <w:overflowPunct w:val="0"/>
      <w:autoSpaceDE w:val="0"/>
      <w:autoSpaceDN w:val="0"/>
      <w:adjustRightInd w:val="0"/>
      <w:spacing w:before="240" w:after="60"/>
      <w:textAlignment w:val="baseline"/>
      <w:outlineLvl w:val="4"/>
    </w:pPr>
    <w:rPr>
      <w:b/>
      <w:kern w:val="1"/>
      <w:szCs w:val="20"/>
    </w:rPr>
  </w:style>
  <w:style w:type="paragraph" w:styleId="Heading6">
    <w:name w:val="heading 6"/>
    <w:basedOn w:val="Normal"/>
    <w:next w:val="BodyText"/>
    <w:link w:val="Heading6Char"/>
    <w:uiPriority w:val="99"/>
    <w:qFormat/>
    <w:rsid w:val="00952BC7"/>
    <w:pPr>
      <w:keepNext/>
      <w:widowControl w:val="0"/>
      <w:numPr>
        <w:ilvl w:val="5"/>
        <w:numId w:val="1"/>
      </w:numPr>
      <w:suppressAutoHyphens/>
      <w:overflowPunct w:val="0"/>
      <w:autoSpaceDE w:val="0"/>
      <w:autoSpaceDN w:val="0"/>
      <w:adjustRightInd w:val="0"/>
      <w:spacing w:before="240" w:after="60"/>
      <w:textAlignment w:val="baseline"/>
      <w:outlineLvl w:val="5"/>
    </w:pPr>
    <w:rPr>
      <w:b/>
      <w:kern w:val="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52BC7"/>
    <w:rPr>
      <w:b/>
      <w:kern w:val="1"/>
      <w:sz w:val="40"/>
    </w:rPr>
  </w:style>
  <w:style w:type="character" w:customStyle="1" w:styleId="Heading2Char">
    <w:name w:val="Heading 2 Char"/>
    <w:link w:val="Heading2"/>
    <w:uiPriority w:val="99"/>
    <w:locked/>
    <w:rsid w:val="00952BC7"/>
    <w:rPr>
      <w:b/>
      <w:kern w:val="1"/>
      <w:sz w:val="32"/>
    </w:rPr>
  </w:style>
  <w:style w:type="character" w:customStyle="1" w:styleId="Heading3Char">
    <w:name w:val="Heading 3 Char"/>
    <w:link w:val="Heading3"/>
    <w:uiPriority w:val="99"/>
    <w:locked/>
    <w:rsid w:val="00952BC7"/>
    <w:rPr>
      <w:b/>
      <w:kern w:val="1"/>
      <w:sz w:val="32"/>
    </w:rPr>
  </w:style>
  <w:style w:type="character" w:customStyle="1" w:styleId="Heading4Char">
    <w:name w:val="Heading 4 Char"/>
    <w:link w:val="Heading4"/>
    <w:uiPriority w:val="99"/>
    <w:locked/>
    <w:rsid w:val="00952BC7"/>
    <w:rPr>
      <w:b/>
      <w:kern w:val="1"/>
      <w:sz w:val="24"/>
    </w:rPr>
  </w:style>
  <w:style w:type="character" w:customStyle="1" w:styleId="Heading5Char">
    <w:name w:val="Heading 5 Char"/>
    <w:link w:val="Heading5"/>
    <w:uiPriority w:val="99"/>
    <w:locked/>
    <w:rsid w:val="00952BC7"/>
    <w:rPr>
      <w:b/>
      <w:kern w:val="1"/>
      <w:sz w:val="24"/>
    </w:rPr>
  </w:style>
  <w:style w:type="character" w:customStyle="1" w:styleId="Heading6Char">
    <w:name w:val="Heading 6 Char"/>
    <w:link w:val="Heading6"/>
    <w:uiPriority w:val="99"/>
    <w:locked/>
    <w:rsid w:val="00952BC7"/>
    <w:rPr>
      <w:b/>
      <w:kern w:val="1"/>
      <w:sz w:val="24"/>
    </w:rPr>
  </w:style>
  <w:style w:type="character" w:customStyle="1" w:styleId="Bekezdsalapbettpusa1">
    <w:name w:val="Bekezdés alapbetűtípusa1"/>
    <w:uiPriority w:val="99"/>
    <w:rsid w:val="00952BC7"/>
  </w:style>
  <w:style w:type="paragraph" w:styleId="Header">
    <w:name w:val="header"/>
    <w:basedOn w:val="Normal"/>
    <w:link w:val="HeaderChar"/>
    <w:uiPriority w:val="99"/>
    <w:rsid w:val="00146C4F"/>
    <w:pPr>
      <w:tabs>
        <w:tab w:val="center" w:pos="4536"/>
        <w:tab w:val="right" w:pos="9072"/>
      </w:tabs>
    </w:pPr>
  </w:style>
  <w:style w:type="character" w:customStyle="1" w:styleId="HeaderChar">
    <w:name w:val="Header Char"/>
    <w:link w:val="Header"/>
    <w:uiPriority w:val="99"/>
    <w:locked/>
    <w:rsid w:val="0039322A"/>
    <w:rPr>
      <w:rFonts w:cs="Times New Roman"/>
      <w:sz w:val="24"/>
      <w:szCs w:val="24"/>
    </w:rPr>
  </w:style>
  <w:style w:type="paragraph" w:styleId="Footer">
    <w:name w:val="footer"/>
    <w:basedOn w:val="Normal"/>
    <w:link w:val="FooterChar"/>
    <w:uiPriority w:val="99"/>
    <w:rsid w:val="00146C4F"/>
    <w:pPr>
      <w:tabs>
        <w:tab w:val="center" w:pos="4536"/>
        <w:tab w:val="right" w:pos="9072"/>
      </w:tabs>
    </w:pPr>
  </w:style>
  <w:style w:type="character" w:customStyle="1" w:styleId="FooterChar">
    <w:name w:val="Footer Char"/>
    <w:link w:val="Footer"/>
    <w:uiPriority w:val="99"/>
    <w:locked/>
    <w:rsid w:val="006536F7"/>
    <w:rPr>
      <w:rFonts w:cs="Times New Roman"/>
      <w:sz w:val="24"/>
      <w:szCs w:val="24"/>
    </w:rPr>
  </w:style>
  <w:style w:type="paragraph" w:styleId="ListParagraph">
    <w:name w:val="List Paragraph"/>
    <w:aliases w:val="Welt L Char,Welt L,Bullet List,FooterText,numbered,Paragraphe de liste1,Bulletr List Paragraph,列出段落,列出段落1,Listeafsnit1,Parágrafo da Lista1,List Paragraph2,List Paragraph21,リスト段落1,Párrafo de lista1,Listaszerű bekezdés5"/>
    <w:basedOn w:val="Normal"/>
    <w:link w:val="ListParagraphChar"/>
    <w:uiPriority w:val="34"/>
    <w:qFormat/>
    <w:rsid w:val="006536F7"/>
    <w:pPr>
      <w:ind w:left="720"/>
      <w:contextualSpacing/>
    </w:pPr>
  </w:style>
  <w:style w:type="paragraph" w:customStyle="1" w:styleId="Iktatszm">
    <w:name w:val="Iktatószám"/>
    <w:basedOn w:val="Normal"/>
    <w:uiPriority w:val="99"/>
    <w:rsid w:val="00146C4F"/>
    <w:pPr>
      <w:jc w:val="center"/>
    </w:pPr>
    <w:rPr>
      <w:b/>
      <w:caps/>
    </w:rPr>
  </w:style>
  <w:style w:type="character" w:styleId="PageNumber">
    <w:name w:val="page number"/>
    <w:uiPriority w:val="99"/>
    <w:rsid w:val="007E6F4D"/>
    <w:rPr>
      <w:rFonts w:cs="Times New Roman"/>
    </w:rPr>
  </w:style>
  <w:style w:type="paragraph" w:styleId="BodyText2">
    <w:name w:val="Body Text 2"/>
    <w:basedOn w:val="Normal"/>
    <w:link w:val="BodyText2Char"/>
    <w:uiPriority w:val="99"/>
    <w:rsid w:val="005C48EC"/>
    <w:pPr>
      <w:spacing w:after="120" w:line="480" w:lineRule="auto"/>
    </w:pPr>
  </w:style>
  <w:style w:type="character" w:customStyle="1" w:styleId="BodyText2Char">
    <w:name w:val="Body Text 2 Char"/>
    <w:link w:val="BodyText2"/>
    <w:uiPriority w:val="99"/>
    <w:semiHidden/>
    <w:locked/>
    <w:rsid w:val="0039322A"/>
    <w:rPr>
      <w:rFonts w:cs="Times New Roman"/>
      <w:sz w:val="24"/>
      <w:szCs w:val="24"/>
    </w:rPr>
  </w:style>
  <w:style w:type="paragraph" w:customStyle="1" w:styleId="Fszveg">
    <w:name w:val="Főszöveg"/>
    <w:basedOn w:val="BodyText3"/>
    <w:rsid w:val="002E14B8"/>
    <w:pPr>
      <w:autoSpaceDE w:val="0"/>
      <w:autoSpaceDN w:val="0"/>
      <w:spacing w:after="0" w:line="360" w:lineRule="auto"/>
      <w:jc w:val="both"/>
    </w:pPr>
    <w:rPr>
      <w:sz w:val="28"/>
      <w:szCs w:val="26"/>
    </w:rPr>
  </w:style>
  <w:style w:type="paragraph" w:styleId="BodyText3">
    <w:name w:val="Body Text 3"/>
    <w:basedOn w:val="Normal"/>
    <w:link w:val="BodyText3Char"/>
    <w:uiPriority w:val="99"/>
    <w:rsid w:val="002E14B8"/>
    <w:pPr>
      <w:spacing w:after="120"/>
    </w:pPr>
    <w:rPr>
      <w:sz w:val="16"/>
      <w:szCs w:val="16"/>
    </w:rPr>
  </w:style>
  <w:style w:type="character" w:customStyle="1" w:styleId="BodyText3Char">
    <w:name w:val="Body Text 3 Char"/>
    <w:link w:val="BodyText3"/>
    <w:uiPriority w:val="99"/>
    <w:semiHidden/>
    <w:locked/>
    <w:rsid w:val="0039322A"/>
    <w:rPr>
      <w:rFonts w:cs="Times New Roman"/>
      <w:sz w:val="16"/>
      <w:szCs w:val="16"/>
    </w:rPr>
  </w:style>
  <w:style w:type="character" w:styleId="Hyperlink">
    <w:name w:val="Hyperlink"/>
    <w:uiPriority w:val="99"/>
    <w:rsid w:val="00DC0B69"/>
    <w:rPr>
      <w:rFonts w:cs="Times New Roman"/>
      <w:color w:val="0000FF"/>
      <w:u w:val="single"/>
    </w:rPr>
  </w:style>
  <w:style w:type="paragraph" w:styleId="NormalWeb">
    <w:name w:val="Normal (Web)"/>
    <w:basedOn w:val="Normal"/>
    <w:uiPriority w:val="99"/>
    <w:rsid w:val="00DC0B69"/>
    <w:pPr>
      <w:spacing w:before="150" w:after="150"/>
      <w:ind w:left="675" w:right="525"/>
    </w:pPr>
    <w:rPr>
      <w:sz w:val="19"/>
      <w:szCs w:val="19"/>
    </w:rPr>
  </w:style>
  <w:style w:type="character" w:customStyle="1" w:styleId="Cmsor1Char1">
    <w:name w:val="Címsor 1 Char1"/>
    <w:uiPriority w:val="99"/>
    <w:rsid w:val="00952BC7"/>
    <w:rPr>
      <w:rFonts w:ascii="Cambria" w:hAnsi="Cambria"/>
      <w:b/>
      <w:kern w:val="1"/>
      <w:sz w:val="32"/>
    </w:rPr>
  </w:style>
  <w:style w:type="character" w:customStyle="1" w:styleId="Cmsor2Char1">
    <w:name w:val="Címsor 2 Char1"/>
    <w:uiPriority w:val="99"/>
    <w:rsid w:val="00952BC7"/>
    <w:rPr>
      <w:rFonts w:ascii="Cambria" w:hAnsi="Cambria"/>
      <w:b/>
      <w:i/>
      <w:sz w:val="28"/>
    </w:rPr>
  </w:style>
  <w:style w:type="character" w:customStyle="1" w:styleId="Cmsor3Char1">
    <w:name w:val="Címsor 3 Char1"/>
    <w:uiPriority w:val="99"/>
    <w:rsid w:val="00952BC7"/>
    <w:rPr>
      <w:rFonts w:ascii="Cambria" w:hAnsi="Cambria"/>
      <w:b/>
      <w:sz w:val="26"/>
    </w:rPr>
  </w:style>
  <w:style w:type="character" w:customStyle="1" w:styleId="Cmsor4Char1">
    <w:name w:val="Címsor 4 Char1"/>
    <w:uiPriority w:val="99"/>
    <w:rsid w:val="00952BC7"/>
    <w:rPr>
      <w:rFonts w:ascii="Calibri" w:hAnsi="Calibri"/>
      <w:b/>
      <w:sz w:val="28"/>
    </w:rPr>
  </w:style>
  <w:style w:type="character" w:customStyle="1" w:styleId="Cmsor5Char1">
    <w:name w:val="Címsor 5 Char1"/>
    <w:uiPriority w:val="99"/>
    <w:rsid w:val="00952BC7"/>
    <w:rPr>
      <w:rFonts w:ascii="Calibri" w:hAnsi="Calibri"/>
      <w:b/>
      <w:i/>
      <w:sz w:val="26"/>
    </w:rPr>
  </w:style>
  <w:style w:type="character" w:customStyle="1" w:styleId="Cmsor6Char1">
    <w:name w:val="Címsor 6 Char1"/>
    <w:uiPriority w:val="99"/>
    <w:rsid w:val="00952BC7"/>
    <w:rPr>
      <w:rFonts w:ascii="Calibri" w:hAnsi="Calibri"/>
      <w:b/>
    </w:rPr>
  </w:style>
  <w:style w:type="character" w:customStyle="1" w:styleId="Oldalszm1">
    <w:name w:val="Oldalszám1"/>
    <w:uiPriority w:val="99"/>
    <w:rsid w:val="00952BC7"/>
  </w:style>
  <w:style w:type="character" w:customStyle="1" w:styleId="Bekezdsalapbettpusa3">
    <w:name w:val="Bekezdés alapbet?típusa3"/>
    <w:uiPriority w:val="99"/>
    <w:rsid w:val="00952BC7"/>
  </w:style>
  <w:style w:type="character" w:customStyle="1" w:styleId="Absatz-Standardschriftart">
    <w:name w:val="Absatz-Standardschriftart"/>
    <w:uiPriority w:val="99"/>
    <w:rsid w:val="00952BC7"/>
  </w:style>
  <w:style w:type="character" w:customStyle="1" w:styleId="Bekezdsalapbettpusa2">
    <w:name w:val="Bekezdés alapbet?típusa2"/>
    <w:uiPriority w:val="99"/>
    <w:rsid w:val="00952BC7"/>
  </w:style>
  <w:style w:type="character" w:customStyle="1" w:styleId="Bekezdsalapbettpusa10">
    <w:name w:val="Bekezdés alapbet?típusa1"/>
    <w:uiPriority w:val="99"/>
    <w:rsid w:val="00952BC7"/>
  </w:style>
  <w:style w:type="character" w:customStyle="1" w:styleId="WW-Absatz-Standardschriftart">
    <w:name w:val="WW-Absatz-Standardschriftart"/>
    <w:uiPriority w:val="99"/>
    <w:rsid w:val="00952BC7"/>
  </w:style>
  <w:style w:type="character" w:customStyle="1" w:styleId="Bekezdsalap-bettpusa">
    <w:name w:val="Bekezdés alap-bet?típusa"/>
    <w:uiPriority w:val="99"/>
    <w:rsid w:val="00952BC7"/>
  </w:style>
  <w:style w:type="character" w:customStyle="1" w:styleId="Jegyzethivatkozs1">
    <w:name w:val="Jegyzethivatkozás1"/>
    <w:uiPriority w:val="99"/>
    <w:rsid w:val="00952BC7"/>
    <w:rPr>
      <w:sz w:val="16"/>
    </w:rPr>
  </w:style>
  <w:style w:type="character" w:customStyle="1" w:styleId="JegyzetszvegChar">
    <w:name w:val="Jegyzetszöveg Char"/>
    <w:uiPriority w:val="99"/>
    <w:rsid w:val="00952BC7"/>
    <w:rPr>
      <w:rFonts w:ascii="Times" w:hAnsi="Times"/>
    </w:rPr>
  </w:style>
  <w:style w:type="character" w:customStyle="1" w:styleId="MegjegyzstrgyaChar">
    <w:name w:val="Megjegyzés tárgya Char"/>
    <w:uiPriority w:val="99"/>
    <w:rsid w:val="00952BC7"/>
    <w:rPr>
      <w:b/>
    </w:rPr>
  </w:style>
  <w:style w:type="character" w:customStyle="1" w:styleId="BuborkszvegChar">
    <w:name w:val="Buborékszöveg Char"/>
    <w:uiPriority w:val="99"/>
    <w:rsid w:val="00952BC7"/>
    <w:rPr>
      <w:rFonts w:ascii="Tahoma" w:hAnsi="Tahoma"/>
      <w:sz w:val="16"/>
    </w:rPr>
  </w:style>
  <w:style w:type="character" w:customStyle="1" w:styleId="Jegyzethivatkozs2">
    <w:name w:val="Jegyzethivatkozás2"/>
    <w:uiPriority w:val="99"/>
    <w:rsid w:val="00952BC7"/>
    <w:rPr>
      <w:sz w:val="16"/>
    </w:rPr>
  </w:style>
  <w:style w:type="character" w:customStyle="1" w:styleId="Szmozsjelek">
    <w:name w:val="Számozásjelek"/>
    <w:uiPriority w:val="99"/>
    <w:rsid w:val="00952BC7"/>
  </w:style>
  <w:style w:type="paragraph" w:customStyle="1" w:styleId="Cmsor">
    <w:name w:val="Címsor"/>
    <w:next w:val="BodyText"/>
    <w:uiPriority w:val="99"/>
    <w:rsid w:val="00952BC7"/>
    <w:pPr>
      <w:keepNext/>
      <w:widowControl w:val="0"/>
      <w:suppressAutoHyphens/>
      <w:overflowPunct w:val="0"/>
      <w:autoSpaceDE w:val="0"/>
      <w:autoSpaceDN w:val="0"/>
      <w:adjustRightInd w:val="0"/>
      <w:spacing w:before="240" w:after="120"/>
      <w:textAlignment w:val="baseline"/>
    </w:pPr>
    <w:rPr>
      <w:rFonts w:ascii="Arial" w:hAnsi="Arial"/>
      <w:kern w:val="1"/>
      <w:sz w:val="28"/>
    </w:rPr>
  </w:style>
  <w:style w:type="paragraph" w:styleId="BodyText">
    <w:name w:val="Body Text"/>
    <w:basedOn w:val="Normal"/>
    <w:link w:val="BodyTextChar"/>
    <w:uiPriority w:val="99"/>
    <w:rsid w:val="00952BC7"/>
    <w:pPr>
      <w:widowControl w:val="0"/>
      <w:suppressAutoHyphens/>
      <w:overflowPunct w:val="0"/>
      <w:autoSpaceDE w:val="0"/>
      <w:autoSpaceDN w:val="0"/>
      <w:adjustRightInd w:val="0"/>
      <w:spacing w:after="120"/>
      <w:textAlignment w:val="baseline"/>
    </w:pPr>
    <w:rPr>
      <w:kern w:val="1"/>
      <w:sz w:val="20"/>
      <w:szCs w:val="20"/>
    </w:rPr>
  </w:style>
  <w:style w:type="character" w:customStyle="1" w:styleId="BodyTextChar">
    <w:name w:val="Body Text Char"/>
    <w:link w:val="BodyText"/>
    <w:uiPriority w:val="99"/>
    <w:locked/>
    <w:rsid w:val="00952BC7"/>
    <w:rPr>
      <w:rFonts w:cs="Times New Roman"/>
      <w:kern w:val="1"/>
      <w:lang w:val="hr-HR" w:eastAsia="en-GB" w:bidi="en-GB"/>
    </w:rPr>
  </w:style>
  <w:style w:type="paragraph" w:styleId="List">
    <w:name w:val="List"/>
    <w:basedOn w:val="Normal"/>
    <w:uiPriority w:val="99"/>
    <w:rsid w:val="00952BC7"/>
    <w:pPr>
      <w:widowControl w:val="0"/>
      <w:suppressAutoHyphens/>
      <w:overflowPunct w:val="0"/>
      <w:autoSpaceDE w:val="0"/>
      <w:autoSpaceDN w:val="0"/>
      <w:adjustRightInd w:val="0"/>
      <w:textAlignment w:val="baseline"/>
    </w:pPr>
    <w:rPr>
      <w:kern w:val="1"/>
      <w:sz w:val="20"/>
      <w:szCs w:val="20"/>
    </w:rPr>
  </w:style>
  <w:style w:type="paragraph" w:customStyle="1" w:styleId="Felirat">
    <w:name w:val="Felirat"/>
    <w:uiPriority w:val="99"/>
    <w:rsid w:val="00952BC7"/>
    <w:pPr>
      <w:widowControl w:val="0"/>
      <w:suppressLineNumbers/>
      <w:suppressAutoHyphens/>
      <w:overflowPunct w:val="0"/>
      <w:autoSpaceDE w:val="0"/>
      <w:autoSpaceDN w:val="0"/>
      <w:adjustRightInd w:val="0"/>
      <w:spacing w:before="120" w:after="120"/>
      <w:textAlignment w:val="baseline"/>
    </w:pPr>
    <w:rPr>
      <w:i/>
      <w:kern w:val="1"/>
      <w:sz w:val="24"/>
    </w:rPr>
  </w:style>
  <w:style w:type="paragraph" w:customStyle="1" w:styleId="Trgymutat">
    <w:name w:val="Tárgymutató"/>
    <w:uiPriority w:val="99"/>
    <w:rsid w:val="00952BC7"/>
    <w:pPr>
      <w:widowControl w:val="0"/>
      <w:suppressLineNumbers/>
      <w:suppressAutoHyphens/>
      <w:overflowPunct w:val="0"/>
      <w:autoSpaceDE w:val="0"/>
      <w:autoSpaceDN w:val="0"/>
      <w:adjustRightInd w:val="0"/>
      <w:textAlignment w:val="baseline"/>
    </w:pPr>
    <w:rPr>
      <w:kern w:val="1"/>
    </w:rPr>
  </w:style>
  <w:style w:type="paragraph" w:customStyle="1" w:styleId="CM4">
    <w:name w:val="CM4"/>
    <w:uiPriority w:val="99"/>
    <w:rsid w:val="00952BC7"/>
    <w:pPr>
      <w:suppressAutoHyphens/>
      <w:overflowPunct w:val="0"/>
      <w:autoSpaceDE w:val="0"/>
      <w:autoSpaceDN w:val="0"/>
      <w:adjustRightInd w:val="0"/>
      <w:textAlignment w:val="baseline"/>
    </w:pPr>
    <w:rPr>
      <w:rFonts w:ascii="EUAlbertina" w:hAnsi="EUAlbertina"/>
      <w:kern w:val="1"/>
      <w:sz w:val="24"/>
    </w:rPr>
  </w:style>
  <w:style w:type="paragraph" w:customStyle="1" w:styleId="Jegyzetszveg1">
    <w:name w:val="Jegyzetszöveg1"/>
    <w:uiPriority w:val="99"/>
    <w:rsid w:val="00952BC7"/>
    <w:pPr>
      <w:widowControl w:val="0"/>
      <w:suppressAutoHyphens/>
      <w:overflowPunct w:val="0"/>
      <w:autoSpaceDE w:val="0"/>
      <w:autoSpaceDN w:val="0"/>
      <w:adjustRightInd w:val="0"/>
      <w:textAlignment w:val="baseline"/>
    </w:pPr>
    <w:rPr>
      <w:kern w:val="1"/>
    </w:rPr>
  </w:style>
  <w:style w:type="paragraph" w:customStyle="1" w:styleId="Jegyzetszveg2">
    <w:name w:val="Jegyzetszöveg2"/>
    <w:uiPriority w:val="99"/>
    <w:rsid w:val="00952BC7"/>
    <w:pPr>
      <w:widowControl w:val="0"/>
      <w:suppressAutoHyphens/>
      <w:overflowPunct w:val="0"/>
      <w:autoSpaceDE w:val="0"/>
      <w:autoSpaceDN w:val="0"/>
      <w:adjustRightInd w:val="0"/>
      <w:textAlignment w:val="baseline"/>
    </w:pPr>
    <w:rPr>
      <w:kern w:val="1"/>
    </w:rPr>
  </w:style>
  <w:style w:type="paragraph" w:customStyle="1" w:styleId="Megjegyzstrgya1">
    <w:name w:val="Megjegyzés tárgya1"/>
    <w:uiPriority w:val="99"/>
    <w:rsid w:val="00952BC7"/>
    <w:pPr>
      <w:widowControl w:val="0"/>
      <w:suppressAutoHyphens/>
      <w:overflowPunct w:val="0"/>
      <w:autoSpaceDE w:val="0"/>
      <w:autoSpaceDN w:val="0"/>
      <w:adjustRightInd w:val="0"/>
      <w:textAlignment w:val="baseline"/>
    </w:pPr>
    <w:rPr>
      <w:b/>
      <w:kern w:val="1"/>
    </w:rPr>
  </w:style>
  <w:style w:type="paragraph" w:customStyle="1" w:styleId="Buborkszveg1">
    <w:name w:val="Buborékszöveg1"/>
    <w:uiPriority w:val="99"/>
    <w:rsid w:val="00952BC7"/>
    <w:pPr>
      <w:widowControl w:val="0"/>
      <w:suppressAutoHyphens/>
      <w:overflowPunct w:val="0"/>
      <w:autoSpaceDE w:val="0"/>
      <w:autoSpaceDN w:val="0"/>
      <w:adjustRightInd w:val="0"/>
      <w:textAlignment w:val="baseline"/>
    </w:pPr>
    <w:rPr>
      <w:rFonts w:ascii="Tahoma" w:hAnsi="Tahoma"/>
      <w:kern w:val="1"/>
      <w:sz w:val="16"/>
    </w:rPr>
  </w:style>
  <w:style w:type="paragraph" w:customStyle="1" w:styleId="Tblzattartalom">
    <w:name w:val="Táblázattartalom"/>
    <w:uiPriority w:val="99"/>
    <w:rsid w:val="00952BC7"/>
    <w:pPr>
      <w:widowControl w:val="0"/>
      <w:suppressLineNumbers/>
      <w:suppressAutoHyphens/>
      <w:overflowPunct w:val="0"/>
      <w:autoSpaceDE w:val="0"/>
      <w:autoSpaceDN w:val="0"/>
      <w:adjustRightInd w:val="0"/>
      <w:textAlignment w:val="baseline"/>
    </w:pPr>
    <w:rPr>
      <w:kern w:val="1"/>
    </w:rPr>
  </w:style>
  <w:style w:type="paragraph" w:customStyle="1" w:styleId="Tblzatfejlc">
    <w:name w:val="Táblázatfejléc"/>
    <w:uiPriority w:val="99"/>
    <w:rsid w:val="00952BC7"/>
    <w:pPr>
      <w:widowControl w:val="0"/>
      <w:suppressLineNumbers/>
      <w:suppressAutoHyphens/>
      <w:overflowPunct w:val="0"/>
      <w:autoSpaceDE w:val="0"/>
      <w:autoSpaceDN w:val="0"/>
      <w:adjustRightInd w:val="0"/>
      <w:jc w:val="center"/>
      <w:textAlignment w:val="baseline"/>
    </w:pPr>
    <w:rPr>
      <w:b/>
      <w:kern w:val="1"/>
    </w:rPr>
  </w:style>
  <w:style w:type="paragraph" w:customStyle="1" w:styleId="Default">
    <w:name w:val="Default"/>
    <w:rsid w:val="00952BC7"/>
    <w:pPr>
      <w:widowControl w:val="0"/>
      <w:suppressAutoHyphens/>
      <w:overflowPunct w:val="0"/>
      <w:autoSpaceDE w:val="0"/>
      <w:autoSpaceDN w:val="0"/>
      <w:adjustRightInd w:val="0"/>
      <w:textAlignment w:val="baseline"/>
    </w:pPr>
    <w:rPr>
      <w:rFonts w:ascii="EUAlbertina" w:hAnsi="EUAlbertina"/>
      <w:color w:val="000000"/>
      <w:kern w:val="1"/>
      <w:sz w:val="24"/>
    </w:rPr>
  </w:style>
  <w:style w:type="paragraph" w:customStyle="1" w:styleId="NormlWeb1">
    <w:name w:val="Normál (Web)1"/>
    <w:uiPriority w:val="99"/>
    <w:rsid w:val="00952BC7"/>
    <w:pPr>
      <w:suppressAutoHyphens/>
      <w:overflowPunct w:val="0"/>
      <w:autoSpaceDE w:val="0"/>
      <w:autoSpaceDN w:val="0"/>
      <w:adjustRightInd w:val="0"/>
      <w:spacing w:before="100" w:after="119"/>
      <w:textAlignment w:val="baseline"/>
    </w:pPr>
    <w:rPr>
      <w:kern w:val="1"/>
      <w:sz w:val="24"/>
    </w:rPr>
  </w:style>
  <w:style w:type="paragraph" w:customStyle="1" w:styleId="Listaszerbekezds1">
    <w:name w:val="Listaszerű bekezdés1"/>
    <w:uiPriority w:val="99"/>
    <w:rsid w:val="00952BC7"/>
    <w:pPr>
      <w:widowControl w:val="0"/>
      <w:suppressAutoHyphens/>
      <w:overflowPunct w:val="0"/>
      <w:autoSpaceDE w:val="0"/>
      <w:autoSpaceDN w:val="0"/>
      <w:adjustRightInd w:val="0"/>
      <w:ind w:left="720"/>
      <w:textAlignment w:val="baseline"/>
    </w:pPr>
    <w:rPr>
      <w:kern w:val="1"/>
    </w:rPr>
  </w:style>
  <w:style w:type="paragraph" w:customStyle="1" w:styleId="Kerettartalom">
    <w:name w:val="Kerettartalom"/>
    <w:basedOn w:val="BodyText"/>
    <w:uiPriority w:val="99"/>
    <w:rsid w:val="00952BC7"/>
  </w:style>
  <w:style w:type="paragraph" w:styleId="BalloonText">
    <w:name w:val="Balloon Text"/>
    <w:basedOn w:val="Normal"/>
    <w:link w:val="BalloonTextChar"/>
    <w:uiPriority w:val="99"/>
    <w:rsid w:val="00952BC7"/>
    <w:pPr>
      <w:suppressAutoHyphens/>
      <w:overflowPunct w:val="0"/>
      <w:autoSpaceDE w:val="0"/>
      <w:autoSpaceDN w:val="0"/>
      <w:adjustRightInd w:val="0"/>
      <w:textAlignment w:val="baseline"/>
    </w:pPr>
    <w:rPr>
      <w:rFonts w:ascii="Tahoma" w:hAnsi="Tahoma"/>
      <w:kern w:val="1"/>
      <w:sz w:val="16"/>
      <w:szCs w:val="16"/>
    </w:rPr>
  </w:style>
  <w:style w:type="character" w:customStyle="1" w:styleId="BalloonTextChar">
    <w:name w:val="Balloon Text Char"/>
    <w:link w:val="BalloonText"/>
    <w:uiPriority w:val="99"/>
    <w:locked/>
    <w:rsid w:val="00952BC7"/>
    <w:rPr>
      <w:rFonts w:ascii="Tahoma" w:hAnsi="Tahoma" w:cs="Tahoma"/>
      <w:kern w:val="1"/>
      <w:sz w:val="16"/>
      <w:szCs w:val="16"/>
    </w:rPr>
  </w:style>
  <w:style w:type="character" w:styleId="CommentReference">
    <w:name w:val="annotation reference"/>
    <w:uiPriority w:val="99"/>
    <w:rsid w:val="00952BC7"/>
    <w:rPr>
      <w:rFonts w:cs="Times New Roman"/>
      <w:sz w:val="16"/>
      <w:szCs w:val="16"/>
    </w:rPr>
  </w:style>
  <w:style w:type="paragraph" w:styleId="CommentText">
    <w:name w:val="annotation text"/>
    <w:basedOn w:val="Normal"/>
    <w:link w:val="CommentTextChar"/>
    <w:uiPriority w:val="99"/>
    <w:rsid w:val="00952BC7"/>
    <w:pPr>
      <w:suppressAutoHyphens/>
      <w:overflowPunct w:val="0"/>
      <w:autoSpaceDE w:val="0"/>
      <w:autoSpaceDN w:val="0"/>
      <w:adjustRightInd w:val="0"/>
      <w:textAlignment w:val="baseline"/>
    </w:pPr>
    <w:rPr>
      <w:rFonts w:ascii="Times" w:hAnsi="Times"/>
      <w:kern w:val="1"/>
      <w:sz w:val="20"/>
      <w:szCs w:val="20"/>
    </w:rPr>
  </w:style>
  <w:style w:type="character" w:customStyle="1" w:styleId="CommentTextChar">
    <w:name w:val="Comment Text Char"/>
    <w:link w:val="CommentText"/>
    <w:uiPriority w:val="99"/>
    <w:locked/>
    <w:rsid w:val="00952BC7"/>
    <w:rPr>
      <w:rFonts w:ascii="Times" w:hAnsi="Times" w:cs="Times New Roman"/>
      <w:kern w:val="1"/>
    </w:rPr>
  </w:style>
  <w:style w:type="paragraph" w:styleId="CommentSubject">
    <w:name w:val="annotation subject"/>
    <w:basedOn w:val="CommentText"/>
    <w:next w:val="CommentText"/>
    <w:link w:val="CommentSubjectChar"/>
    <w:uiPriority w:val="99"/>
    <w:rsid w:val="00952BC7"/>
    <w:rPr>
      <w:b/>
      <w:bCs/>
    </w:rPr>
  </w:style>
  <w:style w:type="character" w:customStyle="1" w:styleId="CommentSubjectChar">
    <w:name w:val="Comment Subject Char"/>
    <w:link w:val="CommentSubject"/>
    <w:uiPriority w:val="99"/>
    <w:locked/>
    <w:rsid w:val="00952BC7"/>
    <w:rPr>
      <w:rFonts w:ascii="Times" w:hAnsi="Times" w:cs="Times New Roman"/>
      <w:b/>
      <w:bCs/>
      <w:kern w:val="1"/>
    </w:rPr>
  </w:style>
  <w:style w:type="paragraph" w:styleId="Revision">
    <w:name w:val="Revision"/>
    <w:hidden/>
    <w:uiPriority w:val="99"/>
    <w:semiHidden/>
    <w:rsid w:val="00952BC7"/>
    <w:rPr>
      <w:rFonts w:ascii="Times" w:hAnsi="Times"/>
      <w:kern w:val="1"/>
    </w:rPr>
  </w:style>
  <w:style w:type="paragraph" w:customStyle="1" w:styleId="np">
    <w:name w:val="np"/>
    <w:basedOn w:val="Normal"/>
    <w:uiPriority w:val="99"/>
    <w:rsid w:val="00C030FC"/>
    <w:pPr>
      <w:spacing w:before="100" w:beforeAutospacing="1" w:after="100" w:afterAutospacing="1"/>
    </w:pPr>
  </w:style>
  <w:style w:type="paragraph" w:customStyle="1" w:styleId="CharCharCharCharCharCharCharCharCharCharCharCharCharCharChar1CharCharCharChar">
    <w:name w:val="Char Char Char Char Char Char Char Char Char Char Char Char Char Char Char1 Char Char Char Char"/>
    <w:basedOn w:val="Normal"/>
    <w:uiPriority w:val="99"/>
    <w:rsid w:val="001975FA"/>
    <w:pPr>
      <w:spacing w:after="160" w:line="240" w:lineRule="exact"/>
    </w:pPr>
    <w:rPr>
      <w:rFonts w:ascii="Tahoma" w:hAnsi="Tahoma"/>
      <w:sz w:val="20"/>
      <w:szCs w:val="20"/>
    </w:rPr>
  </w:style>
  <w:style w:type="character" w:customStyle="1" w:styleId="apple-converted-space">
    <w:name w:val="apple-converted-space"/>
    <w:basedOn w:val="DefaultParagraphFont"/>
    <w:rsid w:val="000F293F"/>
  </w:style>
  <w:style w:type="table" w:styleId="TableGrid">
    <w:name w:val="Table Grid"/>
    <w:basedOn w:val="TableNormal"/>
    <w:uiPriority w:val="59"/>
    <w:locked/>
    <w:rsid w:val="00A278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lbChar1">
    <w:name w:val="Élőláb Char1"/>
    <w:uiPriority w:val="99"/>
    <w:rsid w:val="00EB07AE"/>
    <w:rPr>
      <w:sz w:val="24"/>
      <w:szCs w:val="24"/>
      <w:lang w:val="hr-HR" w:eastAsia="en-GB"/>
    </w:rPr>
  </w:style>
  <w:style w:type="paragraph" w:styleId="FootnoteText">
    <w:name w:val="footnote text"/>
    <w:basedOn w:val="Normal"/>
    <w:link w:val="FootnoteTextChar"/>
    <w:uiPriority w:val="99"/>
    <w:unhideWhenUsed/>
    <w:locked/>
    <w:rsid w:val="00007615"/>
    <w:pPr>
      <w:spacing w:after="200" w:line="276" w:lineRule="auto"/>
    </w:pPr>
    <w:rPr>
      <w:rFonts w:ascii="Calibri" w:eastAsia="Calibri" w:hAnsi="Calibri"/>
      <w:sz w:val="20"/>
      <w:szCs w:val="20"/>
    </w:rPr>
  </w:style>
  <w:style w:type="character" w:customStyle="1" w:styleId="FootnoteTextChar">
    <w:name w:val="Footnote Text Char"/>
    <w:link w:val="FootnoteText"/>
    <w:uiPriority w:val="99"/>
    <w:rsid w:val="00007615"/>
    <w:rPr>
      <w:rFonts w:ascii="Calibri" w:eastAsia="Calibri" w:hAnsi="Calibri"/>
      <w:lang w:eastAsia="en-GB"/>
    </w:rPr>
  </w:style>
  <w:style w:type="character" w:styleId="FootnoteReference">
    <w:name w:val="footnote reference"/>
    <w:uiPriority w:val="99"/>
    <w:unhideWhenUsed/>
    <w:locked/>
    <w:rsid w:val="00007615"/>
    <w:rPr>
      <w:vertAlign w:val="superscript"/>
    </w:rPr>
  </w:style>
  <w:style w:type="paragraph" w:customStyle="1" w:styleId="1txtbody">
    <w:name w:val="1_txtbody"/>
    <w:basedOn w:val="Normal"/>
    <w:qFormat/>
    <w:rsid w:val="00007615"/>
    <w:pPr>
      <w:overflowPunct w:val="0"/>
      <w:autoSpaceDE w:val="0"/>
      <w:autoSpaceDN w:val="0"/>
      <w:adjustRightInd w:val="0"/>
      <w:spacing w:before="60" w:after="60" w:line="280" w:lineRule="atLeast"/>
      <w:ind w:firstLine="425"/>
      <w:jc w:val="both"/>
      <w:textAlignment w:val="baseline"/>
    </w:pPr>
    <w:rPr>
      <w:rFonts w:eastAsia="Arial Unicode MS" w:cs="Calibri"/>
    </w:rPr>
  </w:style>
  <w:style w:type="paragraph" w:styleId="NoSpacing">
    <w:name w:val="No Spacing"/>
    <w:link w:val="NoSpacingChar"/>
    <w:uiPriority w:val="1"/>
    <w:qFormat/>
    <w:rsid w:val="00007615"/>
    <w:rPr>
      <w:rFonts w:ascii="Calibri" w:eastAsia="Calibri" w:hAnsi="Calibri"/>
      <w:sz w:val="22"/>
      <w:szCs w:val="22"/>
    </w:rPr>
  </w:style>
  <w:style w:type="paragraph" w:customStyle="1" w:styleId="Norml1">
    <w:name w:val="Normál1"/>
    <w:basedOn w:val="Normal"/>
    <w:rsid w:val="00007615"/>
    <w:pPr>
      <w:spacing w:before="120"/>
      <w:jc w:val="both"/>
    </w:pPr>
  </w:style>
  <w:style w:type="paragraph" w:customStyle="1" w:styleId="Norml11">
    <w:name w:val="Normál11"/>
    <w:basedOn w:val="Normal"/>
    <w:rsid w:val="004315B4"/>
    <w:pPr>
      <w:spacing w:before="120"/>
      <w:jc w:val="both"/>
    </w:pPr>
  </w:style>
  <w:style w:type="paragraph" w:customStyle="1" w:styleId="Pont">
    <w:name w:val="Pont"/>
    <w:basedOn w:val="Normal"/>
    <w:qFormat/>
    <w:rsid w:val="005B4A47"/>
    <w:pPr>
      <w:numPr>
        <w:numId w:val="7"/>
      </w:numPr>
      <w:spacing w:before="200" w:after="200"/>
      <w:jc w:val="both"/>
    </w:pPr>
    <w:rPr>
      <w:rFonts w:eastAsia="Calibri"/>
      <w:szCs w:val="22"/>
    </w:rPr>
  </w:style>
  <w:style w:type="numbering" w:customStyle="1" w:styleId="Hatrozat">
    <w:name w:val="Határozat"/>
    <w:uiPriority w:val="99"/>
    <w:rsid w:val="005B4A47"/>
    <w:pPr>
      <w:numPr>
        <w:numId w:val="7"/>
      </w:numPr>
    </w:pPr>
  </w:style>
  <w:style w:type="paragraph" w:customStyle="1" w:styleId="Szveg">
    <w:name w:val="Szöveg"/>
    <w:basedOn w:val="Normal"/>
    <w:qFormat/>
    <w:rsid w:val="005B4A47"/>
    <w:pPr>
      <w:spacing w:before="200" w:after="200"/>
      <w:jc w:val="both"/>
    </w:pPr>
    <w:rPr>
      <w:rFonts w:eastAsia="Calibri"/>
      <w:sz w:val="22"/>
      <w:szCs w:val="22"/>
    </w:rPr>
  </w:style>
  <w:style w:type="character" w:customStyle="1" w:styleId="ListParagraphChar">
    <w:name w:val="List Paragraph Char"/>
    <w:aliases w:val="Welt L Char Char,Welt L Char1,Bullet List Char,FooterText Char,numbered Char,Paragraphe de liste1 Char,Bulletr List Paragraph Char,列出段落 Char,列出段落1 Char,Listeafsnit1 Char,Parágrafo da Lista1 Char,List Paragraph2 Char,リスト段落1 Char"/>
    <w:link w:val="ListParagraph"/>
    <w:uiPriority w:val="34"/>
    <w:qFormat/>
    <w:locked/>
    <w:rsid w:val="00E3563D"/>
    <w:rPr>
      <w:sz w:val="24"/>
      <w:szCs w:val="24"/>
    </w:rPr>
  </w:style>
  <w:style w:type="character" w:customStyle="1" w:styleId="NoSpacingChar">
    <w:name w:val="No Spacing Char"/>
    <w:link w:val="NoSpacing"/>
    <w:uiPriority w:val="1"/>
    <w:rsid w:val="00260F2B"/>
    <w:rPr>
      <w:rFonts w:ascii="Calibri" w:eastAsia="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4950">
      <w:bodyDiv w:val="1"/>
      <w:marLeft w:val="0"/>
      <w:marRight w:val="0"/>
      <w:marTop w:val="0"/>
      <w:marBottom w:val="0"/>
      <w:divBdr>
        <w:top w:val="none" w:sz="0" w:space="0" w:color="auto"/>
        <w:left w:val="none" w:sz="0" w:space="0" w:color="auto"/>
        <w:bottom w:val="none" w:sz="0" w:space="0" w:color="auto"/>
        <w:right w:val="none" w:sz="0" w:space="0" w:color="auto"/>
      </w:divBdr>
    </w:div>
    <w:div w:id="39473991">
      <w:bodyDiv w:val="1"/>
      <w:marLeft w:val="0"/>
      <w:marRight w:val="0"/>
      <w:marTop w:val="0"/>
      <w:marBottom w:val="0"/>
      <w:divBdr>
        <w:top w:val="none" w:sz="0" w:space="0" w:color="auto"/>
        <w:left w:val="none" w:sz="0" w:space="0" w:color="auto"/>
        <w:bottom w:val="none" w:sz="0" w:space="0" w:color="auto"/>
        <w:right w:val="none" w:sz="0" w:space="0" w:color="auto"/>
      </w:divBdr>
    </w:div>
    <w:div w:id="45877329">
      <w:bodyDiv w:val="1"/>
      <w:marLeft w:val="0"/>
      <w:marRight w:val="0"/>
      <w:marTop w:val="0"/>
      <w:marBottom w:val="0"/>
      <w:divBdr>
        <w:top w:val="none" w:sz="0" w:space="0" w:color="auto"/>
        <w:left w:val="none" w:sz="0" w:space="0" w:color="auto"/>
        <w:bottom w:val="none" w:sz="0" w:space="0" w:color="auto"/>
        <w:right w:val="none" w:sz="0" w:space="0" w:color="auto"/>
      </w:divBdr>
    </w:div>
    <w:div w:id="118762219">
      <w:bodyDiv w:val="1"/>
      <w:marLeft w:val="0"/>
      <w:marRight w:val="0"/>
      <w:marTop w:val="0"/>
      <w:marBottom w:val="0"/>
      <w:divBdr>
        <w:top w:val="none" w:sz="0" w:space="0" w:color="auto"/>
        <w:left w:val="none" w:sz="0" w:space="0" w:color="auto"/>
        <w:bottom w:val="none" w:sz="0" w:space="0" w:color="auto"/>
        <w:right w:val="none" w:sz="0" w:space="0" w:color="auto"/>
      </w:divBdr>
    </w:div>
    <w:div w:id="151605190">
      <w:bodyDiv w:val="1"/>
      <w:marLeft w:val="0"/>
      <w:marRight w:val="0"/>
      <w:marTop w:val="0"/>
      <w:marBottom w:val="0"/>
      <w:divBdr>
        <w:top w:val="none" w:sz="0" w:space="0" w:color="auto"/>
        <w:left w:val="none" w:sz="0" w:space="0" w:color="auto"/>
        <w:bottom w:val="none" w:sz="0" w:space="0" w:color="auto"/>
        <w:right w:val="none" w:sz="0" w:space="0" w:color="auto"/>
      </w:divBdr>
    </w:div>
    <w:div w:id="177888772">
      <w:bodyDiv w:val="1"/>
      <w:marLeft w:val="0"/>
      <w:marRight w:val="0"/>
      <w:marTop w:val="0"/>
      <w:marBottom w:val="0"/>
      <w:divBdr>
        <w:top w:val="none" w:sz="0" w:space="0" w:color="auto"/>
        <w:left w:val="none" w:sz="0" w:space="0" w:color="auto"/>
        <w:bottom w:val="none" w:sz="0" w:space="0" w:color="auto"/>
        <w:right w:val="none" w:sz="0" w:space="0" w:color="auto"/>
      </w:divBdr>
    </w:div>
    <w:div w:id="242879316">
      <w:bodyDiv w:val="1"/>
      <w:marLeft w:val="0"/>
      <w:marRight w:val="0"/>
      <w:marTop w:val="0"/>
      <w:marBottom w:val="0"/>
      <w:divBdr>
        <w:top w:val="none" w:sz="0" w:space="0" w:color="auto"/>
        <w:left w:val="none" w:sz="0" w:space="0" w:color="auto"/>
        <w:bottom w:val="none" w:sz="0" w:space="0" w:color="auto"/>
        <w:right w:val="none" w:sz="0" w:space="0" w:color="auto"/>
      </w:divBdr>
    </w:div>
    <w:div w:id="244345312">
      <w:bodyDiv w:val="1"/>
      <w:marLeft w:val="0"/>
      <w:marRight w:val="0"/>
      <w:marTop w:val="0"/>
      <w:marBottom w:val="0"/>
      <w:divBdr>
        <w:top w:val="none" w:sz="0" w:space="0" w:color="auto"/>
        <w:left w:val="none" w:sz="0" w:space="0" w:color="auto"/>
        <w:bottom w:val="none" w:sz="0" w:space="0" w:color="auto"/>
        <w:right w:val="none" w:sz="0" w:space="0" w:color="auto"/>
      </w:divBdr>
    </w:div>
    <w:div w:id="357659836">
      <w:bodyDiv w:val="1"/>
      <w:marLeft w:val="0"/>
      <w:marRight w:val="0"/>
      <w:marTop w:val="0"/>
      <w:marBottom w:val="0"/>
      <w:divBdr>
        <w:top w:val="none" w:sz="0" w:space="0" w:color="auto"/>
        <w:left w:val="none" w:sz="0" w:space="0" w:color="auto"/>
        <w:bottom w:val="none" w:sz="0" w:space="0" w:color="auto"/>
        <w:right w:val="none" w:sz="0" w:space="0" w:color="auto"/>
      </w:divBdr>
    </w:div>
    <w:div w:id="372197838">
      <w:bodyDiv w:val="1"/>
      <w:marLeft w:val="0"/>
      <w:marRight w:val="0"/>
      <w:marTop w:val="0"/>
      <w:marBottom w:val="0"/>
      <w:divBdr>
        <w:top w:val="none" w:sz="0" w:space="0" w:color="auto"/>
        <w:left w:val="none" w:sz="0" w:space="0" w:color="auto"/>
        <w:bottom w:val="none" w:sz="0" w:space="0" w:color="auto"/>
        <w:right w:val="none" w:sz="0" w:space="0" w:color="auto"/>
      </w:divBdr>
    </w:div>
    <w:div w:id="375738171">
      <w:bodyDiv w:val="1"/>
      <w:marLeft w:val="0"/>
      <w:marRight w:val="0"/>
      <w:marTop w:val="0"/>
      <w:marBottom w:val="0"/>
      <w:divBdr>
        <w:top w:val="none" w:sz="0" w:space="0" w:color="auto"/>
        <w:left w:val="none" w:sz="0" w:space="0" w:color="auto"/>
        <w:bottom w:val="none" w:sz="0" w:space="0" w:color="auto"/>
        <w:right w:val="none" w:sz="0" w:space="0" w:color="auto"/>
      </w:divBdr>
    </w:div>
    <w:div w:id="482308959">
      <w:bodyDiv w:val="1"/>
      <w:marLeft w:val="0"/>
      <w:marRight w:val="0"/>
      <w:marTop w:val="0"/>
      <w:marBottom w:val="0"/>
      <w:divBdr>
        <w:top w:val="none" w:sz="0" w:space="0" w:color="auto"/>
        <w:left w:val="none" w:sz="0" w:space="0" w:color="auto"/>
        <w:bottom w:val="none" w:sz="0" w:space="0" w:color="auto"/>
        <w:right w:val="none" w:sz="0" w:space="0" w:color="auto"/>
      </w:divBdr>
    </w:div>
    <w:div w:id="527253673">
      <w:bodyDiv w:val="1"/>
      <w:marLeft w:val="0"/>
      <w:marRight w:val="0"/>
      <w:marTop w:val="0"/>
      <w:marBottom w:val="0"/>
      <w:divBdr>
        <w:top w:val="none" w:sz="0" w:space="0" w:color="auto"/>
        <w:left w:val="none" w:sz="0" w:space="0" w:color="auto"/>
        <w:bottom w:val="none" w:sz="0" w:space="0" w:color="auto"/>
        <w:right w:val="none" w:sz="0" w:space="0" w:color="auto"/>
      </w:divBdr>
    </w:div>
    <w:div w:id="569849137">
      <w:bodyDiv w:val="1"/>
      <w:marLeft w:val="0"/>
      <w:marRight w:val="0"/>
      <w:marTop w:val="0"/>
      <w:marBottom w:val="0"/>
      <w:divBdr>
        <w:top w:val="none" w:sz="0" w:space="0" w:color="auto"/>
        <w:left w:val="none" w:sz="0" w:space="0" w:color="auto"/>
        <w:bottom w:val="none" w:sz="0" w:space="0" w:color="auto"/>
        <w:right w:val="none" w:sz="0" w:space="0" w:color="auto"/>
      </w:divBdr>
    </w:div>
    <w:div w:id="662661612">
      <w:bodyDiv w:val="1"/>
      <w:marLeft w:val="0"/>
      <w:marRight w:val="0"/>
      <w:marTop w:val="0"/>
      <w:marBottom w:val="0"/>
      <w:divBdr>
        <w:top w:val="none" w:sz="0" w:space="0" w:color="auto"/>
        <w:left w:val="none" w:sz="0" w:space="0" w:color="auto"/>
        <w:bottom w:val="none" w:sz="0" w:space="0" w:color="auto"/>
        <w:right w:val="none" w:sz="0" w:space="0" w:color="auto"/>
      </w:divBdr>
    </w:div>
    <w:div w:id="669068107">
      <w:bodyDiv w:val="1"/>
      <w:marLeft w:val="0"/>
      <w:marRight w:val="0"/>
      <w:marTop w:val="0"/>
      <w:marBottom w:val="0"/>
      <w:divBdr>
        <w:top w:val="none" w:sz="0" w:space="0" w:color="auto"/>
        <w:left w:val="none" w:sz="0" w:space="0" w:color="auto"/>
        <w:bottom w:val="none" w:sz="0" w:space="0" w:color="auto"/>
        <w:right w:val="none" w:sz="0" w:space="0" w:color="auto"/>
      </w:divBdr>
    </w:div>
    <w:div w:id="702481837">
      <w:bodyDiv w:val="1"/>
      <w:marLeft w:val="0"/>
      <w:marRight w:val="0"/>
      <w:marTop w:val="0"/>
      <w:marBottom w:val="0"/>
      <w:divBdr>
        <w:top w:val="none" w:sz="0" w:space="0" w:color="auto"/>
        <w:left w:val="none" w:sz="0" w:space="0" w:color="auto"/>
        <w:bottom w:val="none" w:sz="0" w:space="0" w:color="auto"/>
        <w:right w:val="none" w:sz="0" w:space="0" w:color="auto"/>
      </w:divBdr>
    </w:div>
    <w:div w:id="760490768">
      <w:bodyDiv w:val="1"/>
      <w:marLeft w:val="0"/>
      <w:marRight w:val="0"/>
      <w:marTop w:val="0"/>
      <w:marBottom w:val="0"/>
      <w:divBdr>
        <w:top w:val="none" w:sz="0" w:space="0" w:color="auto"/>
        <w:left w:val="none" w:sz="0" w:space="0" w:color="auto"/>
        <w:bottom w:val="none" w:sz="0" w:space="0" w:color="auto"/>
        <w:right w:val="none" w:sz="0" w:space="0" w:color="auto"/>
      </w:divBdr>
    </w:div>
    <w:div w:id="829101594">
      <w:bodyDiv w:val="1"/>
      <w:marLeft w:val="0"/>
      <w:marRight w:val="0"/>
      <w:marTop w:val="0"/>
      <w:marBottom w:val="0"/>
      <w:divBdr>
        <w:top w:val="none" w:sz="0" w:space="0" w:color="auto"/>
        <w:left w:val="none" w:sz="0" w:space="0" w:color="auto"/>
        <w:bottom w:val="none" w:sz="0" w:space="0" w:color="auto"/>
        <w:right w:val="none" w:sz="0" w:space="0" w:color="auto"/>
      </w:divBdr>
    </w:div>
    <w:div w:id="846406607">
      <w:bodyDiv w:val="1"/>
      <w:marLeft w:val="0"/>
      <w:marRight w:val="0"/>
      <w:marTop w:val="0"/>
      <w:marBottom w:val="0"/>
      <w:divBdr>
        <w:top w:val="none" w:sz="0" w:space="0" w:color="auto"/>
        <w:left w:val="none" w:sz="0" w:space="0" w:color="auto"/>
        <w:bottom w:val="none" w:sz="0" w:space="0" w:color="auto"/>
        <w:right w:val="none" w:sz="0" w:space="0" w:color="auto"/>
      </w:divBdr>
    </w:div>
    <w:div w:id="868877482">
      <w:bodyDiv w:val="1"/>
      <w:marLeft w:val="0"/>
      <w:marRight w:val="0"/>
      <w:marTop w:val="0"/>
      <w:marBottom w:val="0"/>
      <w:divBdr>
        <w:top w:val="none" w:sz="0" w:space="0" w:color="auto"/>
        <w:left w:val="none" w:sz="0" w:space="0" w:color="auto"/>
        <w:bottom w:val="none" w:sz="0" w:space="0" w:color="auto"/>
        <w:right w:val="none" w:sz="0" w:space="0" w:color="auto"/>
      </w:divBdr>
    </w:div>
    <w:div w:id="906915688">
      <w:bodyDiv w:val="1"/>
      <w:marLeft w:val="0"/>
      <w:marRight w:val="0"/>
      <w:marTop w:val="0"/>
      <w:marBottom w:val="0"/>
      <w:divBdr>
        <w:top w:val="none" w:sz="0" w:space="0" w:color="auto"/>
        <w:left w:val="none" w:sz="0" w:space="0" w:color="auto"/>
        <w:bottom w:val="none" w:sz="0" w:space="0" w:color="auto"/>
        <w:right w:val="none" w:sz="0" w:space="0" w:color="auto"/>
      </w:divBdr>
    </w:div>
    <w:div w:id="913247504">
      <w:bodyDiv w:val="1"/>
      <w:marLeft w:val="0"/>
      <w:marRight w:val="0"/>
      <w:marTop w:val="0"/>
      <w:marBottom w:val="0"/>
      <w:divBdr>
        <w:top w:val="none" w:sz="0" w:space="0" w:color="auto"/>
        <w:left w:val="none" w:sz="0" w:space="0" w:color="auto"/>
        <w:bottom w:val="none" w:sz="0" w:space="0" w:color="auto"/>
        <w:right w:val="none" w:sz="0" w:space="0" w:color="auto"/>
      </w:divBdr>
    </w:div>
    <w:div w:id="946890061">
      <w:bodyDiv w:val="1"/>
      <w:marLeft w:val="0"/>
      <w:marRight w:val="0"/>
      <w:marTop w:val="0"/>
      <w:marBottom w:val="0"/>
      <w:divBdr>
        <w:top w:val="none" w:sz="0" w:space="0" w:color="auto"/>
        <w:left w:val="none" w:sz="0" w:space="0" w:color="auto"/>
        <w:bottom w:val="none" w:sz="0" w:space="0" w:color="auto"/>
        <w:right w:val="none" w:sz="0" w:space="0" w:color="auto"/>
      </w:divBdr>
    </w:div>
    <w:div w:id="948505828">
      <w:bodyDiv w:val="1"/>
      <w:marLeft w:val="0"/>
      <w:marRight w:val="0"/>
      <w:marTop w:val="0"/>
      <w:marBottom w:val="0"/>
      <w:divBdr>
        <w:top w:val="none" w:sz="0" w:space="0" w:color="auto"/>
        <w:left w:val="none" w:sz="0" w:space="0" w:color="auto"/>
        <w:bottom w:val="none" w:sz="0" w:space="0" w:color="auto"/>
        <w:right w:val="none" w:sz="0" w:space="0" w:color="auto"/>
      </w:divBdr>
    </w:div>
    <w:div w:id="981158289">
      <w:bodyDiv w:val="1"/>
      <w:marLeft w:val="0"/>
      <w:marRight w:val="0"/>
      <w:marTop w:val="0"/>
      <w:marBottom w:val="0"/>
      <w:divBdr>
        <w:top w:val="none" w:sz="0" w:space="0" w:color="auto"/>
        <w:left w:val="none" w:sz="0" w:space="0" w:color="auto"/>
        <w:bottom w:val="none" w:sz="0" w:space="0" w:color="auto"/>
        <w:right w:val="none" w:sz="0" w:space="0" w:color="auto"/>
      </w:divBdr>
    </w:div>
    <w:div w:id="1122531965">
      <w:bodyDiv w:val="1"/>
      <w:marLeft w:val="0"/>
      <w:marRight w:val="0"/>
      <w:marTop w:val="0"/>
      <w:marBottom w:val="0"/>
      <w:divBdr>
        <w:top w:val="none" w:sz="0" w:space="0" w:color="auto"/>
        <w:left w:val="none" w:sz="0" w:space="0" w:color="auto"/>
        <w:bottom w:val="none" w:sz="0" w:space="0" w:color="auto"/>
        <w:right w:val="none" w:sz="0" w:space="0" w:color="auto"/>
      </w:divBdr>
    </w:div>
    <w:div w:id="1251697739">
      <w:bodyDiv w:val="1"/>
      <w:marLeft w:val="0"/>
      <w:marRight w:val="0"/>
      <w:marTop w:val="0"/>
      <w:marBottom w:val="0"/>
      <w:divBdr>
        <w:top w:val="none" w:sz="0" w:space="0" w:color="auto"/>
        <w:left w:val="none" w:sz="0" w:space="0" w:color="auto"/>
        <w:bottom w:val="none" w:sz="0" w:space="0" w:color="auto"/>
        <w:right w:val="none" w:sz="0" w:space="0" w:color="auto"/>
      </w:divBdr>
    </w:div>
    <w:div w:id="1254170213">
      <w:bodyDiv w:val="1"/>
      <w:marLeft w:val="0"/>
      <w:marRight w:val="0"/>
      <w:marTop w:val="0"/>
      <w:marBottom w:val="0"/>
      <w:divBdr>
        <w:top w:val="none" w:sz="0" w:space="0" w:color="auto"/>
        <w:left w:val="none" w:sz="0" w:space="0" w:color="auto"/>
        <w:bottom w:val="none" w:sz="0" w:space="0" w:color="auto"/>
        <w:right w:val="none" w:sz="0" w:space="0" w:color="auto"/>
      </w:divBdr>
    </w:div>
    <w:div w:id="1281916041">
      <w:bodyDiv w:val="1"/>
      <w:marLeft w:val="0"/>
      <w:marRight w:val="0"/>
      <w:marTop w:val="0"/>
      <w:marBottom w:val="0"/>
      <w:divBdr>
        <w:top w:val="none" w:sz="0" w:space="0" w:color="auto"/>
        <w:left w:val="none" w:sz="0" w:space="0" w:color="auto"/>
        <w:bottom w:val="none" w:sz="0" w:space="0" w:color="auto"/>
        <w:right w:val="none" w:sz="0" w:space="0" w:color="auto"/>
      </w:divBdr>
    </w:div>
    <w:div w:id="1388801157">
      <w:bodyDiv w:val="1"/>
      <w:marLeft w:val="0"/>
      <w:marRight w:val="0"/>
      <w:marTop w:val="0"/>
      <w:marBottom w:val="0"/>
      <w:divBdr>
        <w:top w:val="none" w:sz="0" w:space="0" w:color="auto"/>
        <w:left w:val="none" w:sz="0" w:space="0" w:color="auto"/>
        <w:bottom w:val="none" w:sz="0" w:space="0" w:color="auto"/>
        <w:right w:val="none" w:sz="0" w:space="0" w:color="auto"/>
      </w:divBdr>
    </w:div>
    <w:div w:id="1389380595">
      <w:bodyDiv w:val="1"/>
      <w:marLeft w:val="0"/>
      <w:marRight w:val="0"/>
      <w:marTop w:val="0"/>
      <w:marBottom w:val="0"/>
      <w:divBdr>
        <w:top w:val="none" w:sz="0" w:space="0" w:color="auto"/>
        <w:left w:val="none" w:sz="0" w:space="0" w:color="auto"/>
        <w:bottom w:val="none" w:sz="0" w:space="0" w:color="auto"/>
        <w:right w:val="none" w:sz="0" w:space="0" w:color="auto"/>
      </w:divBdr>
    </w:div>
    <w:div w:id="1444569688">
      <w:bodyDiv w:val="1"/>
      <w:marLeft w:val="0"/>
      <w:marRight w:val="0"/>
      <w:marTop w:val="0"/>
      <w:marBottom w:val="0"/>
      <w:divBdr>
        <w:top w:val="none" w:sz="0" w:space="0" w:color="auto"/>
        <w:left w:val="none" w:sz="0" w:space="0" w:color="auto"/>
        <w:bottom w:val="none" w:sz="0" w:space="0" w:color="auto"/>
        <w:right w:val="none" w:sz="0" w:space="0" w:color="auto"/>
      </w:divBdr>
    </w:div>
    <w:div w:id="1477331934">
      <w:bodyDiv w:val="1"/>
      <w:marLeft w:val="0"/>
      <w:marRight w:val="0"/>
      <w:marTop w:val="0"/>
      <w:marBottom w:val="0"/>
      <w:divBdr>
        <w:top w:val="none" w:sz="0" w:space="0" w:color="auto"/>
        <w:left w:val="none" w:sz="0" w:space="0" w:color="auto"/>
        <w:bottom w:val="none" w:sz="0" w:space="0" w:color="auto"/>
        <w:right w:val="none" w:sz="0" w:space="0" w:color="auto"/>
      </w:divBdr>
    </w:div>
    <w:div w:id="1487699413">
      <w:bodyDiv w:val="1"/>
      <w:marLeft w:val="0"/>
      <w:marRight w:val="0"/>
      <w:marTop w:val="0"/>
      <w:marBottom w:val="0"/>
      <w:divBdr>
        <w:top w:val="none" w:sz="0" w:space="0" w:color="auto"/>
        <w:left w:val="none" w:sz="0" w:space="0" w:color="auto"/>
        <w:bottom w:val="none" w:sz="0" w:space="0" w:color="auto"/>
        <w:right w:val="none" w:sz="0" w:space="0" w:color="auto"/>
      </w:divBdr>
    </w:div>
    <w:div w:id="1575512356">
      <w:bodyDiv w:val="1"/>
      <w:marLeft w:val="0"/>
      <w:marRight w:val="0"/>
      <w:marTop w:val="0"/>
      <w:marBottom w:val="0"/>
      <w:divBdr>
        <w:top w:val="none" w:sz="0" w:space="0" w:color="auto"/>
        <w:left w:val="none" w:sz="0" w:space="0" w:color="auto"/>
        <w:bottom w:val="none" w:sz="0" w:space="0" w:color="auto"/>
        <w:right w:val="none" w:sz="0" w:space="0" w:color="auto"/>
      </w:divBdr>
    </w:div>
    <w:div w:id="1698967663">
      <w:bodyDiv w:val="1"/>
      <w:marLeft w:val="0"/>
      <w:marRight w:val="0"/>
      <w:marTop w:val="0"/>
      <w:marBottom w:val="0"/>
      <w:divBdr>
        <w:top w:val="none" w:sz="0" w:space="0" w:color="auto"/>
        <w:left w:val="none" w:sz="0" w:space="0" w:color="auto"/>
        <w:bottom w:val="none" w:sz="0" w:space="0" w:color="auto"/>
        <w:right w:val="none" w:sz="0" w:space="0" w:color="auto"/>
      </w:divBdr>
    </w:div>
    <w:div w:id="1715036641">
      <w:bodyDiv w:val="1"/>
      <w:marLeft w:val="0"/>
      <w:marRight w:val="0"/>
      <w:marTop w:val="0"/>
      <w:marBottom w:val="0"/>
      <w:divBdr>
        <w:top w:val="none" w:sz="0" w:space="0" w:color="auto"/>
        <w:left w:val="none" w:sz="0" w:space="0" w:color="auto"/>
        <w:bottom w:val="none" w:sz="0" w:space="0" w:color="auto"/>
        <w:right w:val="none" w:sz="0" w:space="0" w:color="auto"/>
      </w:divBdr>
      <w:divsChild>
        <w:div w:id="2054114245">
          <w:marLeft w:val="0"/>
          <w:marRight w:val="0"/>
          <w:marTop w:val="0"/>
          <w:marBottom w:val="0"/>
          <w:divBdr>
            <w:top w:val="none" w:sz="0" w:space="0" w:color="auto"/>
            <w:left w:val="none" w:sz="0" w:space="0" w:color="auto"/>
            <w:bottom w:val="none" w:sz="0" w:space="0" w:color="auto"/>
            <w:right w:val="none" w:sz="0" w:space="0" w:color="auto"/>
          </w:divBdr>
          <w:divsChild>
            <w:div w:id="201207965">
              <w:marLeft w:val="0"/>
              <w:marRight w:val="0"/>
              <w:marTop w:val="0"/>
              <w:marBottom w:val="0"/>
              <w:divBdr>
                <w:top w:val="none" w:sz="0" w:space="0" w:color="auto"/>
                <w:left w:val="none" w:sz="0" w:space="0" w:color="auto"/>
                <w:bottom w:val="none" w:sz="0" w:space="0" w:color="auto"/>
                <w:right w:val="none" w:sz="0" w:space="0" w:color="auto"/>
              </w:divBdr>
              <w:divsChild>
                <w:div w:id="201329001">
                  <w:marLeft w:val="75"/>
                  <w:marRight w:val="0"/>
                  <w:marTop w:val="0"/>
                  <w:marBottom w:val="0"/>
                  <w:divBdr>
                    <w:top w:val="none" w:sz="0" w:space="0" w:color="auto"/>
                    <w:left w:val="none" w:sz="0" w:space="0" w:color="auto"/>
                    <w:bottom w:val="none" w:sz="0" w:space="0" w:color="auto"/>
                    <w:right w:val="none" w:sz="0" w:space="0" w:color="auto"/>
                  </w:divBdr>
                  <w:divsChild>
                    <w:div w:id="184639762">
                      <w:marLeft w:val="0"/>
                      <w:marRight w:val="0"/>
                      <w:marTop w:val="0"/>
                      <w:marBottom w:val="0"/>
                      <w:divBdr>
                        <w:top w:val="none" w:sz="0" w:space="0" w:color="auto"/>
                        <w:left w:val="none" w:sz="0" w:space="0" w:color="auto"/>
                        <w:bottom w:val="none" w:sz="0" w:space="0" w:color="auto"/>
                        <w:right w:val="none" w:sz="0" w:space="0" w:color="auto"/>
                      </w:divBdr>
                      <w:divsChild>
                        <w:div w:id="1352219642">
                          <w:marLeft w:val="0"/>
                          <w:marRight w:val="0"/>
                          <w:marTop w:val="0"/>
                          <w:marBottom w:val="0"/>
                          <w:divBdr>
                            <w:top w:val="none" w:sz="0" w:space="0" w:color="auto"/>
                            <w:left w:val="none" w:sz="0" w:space="0" w:color="auto"/>
                            <w:bottom w:val="none" w:sz="0" w:space="0" w:color="auto"/>
                            <w:right w:val="none" w:sz="0" w:space="0" w:color="auto"/>
                          </w:divBdr>
                          <w:divsChild>
                            <w:div w:id="84439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1235910">
      <w:bodyDiv w:val="1"/>
      <w:marLeft w:val="0"/>
      <w:marRight w:val="0"/>
      <w:marTop w:val="0"/>
      <w:marBottom w:val="0"/>
      <w:divBdr>
        <w:top w:val="none" w:sz="0" w:space="0" w:color="auto"/>
        <w:left w:val="none" w:sz="0" w:space="0" w:color="auto"/>
        <w:bottom w:val="none" w:sz="0" w:space="0" w:color="auto"/>
        <w:right w:val="none" w:sz="0" w:space="0" w:color="auto"/>
      </w:divBdr>
    </w:div>
    <w:div w:id="1862355036">
      <w:bodyDiv w:val="1"/>
      <w:marLeft w:val="0"/>
      <w:marRight w:val="0"/>
      <w:marTop w:val="0"/>
      <w:marBottom w:val="0"/>
      <w:divBdr>
        <w:top w:val="none" w:sz="0" w:space="0" w:color="auto"/>
        <w:left w:val="none" w:sz="0" w:space="0" w:color="auto"/>
        <w:bottom w:val="none" w:sz="0" w:space="0" w:color="auto"/>
        <w:right w:val="none" w:sz="0" w:space="0" w:color="auto"/>
      </w:divBdr>
    </w:div>
    <w:div w:id="1895658671">
      <w:bodyDiv w:val="1"/>
      <w:marLeft w:val="0"/>
      <w:marRight w:val="0"/>
      <w:marTop w:val="0"/>
      <w:marBottom w:val="0"/>
      <w:divBdr>
        <w:top w:val="none" w:sz="0" w:space="0" w:color="auto"/>
        <w:left w:val="none" w:sz="0" w:space="0" w:color="auto"/>
        <w:bottom w:val="none" w:sz="0" w:space="0" w:color="auto"/>
        <w:right w:val="none" w:sz="0" w:space="0" w:color="auto"/>
      </w:divBdr>
    </w:div>
    <w:div w:id="1934892320">
      <w:marLeft w:val="0"/>
      <w:marRight w:val="0"/>
      <w:marTop w:val="0"/>
      <w:marBottom w:val="0"/>
      <w:divBdr>
        <w:top w:val="none" w:sz="0" w:space="0" w:color="auto"/>
        <w:left w:val="none" w:sz="0" w:space="0" w:color="auto"/>
        <w:bottom w:val="none" w:sz="0" w:space="0" w:color="auto"/>
        <w:right w:val="none" w:sz="0" w:space="0" w:color="auto"/>
      </w:divBdr>
    </w:div>
    <w:div w:id="1995063820">
      <w:bodyDiv w:val="1"/>
      <w:marLeft w:val="0"/>
      <w:marRight w:val="0"/>
      <w:marTop w:val="0"/>
      <w:marBottom w:val="0"/>
      <w:divBdr>
        <w:top w:val="none" w:sz="0" w:space="0" w:color="auto"/>
        <w:left w:val="none" w:sz="0" w:space="0" w:color="auto"/>
        <w:bottom w:val="none" w:sz="0" w:space="0" w:color="auto"/>
        <w:right w:val="none" w:sz="0" w:space="0" w:color="auto"/>
      </w:divBdr>
    </w:div>
    <w:div w:id="200226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tamas.andreka@am.gov.hu" TargetMode="External"/><Relationship Id="rId1" Type="http://schemas.openxmlformats.org/officeDocument/2006/relationships/hyperlink" Target="mailto:hunor.orban@am.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1D948-9FFB-4D70-A1B9-11DBC3CA7641}">
  <ds:schemaRefs>
    <ds:schemaRef ds:uri="http://schemas.openxmlformats.org/officeDocument/2006/bibliography"/>
  </ds:schemaRefs>
</ds:datastoreItem>
</file>

<file path=customXml/itemProps2.xml><?xml version="1.0" encoding="utf-8"?>
<ds:datastoreItem xmlns:ds="http://schemas.openxmlformats.org/officeDocument/2006/customXml" ds:itemID="{B6AC36DA-D88E-4906-85B1-21FF5513A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1976</Words>
  <Characters>11265</Characters>
  <Application>Microsoft Office Word</Application>
  <DocSecurity>0</DocSecurity>
  <Lines>93</Lines>
  <Paragraphs>26</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13215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Sütő Tímea dr.</dc:creator>
  <cp:lastModifiedBy>DESCULTU, Andreea</cp:lastModifiedBy>
  <cp:revision>6</cp:revision>
  <cp:lastPrinted>2019-06-12T12:18:00Z</cp:lastPrinted>
  <dcterms:created xsi:type="dcterms:W3CDTF">2019-06-25T07:45:00Z</dcterms:created>
  <dcterms:modified xsi:type="dcterms:W3CDTF">2019-07-04T06:47:00Z</dcterms:modified>
</cp:coreProperties>
</file>