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3333B" w:rsidRPr="00F91869" w:rsidRDefault="00E377C2" w:rsidP="009333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Courier New" w:hAnsi="Courier New"/>
          <w:sz w:val="20"/>
          <w:szCs w:val="20"/>
        </w:rPr>
        <w:t>1. --</w:t>
      </w:r>
      <w:r w:rsidR="00E3749D">
        <w:rPr>
          <w:rFonts w:ascii="Courier New" w:hAnsi="Courier New"/>
          <w:sz w:val="20"/>
          <w:szCs w:val="20"/>
        </w:rPr>
        <w:t>-</w:t>
      </w:r>
      <w:bookmarkStart w:id="0" w:name="_GoBack"/>
      <w:bookmarkEnd w:id="0"/>
      <w:r>
        <w:rPr>
          <w:rFonts w:ascii="Courier New" w:hAnsi="Courier New"/>
          <w:sz w:val="20"/>
          <w:szCs w:val="20"/>
        </w:rPr>
        <w:t xml:space="preserve">---IND- 2019 0309 HU- CS- ------ </w:t>
      </w:r>
      <w:r>
        <w:rPr>
          <w:rFonts w:ascii="Segoe UI" w:hAnsi="Segoe UI"/>
          <w:color w:val="000000"/>
          <w:sz w:val="20"/>
          <w:szCs w:val="20"/>
        </w:rPr>
        <w:t>20201130</w:t>
      </w:r>
      <w:r>
        <w:rPr>
          <w:rFonts w:ascii="Calibri" w:hAnsi="Calibri"/>
          <w:sz w:val="20"/>
          <w:szCs w:val="20"/>
        </w:rPr>
        <w:t xml:space="preserve"> </w:t>
      </w:r>
      <w:r>
        <w:rPr>
          <w:rFonts w:ascii="Courier New" w:hAnsi="Courier New"/>
          <w:sz w:val="20"/>
          <w:szCs w:val="20"/>
        </w:rPr>
        <w:t>--- --- FINAL</w:t>
      </w:r>
    </w:p>
    <w:p w:rsidR="0093333B" w:rsidRPr="00F91869" w:rsidRDefault="0093333B" w:rsidP="0093333B">
      <w:pPr>
        <w:autoSpaceDE w:val="0"/>
        <w:autoSpaceDN w:val="0"/>
        <w:adjustRightInd w:val="0"/>
        <w:spacing w:before="240" w:after="24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8"/>
          <w:szCs w:val="28"/>
        </w:rPr>
        <w:t>Vyhláška ministra zemědělství č. 51/2019 ze dne 28. října 2019</w:t>
      </w:r>
    </w:p>
    <w:p w:rsidR="0093333B" w:rsidRPr="00F91869" w:rsidRDefault="0093333B" w:rsidP="0093333B">
      <w:pPr>
        <w:autoSpaceDE w:val="0"/>
        <w:autoSpaceDN w:val="0"/>
        <w:adjustRightInd w:val="0"/>
        <w:spacing w:before="240" w:after="24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8"/>
          <w:szCs w:val="28"/>
        </w:rPr>
        <w:t>kterou se mění vyhláška ministra zemědělství č. 53/2017 ze dne 18. října 2017 o provozních podmínkách spalovacích zařízení s celkovým jmenovitým tepelným příkonem rovnajícím se 140 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kWth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nebo vyšším, ale nižším než 50 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MWth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>, a o limitních hodnotách pro látky znečišťující ovzduší vypouštěné z těchto spalovacích zařízení</w:t>
      </w:r>
    </w:p>
    <w:p w:rsidR="0093333B" w:rsidRPr="00F91869" w:rsidRDefault="0093333B" w:rsidP="0093333B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Na základě povolení uděleného podle § 110 odst. 8 písm. </w:t>
      </w:r>
      <w:r>
        <w:rPr>
          <w:rFonts w:ascii="Times New Roman" w:hAnsi="Times New Roman"/>
          <w:i/>
          <w:iCs/>
          <w:sz w:val="24"/>
          <w:szCs w:val="24"/>
        </w:rPr>
        <w:t>g)</w:t>
      </w:r>
      <w:r>
        <w:rPr>
          <w:rFonts w:ascii="Times New Roman" w:hAnsi="Times New Roman"/>
          <w:sz w:val="24"/>
          <w:szCs w:val="24"/>
        </w:rPr>
        <w:t xml:space="preserve"> zákona LIII z roku 1995 o obecných pravidlech ochrany životního prostředí a v rámci výkonu svých povinností vymezených v § 79 odst. 9 vyhlášky vlády č. 94/2018 ze dne 22. května 2018 o povinnostech a pravomocích členů vlády tímto nařizuji následující:</w:t>
      </w:r>
    </w:p>
    <w:p w:rsidR="0093333B" w:rsidRPr="00F91869" w:rsidRDefault="0093333B" w:rsidP="0093333B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§ 1 </w:t>
      </w:r>
      <w:r>
        <w:rPr>
          <w:rFonts w:ascii="Times New Roman" w:hAnsi="Times New Roman"/>
          <w:sz w:val="24"/>
          <w:szCs w:val="24"/>
        </w:rPr>
        <w:t>(1) V § 2 odst. 1 vyhlášky ministra zemědělství č. 53/2017 ze dne 18. října 2017 o provozních podmínkách spalovacích zařízení s celkovým jmenovitým tepelným příkonem rovnajícím se 140 </w:t>
      </w:r>
      <w:proofErr w:type="spellStart"/>
      <w:r>
        <w:rPr>
          <w:rFonts w:ascii="Times New Roman" w:hAnsi="Times New Roman"/>
          <w:sz w:val="24"/>
          <w:szCs w:val="24"/>
        </w:rPr>
        <w:t>kWth</w:t>
      </w:r>
      <w:proofErr w:type="spellEnd"/>
      <w:r>
        <w:rPr>
          <w:rFonts w:ascii="Times New Roman" w:hAnsi="Times New Roman"/>
          <w:sz w:val="24"/>
          <w:szCs w:val="24"/>
        </w:rPr>
        <w:t xml:space="preserve"> nebo vyšším, ale nižším než 50 </w:t>
      </w:r>
      <w:proofErr w:type="spellStart"/>
      <w:r>
        <w:rPr>
          <w:rFonts w:ascii="Times New Roman" w:hAnsi="Times New Roman"/>
          <w:sz w:val="24"/>
          <w:szCs w:val="24"/>
        </w:rPr>
        <w:t>MWth</w:t>
      </w:r>
      <w:proofErr w:type="spellEnd"/>
      <w:r>
        <w:rPr>
          <w:rFonts w:ascii="Times New Roman" w:hAnsi="Times New Roman"/>
          <w:sz w:val="24"/>
          <w:szCs w:val="24"/>
        </w:rPr>
        <w:t>, a o limitních hodnotách pro látky znečišťující ovzduší vypouštěné z těchto spalovacích zařízení (dále jen „vyhláška“) se doplňuje následující bod 1a:</w:t>
      </w:r>
    </w:p>
    <w:p w:rsidR="0093333B" w:rsidRPr="00F91869" w:rsidRDefault="0093333B" w:rsidP="0093333B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(Pro účely této vyhlášky)</w:t>
      </w:r>
    </w:p>
    <w:p w:rsidR="0093333B" w:rsidRPr="00F91869" w:rsidRDefault="0093333B" w:rsidP="0093333B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„1a „</w:t>
      </w:r>
      <w:r>
        <w:rPr>
          <w:rFonts w:ascii="Times New Roman" w:hAnsi="Times New Roman"/>
          <w:i/>
          <w:iCs/>
          <w:sz w:val="24"/>
          <w:szCs w:val="24"/>
        </w:rPr>
        <w:t>soustavou pro přepravu plynu“</w:t>
      </w:r>
      <w:r>
        <w:rPr>
          <w:rFonts w:ascii="Times New Roman" w:hAnsi="Times New Roman"/>
          <w:sz w:val="24"/>
          <w:szCs w:val="24"/>
        </w:rPr>
        <w:t xml:space="preserve"> se rozumí spolupracující síť zemního plynu podle zákona XL z roku 2008 o dodávkách zemního plynu;“</w:t>
      </w:r>
    </w:p>
    <w:p w:rsidR="0093333B" w:rsidRPr="00F91869" w:rsidRDefault="0093333B" w:rsidP="0093333B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(2) Ustanovení § 2 odst. 1 bodu 9 této vyhlášky se nahrazuje tímto:</w:t>
      </w:r>
    </w:p>
    <w:p w:rsidR="0093333B" w:rsidRPr="00F91869" w:rsidRDefault="0093333B" w:rsidP="0093333B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„9. „</w:t>
      </w:r>
      <w:r>
        <w:rPr>
          <w:rFonts w:ascii="Times New Roman" w:hAnsi="Times New Roman"/>
          <w:i/>
          <w:iCs/>
          <w:sz w:val="24"/>
          <w:szCs w:val="24"/>
        </w:rPr>
        <w:t>celkovým jmenovitým tepelným příkonem</w:t>
      </w:r>
      <w:r>
        <w:rPr>
          <w:rFonts w:ascii="Times New Roman" w:hAnsi="Times New Roman"/>
          <w:sz w:val="24"/>
          <w:szCs w:val="24"/>
        </w:rPr>
        <w:t>“ se rozumí součet jmenovitých tepelných příkonů spalovacích zařízení, vypočítaný agregačním postupem, který se v případě spalovacího zařízení rovná jeho jmenovitému tepelnému příkonu;“</w:t>
      </w:r>
    </w:p>
    <w:p w:rsidR="0093333B" w:rsidRPr="00F91869" w:rsidRDefault="0093333B" w:rsidP="00F91869">
      <w:pPr>
        <w:keepNext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§ 2 </w:t>
      </w:r>
      <w:r>
        <w:rPr>
          <w:rFonts w:ascii="Times New Roman" w:hAnsi="Times New Roman"/>
          <w:sz w:val="24"/>
          <w:szCs w:val="24"/>
        </w:rPr>
        <w:t>(1) Ustanovení § 4 odst. 6 a 7 vyhlášky nabývají účinnosti v tomto znění:</w:t>
      </w:r>
    </w:p>
    <w:p w:rsidR="0093333B" w:rsidRPr="00F91869" w:rsidRDefault="0093333B" w:rsidP="0093333B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„(6) U spalovacích zařízení kategorie I o celkovém jmenovitém tepelném příkonu vyšším než nebo rovném 1 </w:t>
      </w:r>
      <w:proofErr w:type="spellStart"/>
      <w:r>
        <w:rPr>
          <w:rFonts w:ascii="Times New Roman" w:hAnsi="Times New Roman"/>
          <w:sz w:val="24"/>
          <w:szCs w:val="24"/>
        </w:rPr>
        <w:t>MWth</w:t>
      </w:r>
      <w:proofErr w:type="spellEnd"/>
      <w:r>
        <w:rPr>
          <w:rFonts w:ascii="Times New Roman" w:hAnsi="Times New Roman"/>
          <w:sz w:val="24"/>
          <w:szCs w:val="24"/>
        </w:rPr>
        <w:t>, která jsou v provozu nanejvýš 500 provozních hodin ročně při vyjádření ve formě klouzavého průměru za období pěti let, se použijí limitní hodnoty emisí stanovené v příloze 1 s tou výjimkou, že limitní hodnota emisí pevných materiálů v případě spalovacích zařízeních na tuhou biomasu je 200 mg/Nm3 a limitní hodnota emisí oxidu uhelnatého je 375 mg/Nm3.</w:t>
      </w:r>
    </w:p>
    <w:p w:rsidR="0093333B" w:rsidRPr="00F91869" w:rsidRDefault="0093333B" w:rsidP="0093333B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(7) Do 1. ledna 2030 budou u spalovacích zařízení kategorie I o celkovém jmenovitém tepelném příkonu přesahujícím 5 </w:t>
      </w:r>
      <w:proofErr w:type="spellStart"/>
      <w:r>
        <w:rPr>
          <w:rFonts w:ascii="Times New Roman" w:hAnsi="Times New Roman"/>
          <w:sz w:val="24"/>
          <w:szCs w:val="24"/>
        </w:rPr>
        <w:t>MWth</w:t>
      </w:r>
      <w:proofErr w:type="spellEnd"/>
      <w:r>
        <w:rPr>
          <w:rFonts w:ascii="Times New Roman" w:hAnsi="Times New Roman"/>
          <w:sz w:val="24"/>
          <w:szCs w:val="24"/>
        </w:rPr>
        <w:t xml:space="preserve"> platit limitní hodnoty uvedené v příloze 1, pokud je 50 % produkce užitečného tepla u těchto zařízení, při jejím vyjádření ve formě klouzavého průměru za období pěti let, dodáváno v podobě páry nebo teplé nebo horké vody do veřejné sítě dálkového vytápění, s tou výjimkou, že limitní hodnota emisí v případě oxidu siřičitého u spalovacích zařízení na tuhá a kapalná paliva je 1 100 mg/Nm3 a limitní hodnota emisí v případě tuhých materiálů u spalovacích zařízení na tuhá paliva je 150 mg/Nm3, přičemž limitní hodnota emisí oxidu uhelnatého u spalovacích zařízení na tuhou biomasu je 375 mg/Nm3.“</w:t>
      </w:r>
    </w:p>
    <w:p w:rsidR="0093333B" w:rsidRPr="00F91869" w:rsidRDefault="0093333B" w:rsidP="00F91869">
      <w:pPr>
        <w:keepNext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(2) Ustanovení § 4 odst. 9 vyhlášky nabývá účinnosti v tomto znění:</w:t>
      </w:r>
    </w:p>
    <w:p w:rsidR="0093333B" w:rsidRPr="00F91869" w:rsidRDefault="0093333B" w:rsidP="0093333B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„(9) Do 1. ledna 2030 budou pro oxidy dusíku z motorů kategorie 1 a plynových turbín o celkovém jmenovitém tepelném příkonu přesahujícím 5 </w:t>
      </w:r>
      <w:proofErr w:type="spellStart"/>
      <w:r>
        <w:rPr>
          <w:rFonts w:ascii="Times New Roman" w:hAnsi="Times New Roman"/>
          <w:sz w:val="24"/>
          <w:szCs w:val="24"/>
        </w:rPr>
        <w:t>MWth</w:t>
      </w:r>
      <w:proofErr w:type="spellEnd"/>
      <w:r>
        <w:rPr>
          <w:rFonts w:ascii="Times New Roman" w:hAnsi="Times New Roman"/>
          <w:sz w:val="24"/>
          <w:szCs w:val="24"/>
        </w:rPr>
        <w:t xml:space="preserve">, které se používají k provozování plynových kompresorových stanic nezbytných k zajištění bezpečnosti a ochrany soustav k přepravě plynu, platit limitní hodnoty emisí stanovené v příloze 1 s tou výjimkou, že v případě </w:t>
      </w:r>
      <w:r>
        <w:rPr>
          <w:rFonts w:ascii="Times New Roman" w:hAnsi="Times New Roman"/>
          <w:sz w:val="24"/>
          <w:szCs w:val="24"/>
        </w:rPr>
        <w:lastRenderedPageBreak/>
        <w:t>plynových motorů uvedených do provozu před dnem 1. ledna 1994 je limitní hodnota emisí oxidů dusíku 565 mg/Nm3.“</w:t>
      </w:r>
    </w:p>
    <w:p w:rsidR="0093333B" w:rsidRPr="00F91869" w:rsidRDefault="0093333B" w:rsidP="00F91869">
      <w:pPr>
        <w:keepNext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(3) Ustanovení § 4 odst. 10 vyhlášky se nahrazuje tímto:</w:t>
      </w:r>
    </w:p>
    <w:p w:rsidR="0093333B" w:rsidRPr="00F91869" w:rsidRDefault="0093333B" w:rsidP="0093333B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„(10) U spalovacích zařízení kategorie II, která jsou v provozu nanejvýš 500 provozních hodin ročně při vyjádření ve formě klouzavého průměru za období tří let, se použijí limitní hodnoty emisí stanovené v příloze 1 s tou výjimkou, že limitní hodnota emisí pevných materiálů v případě spalovacích zařízení na tuhá paliva je 100 mg/Nm3 a limitní hodnota emisí oxidu uhelnatého v případě spalovacích zařízení o celkovém jmenovitém tepelném příkonu vyšším než nebo rovném 1 </w:t>
      </w:r>
      <w:proofErr w:type="spellStart"/>
      <w:r>
        <w:rPr>
          <w:rFonts w:ascii="Times New Roman" w:hAnsi="Times New Roman"/>
          <w:sz w:val="24"/>
          <w:szCs w:val="24"/>
        </w:rPr>
        <w:t>MWth</w:t>
      </w:r>
      <w:proofErr w:type="spellEnd"/>
      <w:r>
        <w:rPr>
          <w:rFonts w:ascii="Times New Roman" w:hAnsi="Times New Roman"/>
          <w:sz w:val="24"/>
          <w:szCs w:val="24"/>
        </w:rPr>
        <w:t>, která spalují palivo z tuhé biomasy, je 375 mg/Nm3.“</w:t>
      </w:r>
    </w:p>
    <w:p w:rsidR="0093333B" w:rsidRPr="00F91869" w:rsidRDefault="0093333B" w:rsidP="00F91869">
      <w:pPr>
        <w:keepNext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(4) Ustanovení § 4 odst. 13 vyhlášky se nahrazuje tímto:</w:t>
      </w:r>
    </w:p>
    <w:p w:rsidR="0093333B" w:rsidRPr="00F91869" w:rsidRDefault="0093333B" w:rsidP="00F91869">
      <w:pPr>
        <w:keepNext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„(13) V případě stacionárních motorů neplatí limitní hodnoty emisí pro</w:t>
      </w:r>
    </w:p>
    <w:p w:rsidR="0093333B" w:rsidRPr="00F91869" w:rsidRDefault="0093333B" w:rsidP="0093333B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a)</w:t>
      </w:r>
      <w:r>
        <w:rPr>
          <w:rFonts w:ascii="Times New Roman" w:hAnsi="Times New Roman"/>
          <w:sz w:val="24"/>
          <w:szCs w:val="24"/>
        </w:rPr>
        <w:t xml:space="preserve"> motory s jmenovitým tepelným příkonem nižším než 1 </w:t>
      </w:r>
      <w:proofErr w:type="spellStart"/>
      <w:r>
        <w:rPr>
          <w:rFonts w:ascii="Times New Roman" w:hAnsi="Times New Roman"/>
          <w:sz w:val="24"/>
          <w:szCs w:val="24"/>
        </w:rPr>
        <w:t>MWth</w:t>
      </w:r>
      <w:proofErr w:type="spellEnd"/>
      <w:r>
        <w:rPr>
          <w:rFonts w:ascii="Times New Roman" w:hAnsi="Times New Roman"/>
          <w:sz w:val="24"/>
          <w:szCs w:val="24"/>
        </w:rPr>
        <w:t>, jejichž spotřeba paliva je nižší než 50 kg/h a</w:t>
      </w:r>
    </w:p>
    <w:p w:rsidR="0093333B" w:rsidRPr="00F91869" w:rsidRDefault="0093333B" w:rsidP="0093333B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b)</w:t>
      </w:r>
      <w:r>
        <w:rPr>
          <w:rFonts w:ascii="Times New Roman" w:hAnsi="Times New Roman"/>
          <w:sz w:val="24"/>
          <w:szCs w:val="24"/>
        </w:rPr>
        <w:t xml:space="preserve"> stacionární motory se záložním napájením, které jsou v provozu méně než 50 hodin za rok.“</w:t>
      </w:r>
    </w:p>
    <w:p w:rsidR="0093333B" w:rsidRPr="00F91869" w:rsidRDefault="0093333B" w:rsidP="00F91869">
      <w:pPr>
        <w:keepNext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§ 3 </w:t>
      </w:r>
      <w:r>
        <w:rPr>
          <w:rFonts w:ascii="Times New Roman" w:hAnsi="Times New Roman"/>
          <w:sz w:val="24"/>
          <w:szCs w:val="24"/>
        </w:rPr>
        <w:t>Ustanovení § 12 odst. 2 a 3 vyhlášky se nahrazuje tímto:</w:t>
      </w:r>
    </w:p>
    <w:p w:rsidR="0093333B" w:rsidRPr="00F91869" w:rsidRDefault="0093333B" w:rsidP="00F91869">
      <w:pPr>
        <w:keepNext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„(2) Do 31. prosince 2029 platí pro spalovací zařízení kategorie I o celkovém jmenovitém tepelném příkonu vyšším než nebo rovném 1 </w:t>
      </w:r>
      <w:proofErr w:type="spellStart"/>
      <w:r>
        <w:rPr>
          <w:rFonts w:ascii="Times New Roman" w:hAnsi="Times New Roman"/>
          <w:sz w:val="24"/>
          <w:szCs w:val="24"/>
        </w:rPr>
        <w:t>MWth</w:t>
      </w:r>
      <w:proofErr w:type="spellEnd"/>
      <w:r>
        <w:rPr>
          <w:rFonts w:ascii="Times New Roman" w:hAnsi="Times New Roman"/>
          <w:sz w:val="24"/>
          <w:szCs w:val="24"/>
        </w:rPr>
        <w:t>, ale nižším než 5 </w:t>
      </w:r>
      <w:proofErr w:type="spellStart"/>
      <w:r>
        <w:rPr>
          <w:rFonts w:ascii="Times New Roman" w:hAnsi="Times New Roman"/>
          <w:sz w:val="24"/>
          <w:szCs w:val="24"/>
        </w:rPr>
        <w:t>MWth</w:t>
      </w:r>
      <w:proofErr w:type="spellEnd"/>
      <w:r>
        <w:rPr>
          <w:rFonts w:ascii="Times New Roman" w:hAnsi="Times New Roman"/>
          <w:sz w:val="24"/>
          <w:szCs w:val="24"/>
        </w:rPr>
        <w:t xml:space="preserve"> limitní hodnoty emisí uvedené v příloze 1 s následujícími výjimkami:</w:t>
      </w:r>
    </w:p>
    <w:p w:rsidR="0093333B" w:rsidRPr="00F91869" w:rsidRDefault="0093333B" w:rsidP="0093333B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a) </w:t>
      </w:r>
      <w:r>
        <w:rPr>
          <w:rFonts w:ascii="Times New Roman" w:hAnsi="Times New Roman"/>
          <w:sz w:val="24"/>
          <w:szCs w:val="24"/>
        </w:rPr>
        <w:t>v případě spalování tuhé biomasy je limitní hodnota emisí oxidu uhelnatého 375 mg/Nm3;</w:t>
      </w:r>
    </w:p>
    <w:p w:rsidR="0093333B" w:rsidRPr="00F91869" w:rsidRDefault="0093333B" w:rsidP="0093333B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b) </w:t>
      </w:r>
      <w:r>
        <w:rPr>
          <w:rFonts w:ascii="Times New Roman" w:hAnsi="Times New Roman"/>
          <w:sz w:val="24"/>
          <w:szCs w:val="24"/>
        </w:rPr>
        <w:t>v případě plynových motorů uvedených do provozu před dnem 1. ledna 1994, které mají celkový jmenovitý tepelný příkon vyšší než 3 </w:t>
      </w:r>
      <w:proofErr w:type="spellStart"/>
      <w:r>
        <w:rPr>
          <w:rFonts w:ascii="Times New Roman" w:hAnsi="Times New Roman"/>
          <w:sz w:val="24"/>
          <w:szCs w:val="24"/>
        </w:rPr>
        <w:t>MWth</w:t>
      </w:r>
      <w:proofErr w:type="spellEnd"/>
      <w:r>
        <w:rPr>
          <w:rFonts w:ascii="Times New Roman" w:hAnsi="Times New Roman"/>
          <w:sz w:val="24"/>
          <w:szCs w:val="24"/>
        </w:rPr>
        <w:t xml:space="preserve">, je limitní hodnota emisí oxidů dusíku 565 mg/Nm3, limitní hodnota emisí CO v případě čtyřtaktních motorů je 375 mg/Nm3, v případě dvoutaktních motorů je to 320 mg/Nm3 a u celkových organických sloučenin vyjádřených v podobě C (uhlíku) s výjimkou </w:t>
      </w:r>
      <w:proofErr w:type="spellStart"/>
      <w:r>
        <w:rPr>
          <w:rFonts w:ascii="Times New Roman" w:hAnsi="Times New Roman"/>
          <w:sz w:val="24"/>
          <w:szCs w:val="24"/>
        </w:rPr>
        <w:t>methanu</w:t>
      </w:r>
      <w:proofErr w:type="spellEnd"/>
      <w:r>
        <w:rPr>
          <w:rFonts w:ascii="Times New Roman" w:hAnsi="Times New Roman"/>
          <w:sz w:val="24"/>
          <w:szCs w:val="24"/>
        </w:rPr>
        <w:t xml:space="preserve"> je limitní hodnota emisí 115 mg/Nm3.</w:t>
      </w:r>
    </w:p>
    <w:p w:rsidR="0093333B" w:rsidRPr="00F91869" w:rsidRDefault="0093333B" w:rsidP="00F91869">
      <w:pPr>
        <w:keepNext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(3) Do 31. prosince 2024 platí pro spalovací zařízení kategorie I s celkovým jmenovitým tepelným příkonem vyšším než 5 </w:t>
      </w:r>
      <w:proofErr w:type="spellStart"/>
      <w:r>
        <w:rPr>
          <w:rFonts w:ascii="Times New Roman" w:hAnsi="Times New Roman"/>
          <w:sz w:val="24"/>
          <w:szCs w:val="24"/>
        </w:rPr>
        <w:t>MWth</w:t>
      </w:r>
      <w:proofErr w:type="spellEnd"/>
      <w:r>
        <w:rPr>
          <w:rFonts w:ascii="Times New Roman" w:hAnsi="Times New Roman"/>
          <w:sz w:val="24"/>
          <w:szCs w:val="24"/>
        </w:rPr>
        <w:t xml:space="preserve"> limitní hodnoty emisí stanovené v příloze 1 s následujícími výjimkami:</w:t>
      </w:r>
    </w:p>
    <w:p w:rsidR="0093333B" w:rsidRPr="00F91869" w:rsidRDefault="0093333B" w:rsidP="0093333B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a) </w:t>
      </w:r>
      <w:r>
        <w:rPr>
          <w:rFonts w:ascii="Times New Roman" w:hAnsi="Times New Roman"/>
          <w:sz w:val="24"/>
          <w:szCs w:val="24"/>
        </w:rPr>
        <w:t>v případě spalování tuhé biomasy je limitní hodnota emisí oxidu uhelnatého 375 mg/Nm3;</w:t>
      </w:r>
    </w:p>
    <w:p w:rsidR="0093333B" w:rsidRPr="00F91869" w:rsidRDefault="0093333B" w:rsidP="0093333B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b) </w:t>
      </w:r>
      <w:r>
        <w:rPr>
          <w:rFonts w:ascii="Times New Roman" w:hAnsi="Times New Roman"/>
          <w:sz w:val="24"/>
          <w:szCs w:val="24"/>
        </w:rPr>
        <w:t xml:space="preserve">v případě plynových motorů uvedených do provozu před dnem 1. ledna 1994 je limitní hodnota emisí oxidů dusíku 565 mg/Nm3, limitní hodnota emisí oxidu uhelnatého v případě čtyřtaktních motorů je 375 mg/Nm3, v případě dvoutaktních motorů je to 320 mg/Nm3 a u celkových organických sloučenin vyjádřených v podobě C (uhlíku) s výjimkou </w:t>
      </w:r>
      <w:proofErr w:type="spellStart"/>
      <w:r>
        <w:rPr>
          <w:rFonts w:ascii="Times New Roman" w:hAnsi="Times New Roman"/>
          <w:sz w:val="24"/>
          <w:szCs w:val="24"/>
        </w:rPr>
        <w:t>methanu</w:t>
      </w:r>
      <w:proofErr w:type="spellEnd"/>
      <w:r>
        <w:rPr>
          <w:rFonts w:ascii="Times New Roman" w:hAnsi="Times New Roman"/>
          <w:sz w:val="24"/>
          <w:szCs w:val="24"/>
        </w:rPr>
        <w:t xml:space="preserve"> je limitní hodnota emisí 115 mg/Nm3.“</w:t>
      </w:r>
    </w:p>
    <w:p w:rsidR="0093333B" w:rsidRPr="00F91869" w:rsidRDefault="0093333B" w:rsidP="0093333B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§ 4 </w:t>
      </w:r>
      <w:r>
        <w:rPr>
          <w:rFonts w:ascii="Times New Roman" w:hAnsi="Times New Roman"/>
          <w:sz w:val="24"/>
          <w:szCs w:val="24"/>
        </w:rPr>
        <w:t>(1) Příloha 1 vyhlášky se mění v souladu s přílohou 1.</w:t>
      </w:r>
    </w:p>
    <w:p w:rsidR="0093333B" w:rsidRPr="00F91869" w:rsidRDefault="0093333B" w:rsidP="0093333B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(2) Příloha 2 vyhlášky nabývá účinnosti v souladu s přílohou 2.</w:t>
      </w:r>
    </w:p>
    <w:p w:rsidR="0093333B" w:rsidRPr="00F91869" w:rsidRDefault="0093333B" w:rsidP="0093333B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(3) Příloha 3 vyhlášky nabývá účinnosti v souladu s přílohou 3.</w:t>
      </w:r>
    </w:p>
    <w:p w:rsidR="0093333B" w:rsidRPr="00F91869" w:rsidRDefault="0093333B" w:rsidP="0093333B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(4) Příloha 4 vyhlášky se mění v souladu s přílohou 4.</w:t>
      </w:r>
    </w:p>
    <w:p w:rsidR="0093333B" w:rsidRPr="00F91869" w:rsidRDefault="0093333B" w:rsidP="0093333B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(5) Příloha 5 vyhlášky se mění v souladu s přílohou 5.</w:t>
      </w:r>
    </w:p>
    <w:p w:rsidR="0093333B" w:rsidRPr="00F91869" w:rsidRDefault="0093333B" w:rsidP="0093333B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§ 5 </w:t>
      </w:r>
      <w:r>
        <w:rPr>
          <w:rFonts w:ascii="Times New Roman" w:hAnsi="Times New Roman"/>
          <w:sz w:val="24"/>
          <w:szCs w:val="24"/>
        </w:rPr>
        <w:t>Dílčí bod 3.4 bodu 3 přílohy 4 vyhlášky se tímto zrušuje.</w:t>
      </w:r>
    </w:p>
    <w:p w:rsidR="0093333B" w:rsidRPr="00F91869" w:rsidRDefault="0093333B" w:rsidP="0093333B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§ 6 </w:t>
      </w:r>
      <w:r>
        <w:rPr>
          <w:rFonts w:ascii="Times New Roman" w:hAnsi="Times New Roman"/>
          <w:sz w:val="24"/>
          <w:szCs w:val="24"/>
        </w:rPr>
        <w:t>(1) Tato vyhláška nabývá účinnosti s výjimkami uvedenými v odstavcích 2 a 3 v 15. den po jejím vyhlášení.</w:t>
      </w:r>
    </w:p>
    <w:p w:rsidR="0093333B" w:rsidRPr="00F91869" w:rsidRDefault="0093333B" w:rsidP="0093333B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(2) Ustanovení § 2 odst. 1 a 2, § 4 odst. 3 a přílohy 3 nabývají účinnosti dne 1. ledna 2025.</w:t>
      </w:r>
    </w:p>
    <w:p w:rsidR="0093333B" w:rsidRPr="00F91869" w:rsidRDefault="0093333B" w:rsidP="0093333B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(3) Ustanovení § 4 odst. 2 a přílohy 2 nabývají účinnosti dne 1. ledna 2030.</w:t>
      </w:r>
    </w:p>
    <w:p w:rsidR="0093333B" w:rsidRPr="00F91869" w:rsidRDefault="0093333B" w:rsidP="0093333B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§ 7 </w:t>
      </w:r>
      <w:r>
        <w:rPr>
          <w:rFonts w:ascii="Times New Roman" w:hAnsi="Times New Roman"/>
          <w:sz w:val="24"/>
          <w:szCs w:val="24"/>
        </w:rPr>
        <w:t>(1) Účelem této vyhlášky je splnění směrnice Evropského parlamentu a Rady (EU) 2015/2193 ze dne 25. listopadu 2015 o omezení emisí některých znečišťujících látek do ovzduší ze středních spalovacích zařízení.</w:t>
      </w:r>
    </w:p>
    <w:p w:rsidR="0093333B" w:rsidRPr="00F91869" w:rsidRDefault="0093333B" w:rsidP="0093333B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(2) Byl dodržen požadavek na předchozí oznámení této vyhlášky podle článků 5 až 7 směrnice Evropského parlamentu a Rady (EU) 2015/1535 ze dne 9. září 2015 o postupu při poskytování informací v oblasti technických předpisů a předpisů pro služby informační společnosti.</w:t>
      </w:r>
    </w:p>
    <w:p w:rsidR="0093333B" w:rsidRPr="00F91869" w:rsidRDefault="0093333B" w:rsidP="00F91869">
      <w:pPr>
        <w:keepNext/>
        <w:autoSpaceDE w:val="0"/>
        <w:autoSpaceDN w:val="0"/>
        <w:adjustRightInd w:val="0"/>
        <w:spacing w:before="240" w:after="24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iCs/>
          <w:sz w:val="28"/>
          <w:szCs w:val="28"/>
          <w:u w:val="single"/>
        </w:rPr>
        <w:t>Příloha 1 vyhlášky ministra zemědělství č. 51/2019 ze dne 28. října 2019</w:t>
      </w:r>
    </w:p>
    <w:p w:rsidR="0093333B" w:rsidRPr="00F91869" w:rsidRDefault="0093333B" w:rsidP="00F91869">
      <w:pPr>
        <w:keepNext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Dílčí bod 2.3 bodu 2 přílohy 1 vyhlášky se nahrazuje tímto:</w:t>
      </w:r>
    </w:p>
    <w:p w:rsidR="0093333B" w:rsidRPr="00F91869" w:rsidRDefault="0093333B" w:rsidP="0093333B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„2.3 Limitní hodnota emisí </w:t>
      </w:r>
      <w:proofErr w:type="spellStart"/>
      <w:r>
        <w:rPr>
          <w:rFonts w:ascii="Times New Roman" w:hAnsi="Times New Roman"/>
          <w:sz w:val="24"/>
          <w:szCs w:val="24"/>
        </w:rPr>
        <w:t>NOx</w:t>
      </w:r>
      <w:proofErr w:type="spellEnd"/>
      <w:r>
        <w:rPr>
          <w:rFonts w:ascii="Times New Roman" w:hAnsi="Times New Roman"/>
          <w:sz w:val="24"/>
          <w:szCs w:val="24"/>
        </w:rPr>
        <w:t xml:space="preserve"> je 320 mg/m3 u spalování hnědého uhlí, 300 mg/m3 u kotlů na kapalná paliva spalujících tuhá paliva z biomasy a 210 mg/m3 u kotlů spalujících ostatní tuhá paliva.“</w:t>
      </w:r>
    </w:p>
    <w:p w:rsidR="0093333B" w:rsidRPr="00F91869" w:rsidRDefault="0093333B" w:rsidP="00F91869">
      <w:pPr>
        <w:keepNext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Dílčí bod 3.1 bodu 3 přílohy 1 vyhlášky se nahrazuje tímto:</w:t>
      </w:r>
    </w:p>
    <w:p w:rsidR="0093333B" w:rsidRPr="00F91869" w:rsidRDefault="0093333B" w:rsidP="0093333B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„3.1 Limitní hodnota emisí </w:t>
      </w:r>
      <w:proofErr w:type="spellStart"/>
      <w:r>
        <w:rPr>
          <w:rFonts w:ascii="Times New Roman" w:hAnsi="Times New Roman"/>
          <w:sz w:val="24"/>
          <w:szCs w:val="24"/>
        </w:rPr>
        <w:t>NOx</w:t>
      </w:r>
      <w:proofErr w:type="spellEnd"/>
      <w:r>
        <w:rPr>
          <w:rFonts w:ascii="Times New Roman" w:hAnsi="Times New Roman"/>
          <w:sz w:val="24"/>
          <w:szCs w:val="24"/>
        </w:rPr>
        <w:t xml:space="preserve"> je 300 mg/m3 v případě dvoutaktních motorů, 225 mg/m3 v případě čtyřtaktních plynových motorů spalujících bioplyn a skládkový plyn, 1 650 mg/m3 v případě naftových motorů používaných výhradně u průzkumných vrtů a 1 500 mg/m3 v případě ostatních naftových motorů.“</w:t>
      </w:r>
    </w:p>
    <w:p w:rsidR="0093333B" w:rsidRPr="00F91869" w:rsidRDefault="0093333B" w:rsidP="00F91869">
      <w:pPr>
        <w:keepNext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V bodu 3 přílohy 1 vyhlášky se doplňuje níže uvedený dílčí bod 3.4:</w:t>
      </w:r>
    </w:p>
    <w:p w:rsidR="0093333B" w:rsidRPr="00F91869" w:rsidRDefault="0093333B" w:rsidP="0093333B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„3.4 Limitní hodnota emisí celkového organického uhlíku (TOC) v případě plynových motorů používajících zemní plyn s obsahem </w:t>
      </w:r>
      <w:proofErr w:type="spellStart"/>
      <w:r>
        <w:rPr>
          <w:rFonts w:ascii="Times New Roman" w:hAnsi="Times New Roman"/>
          <w:sz w:val="24"/>
          <w:szCs w:val="24"/>
        </w:rPr>
        <w:t>ethanu</w:t>
      </w:r>
      <w:proofErr w:type="spellEnd"/>
      <w:r>
        <w:rPr>
          <w:rFonts w:ascii="Times New Roman" w:hAnsi="Times New Roman"/>
          <w:sz w:val="24"/>
          <w:szCs w:val="24"/>
        </w:rPr>
        <w:t xml:space="preserve"> vyšším než 5 % je 95 mg/m3.“</w:t>
      </w:r>
    </w:p>
    <w:p w:rsidR="0093333B" w:rsidRPr="00F91869" w:rsidRDefault="0093333B" w:rsidP="00F91869">
      <w:pPr>
        <w:keepNext/>
        <w:autoSpaceDE w:val="0"/>
        <w:autoSpaceDN w:val="0"/>
        <w:adjustRightInd w:val="0"/>
        <w:spacing w:before="240" w:after="24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iCs/>
          <w:sz w:val="28"/>
          <w:szCs w:val="28"/>
          <w:u w:val="single"/>
        </w:rPr>
        <w:t>Příloha 2 vyhlášky ministra zemědělství č. 51/2019 ze dne 28. října 2019</w:t>
      </w:r>
    </w:p>
    <w:p w:rsidR="0093333B" w:rsidRPr="00F91869" w:rsidRDefault="0093333B" w:rsidP="0093333B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V buňce B:5 tabulky v bodě 2 přílohy 2 vyhlášky se údaj „1 500“ nahrazuje údajem „375“.</w:t>
      </w:r>
    </w:p>
    <w:p w:rsidR="0093333B" w:rsidRPr="00F91869" w:rsidRDefault="0093333B" w:rsidP="00F91869">
      <w:pPr>
        <w:keepNext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Dílčí bod 2.5 bodu 2 přílohy 2 vyhlášky nabývá účinnosti v tomto znění:</w:t>
      </w:r>
    </w:p>
    <w:p w:rsidR="0093333B" w:rsidRPr="00F91869" w:rsidRDefault="0093333B" w:rsidP="0093333B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„2.5 Limitní hodnota emisí </w:t>
      </w:r>
      <w:proofErr w:type="spellStart"/>
      <w:r>
        <w:rPr>
          <w:rFonts w:ascii="Times New Roman" w:hAnsi="Times New Roman"/>
          <w:sz w:val="24"/>
          <w:szCs w:val="24"/>
        </w:rPr>
        <w:t>NOx</w:t>
      </w:r>
      <w:proofErr w:type="spellEnd"/>
      <w:r>
        <w:rPr>
          <w:rFonts w:ascii="Times New Roman" w:hAnsi="Times New Roman"/>
          <w:sz w:val="24"/>
          <w:szCs w:val="24"/>
        </w:rPr>
        <w:t xml:space="preserve"> je 320 mg/Nm3 u spalování hnědého uhlí, 300 mg/Nm3 u kotlů na kapalná paliva spalujících tuhá paliva z biomasy a 210 mg/Nm3 u kotlů spalujících ostatní tuhá paliva.“</w:t>
      </w:r>
    </w:p>
    <w:p w:rsidR="0093333B" w:rsidRPr="00F91869" w:rsidRDefault="0093333B" w:rsidP="00F91869">
      <w:pPr>
        <w:keepNext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Dílčí bod 3.3 bodu 3 přílohy 2 vyhlášky nabývá účinnosti v tomto znění:</w:t>
      </w:r>
    </w:p>
    <w:p w:rsidR="0093333B" w:rsidRPr="00F91869" w:rsidRDefault="0093333B" w:rsidP="00F91869">
      <w:pPr>
        <w:keepNext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„3.3 Limitní hodnota emisí pro </w:t>
      </w:r>
      <w:proofErr w:type="spellStart"/>
      <w:r>
        <w:rPr>
          <w:rFonts w:ascii="Times New Roman" w:hAnsi="Times New Roman"/>
          <w:sz w:val="24"/>
          <w:szCs w:val="24"/>
        </w:rPr>
        <w:t>NOx</w:t>
      </w:r>
      <w:proofErr w:type="spellEnd"/>
      <w:r>
        <w:rPr>
          <w:rFonts w:ascii="Times New Roman" w:hAnsi="Times New Roman"/>
          <w:sz w:val="24"/>
          <w:szCs w:val="24"/>
        </w:rPr>
        <w:t xml:space="preserve"> je 1 500 mg/Nm3 v těchto případech:</w:t>
      </w:r>
    </w:p>
    <w:p w:rsidR="0093333B" w:rsidRPr="00F91869" w:rsidRDefault="0093333B" w:rsidP="0093333B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a)</w:t>
      </w:r>
      <w:r>
        <w:rPr>
          <w:rFonts w:ascii="Times New Roman" w:hAnsi="Times New Roman"/>
          <w:sz w:val="24"/>
          <w:szCs w:val="24"/>
        </w:rPr>
        <w:t xml:space="preserve"> v případě naftových motorů, jejichž stavba započala před dnem 18. května 2006;</w:t>
      </w:r>
    </w:p>
    <w:p w:rsidR="0093333B" w:rsidRPr="00F91869" w:rsidRDefault="0093333B" w:rsidP="0093333B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b)</w:t>
      </w:r>
      <w:r>
        <w:rPr>
          <w:rFonts w:ascii="Times New Roman" w:hAnsi="Times New Roman"/>
          <w:sz w:val="24"/>
          <w:szCs w:val="24"/>
        </w:rPr>
        <w:t xml:space="preserve"> v případě dvoupalivových motorů v kapalném režimu.“</w:t>
      </w:r>
    </w:p>
    <w:p w:rsidR="0093333B" w:rsidRPr="00F91869" w:rsidRDefault="0093333B" w:rsidP="0093333B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V bodu 3 přílohy 2 vyhlášky se doplňuje níže uvedený dílčí bod 3.8:</w:t>
      </w:r>
    </w:p>
    <w:p w:rsidR="0093333B" w:rsidRPr="00F91869" w:rsidRDefault="0093333B" w:rsidP="0093333B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„3.8 Limitní hodnota emisí celkového organického uhlíku (TOC) v případě plynových motorů používajících zemní plyn s obsahem </w:t>
      </w:r>
      <w:proofErr w:type="spellStart"/>
      <w:r>
        <w:rPr>
          <w:rFonts w:ascii="Times New Roman" w:hAnsi="Times New Roman"/>
          <w:sz w:val="24"/>
          <w:szCs w:val="24"/>
        </w:rPr>
        <w:t>ethanu</w:t>
      </w:r>
      <w:proofErr w:type="spellEnd"/>
      <w:r>
        <w:rPr>
          <w:rFonts w:ascii="Times New Roman" w:hAnsi="Times New Roman"/>
          <w:sz w:val="24"/>
          <w:szCs w:val="24"/>
        </w:rPr>
        <w:t xml:space="preserve"> vyšším než 5 % je 95 mg/m3.“</w:t>
      </w:r>
    </w:p>
    <w:p w:rsidR="0093333B" w:rsidRPr="00F91869" w:rsidRDefault="0093333B" w:rsidP="00F91869">
      <w:pPr>
        <w:keepNext/>
        <w:autoSpaceDE w:val="0"/>
        <w:autoSpaceDN w:val="0"/>
        <w:adjustRightInd w:val="0"/>
        <w:spacing w:before="240" w:after="24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iCs/>
          <w:sz w:val="28"/>
          <w:szCs w:val="28"/>
          <w:u w:val="single"/>
        </w:rPr>
        <w:t>Příloha 3 vyhlášky ministra zemědělství č. 51/2019 ze dne 28. října 2019</w:t>
      </w:r>
    </w:p>
    <w:p w:rsidR="0093333B" w:rsidRPr="00F91869" w:rsidRDefault="0093333B" w:rsidP="0093333B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V buňce B:5 tabulky v bodě 2 přílohy 3 vyhlášky se údaj „1 500“ nahrazuje údajem „375“.</w:t>
      </w:r>
    </w:p>
    <w:p w:rsidR="0093333B" w:rsidRPr="00F91869" w:rsidRDefault="0093333B" w:rsidP="00F91869">
      <w:pPr>
        <w:keepNext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Dílčí bod 2.6 bodu 2 přílohy 3 vyhlášky nabývá účinnosti v tomto znění:</w:t>
      </w:r>
    </w:p>
    <w:p w:rsidR="0093333B" w:rsidRPr="00F91869" w:rsidRDefault="0093333B" w:rsidP="0093333B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„2.6 Limitní hodnota emisí </w:t>
      </w:r>
      <w:proofErr w:type="spellStart"/>
      <w:r>
        <w:rPr>
          <w:rFonts w:ascii="Times New Roman" w:hAnsi="Times New Roman"/>
          <w:sz w:val="24"/>
          <w:szCs w:val="24"/>
        </w:rPr>
        <w:t>NOx</w:t>
      </w:r>
      <w:proofErr w:type="spellEnd"/>
      <w:r>
        <w:rPr>
          <w:rFonts w:ascii="Times New Roman" w:hAnsi="Times New Roman"/>
          <w:sz w:val="24"/>
          <w:szCs w:val="24"/>
        </w:rPr>
        <w:t xml:space="preserve"> je 320 mg/m3 u spalování hnědého uhlí, 300 mg/m3 u kotlů na kapalná paliva spalujících tuhá paliva z biomasy a 210 mg/m3 u kotlů spalujících ostatní tuhá paliva.“</w:t>
      </w:r>
    </w:p>
    <w:p w:rsidR="0093333B" w:rsidRPr="00F91869" w:rsidRDefault="0093333B" w:rsidP="00F91869">
      <w:pPr>
        <w:keepNext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Dílčí bod 3.2 bodu 3 přílohy 3 vyhlášky nabývá účinnosti v tomto znění:</w:t>
      </w:r>
    </w:p>
    <w:p w:rsidR="0093333B" w:rsidRPr="00F91869" w:rsidRDefault="0093333B" w:rsidP="00F91869">
      <w:pPr>
        <w:keepNext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„3.2 Limitní hodnota emisí pro </w:t>
      </w:r>
      <w:proofErr w:type="spellStart"/>
      <w:r>
        <w:rPr>
          <w:rFonts w:ascii="Times New Roman" w:hAnsi="Times New Roman"/>
          <w:sz w:val="24"/>
          <w:szCs w:val="24"/>
        </w:rPr>
        <w:t>NOx</w:t>
      </w:r>
      <w:proofErr w:type="spellEnd"/>
      <w:r>
        <w:rPr>
          <w:rFonts w:ascii="Times New Roman" w:hAnsi="Times New Roman"/>
          <w:sz w:val="24"/>
          <w:szCs w:val="24"/>
        </w:rPr>
        <w:t xml:space="preserve"> je 1 500 mg/Nm3 v těchto případech:</w:t>
      </w:r>
    </w:p>
    <w:p w:rsidR="0093333B" w:rsidRPr="00F91869" w:rsidRDefault="0093333B" w:rsidP="0093333B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a)</w:t>
      </w:r>
      <w:r>
        <w:rPr>
          <w:rFonts w:ascii="Times New Roman" w:hAnsi="Times New Roman"/>
          <w:sz w:val="24"/>
          <w:szCs w:val="24"/>
        </w:rPr>
        <w:t xml:space="preserve"> v případě naftových motorů, jejichž stavba započala před dnem 18. května 2006;</w:t>
      </w:r>
    </w:p>
    <w:p w:rsidR="0093333B" w:rsidRPr="00F91869" w:rsidRDefault="0093333B" w:rsidP="0093333B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b)</w:t>
      </w:r>
      <w:r>
        <w:rPr>
          <w:rFonts w:ascii="Times New Roman" w:hAnsi="Times New Roman"/>
          <w:sz w:val="24"/>
          <w:szCs w:val="24"/>
        </w:rPr>
        <w:t xml:space="preserve"> v případě dvoupalivových motorů v kapalném režimu.“</w:t>
      </w:r>
    </w:p>
    <w:p w:rsidR="0093333B" w:rsidRPr="00F91869" w:rsidRDefault="0093333B" w:rsidP="00F91869">
      <w:pPr>
        <w:keepNext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4. Bod 3 přílohy 3 vyhlášky nabývá účinnosti s následujícími dílčími body 3.9 a 3.10:</w:t>
      </w:r>
    </w:p>
    <w:p w:rsidR="0093333B" w:rsidRPr="00F91869" w:rsidRDefault="0093333B" w:rsidP="0093333B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„3.9 Limitní hodnota emisí celkového organického uhlíku (TOC) v případě plynových motorů používajících zemní plyn s obsahem </w:t>
      </w:r>
      <w:proofErr w:type="spellStart"/>
      <w:r>
        <w:rPr>
          <w:rFonts w:ascii="Times New Roman" w:hAnsi="Times New Roman"/>
          <w:sz w:val="24"/>
          <w:szCs w:val="24"/>
        </w:rPr>
        <w:t>ethanu</w:t>
      </w:r>
      <w:proofErr w:type="spellEnd"/>
      <w:r>
        <w:rPr>
          <w:rFonts w:ascii="Times New Roman" w:hAnsi="Times New Roman"/>
          <w:sz w:val="24"/>
          <w:szCs w:val="24"/>
        </w:rPr>
        <w:t xml:space="preserve"> vyšším než 5 % je 95 mg/m3.</w:t>
      </w:r>
    </w:p>
    <w:p w:rsidR="0093333B" w:rsidRPr="00F91869" w:rsidRDefault="0093333B" w:rsidP="0093333B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3.10 V případě plynových motorů uvedených do provozu před dnem 1. ledna 1994, které se používají k provozování plynových kompresorových stanic nezbytných k zajištění bezpečnosti a ochrany soustavy pro přepravu plynu, je limitní hodnota emisí CO v případě čtyřtaktního motoru 375 mg/m3, v případě dvoutaktního motoru je to 320 mg/m3 a limitní hodnota emisí celkového organického uhlíku (TOC) je 115 mg/m3 až do 1. ledna 2030.“</w:t>
      </w:r>
    </w:p>
    <w:p w:rsidR="0093333B" w:rsidRPr="00F91869" w:rsidRDefault="0093333B" w:rsidP="00F91869">
      <w:pPr>
        <w:keepNext/>
        <w:autoSpaceDE w:val="0"/>
        <w:autoSpaceDN w:val="0"/>
        <w:adjustRightInd w:val="0"/>
        <w:spacing w:before="240" w:after="24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iCs/>
          <w:sz w:val="28"/>
          <w:szCs w:val="28"/>
          <w:u w:val="single"/>
        </w:rPr>
        <w:t>Příloha 4 vyhlášky ministra zemědělství č. 51/2019 ze dne 28. října 2019</w:t>
      </w:r>
    </w:p>
    <w:p w:rsidR="0093333B" w:rsidRPr="00F91869" w:rsidRDefault="0093333B" w:rsidP="00F91869">
      <w:pPr>
        <w:keepNext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Dílčí bod 2.5 bodu 2 přílohy 4 vyhlášky se nahrazuje tímto:</w:t>
      </w:r>
    </w:p>
    <w:p w:rsidR="0093333B" w:rsidRPr="00F91869" w:rsidRDefault="0093333B" w:rsidP="0093333B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„2.5 Limitní hodnota emisí </w:t>
      </w:r>
      <w:proofErr w:type="spellStart"/>
      <w:r>
        <w:rPr>
          <w:rFonts w:ascii="Times New Roman" w:hAnsi="Times New Roman"/>
          <w:sz w:val="24"/>
          <w:szCs w:val="24"/>
        </w:rPr>
        <w:t>NOx</w:t>
      </w:r>
      <w:proofErr w:type="spellEnd"/>
      <w:r>
        <w:rPr>
          <w:rFonts w:ascii="Times New Roman" w:hAnsi="Times New Roman"/>
          <w:sz w:val="24"/>
          <w:szCs w:val="24"/>
        </w:rPr>
        <w:t xml:space="preserve"> je 320 mg/m3 u spalování hnědého uhlí, 300 mg/m3 u kotlů na kapalná paliva spalujících tuhá paliva z biomasy a 210 mg/m3 u kotlů spalujících ostatní tuhá paliva.“</w:t>
      </w:r>
    </w:p>
    <w:p w:rsidR="0093333B" w:rsidRPr="00F91869" w:rsidRDefault="0093333B" w:rsidP="00F91869">
      <w:pPr>
        <w:keepNext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Dílčí bod 3.3 bodu 3 přílohy 4 vyhlášky se nahrazuje tímto:</w:t>
      </w:r>
    </w:p>
    <w:p w:rsidR="0093333B" w:rsidRPr="00F91869" w:rsidRDefault="0093333B" w:rsidP="0093333B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„3.3 Limitní hodnota emisí </w:t>
      </w:r>
      <w:proofErr w:type="spellStart"/>
      <w:r>
        <w:rPr>
          <w:rFonts w:ascii="Times New Roman" w:hAnsi="Times New Roman"/>
          <w:sz w:val="24"/>
          <w:szCs w:val="24"/>
        </w:rPr>
        <w:t>NOx</w:t>
      </w:r>
      <w:proofErr w:type="spellEnd"/>
      <w:r>
        <w:rPr>
          <w:rFonts w:ascii="Times New Roman" w:hAnsi="Times New Roman"/>
          <w:sz w:val="24"/>
          <w:szCs w:val="24"/>
        </w:rPr>
        <w:t xml:space="preserve"> u naftových motorů, pokud jsou jejich emise </w:t>
      </w:r>
      <w:proofErr w:type="spellStart"/>
      <w:r>
        <w:rPr>
          <w:rFonts w:ascii="Times New Roman" w:hAnsi="Times New Roman"/>
          <w:sz w:val="24"/>
          <w:szCs w:val="24"/>
        </w:rPr>
        <w:t>NOx</w:t>
      </w:r>
      <w:proofErr w:type="spellEnd"/>
      <w:r>
        <w:rPr>
          <w:rFonts w:ascii="Times New Roman" w:hAnsi="Times New Roman"/>
          <w:sz w:val="24"/>
          <w:szCs w:val="24"/>
        </w:rPr>
        <w:t xml:space="preserve"> omezeny vlivem primárních opatření, je 1 650 mg/m3 v případě naftových motorů používaných výhradně při průzkumných vrtech a 1 500 mg/m3 v případě ostatních naftových motorů.“</w:t>
      </w:r>
    </w:p>
    <w:p w:rsidR="0093333B" w:rsidRPr="00F91869" w:rsidRDefault="0093333B" w:rsidP="00F91869">
      <w:pPr>
        <w:keepNext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V bodu 3 přílohy 4 vyhlášky se doplňuje níže uvedený dílčí bod 3.8:</w:t>
      </w:r>
    </w:p>
    <w:p w:rsidR="0093333B" w:rsidRPr="00F91869" w:rsidRDefault="0093333B" w:rsidP="0093333B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„3.8 Limitní hodnota emisí celkového organického uhlíku (TOC) v případě plynových motorů používajících zemní plyn s obsahem </w:t>
      </w:r>
      <w:proofErr w:type="spellStart"/>
      <w:r>
        <w:rPr>
          <w:rFonts w:ascii="Times New Roman" w:hAnsi="Times New Roman"/>
          <w:sz w:val="24"/>
          <w:szCs w:val="24"/>
        </w:rPr>
        <w:t>ethanu</w:t>
      </w:r>
      <w:proofErr w:type="spellEnd"/>
      <w:r>
        <w:rPr>
          <w:rFonts w:ascii="Times New Roman" w:hAnsi="Times New Roman"/>
          <w:sz w:val="24"/>
          <w:szCs w:val="24"/>
        </w:rPr>
        <w:t xml:space="preserve"> vyšším než 5 % je 95 mg/m3.“</w:t>
      </w:r>
    </w:p>
    <w:p w:rsidR="0093333B" w:rsidRPr="00F91869" w:rsidRDefault="0093333B" w:rsidP="00F91869">
      <w:pPr>
        <w:keepNext/>
        <w:autoSpaceDE w:val="0"/>
        <w:autoSpaceDN w:val="0"/>
        <w:adjustRightInd w:val="0"/>
        <w:spacing w:before="240" w:after="24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iCs/>
          <w:sz w:val="28"/>
          <w:szCs w:val="28"/>
          <w:u w:val="single"/>
        </w:rPr>
        <w:t>Příloha 5 vyhlášky ministra zemědělství č. 51/2019 ze dne 28. října 2019</w:t>
      </w:r>
    </w:p>
    <w:p w:rsidR="0093333B" w:rsidRPr="00F91869" w:rsidRDefault="0093333B" w:rsidP="0093333B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V buňce B:5 tabulky v bodě 2 přílohy 5 vyhlášky se údaj „1 500“ nahrazuje údajem „375“.</w:t>
      </w:r>
    </w:p>
    <w:p w:rsidR="0093333B" w:rsidRPr="00F91869" w:rsidRDefault="0093333B" w:rsidP="00F91869">
      <w:pPr>
        <w:keepNext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Dílčí body 2.3 a 2.4 bodu 2 přílohy 5 vyhlášky se nahrazují tímto:</w:t>
      </w:r>
    </w:p>
    <w:p w:rsidR="0093333B" w:rsidRPr="00F91869" w:rsidRDefault="0093333B" w:rsidP="0093333B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„2.3 Limitní hodnota emisí </w:t>
      </w:r>
      <w:proofErr w:type="spellStart"/>
      <w:r>
        <w:rPr>
          <w:rFonts w:ascii="Times New Roman" w:hAnsi="Times New Roman"/>
          <w:sz w:val="24"/>
          <w:szCs w:val="24"/>
        </w:rPr>
        <w:t>NOx</w:t>
      </w:r>
      <w:proofErr w:type="spellEnd"/>
      <w:r>
        <w:rPr>
          <w:rFonts w:ascii="Times New Roman" w:hAnsi="Times New Roman"/>
          <w:sz w:val="24"/>
          <w:szCs w:val="24"/>
        </w:rPr>
        <w:t xml:space="preserve"> v případě spalovacích zařízení spalujících tuhá paliva o celkovém jmenovitém tepelném příkonu rovném nebo vyšším než 1 </w:t>
      </w:r>
      <w:proofErr w:type="spellStart"/>
      <w:r>
        <w:rPr>
          <w:rFonts w:ascii="Times New Roman" w:hAnsi="Times New Roman"/>
          <w:sz w:val="24"/>
          <w:szCs w:val="24"/>
        </w:rPr>
        <w:t>MWth</w:t>
      </w:r>
      <w:proofErr w:type="spellEnd"/>
      <w:r>
        <w:rPr>
          <w:rFonts w:ascii="Times New Roman" w:hAnsi="Times New Roman"/>
          <w:sz w:val="24"/>
          <w:szCs w:val="24"/>
        </w:rPr>
        <w:t>, ale nižším než 5 </w:t>
      </w:r>
      <w:proofErr w:type="spellStart"/>
      <w:r>
        <w:rPr>
          <w:rFonts w:ascii="Times New Roman" w:hAnsi="Times New Roman"/>
          <w:sz w:val="24"/>
          <w:szCs w:val="24"/>
        </w:rPr>
        <w:t>MWth</w:t>
      </w:r>
      <w:proofErr w:type="spellEnd"/>
      <w:r>
        <w:rPr>
          <w:rFonts w:ascii="Times New Roman" w:hAnsi="Times New Roman"/>
          <w:sz w:val="24"/>
          <w:szCs w:val="24"/>
        </w:rPr>
        <w:t xml:space="preserve"> je 500 mg/Nm3 s tou výjimkou, že v případě spalování hnědého uhlí je tato hodnota 320 mg/Nm3 a v případě kotlů na kapalná paliva spalujících tuhá paliva z biomasy je tato hodnota 300 mg/Nm3.</w:t>
      </w:r>
    </w:p>
    <w:p w:rsidR="0093333B" w:rsidRPr="00F91869" w:rsidRDefault="0093333B" w:rsidP="0093333B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2.4 Limitní hodnota emisí pro </w:t>
      </w:r>
      <w:proofErr w:type="spellStart"/>
      <w:r>
        <w:rPr>
          <w:rFonts w:ascii="Times New Roman" w:hAnsi="Times New Roman"/>
          <w:sz w:val="24"/>
          <w:szCs w:val="24"/>
        </w:rPr>
        <w:t>NOx</w:t>
      </w:r>
      <w:proofErr w:type="spellEnd"/>
      <w:r>
        <w:rPr>
          <w:rFonts w:ascii="Times New Roman" w:hAnsi="Times New Roman"/>
          <w:sz w:val="24"/>
          <w:szCs w:val="24"/>
        </w:rPr>
        <w:t xml:space="preserve"> pro kotle na kapalná paliva spalující jiná tuhá paliva je 210 mg/Nm3.“</w:t>
      </w:r>
    </w:p>
    <w:p w:rsidR="0093333B" w:rsidRPr="00F91869" w:rsidRDefault="0093333B" w:rsidP="00F91869">
      <w:pPr>
        <w:keepNext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Dílčí bod 3.2 bodu 3 přílohy 5 vyhlášky se nahrazuje tímto:</w:t>
      </w:r>
    </w:p>
    <w:p w:rsidR="0093333B" w:rsidRPr="00F91869" w:rsidRDefault="0093333B" w:rsidP="00F91869">
      <w:pPr>
        <w:keepNext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„3.2 V případě motorů, které jsou v provozu 500 až 1 500 hodin za rok, pokud jsou jejich emise </w:t>
      </w:r>
      <w:proofErr w:type="spellStart"/>
      <w:r>
        <w:rPr>
          <w:rFonts w:ascii="Times New Roman" w:hAnsi="Times New Roman"/>
          <w:sz w:val="24"/>
          <w:szCs w:val="24"/>
        </w:rPr>
        <w:t>NOx</w:t>
      </w:r>
      <w:proofErr w:type="spellEnd"/>
      <w:r>
        <w:rPr>
          <w:rFonts w:ascii="Times New Roman" w:hAnsi="Times New Roman"/>
          <w:sz w:val="24"/>
          <w:szCs w:val="24"/>
        </w:rPr>
        <w:t xml:space="preserve"> omezené z důvodu primárních opatření, platí níže uvedené limitní hodnoty emisí pro </w:t>
      </w:r>
      <w:proofErr w:type="spellStart"/>
      <w:r>
        <w:rPr>
          <w:rFonts w:ascii="Times New Roman" w:hAnsi="Times New Roman"/>
          <w:sz w:val="24"/>
          <w:szCs w:val="24"/>
        </w:rPr>
        <w:t>NOx</w:t>
      </w:r>
      <w:proofErr w:type="spellEnd"/>
      <w:r>
        <w:rPr>
          <w:rFonts w:ascii="Times New Roman" w:hAnsi="Times New Roman"/>
          <w:sz w:val="24"/>
          <w:szCs w:val="24"/>
        </w:rPr>
        <w:t>:</w:t>
      </w:r>
    </w:p>
    <w:p w:rsidR="0093333B" w:rsidRPr="00F91869" w:rsidRDefault="0093333B" w:rsidP="0093333B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a)</w:t>
      </w:r>
      <w:r>
        <w:rPr>
          <w:rFonts w:ascii="Times New Roman" w:hAnsi="Times New Roman"/>
          <w:sz w:val="24"/>
          <w:szCs w:val="24"/>
        </w:rPr>
        <w:t xml:space="preserve"> 1 300 mg/Nm3 pro naftové motory s celkovým jmenovitým tepelným příkonem do 20 </w:t>
      </w:r>
      <w:proofErr w:type="spellStart"/>
      <w:r>
        <w:rPr>
          <w:rFonts w:ascii="Times New Roman" w:hAnsi="Times New Roman"/>
          <w:sz w:val="24"/>
          <w:szCs w:val="24"/>
        </w:rPr>
        <w:t>MWth</w:t>
      </w:r>
      <w:proofErr w:type="spellEnd"/>
      <w:r>
        <w:rPr>
          <w:rFonts w:ascii="Times New Roman" w:hAnsi="Times New Roman"/>
          <w:sz w:val="24"/>
          <w:szCs w:val="24"/>
        </w:rPr>
        <w:t xml:space="preserve"> při ≤ 1 200 r/min;</w:t>
      </w:r>
    </w:p>
    <w:p w:rsidR="0093333B" w:rsidRPr="00F91869" w:rsidRDefault="0093333B" w:rsidP="0093333B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b)</w:t>
      </w:r>
      <w:r>
        <w:rPr>
          <w:rFonts w:ascii="Times New Roman" w:hAnsi="Times New Roman"/>
          <w:sz w:val="24"/>
          <w:szCs w:val="24"/>
        </w:rPr>
        <w:t xml:space="preserve"> 1 500 mg/Nm3 pro dieselové motory s celkovým jmenovitým tepelným příkonem nejvýše 20 </w:t>
      </w:r>
      <w:proofErr w:type="spellStart"/>
      <w:r>
        <w:rPr>
          <w:rFonts w:ascii="Times New Roman" w:hAnsi="Times New Roman"/>
          <w:sz w:val="24"/>
          <w:szCs w:val="24"/>
        </w:rPr>
        <w:t>MWth</w:t>
      </w:r>
      <w:proofErr w:type="spellEnd"/>
      <w:r>
        <w:rPr>
          <w:rFonts w:ascii="Times New Roman" w:hAnsi="Times New Roman"/>
          <w:sz w:val="24"/>
          <w:szCs w:val="24"/>
        </w:rPr>
        <w:t xml:space="preserve"> a pro dvoupalivové motory v kapalném režimu;</w:t>
      </w:r>
    </w:p>
    <w:p w:rsidR="0093333B" w:rsidRPr="00F91869" w:rsidRDefault="0093333B" w:rsidP="0093333B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c)</w:t>
      </w:r>
      <w:r>
        <w:rPr>
          <w:rFonts w:ascii="Times New Roman" w:hAnsi="Times New Roman"/>
          <w:sz w:val="24"/>
          <w:szCs w:val="24"/>
        </w:rPr>
        <w:t xml:space="preserve"> 750 mg/Nm3 u naftových motorů s &gt; 1 200 r/min;</w:t>
      </w:r>
    </w:p>
    <w:p w:rsidR="0093333B" w:rsidRPr="00F91869" w:rsidRDefault="0093333B" w:rsidP="0093333B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d)</w:t>
      </w:r>
      <w:r>
        <w:rPr>
          <w:rFonts w:ascii="Times New Roman" w:hAnsi="Times New Roman"/>
          <w:sz w:val="24"/>
          <w:szCs w:val="24"/>
        </w:rPr>
        <w:t xml:space="preserve"> 380 mg/Nm3 u dvoupalivových motorů v plynovém režimu.“</w:t>
      </w:r>
    </w:p>
    <w:p w:rsidR="0093333B" w:rsidRPr="00F91869" w:rsidRDefault="0093333B" w:rsidP="00F91869">
      <w:pPr>
        <w:keepNext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V bodu 3 přílohy 5 vyhlášky se doplňuje níže uvedený dílčí bod 3.9:</w:t>
      </w:r>
    </w:p>
    <w:p w:rsidR="0093333B" w:rsidRPr="00F91869" w:rsidRDefault="0093333B" w:rsidP="0093333B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„3.9 Limitní hodnota emisí celkového organického uhlíku (TOC) v případě plynových motorů používajících zemní plyn s obsahem </w:t>
      </w:r>
      <w:proofErr w:type="spellStart"/>
      <w:r>
        <w:rPr>
          <w:rFonts w:ascii="Times New Roman" w:hAnsi="Times New Roman"/>
          <w:sz w:val="24"/>
          <w:szCs w:val="24"/>
        </w:rPr>
        <w:t>ethanu</w:t>
      </w:r>
      <w:proofErr w:type="spellEnd"/>
      <w:r>
        <w:rPr>
          <w:rFonts w:ascii="Times New Roman" w:hAnsi="Times New Roman"/>
          <w:sz w:val="24"/>
          <w:szCs w:val="24"/>
        </w:rPr>
        <w:t xml:space="preserve"> vyšším než 5 % je 95 mg/m3.“</w:t>
      </w:r>
    </w:p>
    <w:sectPr w:rsidR="0093333B" w:rsidRPr="00F91869" w:rsidSect="009C445E">
      <w:pgSz w:w="12240" w:h="15840"/>
      <w:pgMar w:top="1417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B169A" w:rsidRDefault="00EB169A" w:rsidP="000A7E07">
      <w:pPr>
        <w:spacing w:after="0" w:line="240" w:lineRule="auto"/>
      </w:pPr>
      <w:r>
        <w:separator/>
      </w:r>
    </w:p>
  </w:endnote>
  <w:endnote w:type="continuationSeparator" w:id="0">
    <w:p w:rsidR="00EB169A" w:rsidRDefault="00EB169A" w:rsidP="000A7E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B169A" w:rsidRDefault="00EB169A" w:rsidP="000A7E07">
      <w:pPr>
        <w:spacing w:after="0" w:line="240" w:lineRule="auto"/>
      </w:pPr>
      <w:r>
        <w:separator/>
      </w:r>
    </w:p>
  </w:footnote>
  <w:footnote w:type="continuationSeparator" w:id="0">
    <w:p w:rsidR="00EB169A" w:rsidRDefault="00EB169A" w:rsidP="000A7E0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/>
  <w:defaultTabStop w:val="708"/>
  <w:hyphenationZone w:val="425"/>
  <w:doNotHyphenateCap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3333B"/>
    <w:rsid w:val="000A7E07"/>
    <w:rsid w:val="00196C2F"/>
    <w:rsid w:val="0093333B"/>
    <w:rsid w:val="00A8487D"/>
    <w:rsid w:val="00D23C28"/>
    <w:rsid w:val="00E3749D"/>
    <w:rsid w:val="00E377C2"/>
    <w:rsid w:val="00EB169A"/>
    <w:rsid w:val="00ED5715"/>
    <w:rsid w:val="00F91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0FCB03"/>
  <w15:docId w15:val="{7AF770AC-F4EB-4C9B-A399-9E6097511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ekezds">
    <w:name w:val="Bekezdés"/>
    <w:uiPriority w:val="99"/>
    <w:rsid w:val="0093333B"/>
    <w:pPr>
      <w:autoSpaceDE w:val="0"/>
      <w:autoSpaceDN w:val="0"/>
      <w:adjustRightInd w:val="0"/>
      <w:spacing w:after="0" w:line="240" w:lineRule="auto"/>
      <w:ind w:firstLine="202"/>
    </w:pPr>
    <w:rPr>
      <w:rFonts w:ascii="Times New Roman" w:hAnsi="Times New Roman" w:cs="Times New Roman"/>
      <w:sz w:val="24"/>
      <w:szCs w:val="24"/>
    </w:rPr>
  </w:style>
  <w:style w:type="paragraph" w:customStyle="1" w:styleId="Bekezds2">
    <w:name w:val="Bekezdés2"/>
    <w:uiPriority w:val="99"/>
    <w:rsid w:val="0093333B"/>
    <w:pPr>
      <w:autoSpaceDE w:val="0"/>
      <w:autoSpaceDN w:val="0"/>
      <w:adjustRightInd w:val="0"/>
      <w:spacing w:after="0" w:line="240" w:lineRule="auto"/>
      <w:ind w:left="204" w:firstLine="204"/>
    </w:pPr>
    <w:rPr>
      <w:rFonts w:ascii="Times New Roman" w:hAnsi="Times New Roman" w:cs="Times New Roman"/>
      <w:sz w:val="24"/>
      <w:szCs w:val="24"/>
    </w:rPr>
  </w:style>
  <w:style w:type="paragraph" w:customStyle="1" w:styleId="Bekezds3">
    <w:name w:val="Bekezdés3"/>
    <w:uiPriority w:val="99"/>
    <w:rsid w:val="0093333B"/>
    <w:pPr>
      <w:autoSpaceDE w:val="0"/>
      <w:autoSpaceDN w:val="0"/>
      <w:adjustRightInd w:val="0"/>
      <w:spacing w:after="0" w:line="240" w:lineRule="auto"/>
      <w:ind w:left="408" w:firstLine="204"/>
    </w:pPr>
    <w:rPr>
      <w:rFonts w:ascii="Times New Roman" w:hAnsi="Times New Roman" w:cs="Times New Roman"/>
      <w:sz w:val="24"/>
      <w:szCs w:val="24"/>
    </w:rPr>
  </w:style>
  <w:style w:type="paragraph" w:customStyle="1" w:styleId="Bekezds4">
    <w:name w:val="Bekezdés4"/>
    <w:uiPriority w:val="99"/>
    <w:rsid w:val="0093333B"/>
    <w:pPr>
      <w:autoSpaceDE w:val="0"/>
      <w:autoSpaceDN w:val="0"/>
      <w:adjustRightInd w:val="0"/>
      <w:spacing w:after="0" w:line="240" w:lineRule="auto"/>
      <w:ind w:left="613" w:firstLine="204"/>
    </w:pPr>
    <w:rPr>
      <w:rFonts w:ascii="Times New Roman" w:hAnsi="Times New Roman" w:cs="Times New Roman"/>
      <w:sz w:val="24"/>
      <w:szCs w:val="24"/>
    </w:rPr>
  </w:style>
  <w:style w:type="paragraph" w:customStyle="1" w:styleId="DltCm">
    <w:name w:val="DôltCím"/>
    <w:uiPriority w:val="99"/>
    <w:rsid w:val="0093333B"/>
    <w:pPr>
      <w:autoSpaceDE w:val="0"/>
      <w:autoSpaceDN w:val="0"/>
      <w:adjustRightInd w:val="0"/>
      <w:spacing w:before="480" w:after="240" w:line="240" w:lineRule="auto"/>
      <w:jc w:val="center"/>
    </w:pPr>
    <w:rPr>
      <w:rFonts w:ascii="Times New Roman" w:hAnsi="Times New Roman" w:cs="Times New Roman"/>
      <w:i/>
      <w:iCs/>
      <w:sz w:val="24"/>
      <w:szCs w:val="24"/>
    </w:rPr>
  </w:style>
  <w:style w:type="paragraph" w:customStyle="1" w:styleId="FejezetCm">
    <w:name w:val="FejezetCím"/>
    <w:uiPriority w:val="99"/>
    <w:rsid w:val="0093333B"/>
    <w:pPr>
      <w:autoSpaceDE w:val="0"/>
      <w:autoSpaceDN w:val="0"/>
      <w:adjustRightInd w:val="0"/>
      <w:spacing w:before="480" w:after="240" w:line="240" w:lineRule="auto"/>
      <w:jc w:val="center"/>
    </w:pPr>
    <w:rPr>
      <w:rFonts w:ascii="Times New Roman" w:hAnsi="Times New Roman" w:cs="Times New Roman"/>
      <w:b/>
      <w:bCs/>
      <w:i/>
      <w:iCs/>
      <w:sz w:val="24"/>
      <w:szCs w:val="24"/>
    </w:rPr>
  </w:style>
  <w:style w:type="paragraph" w:customStyle="1" w:styleId="FCm">
    <w:name w:val="FôCím"/>
    <w:uiPriority w:val="99"/>
    <w:rsid w:val="0093333B"/>
    <w:pPr>
      <w:autoSpaceDE w:val="0"/>
      <w:autoSpaceDN w:val="0"/>
      <w:adjustRightInd w:val="0"/>
      <w:spacing w:before="480" w:after="240" w:line="240" w:lineRule="auto"/>
      <w:jc w:val="center"/>
    </w:pPr>
    <w:rPr>
      <w:rFonts w:ascii="Times New Roman" w:hAnsi="Times New Roman" w:cs="Times New Roman"/>
      <w:b/>
      <w:bCs/>
      <w:sz w:val="28"/>
      <w:szCs w:val="28"/>
    </w:rPr>
  </w:style>
  <w:style w:type="paragraph" w:customStyle="1" w:styleId="Kikezds">
    <w:name w:val="Kikezdés"/>
    <w:uiPriority w:val="99"/>
    <w:rsid w:val="0093333B"/>
    <w:pPr>
      <w:autoSpaceDE w:val="0"/>
      <w:autoSpaceDN w:val="0"/>
      <w:adjustRightInd w:val="0"/>
      <w:spacing w:after="0" w:line="240" w:lineRule="auto"/>
      <w:ind w:left="202" w:hanging="202"/>
    </w:pPr>
    <w:rPr>
      <w:rFonts w:ascii="Times New Roman" w:hAnsi="Times New Roman" w:cs="Times New Roman"/>
      <w:sz w:val="24"/>
      <w:szCs w:val="24"/>
    </w:rPr>
  </w:style>
  <w:style w:type="paragraph" w:customStyle="1" w:styleId="Kikezds2">
    <w:name w:val="Kikezdés2"/>
    <w:uiPriority w:val="99"/>
    <w:rsid w:val="0093333B"/>
    <w:pPr>
      <w:autoSpaceDE w:val="0"/>
      <w:autoSpaceDN w:val="0"/>
      <w:adjustRightInd w:val="0"/>
      <w:spacing w:after="0" w:line="240" w:lineRule="auto"/>
      <w:ind w:left="408" w:hanging="202"/>
    </w:pPr>
    <w:rPr>
      <w:rFonts w:ascii="Times New Roman" w:hAnsi="Times New Roman" w:cs="Times New Roman"/>
      <w:sz w:val="24"/>
      <w:szCs w:val="24"/>
    </w:rPr>
  </w:style>
  <w:style w:type="paragraph" w:customStyle="1" w:styleId="Kikezds3">
    <w:name w:val="Kikezdés3"/>
    <w:uiPriority w:val="99"/>
    <w:rsid w:val="0093333B"/>
    <w:pPr>
      <w:autoSpaceDE w:val="0"/>
      <w:autoSpaceDN w:val="0"/>
      <w:adjustRightInd w:val="0"/>
      <w:spacing w:after="0" w:line="240" w:lineRule="auto"/>
      <w:ind w:left="613" w:hanging="202"/>
    </w:pPr>
    <w:rPr>
      <w:rFonts w:ascii="Times New Roman" w:hAnsi="Times New Roman" w:cs="Times New Roman"/>
      <w:sz w:val="24"/>
      <w:szCs w:val="24"/>
    </w:rPr>
  </w:style>
  <w:style w:type="paragraph" w:customStyle="1" w:styleId="Kikezds4">
    <w:name w:val="Kikezdés4"/>
    <w:uiPriority w:val="99"/>
    <w:rsid w:val="0093333B"/>
    <w:pPr>
      <w:autoSpaceDE w:val="0"/>
      <w:autoSpaceDN w:val="0"/>
      <w:adjustRightInd w:val="0"/>
      <w:spacing w:after="0" w:line="240" w:lineRule="auto"/>
      <w:ind w:left="817" w:hanging="202"/>
    </w:pPr>
    <w:rPr>
      <w:rFonts w:ascii="Times New Roman" w:hAnsi="Times New Roman" w:cs="Times New Roman"/>
      <w:sz w:val="24"/>
      <w:szCs w:val="24"/>
    </w:rPr>
  </w:style>
  <w:style w:type="paragraph" w:customStyle="1" w:styleId="kzp">
    <w:name w:val="közép"/>
    <w:uiPriority w:val="99"/>
    <w:rsid w:val="0093333B"/>
    <w:pPr>
      <w:autoSpaceDE w:val="0"/>
      <w:autoSpaceDN w:val="0"/>
      <w:adjustRightInd w:val="0"/>
      <w:spacing w:before="240" w:after="240" w:line="240" w:lineRule="auto"/>
      <w:jc w:val="center"/>
    </w:pPr>
    <w:rPr>
      <w:rFonts w:ascii="Times New Roman" w:hAnsi="Times New Roman" w:cs="Times New Roman"/>
      <w:i/>
      <w:iCs/>
      <w:sz w:val="24"/>
      <w:szCs w:val="24"/>
    </w:rPr>
  </w:style>
  <w:style w:type="paragraph" w:customStyle="1" w:styleId="MellkletCm">
    <w:name w:val="MellékletCím"/>
    <w:uiPriority w:val="99"/>
    <w:rsid w:val="0093333B"/>
    <w:pPr>
      <w:autoSpaceDE w:val="0"/>
      <w:autoSpaceDN w:val="0"/>
      <w:adjustRightInd w:val="0"/>
      <w:spacing w:before="480" w:after="240" w:line="240" w:lineRule="auto"/>
    </w:pPr>
    <w:rPr>
      <w:rFonts w:ascii="Times New Roman" w:hAnsi="Times New Roman" w:cs="Times New Roman"/>
      <w:i/>
      <w:iCs/>
      <w:sz w:val="24"/>
      <w:szCs w:val="24"/>
      <w:u w:val="single"/>
    </w:rPr>
  </w:style>
  <w:style w:type="paragraph" w:customStyle="1" w:styleId="NormlCm">
    <w:name w:val="NormálCím"/>
    <w:uiPriority w:val="99"/>
    <w:rsid w:val="0093333B"/>
    <w:pPr>
      <w:autoSpaceDE w:val="0"/>
      <w:autoSpaceDN w:val="0"/>
      <w:adjustRightInd w:val="0"/>
      <w:spacing w:before="480" w:after="240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VastagCm">
    <w:name w:val="VastagCím"/>
    <w:uiPriority w:val="99"/>
    <w:rsid w:val="0093333B"/>
    <w:pPr>
      <w:autoSpaceDE w:val="0"/>
      <w:autoSpaceDN w:val="0"/>
      <w:adjustRightInd w:val="0"/>
      <w:spacing w:before="480" w:after="240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vonal">
    <w:name w:val="vonal"/>
    <w:uiPriority w:val="99"/>
    <w:rsid w:val="0093333B"/>
    <w:pPr>
      <w:autoSpaceDE w:val="0"/>
      <w:autoSpaceDN w:val="0"/>
      <w:adjustRightInd w:val="0"/>
      <w:spacing w:after="0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0A7E0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7E07"/>
  </w:style>
  <w:style w:type="paragraph" w:styleId="Footer">
    <w:name w:val="footer"/>
    <w:basedOn w:val="Normal"/>
    <w:link w:val="FooterChar"/>
    <w:uiPriority w:val="99"/>
    <w:unhideWhenUsed/>
    <w:rsid w:val="000A7E0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7E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C5DA6F2BFDD34498C4453AF02783704" ma:contentTypeVersion="4" ma:contentTypeDescription="Create a new document." ma:contentTypeScope="" ma:versionID="8193640a980f026e0530ce4c0b0d1c72">
  <xsd:schema xmlns:xsd="http://www.w3.org/2001/XMLSchema" xmlns:xs="http://www.w3.org/2001/XMLSchema" xmlns:p="http://schemas.microsoft.com/office/2006/metadata/properties" xmlns:ns2="d2e48c51-b2a3-4f79-9936-b5965aceee4d" targetNamespace="http://schemas.microsoft.com/office/2006/metadata/properties" ma:root="true" ma:fieldsID="5d5a20e3c99365034b8d9c8d728a5e6c" ns2:_="">
    <xsd:import namespace="d2e48c51-b2a3-4f79-9936-b5965aceee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e48c51-b2a3-4f79-9936-b5965aceee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5D528FA-D9F5-4FBF-9573-8894115351A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3DDAE3A-C924-4EA0-B4E2-5F884A074EC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94E42F8-CE91-4B51-A438-1638D61F08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e48c51-b2a3-4f79-9936-b5965aceee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1876</Words>
  <Characters>10698</Characters>
  <Application>Microsoft Office Word</Application>
  <DocSecurity>0</DocSecurity>
  <Lines>89</Lines>
  <Paragraphs>25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KD</Company>
  <LinksUpToDate>false</LinksUpToDate>
  <CharactersWithSpaces>12549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Fazekas Zsolt</dc:creator>
  <cp:lastModifiedBy>Ke, Tingting</cp:lastModifiedBy>
  <cp:revision>7</cp:revision>
  <dcterms:created xsi:type="dcterms:W3CDTF">2020-09-23T07:03:00Z</dcterms:created>
  <dcterms:modified xsi:type="dcterms:W3CDTF">2020-11-26T07:26:00Z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0x010100CC5DA6F2BFDD34498C4453AF02783704</vt:lpwstr>
  </property>
</Properties>
</file>