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33B" w:rsidRPr="00F91869" w:rsidRDefault="00E377C2" w:rsidP="0093333B">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sz w:val="20"/>
        </w:rPr>
        <w:t>1. ---</w:t>
      </w:r>
      <w:r w:rsidR="00CB765B">
        <w:rPr>
          <w:rFonts w:ascii="Courier New" w:hAnsi="Courier New"/>
          <w:sz w:val="20"/>
        </w:rPr>
        <w:t>-</w:t>
      </w:r>
      <w:bookmarkStart w:id="0" w:name="_GoBack"/>
      <w:bookmarkEnd w:id="0"/>
      <w:r>
        <w:rPr>
          <w:rFonts w:ascii="Courier New" w:hAnsi="Courier New"/>
          <w:sz w:val="20"/>
        </w:rPr>
        <w:t xml:space="preserve">--IND- 2019 0309 HU- DE- ------ </w:t>
      </w:r>
      <w:r>
        <w:rPr>
          <w:rFonts w:ascii="Segoe UI" w:hAnsi="Segoe UI"/>
          <w:color w:val="000000"/>
          <w:sz w:val="20"/>
        </w:rPr>
        <w:t>20201130</w:t>
      </w:r>
      <w:r>
        <w:rPr>
          <w:rFonts w:ascii="Courier New" w:hAnsi="Courier New"/>
          <w:sz w:val="20"/>
        </w:rPr>
        <w:t>--- --- FINAL</w:t>
      </w:r>
    </w:p>
    <w:p w:rsidR="0093333B" w:rsidRPr="00F91869" w:rsidRDefault="0093333B" w:rsidP="0093333B">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b/>
          <w:sz w:val="28"/>
        </w:rPr>
        <w:t>Verordnung Nr. 51/2019 des Agrarministeriums (AM) vom 28. Oktober 2019</w:t>
      </w:r>
    </w:p>
    <w:p w:rsidR="0093333B" w:rsidRPr="00F91869" w:rsidRDefault="0093333B" w:rsidP="0093333B">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b/>
          <w:sz w:val="28"/>
        </w:rPr>
        <w:t>zur Änderung der Verordnung Nr. 53/2017 des Landwirtschaftsministeriums (FM) vom 18. Oktober 2017 über die Betriebsbedingungen für Feuerungsanlagen mit einer Gesamtfeuerungswärmeleistung von mindestens 140 </w:t>
      </w:r>
      <w:proofErr w:type="spellStart"/>
      <w:r>
        <w:rPr>
          <w:rFonts w:ascii="Times New Roman" w:hAnsi="Times New Roman"/>
          <w:b/>
          <w:sz w:val="28"/>
        </w:rPr>
        <w:t>kWth</w:t>
      </w:r>
      <w:proofErr w:type="spellEnd"/>
      <w:r>
        <w:rPr>
          <w:rFonts w:ascii="Times New Roman" w:hAnsi="Times New Roman"/>
          <w:b/>
          <w:sz w:val="28"/>
        </w:rPr>
        <w:t xml:space="preserve"> und weniger als 50 </w:t>
      </w:r>
      <w:proofErr w:type="spellStart"/>
      <w:r>
        <w:rPr>
          <w:rFonts w:ascii="Times New Roman" w:hAnsi="Times New Roman"/>
          <w:b/>
          <w:sz w:val="28"/>
        </w:rPr>
        <w:t>MWth</w:t>
      </w:r>
      <w:proofErr w:type="spellEnd"/>
      <w:r>
        <w:rPr>
          <w:rFonts w:ascii="Times New Roman" w:hAnsi="Times New Roman"/>
          <w:b/>
          <w:sz w:val="28"/>
        </w:rPr>
        <w:t xml:space="preserve"> sowie die Emissionsgrenzwerte für luftverschmutzende Stoffe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Aufgrund der in § 110 Absatz 8 Buchstabe </w:t>
      </w:r>
      <w:r>
        <w:rPr>
          <w:rFonts w:ascii="Times New Roman" w:hAnsi="Times New Roman"/>
          <w:i/>
          <w:iCs/>
          <w:sz w:val="24"/>
        </w:rPr>
        <w:t>g</w:t>
      </w:r>
      <w:r>
        <w:rPr>
          <w:rFonts w:ascii="Times New Roman" w:hAnsi="Times New Roman"/>
          <w:sz w:val="24"/>
        </w:rPr>
        <w:t xml:space="preserve"> des Gesetzes Nr. LIII von 1995 über die allgemeinen Regeln des Umweltschutzes übertragenen Befugnis und in meiner Funktion gemäß § 79 Nummer 9 der Regierungsverordnung Nr. 94/2018 vom 22. Mai 2018 über die Aufgaben und Zuständigkeiten der Regierungsmitglieder wird Folgendes verfügt: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xml:space="preserve">§ 1 </w:t>
      </w:r>
      <w:r>
        <w:rPr>
          <w:rFonts w:ascii="Times New Roman" w:hAnsi="Times New Roman"/>
          <w:sz w:val="24"/>
        </w:rPr>
        <w:t>(1) In § 2 Absatz 1 der Verordnung Nr. 53/2017 des Landwirtschaftsministeriums (FM) vom 18. Oktober 2017 über die Betriebsbedingungen für Feuerungsanlagen mit einer Gesamtfeuerungswärmeleistung von mindestens 140 </w:t>
      </w:r>
      <w:proofErr w:type="spellStart"/>
      <w:r>
        <w:rPr>
          <w:rFonts w:ascii="Times New Roman" w:hAnsi="Times New Roman"/>
          <w:sz w:val="24"/>
        </w:rPr>
        <w:t>kWth</w:t>
      </w:r>
      <w:proofErr w:type="spellEnd"/>
      <w:r>
        <w:rPr>
          <w:rFonts w:ascii="Times New Roman" w:hAnsi="Times New Roman"/>
          <w:sz w:val="24"/>
        </w:rPr>
        <w:t xml:space="preserve"> und weniger als 50 </w:t>
      </w:r>
      <w:proofErr w:type="spellStart"/>
      <w:r>
        <w:rPr>
          <w:rFonts w:ascii="Times New Roman" w:hAnsi="Times New Roman"/>
          <w:sz w:val="24"/>
        </w:rPr>
        <w:t>MWth</w:t>
      </w:r>
      <w:proofErr w:type="spellEnd"/>
      <w:r>
        <w:rPr>
          <w:rFonts w:ascii="Times New Roman" w:hAnsi="Times New Roman"/>
          <w:sz w:val="24"/>
        </w:rPr>
        <w:t xml:space="preserve"> sowie die Emissionsgrenzwerte für luftverschmutzende Stoffe (nachfolgend „R.“) wird folgende Nummer 1a eingefügt: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(Für die Zwecke dieser Verordnung gelten folgende Begriffsbestimmungen:)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„1a. </w:t>
      </w:r>
      <w:r>
        <w:rPr>
          <w:rFonts w:ascii="Times New Roman" w:hAnsi="Times New Roman"/>
          <w:i/>
          <w:sz w:val="24"/>
        </w:rPr>
        <w:t xml:space="preserve">Gasübertragungssystem: </w:t>
      </w:r>
      <w:r>
        <w:rPr>
          <w:rFonts w:ascii="Times New Roman" w:hAnsi="Times New Roman"/>
          <w:sz w:val="24"/>
        </w:rPr>
        <w:t>Kooperatives Erdgassystem gemäß Gesetz Nr. XL von 2008 über die Erdgasversorgung;“</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 2 Absatz 1 Nummer 9 R. wird durch folgende Bestimmung ersetzt: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„9. </w:t>
      </w:r>
      <w:r>
        <w:rPr>
          <w:rFonts w:ascii="Times New Roman" w:hAnsi="Times New Roman"/>
          <w:i/>
          <w:sz w:val="24"/>
        </w:rPr>
        <w:t xml:space="preserve">Gesamtfeuerungswärmeleistung: </w:t>
      </w:r>
      <w:r>
        <w:rPr>
          <w:rFonts w:ascii="Times New Roman" w:hAnsi="Times New Roman"/>
          <w:sz w:val="24"/>
        </w:rPr>
        <w:t>nach der Aggregationsregel berechnete gesamte Feuerungswärmeleistung der Anlage, die bei einer Feuerungsanlage mit der Feuerungswärmeleistung identisch ist;“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xml:space="preserve">§ 2 </w:t>
      </w:r>
      <w:r>
        <w:rPr>
          <w:rFonts w:ascii="Times New Roman" w:hAnsi="Times New Roman"/>
          <w:sz w:val="24"/>
        </w:rPr>
        <w:t>(1) § 4 Absatz 6 und 7 R. wird durch folgende Bestimmung ersetzt: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„(6) Für Feuerungsanlagen der Kategorie I mit einer Gesamtfeuerungswärmeleistung von mindestens 1 </w:t>
      </w:r>
      <w:proofErr w:type="spellStart"/>
      <w:r>
        <w:rPr>
          <w:rFonts w:ascii="Times New Roman" w:hAnsi="Times New Roman"/>
          <w:sz w:val="24"/>
        </w:rPr>
        <w:t>MWth</w:t>
      </w:r>
      <w:proofErr w:type="spellEnd"/>
      <w:r>
        <w:rPr>
          <w:rFonts w:ascii="Times New Roman" w:hAnsi="Times New Roman"/>
          <w:sz w:val="24"/>
        </w:rPr>
        <w:t xml:space="preserve"> und darüber, die im gleitenden Durchschnitt über einen Zeitraum von fünf Jahren nicht mehr als 500 Betriebsstunden pro Jahr in Betrieb sind, gelten die in Anhang 1 festgelegten Emissionsgrenzwerte, mit der Ausnahme, dass für Anlagen, in denen feste Biomasse verfeuert wird, für Feststoffe ein Emissionsgrenzwert von 200 mg/Nm3, für Kohlenmonoxid von 375 mg/Nm3 gilt.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(7) Für Feuerungsanlagen der Kategorie I mit einer Gesamtfeuerungswärmeleistung von mehr als 5 </w:t>
      </w:r>
      <w:proofErr w:type="spellStart"/>
      <w:r>
        <w:rPr>
          <w:rFonts w:ascii="Times New Roman" w:hAnsi="Times New Roman"/>
          <w:sz w:val="24"/>
        </w:rPr>
        <w:t>MWth</w:t>
      </w:r>
      <w:proofErr w:type="spellEnd"/>
      <w:r>
        <w:rPr>
          <w:rFonts w:ascii="Times New Roman" w:hAnsi="Times New Roman"/>
          <w:sz w:val="24"/>
        </w:rPr>
        <w:t>, die mindestens 50 % der erzeugten Nutzwärme der Anlage, berechnet als gleitender Durchschnitt über einen Zeitraum von fünf Jahren, in Form von Dampf, heißem Wasser oder Warmwasser an ein öffentliches Fernwärmenetz abgeben, gelten bis zum 1. Januar 2030 die in Anhang 1 festgelegten Emissionsgrenzwerte, mit der Ausnahme, dass für Anlagen, in denen feste und flüssige Brennstoffe verfeuert werden, für Schwefeldioxid ein Emissionsgrenzwert von 1100 mg/Nm3, für Anlagen, in denen feste Brennstoffe verfeuert werden, ein Emissionsgrenzwert für Feststoffe von 150 mg/Nm3 und für Anlagen, in denen feste Biomasse verfeuert wird, für Kohlenmonoxid ein Emissionsgrenzwert von 375 mg/Nm3 gilt.“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 4 Absatz 9 R. erhält folgende Fassung:</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„(9) Für Motoren und Gasturbinen der Kategorie I mit einer Gesamtfeuerungswärmeleistung von mehr als 5 </w:t>
      </w:r>
      <w:proofErr w:type="spellStart"/>
      <w:r>
        <w:rPr>
          <w:rFonts w:ascii="Times New Roman" w:hAnsi="Times New Roman"/>
          <w:sz w:val="24"/>
        </w:rPr>
        <w:t>MWth</w:t>
      </w:r>
      <w:proofErr w:type="spellEnd"/>
      <w:r>
        <w:rPr>
          <w:rFonts w:ascii="Times New Roman" w:hAnsi="Times New Roman"/>
          <w:sz w:val="24"/>
        </w:rPr>
        <w:t xml:space="preserve">, wenn sie zum Betrieb von Gasverdichterstationen eingesetzt werden, die im Interesse der Sicherheit und Zuverlässigkeit des Gasübertragungssystems notwendig sind, gilt </w:t>
      </w:r>
      <w:r>
        <w:rPr>
          <w:rFonts w:ascii="Times New Roman" w:hAnsi="Times New Roman"/>
          <w:sz w:val="24"/>
        </w:rPr>
        <w:lastRenderedPageBreak/>
        <w:t>bis zum 1. Januar 2030 der in Anhang 1 für Stickstoffoxid festgelegte Grenzwert, mit der Ausnahme, dass bei Gasmotoren, die vor dem 1. Januar 1994 in Betrieb genommen wurden, für Stickstoffoxid ein Emissionsgrenzwert von 565 mg/Nm3 gilt.“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 4 Absatz 10 R. wird durch folgende Bestimmung ersetzt: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„(10) Für Feuerungsanlagen der Kategorie II, die im gleitenden Durchschnitt über einen Zeitraum von drei Jahren nicht mehr als 500 Betriebsstunden pro Jahr in Betrieb sind, gelten die in Anhang 1 festgelegten Emissionsgrenzwerte, mit der Ausnahme, dass für Anlagen, in denen feste Brennstoffe verfeuert werden, für Feststoffe ein Emissionsgrenzwert von 100 mg/Nm3 und für Anlagen mit einer Feuerungswärmeleistung von mindestens 1 </w:t>
      </w:r>
      <w:proofErr w:type="spellStart"/>
      <w:r>
        <w:rPr>
          <w:rFonts w:ascii="Times New Roman" w:hAnsi="Times New Roman"/>
          <w:sz w:val="24"/>
        </w:rPr>
        <w:t>MWth</w:t>
      </w:r>
      <w:proofErr w:type="spellEnd"/>
      <w:r>
        <w:rPr>
          <w:rFonts w:ascii="Times New Roman" w:hAnsi="Times New Roman"/>
          <w:sz w:val="24"/>
        </w:rPr>
        <w:t xml:space="preserve"> und mehr, in denen feste Biomasse verfeuert wird, für Kohlenmonoxid ein Emissionsgrenzwert von 375 mg/Nm3 gilt.“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(4) § 4 Absatz 13 R. wird durch folgende Bestimmung ersetzt: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„(13) Bei ortsfesten Motoren gelten die Emissionsgrenzwerte nicht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 xml:space="preserve">a) </w:t>
      </w:r>
      <w:r>
        <w:rPr>
          <w:rFonts w:ascii="Times New Roman" w:hAnsi="Times New Roman"/>
          <w:sz w:val="24"/>
        </w:rPr>
        <w:t>für Motoren mit einer Gesamtfeuerungswärmeleistung von weniger als 1 </w:t>
      </w:r>
      <w:proofErr w:type="spellStart"/>
      <w:r>
        <w:rPr>
          <w:rFonts w:ascii="Times New Roman" w:hAnsi="Times New Roman"/>
          <w:sz w:val="24"/>
        </w:rPr>
        <w:t>MWth</w:t>
      </w:r>
      <w:proofErr w:type="spellEnd"/>
      <w:r>
        <w:rPr>
          <w:rFonts w:ascii="Times New Roman" w:hAnsi="Times New Roman"/>
          <w:sz w:val="24"/>
        </w:rPr>
        <w:t xml:space="preserve"> und mit einem Brennstoffverbrauch unter 50 kg/h und</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 xml:space="preserve">b) </w:t>
      </w:r>
      <w:r>
        <w:rPr>
          <w:rFonts w:ascii="Times New Roman" w:hAnsi="Times New Roman"/>
          <w:sz w:val="24"/>
        </w:rPr>
        <w:t>für ortsfeste Motoren zum Antrieb von Notstromquellen, die jährlich weniger als 50 h in Betrieb sind.“</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xml:space="preserve">§ 3 </w:t>
      </w:r>
      <w:r>
        <w:rPr>
          <w:rFonts w:ascii="Times New Roman" w:hAnsi="Times New Roman"/>
          <w:sz w:val="24"/>
        </w:rPr>
        <w:t>§ 12 Absatz 2 und 3 R. wird durch folgende Bestimmungen ersetzt: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Für Feuerungsanlagen der Kategorie I mit einer Gesamtfeuerungswärmeleistung von mindestens 1 </w:t>
      </w:r>
      <w:proofErr w:type="spellStart"/>
      <w:r>
        <w:rPr>
          <w:rFonts w:ascii="Times New Roman" w:hAnsi="Times New Roman"/>
          <w:sz w:val="24"/>
        </w:rPr>
        <w:t>MWth</w:t>
      </w:r>
      <w:proofErr w:type="spellEnd"/>
      <w:r>
        <w:rPr>
          <w:rFonts w:ascii="Times New Roman" w:hAnsi="Times New Roman"/>
          <w:sz w:val="24"/>
        </w:rPr>
        <w:t xml:space="preserve"> und höchstens 5 </w:t>
      </w:r>
      <w:proofErr w:type="spellStart"/>
      <w:r>
        <w:rPr>
          <w:rFonts w:ascii="Times New Roman" w:hAnsi="Times New Roman"/>
          <w:sz w:val="24"/>
        </w:rPr>
        <w:t>MWth</w:t>
      </w:r>
      <w:proofErr w:type="spellEnd"/>
      <w:r>
        <w:rPr>
          <w:rFonts w:ascii="Times New Roman" w:hAnsi="Times New Roman"/>
          <w:sz w:val="24"/>
        </w:rPr>
        <w:t xml:space="preserve"> gelten bis zum 31. Dezember 2029 die in Anhang 1 festgelegten Emissionsgrenzwerte mit den folgenden Ausnahmen: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 xml:space="preserve">a) </w:t>
      </w:r>
      <w:r>
        <w:rPr>
          <w:rFonts w:ascii="Times New Roman" w:hAnsi="Times New Roman"/>
          <w:sz w:val="24"/>
        </w:rPr>
        <w:t>bei Anlagen, in denen feste Biomasse verfeuert wird, gilt für Kohlenmonoxid ein Emissionsgrenzwert von 375 mg/Nm3;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 xml:space="preserve">b) </w:t>
      </w:r>
      <w:r>
        <w:rPr>
          <w:rFonts w:ascii="Times New Roman" w:hAnsi="Times New Roman"/>
          <w:sz w:val="24"/>
        </w:rPr>
        <w:t>bei Gasmotoren mit einer Gesamtfeuerungswärmeleistung von mehr als 3 </w:t>
      </w:r>
      <w:proofErr w:type="spellStart"/>
      <w:r>
        <w:rPr>
          <w:rFonts w:ascii="Times New Roman" w:hAnsi="Times New Roman"/>
          <w:sz w:val="24"/>
        </w:rPr>
        <w:t>MWth</w:t>
      </w:r>
      <w:proofErr w:type="spellEnd"/>
      <w:r>
        <w:rPr>
          <w:rFonts w:ascii="Times New Roman" w:hAnsi="Times New Roman"/>
          <w:sz w:val="24"/>
        </w:rPr>
        <w:t>, die vor dem 1. Januar 1994 in Betrieb genommen wurden, gilt für Stickstoffoxid ein Emissionsgrenzwert von 565 mg/Nm3, bei Viertaktmotoren für Kohlenmonoxid ein Emissionsgrenzwert von 375 mg/Nm3, bei Zweitaktmotoren ein Emissionsgrenzwert von 320 mg/Nm3, alle organischen Verbindungen ausgedrückt in C (Kohlenstoff), ausgenommen Methan, ein Emissionsgrenzwert von 115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Für Feuerungsanlagen der Kategorie I mit einer Feuerungswärmeleistung von mehr als 5 </w:t>
      </w:r>
      <w:proofErr w:type="spellStart"/>
      <w:r>
        <w:rPr>
          <w:rFonts w:ascii="Times New Roman" w:hAnsi="Times New Roman"/>
          <w:sz w:val="24"/>
        </w:rPr>
        <w:t>MWth</w:t>
      </w:r>
      <w:proofErr w:type="spellEnd"/>
      <w:r>
        <w:rPr>
          <w:rFonts w:ascii="Times New Roman" w:hAnsi="Times New Roman"/>
          <w:sz w:val="24"/>
        </w:rPr>
        <w:t xml:space="preserve"> gelten bis zum 31. Dezember 2024 die in Anhang 1 festgelegten Emissionsgrenzwerte mit den folgenden Ausnahmen: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 xml:space="preserve">a) </w:t>
      </w:r>
      <w:r>
        <w:rPr>
          <w:rFonts w:ascii="Times New Roman" w:hAnsi="Times New Roman"/>
          <w:sz w:val="24"/>
        </w:rPr>
        <w:t>bei Anlagen, in denen feste Biomasse verfeuert wird, gilt für Kohlenmonoxid ein Emissionsgrenzwert von 375 mg/Nm3;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 xml:space="preserve">b) </w:t>
      </w:r>
      <w:r>
        <w:rPr>
          <w:rFonts w:ascii="Times New Roman" w:hAnsi="Times New Roman"/>
          <w:sz w:val="24"/>
        </w:rPr>
        <w:t>bei Gasmotoren, die vor dem 1. Januar 1994 in Betrieb genommen wurden, gilt für Stickstoffoxid ein Emissionsgrenzwert von 565 mg/Nm3, bei Viertaktmotoren für Kohlenmonoxid ein Emissionsgrenzwert von 375 mg/Nm3, bei Zweitaktmotoren ein Emissionsgrenzwert von 320 mg/Nm3, alle organischen Verbindungen ausgedrückt in C (Kohlenstoff), ausgenommen Methan, ein Emissionsgrenzwert von 115 mg/Nm3.“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xml:space="preserve">§ 4 </w:t>
      </w:r>
      <w:r>
        <w:rPr>
          <w:rFonts w:ascii="Times New Roman" w:hAnsi="Times New Roman"/>
          <w:sz w:val="24"/>
        </w:rPr>
        <w:t>(1) Anhang 1 R. wird gemäß Anhang 1 geändert.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Anhang 2 R. tritt in der Fassung gemäß Anhang 2 in Kraft.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Anhang 3 R. tritt in der Fassung gemäß Anhang 3 in Kraft.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(4) Anhang 4 R. wird gemäß Anhang 4 geändert.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(5) Anhang 5 R. wird gemäß Anhang 5 geändert.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xml:space="preserve">§ 5 </w:t>
      </w:r>
      <w:r>
        <w:rPr>
          <w:rFonts w:ascii="Times New Roman" w:hAnsi="Times New Roman"/>
          <w:sz w:val="24"/>
        </w:rPr>
        <w:t>§ 4 Anhang 3 Nummer 3 Unterpunkt 3.4. wird aufgehoben.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xml:space="preserve">§ 6 </w:t>
      </w:r>
      <w:r>
        <w:rPr>
          <w:rFonts w:ascii="Times New Roman" w:hAnsi="Times New Roman"/>
          <w:sz w:val="24"/>
        </w:rPr>
        <w:t>(1) Die vorliegende Verordnung tritt – mit den in Absatz 2 bis 3 bestimmten Ausnahmen – am 15. Tag nach ihrer Bekanntmachung in Kraft.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 2 Absatz 1 und 2 sowie § 4 Absatz 3 und Anhang 3 treten am 1. Januar 2025 in Kraft.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lastRenderedPageBreak/>
        <w:t>(3) § 4 Absatz 2 und Anhang 2 treten am 1. Januar 2030 in Kraft.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xml:space="preserve">§ 7 </w:t>
      </w:r>
      <w:r>
        <w:rPr>
          <w:rFonts w:ascii="Times New Roman" w:hAnsi="Times New Roman"/>
          <w:sz w:val="24"/>
        </w:rPr>
        <w:t>(1) Diese Verordnung dient der Erfüllung der Richtlinie (EU) 2015/2193 des Europäischen Parlaments und des Rates vom 25. November 2015 zur Begrenzung der Emissionen bestimmter Schadstoffe aus mittelgroßen Feuerungsanlagen in die Luft.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Der Entwurf der Verordnung wurde gemäß den Artikeln 5–7 der Richtlinie (EU) 2015/1535 des Europäischen Parlaments und des Rates vom 9. September 2015 über ein Informationsverfahren auf dem Gebiet der technischen Vorschriften und der Vorschriften für die Dienste der Informationsgesellschaft notifiziert.</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sz w:val="28"/>
          <w:u w:val="single"/>
        </w:rPr>
        <w:t>Anhang 1 zur Verordnung Nr. 51/2019 des Agrarministeriums (AM) vom 28. Oktober 2019</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 Anhang 1 Nummer 2 Unterpunkt 2.3. R. erhält folgende Fassung:</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„2.3. </w:t>
      </w:r>
      <w:proofErr w:type="spellStart"/>
      <w:r>
        <w:rPr>
          <w:rFonts w:ascii="Times New Roman" w:hAnsi="Times New Roman"/>
          <w:sz w:val="24"/>
        </w:rPr>
        <w:t>NOx</w:t>
      </w:r>
      <w:proofErr w:type="spellEnd"/>
      <w:r>
        <w:rPr>
          <w:rFonts w:ascii="Times New Roman" w:hAnsi="Times New Roman"/>
          <w:sz w:val="24"/>
        </w:rPr>
        <w:t xml:space="preserve">-Emissionsgrenzwerte bei </w:t>
      </w:r>
      <w:proofErr w:type="spellStart"/>
      <w:r>
        <w:rPr>
          <w:rFonts w:ascii="Times New Roman" w:hAnsi="Times New Roman"/>
          <w:sz w:val="24"/>
        </w:rPr>
        <w:t>Lignitfeuerung</w:t>
      </w:r>
      <w:proofErr w:type="spellEnd"/>
      <w:r>
        <w:rPr>
          <w:rFonts w:ascii="Times New Roman" w:hAnsi="Times New Roman"/>
          <w:sz w:val="24"/>
        </w:rPr>
        <w:t>: 320 mg/m3, bei Heizkesseln mit Fluidfeuerung, in denen feste Biomasse verfeuert wird: 300 mg/m3, bei Heizkesseln mit Fluidfeuerung, in denen andere feste Brennstoffe verfeuert werden: 210 mg/m3.“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Anhang 1 Nummer 3 Unterpunkt 3.1. R. erhält folgende Fassung:</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„3.1. </w:t>
      </w:r>
      <w:proofErr w:type="spellStart"/>
      <w:r>
        <w:rPr>
          <w:rFonts w:ascii="Times New Roman" w:hAnsi="Times New Roman"/>
          <w:sz w:val="24"/>
        </w:rPr>
        <w:t>NOx</w:t>
      </w:r>
      <w:proofErr w:type="spellEnd"/>
      <w:r>
        <w:rPr>
          <w:rFonts w:ascii="Times New Roman" w:hAnsi="Times New Roman"/>
          <w:sz w:val="24"/>
        </w:rPr>
        <w:t>-Emissionsgrenzwert bei Zweitaktmotoren: 300 mg/m3, bei Viertaktmotoren im Biogas- und Deponiegasbetrieb: 225 mg/m3, bei ausschließlich für Explorationsbohrungen verwendeten Dieselmotoren: 1650 mg/m3, bei anderen Dieselmotoren: 1500 mg/m3.“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In Anhang 1 Nummer 3 R. wird folgender Unterpunkt 3.4. eingefügt: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„3.4. TOC-Emissionsgrenzwert bei Gasmotoren, die zu mehr als 5 % mit ethanhaltigem Erdgas betrieben werden: 95 mg/m3.“</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sz w:val="28"/>
          <w:u w:val="single"/>
        </w:rPr>
        <w:t>Anhang 2 zur Verordnung Nr. 51/2019 des Agrarministeriums (AM) vom 28. Oktober 2019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 In der Tabelle in Anhang 2 Nummer 2 R. wird in Feld B:5 die Passage „1500“ durch „375“ ersetzt.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Anhang 2 Nummer 2 Unterpunkt 2.5. R. erhält folgende Fassung:</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„2.5. </w:t>
      </w:r>
      <w:proofErr w:type="spellStart"/>
      <w:r>
        <w:rPr>
          <w:rFonts w:ascii="Times New Roman" w:hAnsi="Times New Roman"/>
          <w:sz w:val="24"/>
        </w:rPr>
        <w:t>NOx</w:t>
      </w:r>
      <w:proofErr w:type="spellEnd"/>
      <w:r>
        <w:rPr>
          <w:rFonts w:ascii="Times New Roman" w:hAnsi="Times New Roman"/>
          <w:sz w:val="24"/>
        </w:rPr>
        <w:t xml:space="preserve">-Emissionsgrenzwerte bei </w:t>
      </w:r>
      <w:proofErr w:type="spellStart"/>
      <w:r>
        <w:rPr>
          <w:rFonts w:ascii="Times New Roman" w:hAnsi="Times New Roman"/>
          <w:sz w:val="24"/>
        </w:rPr>
        <w:t>Lignitfeuerung</w:t>
      </w:r>
      <w:proofErr w:type="spellEnd"/>
      <w:r>
        <w:rPr>
          <w:rFonts w:ascii="Times New Roman" w:hAnsi="Times New Roman"/>
          <w:sz w:val="24"/>
        </w:rPr>
        <w:t>: 320 mg/m3, bei Heizkesseln mit Fluidfeuerung, in denen feste Biomasse verfeuert wird: 300 mg/m3, bei Heizkesseln mit Fluidfeuerung, in denen andere feste Brennstoffe verfeuert werden: 210 mg/m3.“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Anhang 2 Nummer 3 Unterpunkt 3.3. R. erhält folgende Fassung:</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„3.3. </w:t>
      </w:r>
      <w:proofErr w:type="spellStart"/>
      <w:r>
        <w:rPr>
          <w:rFonts w:ascii="Times New Roman" w:hAnsi="Times New Roman"/>
          <w:sz w:val="24"/>
        </w:rPr>
        <w:t>NOx</w:t>
      </w:r>
      <w:proofErr w:type="spellEnd"/>
      <w:r>
        <w:rPr>
          <w:rFonts w:ascii="Times New Roman" w:hAnsi="Times New Roman"/>
          <w:sz w:val="24"/>
        </w:rPr>
        <w:t>-Emissionsgrenzwert von 1500 mg/Nm3 in folgenden Fällen: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rPr>
        <w:t xml:space="preserve">a) </w:t>
      </w:r>
      <w:r>
        <w:rPr>
          <w:rFonts w:ascii="Times New Roman" w:hAnsi="Times New Roman"/>
          <w:sz w:val="24"/>
        </w:rPr>
        <w:t>bei Dieselmotoren, mit deren Bau vor dem 18. Mai 2006 begonnen wurde;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rPr>
        <w:t xml:space="preserve">b) </w:t>
      </w:r>
      <w:r>
        <w:rPr>
          <w:rFonts w:ascii="Times New Roman" w:hAnsi="Times New Roman"/>
          <w:sz w:val="24"/>
        </w:rPr>
        <w:t>bei Zweistoffmotoren im Betrieb mit flüssigen Brennstoffen.“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4. In Anhang 2 Nummer 3 R. wird folgender Unterpunkt 3.8. eingefügt: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„3.8. TOC-Emissionsgrenzwert bei Gasmotoren, die zu mehr als 5 % mit ethanhaltigem Erdgas betrieben werden: 95 mg/m3.“</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sz w:val="28"/>
          <w:u w:val="single"/>
        </w:rPr>
        <w:t>Anhang 3 zur Verordnung Nr. 51/2019 des Agrarministeriums (AM) vom 28. Oktober 2019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 In der Tabelle in Anhang 3 Nummer 2 R. wird in Feld B:5 die Passage „1500“ durch „375“ ersetzt.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lastRenderedPageBreak/>
        <w:t>2. Anhang 3 Nummer 2 Unterpunkt 2.6. R. erhält folgende Fassung:</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„2.6. </w:t>
      </w:r>
      <w:proofErr w:type="spellStart"/>
      <w:r>
        <w:rPr>
          <w:rFonts w:ascii="Times New Roman" w:hAnsi="Times New Roman"/>
          <w:sz w:val="24"/>
        </w:rPr>
        <w:t>NOx</w:t>
      </w:r>
      <w:proofErr w:type="spellEnd"/>
      <w:r>
        <w:rPr>
          <w:rFonts w:ascii="Times New Roman" w:hAnsi="Times New Roman"/>
          <w:sz w:val="24"/>
        </w:rPr>
        <w:t xml:space="preserve">-Emissionsgrenzwerte bei </w:t>
      </w:r>
      <w:proofErr w:type="spellStart"/>
      <w:r>
        <w:rPr>
          <w:rFonts w:ascii="Times New Roman" w:hAnsi="Times New Roman"/>
          <w:sz w:val="24"/>
        </w:rPr>
        <w:t>Lignitfeuerung</w:t>
      </w:r>
      <w:proofErr w:type="spellEnd"/>
      <w:r>
        <w:rPr>
          <w:rFonts w:ascii="Times New Roman" w:hAnsi="Times New Roman"/>
          <w:sz w:val="24"/>
        </w:rPr>
        <w:t>: 320 mg/m3, bei Heizkesseln mit Fluidfeuerung, in denen feste Biomasse verfeuert wird: 300 mg/m3, bei Heizkesseln mit Fluidfeuerung, in denen andere feste Brennstoffe verfeuert werden: 210 mg/m3.“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Anhang 3 Nummer 3 Unterpunkt 3.2. R. erhält folgende Fassung:</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„3.2. </w:t>
      </w:r>
      <w:proofErr w:type="spellStart"/>
      <w:r>
        <w:rPr>
          <w:rFonts w:ascii="Times New Roman" w:hAnsi="Times New Roman"/>
          <w:sz w:val="24"/>
        </w:rPr>
        <w:t>NOx</w:t>
      </w:r>
      <w:proofErr w:type="spellEnd"/>
      <w:r>
        <w:rPr>
          <w:rFonts w:ascii="Times New Roman" w:hAnsi="Times New Roman"/>
          <w:sz w:val="24"/>
        </w:rPr>
        <w:t>-Emissionsgrenzwert von 1500 mg/Nm3 in folgenden Fällen: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rPr>
        <w:t xml:space="preserve">a) </w:t>
      </w:r>
      <w:r>
        <w:rPr>
          <w:rFonts w:ascii="Times New Roman" w:hAnsi="Times New Roman"/>
          <w:sz w:val="24"/>
        </w:rPr>
        <w:t>bei Dieselmotoren, mit deren Bau vor dem 18. Mai 2006 begonnen wurde;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rPr>
        <w:t xml:space="preserve">b) </w:t>
      </w:r>
      <w:r>
        <w:rPr>
          <w:rFonts w:ascii="Times New Roman" w:hAnsi="Times New Roman"/>
          <w:sz w:val="24"/>
        </w:rPr>
        <w:t>bei Zweistoffmotoren im Betrieb mit flüssigen Brennstoffen.“</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4. In Anhang 3 Nummer 3 R. werden die folgenden Unterpunkte 3.9. und 3.10. eingefügt: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„3.9. TOC-Emissionsgrenzwert bei Gasmotoren, die zu mehr als 5 % mit ethanhaltigem Erdgas betrieben werden: 95 mg/m3.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3.10. Für die zum Betrieb von Gasverdichterstationen eingesetzten Gasturbinen, die vor dem 1. Januar 1994 in Betrieb genommen wurden und zur Sicherheit und Zuverlässigkeit des Gasübertragungssystems nötig sind, gilt bis zum 1. Januar 2030 bei Viertaktmotoren ein CO-Emissionsgrenzwert von 375 mg/m3, für Zweitaktmotoren von 320 mg/m3 und ein TOC-Emissionsgrenzwert von 115 mg/m3.“</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sz w:val="28"/>
          <w:u w:val="single"/>
        </w:rPr>
        <w:t>Anhang 4 zur Verordnung Nr. 51/2019 des Agrarministeriums (AM) vom 28. Oktober 2019</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 Anhang 4 Nummer 2 Unterpunkt 2.5. R. erhält folgende Fassung:</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„2.5. </w:t>
      </w:r>
      <w:proofErr w:type="spellStart"/>
      <w:r>
        <w:rPr>
          <w:rFonts w:ascii="Times New Roman" w:hAnsi="Times New Roman"/>
          <w:sz w:val="24"/>
        </w:rPr>
        <w:t>NOx</w:t>
      </w:r>
      <w:proofErr w:type="spellEnd"/>
      <w:r>
        <w:rPr>
          <w:rFonts w:ascii="Times New Roman" w:hAnsi="Times New Roman"/>
          <w:sz w:val="24"/>
        </w:rPr>
        <w:t xml:space="preserve">-Emissionsgrenzwerte bei </w:t>
      </w:r>
      <w:proofErr w:type="spellStart"/>
      <w:r>
        <w:rPr>
          <w:rFonts w:ascii="Times New Roman" w:hAnsi="Times New Roman"/>
          <w:sz w:val="24"/>
        </w:rPr>
        <w:t>Lignitfeuerung</w:t>
      </w:r>
      <w:proofErr w:type="spellEnd"/>
      <w:r>
        <w:rPr>
          <w:rFonts w:ascii="Times New Roman" w:hAnsi="Times New Roman"/>
          <w:sz w:val="24"/>
        </w:rPr>
        <w:t>: 320 mg/m3, bei Heizkesseln mit Fluidfeuerung, in denen feste Biomasse verfeuert wird: 300 mg/m3, bei Heizkesseln mit Fluidfeuerung, in denen andere feste Brennstoffe verfeuert werden: 210 mg/m3.“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Anhang 4 Nummer 4 Unterpunkt 3.3. R. erhält folgende Fassung:</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„3.3. </w:t>
      </w:r>
      <w:proofErr w:type="spellStart"/>
      <w:r>
        <w:rPr>
          <w:rFonts w:ascii="Times New Roman" w:hAnsi="Times New Roman"/>
          <w:sz w:val="24"/>
        </w:rPr>
        <w:t>NOx</w:t>
      </w:r>
      <w:proofErr w:type="spellEnd"/>
      <w:r>
        <w:rPr>
          <w:rFonts w:ascii="Times New Roman" w:hAnsi="Times New Roman"/>
          <w:sz w:val="24"/>
        </w:rPr>
        <w:t xml:space="preserve">-Emissionsgrenzwert bei Dieselmotoren, sofern Primärmaßnahmen zur Begrenzung der </w:t>
      </w:r>
      <w:proofErr w:type="spellStart"/>
      <w:r>
        <w:rPr>
          <w:rFonts w:ascii="Times New Roman" w:hAnsi="Times New Roman"/>
          <w:sz w:val="24"/>
        </w:rPr>
        <w:t>NOx</w:t>
      </w:r>
      <w:proofErr w:type="spellEnd"/>
      <w:r>
        <w:rPr>
          <w:rFonts w:ascii="Times New Roman" w:hAnsi="Times New Roman"/>
          <w:sz w:val="24"/>
        </w:rPr>
        <w:t>-Emissionen angewendet werden, ausschließlich bei für Explorationsbohrungen verwendeten Dieselmotoren: 1650 mg/m3, bei anderen Dieselmotoren: 1500 mg/m3.“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In Anhang 4 Nummer 3 R. wird folgender Unterpunkt 3.8. eingefügt: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„3.8. TOC-Emissionsgrenzwert bei Gasmotoren, die zu mehr als 5 % mit ethanhaltigem Erdgas betrieben werden: 95 mg/m3.“</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sz w:val="28"/>
          <w:u w:val="single"/>
        </w:rPr>
        <w:t>Anhang 5 zur Verordnung Nr. 51/2019 des Agrarministeriums (AM) vom 28. Oktober 2019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 In der Tabelle in Anhang 5 Nummer 2 R. wird in Feld B:5 die Passage „1500“ durch „375“ ersetzt.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Anhang 5 Nummer 2 Unterpunkte 2.3. und 2.4. R. erhalten folgende Fassung:</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„2.3. </w:t>
      </w:r>
      <w:proofErr w:type="spellStart"/>
      <w:r>
        <w:rPr>
          <w:rFonts w:ascii="Times New Roman" w:hAnsi="Times New Roman"/>
          <w:sz w:val="24"/>
        </w:rPr>
        <w:t>NOx</w:t>
      </w:r>
      <w:proofErr w:type="spellEnd"/>
      <w:r>
        <w:rPr>
          <w:rFonts w:ascii="Times New Roman" w:hAnsi="Times New Roman"/>
          <w:sz w:val="24"/>
        </w:rPr>
        <w:t xml:space="preserve">-Emissionsgrenzwerte bei </w:t>
      </w:r>
      <w:proofErr w:type="spellStart"/>
      <w:r>
        <w:rPr>
          <w:rFonts w:ascii="Times New Roman" w:hAnsi="Times New Roman"/>
          <w:sz w:val="24"/>
        </w:rPr>
        <w:t>Lignitfeuerung</w:t>
      </w:r>
      <w:proofErr w:type="spellEnd"/>
      <w:r>
        <w:rPr>
          <w:rFonts w:ascii="Times New Roman" w:hAnsi="Times New Roman"/>
          <w:sz w:val="24"/>
        </w:rPr>
        <w:t xml:space="preserve"> mit einer Gesamtfeuerungswärmeleistung von mindestens 1 </w:t>
      </w:r>
      <w:proofErr w:type="spellStart"/>
      <w:r>
        <w:rPr>
          <w:rFonts w:ascii="Times New Roman" w:hAnsi="Times New Roman"/>
          <w:sz w:val="24"/>
        </w:rPr>
        <w:t>MWth</w:t>
      </w:r>
      <w:proofErr w:type="spellEnd"/>
      <w:r>
        <w:rPr>
          <w:rFonts w:ascii="Times New Roman" w:hAnsi="Times New Roman"/>
          <w:sz w:val="24"/>
        </w:rPr>
        <w:t xml:space="preserve"> und höchstens 5 </w:t>
      </w:r>
      <w:proofErr w:type="spellStart"/>
      <w:r>
        <w:rPr>
          <w:rFonts w:ascii="Times New Roman" w:hAnsi="Times New Roman"/>
          <w:sz w:val="24"/>
        </w:rPr>
        <w:t>MWth</w:t>
      </w:r>
      <w:proofErr w:type="spellEnd"/>
      <w:r>
        <w:rPr>
          <w:rFonts w:ascii="Times New Roman" w:hAnsi="Times New Roman"/>
          <w:sz w:val="24"/>
        </w:rPr>
        <w:t xml:space="preserve"> für Anlagen, in denen feste Brennstoffe verfeuert werden: 500 mg/Nm3, mit der Ausnahme, dass bei </w:t>
      </w:r>
      <w:proofErr w:type="spellStart"/>
      <w:r>
        <w:rPr>
          <w:rFonts w:ascii="Times New Roman" w:hAnsi="Times New Roman"/>
          <w:sz w:val="24"/>
        </w:rPr>
        <w:t>Lignitfeuerung</w:t>
      </w:r>
      <w:proofErr w:type="spellEnd"/>
      <w:r>
        <w:rPr>
          <w:rFonts w:ascii="Times New Roman" w:hAnsi="Times New Roman"/>
          <w:sz w:val="24"/>
        </w:rPr>
        <w:t xml:space="preserve"> 320 mg/Nm3, bei Heizkesseln mit Fluidfeuerung, in denen feste Biomasse verfeuert wird, 300 mg/Nm3 gilt.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2.4. </w:t>
      </w:r>
      <w:proofErr w:type="spellStart"/>
      <w:r>
        <w:rPr>
          <w:rFonts w:ascii="Times New Roman" w:hAnsi="Times New Roman"/>
          <w:sz w:val="24"/>
        </w:rPr>
        <w:t>NOx</w:t>
      </w:r>
      <w:proofErr w:type="spellEnd"/>
      <w:r>
        <w:rPr>
          <w:rFonts w:ascii="Times New Roman" w:hAnsi="Times New Roman"/>
          <w:sz w:val="24"/>
        </w:rPr>
        <w:t>-Emissionsgrenzwerte bei Heizkesseln mit Fluidfeuerung, in denen andere feste Brennstoffe verfeuert werden: 210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lastRenderedPageBreak/>
        <w:t>3. Anhang 5 Nummer 3 Unterpunkt 3.2. R. erhält folgende Fassung:</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„3.2. Bei Motoren mit jährlich 500–1500 Betriebsstunden gelten folgende </w:t>
      </w:r>
      <w:proofErr w:type="spellStart"/>
      <w:r>
        <w:rPr>
          <w:rFonts w:ascii="Times New Roman" w:hAnsi="Times New Roman"/>
          <w:sz w:val="24"/>
        </w:rPr>
        <w:t>NOx</w:t>
      </w:r>
      <w:proofErr w:type="spellEnd"/>
      <w:r>
        <w:rPr>
          <w:rFonts w:ascii="Times New Roman" w:hAnsi="Times New Roman"/>
          <w:sz w:val="24"/>
        </w:rPr>
        <w:t xml:space="preserve">-Emissionsgrenzwerte, sofern Primärmaßnahmen zur Begrenzung der </w:t>
      </w:r>
      <w:proofErr w:type="spellStart"/>
      <w:r>
        <w:rPr>
          <w:rFonts w:ascii="Times New Roman" w:hAnsi="Times New Roman"/>
          <w:sz w:val="24"/>
        </w:rPr>
        <w:t>NOx</w:t>
      </w:r>
      <w:proofErr w:type="spellEnd"/>
      <w:r>
        <w:rPr>
          <w:rFonts w:ascii="Times New Roman" w:hAnsi="Times New Roman"/>
          <w:sz w:val="24"/>
        </w:rPr>
        <w:t>-Emissionen angewendet werden: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 xml:space="preserve">a) </w:t>
      </w:r>
      <w:r>
        <w:rPr>
          <w:rFonts w:ascii="Times New Roman" w:hAnsi="Times New Roman"/>
          <w:sz w:val="24"/>
        </w:rPr>
        <w:t>1300 mg/Nm3 bei Dieselmotoren mit einer Gesamtfeuerungswärmeleistung von höchstens 20 </w:t>
      </w:r>
      <w:proofErr w:type="spellStart"/>
      <w:r>
        <w:rPr>
          <w:rFonts w:ascii="Times New Roman" w:hAnsi="Times New Roman"/>
          <w:sz w:val="24"/>
        </w:rPr>
        <w:t>MWth</w:t>
      </w:r>
      <w:proofErr w:type="spellEnd"/>
      <w:r>
        <w:rPr>
          <w:rFonts w:ascii="Times New Roman" w:hAnsi="Times New Roman"/>
          <w:sz w:val="24"/>
        </w:rPr>
        <w:t xml:space="preserve"> mit ≤ 1200 U/min;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 xml:space="preserve">b) </w:t>
      </w:r>
      <w:r>
        <w:rPr>
          <w:rFonts w:ascii="Times New Roman" w:hAnsi="Times New Roman"/>
          <w:sz w:val="24"/>
        </w:rPr>
        <w:t>1500 mg/Nm3 bei Dieselmotoren mit einer Gesamtfeuerungswärmeleistung von mehr als 20 </w:t>
      </w:r>
      <w:proofErr w:type="spellStart"/>
      <w:r>
        <w:rPr>
          <w:rFonts w:ascii="Times New Roman" w:hAnsi="Times New Roman"/>
          <w:sz w:val="24"/>
        </w:rPr>
        <w:t>MWth</w:t>
      </w:r>
      <w:proofErr w:type="spellEnd"/>
      <w:r>
        <w:rPr>
          <w:rFonts w:ascii="Times New Roman" w:hAnsi="Times New Roman"/>
          <w:sz w:val="24"/>
        </w:rPr>
        <w:t xml:space="preserve"> und bei Zweistoffmotoren im Betrieb mit flüssigen Brennstoffen;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 xml:space="preserve">c) </w:t>
      </w:r>
      <w:r>
        <w:rPr>
          <w:rFonts w:ascii="Times New Roman" w:hAnsi="Times New Roman"/>
          <w:sz w:val="24"/>
        </w:rPr>
        <w:t>750 mg/Nm3 bei Dieselmotoren mit &gt; 1200 U/min;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 xml:space="preserve">d) </w:t>
      </w:r>
      <w:r>
        <w:rPr>
          <w:rFonts w:ascii="Times New Roman" w:hAnsi="Times New Roman"/>
          <w:sz w:val="24"/>
        </w:rPr>
        <w:t>380 mg/Nm3 bei Zweistoffmotoren im Betrieb mit gasförmigen Brennstoffen.“</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4. In Anhang 5 Nummer 3 R. wird folgender Unterpunkt 3.9. eingefügt: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„3.9. TOC-Emissionsgrenzwert bei Gasmotoren, die zu mehr als 5 % mit ethanhaltigem Erdgas betrieben werden: 95 mg/m3.“</w:t>
      </w:r>
    </w:p>
    <w:sectPr w:rsidR="0093333B" w:rsidRPr="00F91869" w:rsidSect="009C445E">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DF0" w:rsidRDefault="00921DF0" w:rsidP="000A7E07">
      <w:pPr>
        <w:spacing w:after="0" w:line="240" w:lineRule="auto"/>
      </w:pPr>
      <w:r>
        <w:separator/>
      </w:r>
    </w:p>
  </w:endnote>
  <w:endnote w:type="continuationSeparator" w:id="0">
    <w:p w:rsidR="00921DF0" w:rsidRDefault="00921DF0" w:rsidP="000A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DF0" w:rsidRDefault="00921DF0" w:rsidP="000A7E07">
      <w:pPr>
        <w:spacing w:after="0" w:line="240" w:lineRule="auto"/>
      </w:pPr>
      <w:r>
        <w:separator/>
      </w:r>
    </w:p>
  </w:footnote>
  <w:footnote w:type="continuationSeparator" w:id="0">
    <w:p w:rsidR="00921DF0" w:rsidRDefault="00921DF0" w:rsidP="000A7E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33B"/>
    <w:rsid w:val="000A7E07"/>
    <w:rsid w:val="00196C2F"/>
    <w:rsid w:val="00921DF0"/>
    <w:rsid w:val="0093333B"/>
    <w:rsid w:val="00A8487D"/>
    <w:rsid w:val="00CB765B"/>
    <w:rsid w:val="00D23C28"/>
    <w:rsid w:val="00E377C2"/>
    <w:rsid w:val="00ED5715"/>
    <w:rsid w:val="00F91869"/>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FF3A5"/>
  <w15:docId w15:val="{7AF770AC-F4EB-4C9B-A399-9E609751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kezds">
    <w:name w:val="Bekezdés"/>
    <w:uiPriority w:val="99"/>
    <w:rsid w:val="0093333B"/>
    <w:pPr>
      <w:autoSpaceDE w:val="0"/>
      <w:autoSpaceDN w:val="0"/>
      <w:adjustRightInd w:val="0"/>
      <w:spacing w:after="0" w:line="240" w:lineRule="auto"/>
      <w:ind w:firstLine="202"/>
    </w:pPr>
    <w:rPr>
      <w:rFonts w:ascii="Times New Roman" w:hAnsi="Times New Roman" w:cs="Times New Roman"/>
      <w:sz w:val="24"/>
      <w:szCs w:val="24"/>
    </w:rPr>
  </w:style>
  <w:style w:type="paragraph" w:customStyle="1" w:styleId="Bekezds2">
    <w:name w:val="Bekezdés2"/>
    <w:uiPriority w:val="99"/>
    <w:rsid w:val="0093333B"/>
    <w:pPr>
      <w:autoSpaceDE w:val="0"/>
      <w:autoSpaceDN w:val="0"/>
      <w:adjustRightInd w:val="0"/>
      <w:spacing w:after="0" w:line="240" w:lineRule="auto"/>
      <w:ind w:left="204" w:firstLine="204"/>
    </w:pPr>
    <w:rPr>
      <w:rFonts w:ascii="Times New Roman" w:hAnsi="Times New Roman" w:cs="Times New Roman"/>
      <w:sz w:val="24"/>
      <w:szCs w:val="24"/>
    </w:rPr>
  </w:style>
  <w:style w:type="paragraph" w:customStyle="1" w:styleId="Bekezds3">
    <w:name w:val="Bekezdés3"/>
    <w:uiPriority w:val="99"/>
    <w:rsid w:val="0093333B"/>
    <w:pPr>
      <w:autoSpaceDE w:val="0"/>
      <w:autoSpaceDN w:val="0"/>
      <w:adjustRightInd w:val="0"/>
      <w:spacing w:after="0" w:line="240" w:lineRule="auto"/>
      <w:ind w:left="408" w:firstLine="204"/>
    </w:pPr>
    <w:rPr>
      <w:rFonts w:ascii="Times New Roman" w:hAnsi="Times New Roman" w:cs="Times New Roman"/>
      <w:sz w:val="24"/>
      <w:szCs w:val="24"/>
    </w:rPr>
  </w:style>
  <w:style w:type="paragraph" w:customStyle="1" w:styleId="Bekezds4">
    <w:name w:val="Bekezdés4"/>
    <w:uiPriority w:val="99"/>
    <w:rsid w:val="0093333B"/>
    <w:pPr>
      <w:autoSpaceDE w:val="0"/>
      <w:autoSpaceDN w:val="0"/>
      <w:adjustRightInd w:val="0"/>
      <w:spacing w:after="0" w:line="240" w:lineRule="auto"/>
      <w:ind w:left="613" w:firstLine="204"/>
    </w:pPr>
    <w:rPr>
      <w:rFonts w:ascii="Times New Roman" w:hAnsi="Times New Roman" w:cs="Times New Roman"/>
      <w:sz w:val="24"/>
      <w:szCs w:val="24"/>
    </w:rPr>
  </w:style>
  <w:style w:type="paragraph" w:customStyle="1" w:styleId="DltCm">
    <w:name w:val="DôltCím"/>
    <w:uiPriority w:val="99"/>
    <w:rsid w:val="0093333B"/>
    <w:pPr>
      <w:autoSpaceDE w:val="0"/>
      <w:autoSpaceDN w:val="0"/>
      <w:adjustRightInd w:val="0"/>
      <w:spacing w:before="480" w:after="240" w:line="240" w:lineRule="auto"/>
      <w:jc w:val="center"/>
    </w:pPr>
    <w:rPr>
      <w:rFonts w:ascii="Times New Roman" w:hAnsi="Times New Roman" w:cs="Times New Roman"/>
      <w:i/>
      <w:iCs/>
      <w:sz w:val="24"/>
      <w:szCs w:val="24"/>
    </w:rPr>
  </w:style>
  <w:style w:type="paragraph" w:customStyle="1" w:styleId="FejezetCm">
    <w:name w:val="FejezetCím"/>
    <w:uiPriority w:val="99"/>
    <w:rsid w:val="0093333B"/>
    <w:pPr>
      <w:autoSpaceDE w:val="0"/>
      <w:autoSpaceDN w:val="0"/>
      <w:adjustRightInd w:val="0"/>
      <w:spacing w:before="480" w:after="240" w:line="240" w:lineRule="auto"/>
      <w:jc w:val="center"/>
    </w:pPr>
    <w:rPr>
      <w:rFonts w:ascii="Times New Roman" w:hAnsi="Times New Roman" w:cs="Times New Roman"/>
      <w:b/>
      <w:bCs/>
      <w:i/>
      <w:iCs/>
      <w:sz w:val="24"/>
      <w:szCs w:val="24"/>
    </w:rPr>
  </w:style>
  <w:style w:type="paragraph" w:customStyle="1" w:styleId="FCm">
    <w:name w:val="FôCím"/>
    <w:uiPriority w:val="99"/>
    <w:rsid w:val="0093333B"/>
    <w:pPr>
      <w:autoSpaceDE w:val="0"/>
      <w:autoSpaceDN w:val="0"/>
      <w:adjustRightInd w:val="0"/>
      <w:spacing w:before="480" w:after="240" w:line="240" w:lineRule="auto"/>
      <w:jc w:val="center"/>
    </w:pPr>
    <w:rPr>
      <w:rFonts w:ascii="Times New Roman" w:hAnsi="Times New Roman" w:cs="Times New Roman"/>
      <w:b/>
      <w:bCs/>
      <w:sz w:val="28"/>
      <w:szCs w:val="28"/>
    </w:rPr>
  </w:style>
  <w:style w:type="paragraph" w:customStyle="1" w:styleId="Kikezds">
    <w:name w:val="Kikezdés"/>
    <w:uiPriority w:val="99"/>
    <w:rsid w:val="0093333B"/>
    <w:pPr>
      <w:autoSpaceDE w:val="0"/>
      <w:autoSpaceDN w:val="0"/>
      <w:adjustRightInd w:val="0"/>
      <w:spacing w:after="0" w:line="240" w:lineRule="auto"/>
      <w:ind w:left="202" w:hanging="202"/>
    </w:pPr>
    <w:rPr>
      <w:rFonts w:ascii="Times New Roman" w:hAnsi="Times New Roman" w:cs="Times New Roman"/>
      <w:sz w:val="24"/>
      <w:szCs w:val="24"/>
    </w:rPr>
  </w:style>
  <w:style w:type="paragraph" w:customStyle="1" w:styleId="Kikezds2">
    <w:name w:val="Kikezdés2"/>
    <w:uiPriority w:val="99"/>
    <w:rsid w:val="0093333B"/>
    <w:pPr>
      <w:autoSpaceDE w:val="0"/>
      <w:autoSpaceDN w:val="0"/>
      <w:adjustRightInd w:val="0"/>
      <w:spacing w:after="0" w:line="240" w:lineRule="auto"/>
      <w:ind w:left="408" w:hanging="202"/>
    </w:pPr>
    <w:rPr>
      <w:rFonts w:ascii="Times New Roman" w:hAnsi="Times New Roman" w:cs="Times New Roman"/>
      <w:sz w:val="24"/>
      <w:szCs w:val="24"/>
    </w:rPr>
  </w:style>
  <w:style w:type="paragraph" w:customStyle="1" w:styleId="Kikezds3">
    <w:name w:val="Kikezdés3"/>
    <w:uiPriority w:val="99"/>
    <w:rsid w:val="0093333B"/>
    <w:pPr>
      <w:autoSpaceDE w:val="0"/>
      <w:autoSpaceDN w:val="0"/>
      <w:adjustRightInd w:val="0"/>
      <w:spacing w:after="0" w:line="240" w:lineRule="auto"/>
      <w:ind w:left="613" w:hanging="202"/>
    </w:pPr>
    <w:rPr>
      <w:rFonts w:ascii="Times New Roman" w:hAnsi="Times New Roman" w:cs="Times New Roman"/>
      <w:sz w:val="24"/>
      <w:szCs w:val="24"/>
    </w:rPr>
  </w:style>
  <w:style w:type="paragraph" w:customStyle="1" w:styleId="Kikezds4">
    <w:name w:val="Kikezdés4"/>
    <w:uiPriority w:val="99"/>
    <w:rsid w:val="0093333B"/>
    <w:pPr>
      <w:autoSpaceDE w:val="0"/>
      <w:autoSpaceDN w:val="0"/>
      <w:adjustRightInd w:val="0"/>
      <w:spacing w:after="0" w:line="240" w:lineRule="auto"/>
      <w:ind w:left="817" w:hanging="202"/>
    </w:pPr>
    <w:rPr>
      <w:rFonts w:ascii="Times New Roman" w:hAnsi="Times New Roman" w:cs="Times New Roman"/>
      <w:sz w:val="24"/>
      <w:szCs w:val="24"/>
    </w:rPr>
  </w:style>
  <w:style w:type="paragraph" w:customStyle="1" w:styleId="kzp">
    <w:name w:val="közép"/>
    <w:uiPriority w:val="99"/>
    <w:rsid w:val="0093333B"/>
    <w:pPr>
      <w:autoSpaceDE w:val="0"/>
      <w:autoSpaceDN w:val="0"/>
      <w:adjustRightInd w:val="0"/>
      <w:spacing w:before="240" w:after="240" w:line="240" w:lineRule="auto"/>
      <w:jc w:val="center"/>
    </w:pPr>
    <w:rPr>
      <w:rFonts w:ascii="Times New Roman" w:hAnsi="Times New Roman" w:cs="Times New Roman"/>
      <w:i/>
      <w:iCs/>
      <w:sz w:val="24"/>
      <w:szCs w:val="24"/>
    </w:rPr>
  </w:style>
  <w:style w:type="paragraph" w:customStyle="1" w:styleId="MellkletCm">
    <w:name w:val="MellékletCím"/>
    <w:uiPriority w:val="99"/>
    <w:rsid w:val="0093333B"/>
    <w:pPr>
      <w:autoSpaceDE w:val="0"/>
      <w:autoSpaceDN w:val="0"/>
      <w:adjustRightInd w:val="0"/>
      <w:spacing w:before="480" w:after="240" w:line="240" w:lineRule="auto"/>
    </w:pPr>
    <w:rPr>
      <w:rFonts w:ascii="Times New Roman" w:hAnsi="Times New Roman" w:cs="Times New Roman"/>
      <w:i/>
      <w:iCs/>
      <w:sz w:val="24"/>
      <w:szCs w:val="24"/>
      <w:u w:val="single"/>
    </w:rPr>
  </w:style>
  <w:style w:type="paragraph" w:customStyle="1" w:styleId="NormlCm">
    <w:name w:val="NormálCím"/>
    <w:uiPriority w:val="99"/>
    <w:rsid w:val="0093333B"/>
    <w:pPr>
      <w:autoSpaceDE w:val="0"/>
      <w:autoSpaceDN w:val="0"/>
      <w:adjustRightInd w:val="0"/>
      <w:spacing w:before="480" w:after="240" w:line="240" w:lineRule="auto"/>
      <w:jc w:val="center"/>
    </w:pPr>
    <w:rPr>
      <w:rFonts w:ascii="Times New Roman" w:hAnsi="Times New Roman" w:cs="Times New Roman"/>
      <w:sz w:val="24"/>
      <w:szCs w:val="24"/>
    </w:rPr>
  </w:style>
  <w:style w:type="paragraph" w:customStyle="1" w:styleId="VastagCm">
    <w:name w:val="VastagCím"/>
    <w:uiPriority w:val="99"/>
    <w:rsid w:val="0093333B"/>
    <w:pPr>
      <w:autoSpaceDE w:val="0"/>
      <w:autoSpaceDN w:val="0"/>
      <w:adjustRightInd w:val="0"/>
      <w:spacing w:before="480" w:after="240" w:line="240" w:lineRule="auto"/>
      <w:jc w:val="center"/>
    </w:pPr>
    <w:rPr>
      <w:rFonts w:ascii="Times New Roman" w:hAnsi="Times New Roman" w:cs="Times New Roman"/>
      <w:b/>
      <w:bCs/>
      <w:sz w:val="24"/>
      <w:szCs w:val="24"/>
    </w:rPr>
  </w:style>
  <w:style w:type="paragraph" w:customStyle="1" w:styleId="vonal">
    <w:name w:val="vonal"/>
    <w:uiPriority w:val="99"/>
    <w:rsid w:val="0093333B"/>
    <w:pPr>
      <w:autoSpaceDE w:val="0"/>
      <w:autoSpaceDN w:val="0"/>
      <w:adjustRightInd w:val="0"/>
      <w:spacing w:after="0" w:line="240" w:lineRule="auto"/>
      <w:jc w:val="center"/>
    </w:pPr>
    <w:rPr>
      <w:rFonts w:ascii="Times New Roman" w:hAnsi="Times New Roman" w:cs="Times New Roman"/>
      <w:sz w:val="24"/>
      <w:szCs w:val="24"/>
    </w:rPr>
  </w:style>
  <w:style w:type="paragraph" w:styleId="Header">
    <w:name w:val="header"/>
    <w:basedOn w:val="Normal"/>
    <w:link w:val="HeaderChar"/>
    <w:uiPriority w:val="99"/>
    <w:unhideWhenUsed/>
    <w:rsid w:val="000A7E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7E07"/>
  </w:style>
  <w:style w:type="paragraph" w:styleId="Footer">
    <w:name w:val="footer"/>
    <w:basedOn w:val="Normal"/>
    <w:link w:val="FooterChar"/>
    <w:uiPriority w:val="99"/>
    <w:unhideWhenUsed/>
    <w:rsid w:val="000A7E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528FA-D9F5-4FBF-9573-8894115351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DDAE3A-C924-4EA0-B4E2-5F884A074EC5}">
  <ds:schemaRefs>
    <ds:schemaRef ds:uri="http://schemas.microsoft.com/sharepoint/v3/contenttype/forms"/>
  </ds:schemaRefs>
</ds:datastoreItem>
</file>

<file path=customXml/itemProps3.xml><?xml version="1.0" encoding="utf-8"?>
<ds:datastoreItem xmlns:ds="http://schemas.openxmlformats.org/officeDocument/2006/customXml" ds:itemID="{494E42F8-CE91-4B51-A438-1638D61F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1914</Words>
  <Characters>10912</Characters>
  <Application>Microsoft Office Word</Application>
  <DocSecurity>0</DocSecurity>
  <Lines>90</Lines>
  <Paragraphs>25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Fazekas Zsolt</dc:creator>
  <cp:lastModifiedBy>Ke, Tingting</cp:lastModifiedBy>
  <cp:revision>7</cp:revision>
  <dcterms:created xsi:type="dcterms:W3CDTF">2020-09-23T07:03:00Z</dcterms:created>
  <dcterms:modified xsi:type="dcterms:W3CDTF">2020-11-27T08:57:00Z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