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C7759E"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sz w:val="20"/>
        </w:rPr>
        <w:t>1. --</w:t>
      </w:r>
      <w:r w:rsidR="00563F3E">
        <w:rPr>
          <w:rFonts w:ascii="Courier New" w:hAnsi="Courier New"/>
          <w:sz w:val="20"/>
        </w:rPr>
        <w:t>-</w:t>
      </w:r>
      <w:bookmarkStart w:id="0" w:name="_GoBack"/>
      <w:bookmarkEnd w:id="0"/>
      <w:r>
        <w:rPr>
          <w:rFonts w:ascii="Courier New" w:hAnsi="Courier New"/>
          <w:sz w:val="20"/>
        </w:rPr>
        <w:t xml:space="preserve">---IND- 2019 0309 HU- NL- ------ </w:t>
      </w:r>
      <w:r>
        <w:rPr>
          <w:rFonts w:ascii="Segoe UI" w:hAnsi="Segoe UI"/>
          <w:color w:val="000000"/>
          <w:sz w:val="20"/>
        </w:rPr>
        <w:t>20201130</w:t>
      </w:r>
      <w:r>
        <w:rPr>
          <w:rFonts w:ascii="Calibri" w:hAnsi="Calibri"/>
          <w:sz w:val="20"/>
        </w:rPr>
        <w:t xml:space="preserve"> </w:t>
      </w:r>
      <w:r>
        <w:rPr>
          <w:rFonts w:ascii="Courier New" w:hAnsi="Courier New"/>
          <w:sz w:val="20"/>
        </w:rPr>
        <w:t>---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Besluit nr. 51/2019 van de minister van Landbouw van 28 oktober 2019</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 xml:space="preserve">tot wijziging van besluit nr. 53/2017 van 18 oktober 2017 van de minister van Landbouw betreffende de bedrijfsomstandigheden voor stookinstallaties met een totaal nominaal thermisch ingangsvermogen van 140 </w:t>
      </w:r>
      <w:proofErr w:type="spellStart"/>
      <w:r>
        <w:rPr>
          <w:rFonts w:ascii="Times New Roman" w:hAnsi="Times New Roman"/>
          <w:b/>
          <w:sz w:val="28"/>
        </w:rPr>
        <w:t>kWth</w:t>
      </w:r>
      <w:proofErr w:type="spellEnd"/>
      <w:r>
        <w:rPr>
          <w:rFonts w:ascii="Times New Roman" w:hAnsi="Times New Roman"/>
          <w:b/>
          <w:sz w:val="28"/>
        </w:rPr>
        <w:t xml:space="preserve"> of meer maar minder dan 50 </w:t>
      </w:r>
      <w:proofErr w:type="spellStart"/>
      <w:r>
        <w:rPr>
          <w:rFonts w:ascii="Times New Roman" w:hAnsi="Times New Roman"/>
          <w:b/>
          <w:sz w:val="28"/>
        </w:rPr>
        <w:t>MWth</w:t>
      </w:r>
      <w:proofErr w:type="spellEnd"/>
      <w:r>
        <w:rPr>
          <w:rFonts w:ascii="Times New Roman" w:hAnsi="Times New Roman"/>
          <w:b/>
          <w:sz w:val="28"/>
        </w:rPr>
        <w:t xml:space="preserve"> en betreffende de grenswaarden voor luchtverontreinigende stoffen die hierdoor worden uitgestoten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Overeenkomstig de machtiging die is toegekend krachtens § 110, lid 8, onder </w:t>
      </w:r>
      <w:r>
        <w:rPr>
          <w:rFonts w:ascii="Times New Roman" w:hAnsi="Times New Roman"/>
          <w:i/>
          <w:sz w:val="24"/>
        </w:rPr>
        <w:t>g)</w:t>
      </w:r>
      <w:r>
        <w:rPr>
          <w:rFonts w:ascii="Times New Roman" w:hAnsi="Times New Roman"/>
          <w:sz w:val="24"/>
        </w:rPr>
        <w:t>, van wet LIII van 1995 inzake de algemene regels voor milieubescherming, en handelend in het kader van mijn taken zoals vastgelegd in § 79, lid 9, van regeringsbesluit nr. 94/2018 van 22 mei 2018 betreffende de taken en bevoegdheden van regeringsleden, besluit ik hierbij het volgende: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1</w:t>
      </w:r>
      <w:r>
        <w:rPr>
          <w:rFonts w:ascii="Times New Roman" w:hAnsi="Times New Roman"/>
          <w:sz w:val="24"/>
        </w:rPr>
        <w:t xml:space="preserve"> 1) Het volgende punt 1a wordt ingevoegd in § 2, lid 1, van besluit nr. 53/2017 van de minister van Landbouw van 18 oktober 2017 betreffende de bedrijfsomstandigheden voor stookinstallaties met een totaal nominaal thermisch ingangsvermogen van 140 </w:t>
      </w:r>
      <w:proofErr w:type="spellStart"/>
      <w:r>
        <w:rPr>
          <w:rFonts w:ascii="Times New Roman" w:hAnsi="Times New Roman"/>
          <w:sz w:val="24"/>
        </w:rPr>
        <w:t>kWth</w:t>
      </w:r>
      <w:proofErr w:type="spellEnd"/>
      <w:r>
        <w:rPr>
          <w:rFonts w:ascii="Times New Roman" w:hAnsi="Times New Roman"/>
          <w:sz w:val="24"/>
        </w:rPr>
        <w:t xml:space="preserve"> of meer maar minder dan 50 </w:t>
      </w:r>
      <w:proofErr w:type="spellStart"/>
      <w:r>
        <w:rPr>
          <w:rFonts w:ascii="Times New Roman" w:hAnsi="Times New Roman"/>
          <w:sz w:val="24"/>
        </w:rPr>
        <w:t>MWth</w:t>
      </w:r>
      <w:proofErr w:type="spellEnd"/>
      <w:r>
        <w:rPr>
          <w:rFonts w:ascii="Times New Roman" w:hAnsi="Times New Roman"/>
          <w:sz w:val="24"/>
        </w:rPr>
        <w:t xml:space="preserve"> en betreffende de grenswaarden voor luchtverontreinigende stoffen die hierdoor worden uitgestoten (hierna: “het besluit”):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(Voor de toepassing van dit besluit:)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“1.a “</w:t>
      </w:r>
      <w:r>
        <w:rPr>
          <w:rFonts w:ascii="Times New Roman" w:hAnsi="Times New Roman"/>
          <w:i/>
          <w:iCs/>
          <w:sz w:val="24"/>
        </w:rPr>
        <w:t>gastransmissiesysteem</w:t>
      </w:r>
      <w:r>
        <w:rPr>
          <w:rFonts w:ascii="Times New Roman" w:hAnsi="Times New Roman"/>
          <w:sz w:val="24"/>
        </w:rPr>
        <w:t>”: een coöperatief aardgassysteem overeenkomstig wet XL van 2008 betreffende de levering van aardgas;”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 2, lid 1, punt 9, van het besluit wordt vervangen door het volgende: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“9. “</w:t>
      </w:r>
      <w:r>
        <w:rPr>
          <w:rFonts w:ascii="Times New Roman" w:hAnsi="Times New Roman"/>
          <w:i/>
          <w:iCs/>
          <w:sz w:val="24"/>
        </w:rPr>
        <w:t>totaal nominaal thermisch ingangsvermogen</w:t>
      </w:r>
      <w:r>
        <w:rPr>
          <w:rFonts w:ascii="Times New Roman" w:hAnsi="Times New Roman"/>
          <w:sz w:val="24"/>
        </w:rPr>
        <w:t>”: de som van de nominale thermische ingangsvermogens van stookinstallaties, berekend volgens de cumulatieregel, die in het geval van een stookinstallatie gelijk is aan het nominale thermische ingangsvermogen;”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2</w:t>
      </w:r>
      <w:r>
        <w:rPr>
          <w:rFonts w:ascii="Times New Roman" w:hAnsi="Times New Roman"/>
          <w:sz w:val="24"/>
        </w:rPr>
        <w:t xml:space="preserve"> 1) § 4, leden 6 en 7, van het besluit treden in werking met de volgende formulering: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“6) De in bijlage 1 vermelde emissiegrenswaarden worden toegepast op stookinstallaties van categorie I met een totaal nominaal thermisch ingangsvermogen van 1 </w:t>
      </w:r>
      <w:proofErr w:type="spellStart"/>
      <w:r>
        <w:rPr>
          <w:rFonts w:ascii="Times New Roman" w:hAnsi="Times New Roman"/>
          <w:sz w:val="24"/>
        </w:rPr>
        <w:t>MWth</w:t>
      </w:r>
      <w:proofErr w:type="spellEnd"/>
      <w:r>
        <w:rPr>
          <w:rFonts w:ascii="Times New Roman" w:hAnsi="Times New Roman"/>
          <w:sz w:val="24"/>
        </w:rPr>
        <w:t xml:space="preserve"> of meer die niet meer dan 500 bedrijfsuren per jaar in bedrijf zijn, berekend als een voortschrijdend gemiddelde over een periode van vijf jaar, met de uitzondering dat de emissiegrenswaarde voor vaste stoffen voor stookinstallaties die vaste biomassabrandstoffen stoken, 200 mg/ Nm</w:t>
      </w:r>
      <w:r>
        <w:rPr>
          <w:rFonts w:ascii="Times New Roman" w:hAnsi="Times New Roman"/>
          <w:sz w:val="24"/>
          <w:vertAlign w:val="superscript"/>
        </w:rPr>
        <w:t>3</w:t>
      </w:r>
      <w:r>
        <w:rPr>
          <w:rFonts w:ascii="Times New Roman" w:hAnsi="Times New Roman"/>
          <w:sz w:val="24"/>
        </w:rPr>
        <w:t xml:space="preserve"> bedraagt en dat de emissiegrenswaarde voor koolmonoxide 375 mg/Nm</w:t>
      </w:r>
      <w:r>
        <w:rPr>
          <w:rFonts w:ascii="Times New Roman" w:hAnsi="Times New Roman"/>
          <w:sz w:val="24"/>
          <w:vertAlign w:val="superscript"/>
        </w:rPr>
        <w:t>3</w:t>
      </w:r>
      <w:r>
        <w:rPr>
          <w:rFonts w:ascii="Times New Roman" w:hAnsi="Times New Roman"/>
          <w:sz w:val="24"/>
        </w:rPr>
        <w:t xml:space="preserve"> bedraagt.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7) Tot 1 januari 2030 moeten de in bijlage 1 vermelde grenswaarden worden toegepast op stookinstallaties van categorie I met een totaal nominaal thermisch ingangsvermogen van meer dan 5 </w:t>
      </w:r>
      <w:proofErr w:type="spellStart"/>
      <w:r>
        <w:rPr>
          <w:rFonts w:ascii="Times New Roman" w:hAnsi="Times New Roman"/>
          <w:sz w:val="24"/>
        </w:rPr>
        <w:t>MWth</w:t>
      </w:r>
      <w:proofErr w:type="spellEnd"/>
      <w:r>
        <w:rPr>
          <w:rFonts w:ascii="Times New Roman" w:hAnsi="Times New Roman"/>
          <w:sz w:val="24"/>
        </w:rPr>
        <w:t>, waarbij 50 % van de nuttige warmteproductie van deze installaties, berekend als een voortschrijdend gemiddelde over een periode van vijf jaar, wordt verstrekt in de vorm van stoom of warm of heet water aan een openbaar netwerk voor stadsverwarming, met de uitzondering dat de emissiegrenswaarde voor zwaveldioxide voor stookinstallaties die vaste en vloeibare brandstoffen stoken, 1 100 mg/Nm</w:t>
      </w:r>
      <w:r>
        <w:rPr>
          <w:rFonts w:ascii="Times New Roman" w:hAnsi="Times New Roman"/>
          <w:sz w:val="24"/>
          <w:vertAlign w:val="superscript"/>
        </w:rPr>
        <w:t>3</w:t>
      </w:r>
      <w:r>
        <w:rPr>
          <w:rFonts w:ascii="Times New Roman" w:hAnsi="Times New Roman"/>
          <w:sz w:val="24"/>
        </w:rPr>
        <w:t xml:space="preserve"> bedraagt en de emissiegrenswaarde voor vaste stoffen voor stookinstallaties die vaste brandstoffen stoken, 150 mg/Nm</w:t>
      </w:r>
      <w:r>
        <w:rPr>
          <w:rFonts w:ascii="Times New Roman" w:hAnsi="Times New Roman"/>
          <w:sz w:val="24"/>
          <w:vertAlign w:val="superscript"/>
        </w:rPr>
        <w:t>3</w:t>
      </w:r>
      <w:r>
        <w:rPr>
          <w:rFonts w:ascii="Times New Roman" w:hAnsi="Times New Roman"/>
          <w:sz w:val="24"/>
        </w:rPr>
        <w:t xml:space="preserve"> bedraagt, terwijl de emissiegrenswaarde voor koolmonoxide voor stookinstallaties die vaste biomassabrandstoffen stoken, 375 mg/Nm</w:t>
      </w:r>
      <w:r>
        <w:rPr>
          <w:rFonts w:ascii="Times New Roman" w:hAnsi="Times New Roman"/>
          <w:sz w:val="24"/>
          <w:vertAlign w:val="superscript"/>
        </w:rPr>
        <w:t>3</w:t>
      </w:r>
      <w:r>
        <w:rPr>
          <w:rFonts w:ascii="Times New Roman" w:hAnsi="Times New Roman"/>
          <w:sz w:val="24"/>
        </w:rPr>
        <w:t xml:space="preserve"> bedraagt.”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 4, lid 9, van het besluit treedt in werking met de volgende formulering: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“9) Tot 1 januari 2030 worden de in bijlage 1 vermelde emissiegrenswaarden toegepast op stikstofoxiden van motoren van categorie 1 en gasturbines met een totaal nominaal thermisch </w:t>
      </w:r>
      <w:r>
        <w:rPr>
          <w:rFonts w:ascii="Times New Roman" w:hAnsi="Times New Roman"/>
          <w:sz w:val="24"/>
        </w:rPr>
        <w:lastRenderedPageBreak/>
        <w:t>ingangsvermogen van meer dan 5 </w:t>
      </w:r>
      <w:proofErr w:type="spellStart"/>
      <w:r>
        <w:rPr>
          <w:rFonts w:ascii="Times New Roman" w:hAnsi="Times New Roman"/>
          <w:sz w:val="24"/>
        </w:rPr>
        <w:t>MWth</w:t>
      </w:r>
      <w:proofErr w:type="spellEnd"/>
      <w:r>
        <w:rPr>
          <w:rFonts w:ascii="Times New Roman" w:hAnsi="Times New Roman"/>
          <w:sz w:val="24"/>
        </w:rPr>
        <w:t xml:space="preserve"> die worden gebruikt om gascompressiestations aan te drijven om de veiligheid en de zekerheid van nationale gastransmissiesystemen te waarborgen, met de uitzondering dat de emissiegrenswaarde voor stikstofoxiden voor gasmotoren die voor 1 januari 1994 in gebruik zijn genomen, 565 mg/Nm</w:t>
      </w:r>
      <w:r>
        <w:rPr>
          <w:rFonts w:ascii="Times New Roman" w:hAnsi="Times New Roman"/>
          <w:sz w:val="24"/>
          <w:vertAlign w:val="superscript"/>
        </w:rPr>
        <w:t>3</w:t>
      </w:r>
      <w:r>
        <w:rPr>
          <w:rFonts w:ascii="Times New Roman" w:hAnsi="Times New Roman"/>
          <w:sz w:val="24"/>
        </w:rPr>
        <w:t xml:space="preserve"> bedraagt.”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 4, lid 10, van het besluit wordt door het volgende vervangen: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“10) De in bijlage 1 vermelde emissiegrenswaarden worden toegepast op stookinstallaties van categorie II die niet meer dan 500 bedrijfsuren per jaar in bedrijf zijn, berekend als een voortschrijdend gemiddelde over een periode van drie jaar, met de uitzondering dat de emissiegrenswaarde voor vaste stoffen voor stookinstallaties die vaste brandstoffen stoken, 100 mg/Nm</w:t>
      </w:r>
      <w:r>
        <w:rPr>
          <w:rFonts w:ascii="Times New Roman" w:hAnsi="Times New Roman"/>
          <w:sz w:val="24"/>
          <w:vertAlign w:val="superscript"/>
        </w:rPr>
        <w:t>3</w:t>
      </w:r>
      <w:r>
        <w:rPr>
          <w:rFonts w:ascii="Times New Roman" w:hAnsi="Times New Roman"/>
          <w:sz w:val="24"/>
        </w:rPr>
        <w:t xml:space="preserve"> bedraagt en dat de emissiegrenswaarde voor koolmonoxide voor stookinstallaties met een totaal nominaal thermisch ingangsvermogen van 1 </w:t>
      </w:r>
      <w:proofErr w:type="spellStart"/>
      <w:r>
        <w:rPr>
          <w:rFonts w:ascii="Times New Roman" w:hAnsi="Times New Roman"/>
          <w:sz w:val="24"/>
        </w:rPr>
        <w:t>MWth</w:t>
      </w:r>
      <w:proofErr w:type="spellEnd"/>
      <w:r>
        <w:rPr>
          <w:rFonts w:ascii="Times New Roman" w:hAnsi="Times New Roman"/>
          <w:sz w:val="24"/>
        </w:rPr>
        <w:t xml:space="preserve"> of meer die vaste biomassabrandstoffen stoken, 375 mg/Nm</w:t>
      </w:r>
      <w:r>
        <w:rPr>
          <w:rFonts w:ascii="Times New Roman" w:hAnsi="Times New Roman"/>
          <w:sz w:val="24"/>
          <w:vertAlign w:val="superscript"/>
        </w:rPr>
        <w:t>3</w:t>
      </w:r>
      <w:r>
        <w:rPr>
          <w:rFonts w:ascii="Times New Roman" w:hAnsi="Times New Roman"/>
          <w:sz w:val="24"/>
        </w:rPr>
        <w:t xml:space="preserve"> bedraagt.”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 4, lid 13, van het besluit wordt door het volgende vervangen: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“13) In het geval van vaste motoren worden er geen emissiegrenswaarden toegepast op</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motoren met een nominaal thermisch ingangsvermogen van minder dan 1 </w:t>
      </w:r>
      <w:proofErr w:type="spellStart"/>
      <w:r>
        <w:rPr>
          <w:rFonts w:ascii="Times New Roman" w:hAnsi="Times New Roman"/>
          <w:sz w:val="24"/>
        </w:rPr>
        <w:t>MWth</w:t>
      </w:r>
      <w:proofErr w:type="spellEnd"/>
      <w:r>
        <w:rPr>
          <w:rFonts w:ascii="Times New Roman" w:hAnsi="Times New Roman"/>
          <w:sz w:val="24"/>
        </w:rPr>
        <w:t xml:space="preserve"> met een brandstofverbruik van minder dan 50 kg per uur, 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vaste motoren met een noodstroomvoorziening die minder dan 50 uur per jaar in bedrijf zijn.”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3</w:t>
      </w:r>
      <w:r>
        <w:rPr>
          <w:rFonts w:ascii="Times New Roman" w:hAnsi="Times New Roman"/>
          <w:sz w:val="24"/>
        </w:rPr>
        <w:t xml:space="preserve"> § 12, leden 2 en 3, van het besluit worden vervangen door het volgende: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Tot 31 december 2029 worden de in bijlage 1 vermelde emissiegrenswaarden toegepast op stookinstallaties van categorie I met een totaal nominaal thermisch ingangsvermogen van 1 </w:t>
      </w:r>
      <w:proofErr w:type="spellStart"/>
      <w:r>
        <w:rPr>
          <w:rFonts w:ascii="Times New Roman" w:hAnsi="Times New Roman"/>
          <w:sz w:val="24"/>
        </w:rPr>
        <w:t>MWth</w:t>
      </w:r>
      <w:proofErr w:type="spellEnd"/>
      <w:r>
        <w:rPr>
          <w:rFonts w:ascii="Times New Roman" w:hAnsi="Times New Roman"/>
          <w:sz w:val="24"/>
        </w:rPr>
        <w:t xml:space="preserve"> of meer maar minder dan 5 </w:t>
      </w:r>
      <w:proofErr w:type="spellStart"/>
      <w:r>
        <w:rPr>
          <w:rFonts w:ascii="Times New Roman" w:hAnsi="Times New Roman"/>
          <w:sz w:val="24"/>
        </w:rPr>
        <w:t>MWth</w:t>
      </w:r>
      <w:proofErr w:type="spellEnd"/>
      <w:r>
        <w:rPr>
          <w:rFonts w:ascii="Times New Roman" w:hAnsi="Times New Roman"/>
          <w:sz w:val="24"/>
        </w:rPr>
        <w:t>, met de volgende uitzonderingen: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in het geval van het stoken van vaste biomassa is de emissiegrenswaarde voor koolmonoxide 375 mg/Nm</w:t>
      </w:r>
      <w:r>
        <w:rPr>
          <w:rFonts w:ascii="Times New Roman" w:hAnsi="Times New Roman"/>
          <w:sz w:val="24"/>
          <w:vertAlign w:val="superscript"/>
        </w:rPr>
        <w:t>3</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in het geval van gasmotoren die voor 1 januari 1994 in gebruik zijn genomen, met een totaal nominaal thermisch ingangsvermogen van meer dan 3 </w:t>
      </w:r>
      <w:proofErr w:type="spellStart"/>
      <w:r>
        <w:rPr>
          <w:rFonts w:ascii="Times New Roman" w:hAnsi="Times New Roman"/>
          <w:sz w:val="24"/>
        </w:rPr>
        <w:t>MWth</w:t>
      </w:r>
      <w:proofErr w:type="spellEnd"/>
      <w:r>
        <w:rPr>
          <w:rFonts w:ascii="Times New Roman" w:hAnsi="Times New Roman"/>
          <w:sz w:val="24"/>
        </w:rPr>
        <w:t>, is de emissiegrenswaarde voor stikstofoxiden 565 mg/Nm</w:t>
      </w:r>
      <w:r>
        <w:rPr>
          <w:rFonts w:ascii="Times New Roman" w:hAnsi="Times New Roman"/>
          <w:sz w:val="24"/>
          <w:vertAlign w:val="superscript"/>
        </w:rPr>
        <w:t>3</w:t>
      </w:r>
      <w:r>
        <w:rPr>
          <w:rFonts w:ascii="Times New Roman" w:hAnsi="Times New Roman"/>
          <w:sz w:val="24"/>
        </w:rPr>
        <w:t>; de CO-emissiegrenswaarde is 375 mg/Nm</w:t>
      </w:r>
      <w:r>
        <w:rPr>
          <w:rFonts w:ascii="Times New Roman" w:hAnsi="Times New Roman"/>
          <w:sz w:val="24"/>
          <w:vertAlign w:val="superscript"/>
        </w:rPr>
        <w:t>3</w:t>
      </w:r>
      <w:r>
        <w:rPr>
          <w:rFonts w:ascii="Times New Roman" w:hAnsi="Times New Roman"/>
          <w:sz w:val="24"/>
        </w:rPr>
        <w:t xml:space="preserve"> voor viertaktmotoren en 320 mg/Nm</w:t>
      </w:r>
      <w:r>
        <w:rPr>
          <w:rFonts w:ascii="Times New Roman" w:hAnsi="Times New Roman"/>
          <w:sz w:val="24"/>
          <w:vertAlign w:val="superscript"/>
        </w:rPr>
        <w:t>3</w:t>
      </w:r>
      <w:r>
        <w:rPr>
          <w:rFonts w:ascii="Times New Roman" w:hAnsi="Times New Roman"/>
          <w:sz w:val="24"/>
        </w:rPr>
        <w:t xml:space="preserve"> voor tweetaktmotoren, en voor volledig organische stoffen, uitgedrukt als C (koolstof), met uitzondering van methaan, is de emissiegrenswaarde 115 mg/Nm</w:t>
      </w:r>
      <w:r>
        <w:rPr>
          <w:rFonts w:ascii="Times New Roman" w:hAnsi="Times New Roman"/>
          <w:sz w:val="24"/>
          <w:vertAlign w:val="superscript"/>
        </w:rPr>
        <w:t>3</w:t>
      </w:r>
      <w:r>
        <w:rPr>
          <w:rFonts w:ascii="Times New Roman" w:hAnsi="Times New Roman"/>
          <w:sz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Tot 31 december 2024 worden de in bijlage 1 vermelde emissiegrenswaarden toegepast op stookinstallaties van categorie I met een totaal nominaal thermisch ingangsvermogen van meer dan 5 </w:t>
      </w:r>
      <w:proofErr w:type="spellStart"/>
      <w:r>
        <w:rPr>
          <w:rFonts w:ascii="Times New Roman" w:hAnsi="Times New Roman"/>
          <w:sz w:val="24"/>
        </w:rPr>
        <w:t>MWth</w:t>
      </w:r>
      <w:proofErr w:type="spellEnd"/>
      <w:r>
        <w:rPr>
          <w:rFonts w:ascii="Times New Roman" w:hAnsi="Times New Roman"/>
          <w:sz w:val="24"/>
        </w:rPr>
        <w:t>, met de volgende uitzonderingen: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in het geval van het stoken van vaste biomassa is de emissiegrenswaarde voor koolmonoxide 375 mg/Nm</w:t>
      </w:r>
      <w:r>
        <w:rPr>
          <w:rFonts w:ascii="Times New Roman" w:hAnsi="Times New Roman"/>
          <w:sz w:val="24"/>
          <w:vertAlign w:val="superscript"/>
        </w:rPr>
        <w:t>3</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in het geval van gasmotoren die voor 1 januari 1994 in gebruik zijn genomen, is de emissiegrenswaarde voor stikstofoxiden 565 mg/Nm</w:t>
      </w:r>
      <w:r>
        <w:rPr>
          <w:rFonts w:ascii="Times New Roman" w:hAnsi="Times New Roman"/>
          <w:sz w:val="24"/>
          <w:vertAlign w:val="superscript"/>
        </w:rPr>
        <w:t>3</w:t>
      </w:r>
      <w:r>
        <w:rPr>
          <w:rFonts w:ascii="Times New Roman" w:hAnsi="Times New Roman"/>
          <w:sz w:val="24"/>
        </w:rPr>
        <w:t>; de emissiegrenswaarde voor koolmonoxide is 375 mg/Nm</w:t>
      </w:r>
      <w:r>
        <w:rPr>
          <w:rFonts w:ascii="Times New Roman" w:hAnsi="Times New Roman"/>
          <w:sz w:val="24"/>
          <w:vertAlign w:val="superscript"/>
        </w:rPr>
        <w:t>3</w:t>
      </w:r>
      <w:r>
        <w:rPr>
          <w:rFonts w:ascii="Times New Roman" w:hAnsi="Times New Roman"/>
          <w:sz w:val="24"/>
        </w:rPr>
        <w:t xml:space="preserve"> voor viertaktmotoren en 320 mg/Nm</w:t>
      </w:r>
      <w:r>
        <w:rPr>
          <w:rFonts w:ascii="Times New Roman" w:hAnsi="Times New Roman"/>
          <w:sz w:val="24"/>
          <w:vertAlign w:val="superscript"/>
        </w:rPr>
        <w:t>3</w:t>
      </w:r>
      <w:r>
        <w:rPr>
          <w:rFonts w:ascii="Times New Roman" w:hAnsi="Times New Roman"/>
          <w:sz w:val="24"/>
        </w:rPr>
        <w:t xml:space="preserve"> voor tweetaktmotoren, en voor volledig organische stoffen, uitgedrukt als C (koolstof), met uitzondering van methaan, is de emissiegrenswaarde 115 mg/Nm</w:t>
      </w:r>
      <w:r>
        <w:rPr>
          <w:rFonts w:ascii="Times New Roman" w:hAnsi="Times New Roman"/>
          <w:sz w:val="24"/>
          <w:vertAlign w:val="superscript"/>
        </w:rPr>
        <w:t>3</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 4 </w:t>
      </w:r>
      <w:r>
        <w:rPr>
          <w:rFonts w:ascii="Times New Roman" w:hAnsi="Times New Roman"/>
          <w:sz w:val="24"/>
        </w:rPr>
        <w:t>1) Bijlage 1 bij het besluit wordt gewijzigd overeenkomstig bijlage 1.</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Bijlage 2 bij het besluit treedt in werking overeenkomstig bijlage 2.</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Bijlage 3 bij het besluit treedt in werking overeenkomstig bijlage 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Bijlage 4 bij het besluit wordt gewijzigd overeenkomstig bijlage 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5) Bijlage 5 bij het besluit wordt gewijzigd overeenkomstig bijlage 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5</w:t>
      </w:r>
      <w:r>
        <w:rPr>
          <w:rFonts w:ascii="Times New Roman" w:hAnsi="Times New Roman"/>
          <w:sz w:val="24"/>
        </w:rPr>
        <w:t xml:space="preserve"> </w:t>
      </w:r>
      <w:proofErr w:type="spellStart"/>
      <w:r>
        <w:rPr>
          <w:rFonts w:ascii="Times New Roman" w:hAnsi="Times New Roman"/>
          <w:sz w:val="24"/>
        </w:rPr>
        <w:t>Subpunt</w:t>
      </w:r>
      <w:proofErr w:type="spellEnd"/>
      <w:r>
        <w:rPr>
          <w:rFonts w:ascii="Times New Roman" w:hAnsi="Times New Roman"/>
          <w:sz w:val="24"/>
        </w:rPr>
        <w:t> 3.4 van punt 3 van bijlage 4 bij het besluit wordt hierbij geschrapt.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6</w:t>
      </w:r>
      <w:r>
        <w:rPr>
          <w:rFonts w:ascii="Times New Roman" w:hAnsi="Times New Roman"/>
          <w:sz w:val="24"/>
        </w:rPr>
        <w:t xml:space="preserve"> 1) Behoudens het bepaalde in de leden 2 en 3, treedt dit besluit in werking op de vijftiende dag na de bekendmaking ervan.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2) § 2, leden 1 en 2, § 4, lid 3, en bijlage 3 treden in werking op 1 januari 2025.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 4, lid 2, en bijlage 2 treden in werking op 1 januari 2030.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 7 </w:t>
      </w:r>
      <w:r>
        <w:rPr>
          <w:rFonts w:ascii="Times New Roman" w:hAnsi="Times New Roman"/>
          <w:sz w:val="24"/>
        </w:rPr>
        <w:t>1) Dit besluit moet zorgen voor overeenstemming met Richtlijn (EU) 2015/2193 van het Europees Parlement en de Raad van 25 november 2015 inzake de beperking van de emissies van bepaalde verontreinigende stoffen in de lucht door middelgrote stookinstallaties.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Er is voldaan aan de eis voor voorafgaande kennisgeving van dit besluit, zoals bepaald in de artikelen 5 tot en met 7 van Richtlijn (EU) 2015/1535 van het Europees Parlement en de Raad van 9 september 2015 betreffende een informatieprocedure op het gebied van technische voorschriften en regels betreffende de diensten van de informatiemaatschappij.</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Bijlage 1 bij besluit nr. 51/2019 van de minister van Landbouw van 28 oktober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1. Punt 2, </w:t>
      </w:r>
      <w:proofErr w:type="spellStart"/>
      <w:r>
        <w:rPr>
          <w:rFonts w:ascii="Times New Roman" w:hAnsi="Times New Roman"/>
          <w:sz w:val="24"/>
        </w:rPr>
        <w:t>subpunt</w:t>
      </w:r>
      <w:proofErr w:type="spellEnd"/>
      <w:r>
        <w:rPr>
          <w:rFonts w:ascii="Times New Roman" w:hAnsi="Times New Roman"/>
          <w:sz w:val="24"/>
        </w:rPr>
        <w:t> 2.3, van bijlage 1 bij het besluit wordt vervangen door het volgende: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“2.3. De emissiegrenswaarde voor </w:t>
      </w:r>
      <w:proofErr w:type="spellStart"/>
      <w:r>
        <w:rPr>
          <w:rFonts w:ascii="Times New Roman" w:hAnsi="Times New Roman"/>
          <w:sz w:val="24"/>
        </w:rPr>
        <w:t>NOx</w:t>
      </w:r>
      <w:proofErr w:type="spellEnd"/>
      <w:r>
        <w:rPr>
          <w:rFonts w:ascii="Times New Roman" w:hAnsi="Times New Roman"/>
          <w:sz w:val="24"/>
        </w:rPr>
        <w:t xml:space="preserve"> is 320 mg/m</w:t>
      </w:r>
      <w:r>
        <w:rPr>
          <w:rFonts w:ascii="Times New Roman" w:hAnsi="Times New Roman"/>
          <w:sz w:val="24"/>
          <w:vertAlign w:val="superscript"/>
        </w:rPr>
        <w:t>3</w:t>
      </w:r>
      <w:r>
        <w:rPr>
          <w:rFonts w:ascii="Times New Roman" w:hAnsi="Times New Roman"/>
          <w:sz w:val="24"/>
        </w:rPr>
        <w:t xml:space="preserve"> voor bruinkoolverbranding, 300 mg/m</w:t>
      </w:r>
      <w:r>
        <w:rPr>
          <w:rFonts w:ascii="Times New Roman" w:hAnsi="Times New Roman"/>
          <w:sz w:val="24"/>
          <w:vertAlign w:val="superscript"/>
        </w:rPr>
        <w:t>3</w:t>
      </w:r>
      <w:r>
        <w:rPr>
          <w:rFonts w:ascii="Times New Roman" w:hAnsi="Times New Roman"/>
          <w:sz w:val="24"/>
        </w:rPr>
        <w:t xml:space="preserve"> voor ketels voor wervelbedverbranding die worden gebruikt voor het stoken van vaste biomassabrandstoffen en 210 mg/m</w:t>
      </w:r>
      <w:r>
        <w:rPr>
          <w:rFonts w:ascii="Times New Roman" w:hAnsi="Times New Roman"/>
          <w:sz w:val="24"/>
          <w:vertAlign w:val="superscript"/>
        </w:rPr>
        <w:t>3</w:t>
      </w:r>
      <w:r>
        <w:rPr>
          <w:rFonts w:ascii="Times New Roman" w:hAnsi="Times New Roman"/>
          <w:sz w:val="24"/>
        </w:rPr>
        <w:t xml:space="preserve"> voor ketels voor wervelbedverbranding die worden gebruikt voor het stoken van andere vaste brandstoffen.”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 Punt 3, </w:t>
      </w:r>
      <w:proofErr w:type="spellStart"/>
      <w:r>
        <w:rPr>
          <w:rFonts w:ascii="Times New Roman" w:hAnsi="Times New Roman"/>
          <w:sz w:val="24"/>
        </w:rPr>
        <w:t>subpunt</w:t>
      </w:r>
      <w:proofErr w:type="spellEnd"/>
      <w:r>
        <w:rPr>
          <w:rFonts w:ascii="Times New Roman" w:hAnsi="Times New Roman"/>
          <w:sz w:val="24"/>
        </w:rPr>
        <w:t> 3.1, van bijlage 1 bij het besluit wordt vervangen door het volgende: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“3.1. De emissiegrenswaarde voor </w:t>
      </w:r>
      <w:proofErr w:type="spellStart"/>
      <w:r>
        <w:rPr>
          <w:rFonts w:ascii="Times New Roman" w:hAnsi="Times New Roman"/>
          <w:sz w:val="24"/>
        </w:rPr>
        <w:t>NOx</w:t>
      </w:r>
      <w:proofErr w:type="spellEnd"/>
      <w:r>
        <w:rPr>
          <w:rFonts w:ascii="Times New Roman" w:hAnsi="Times New Roman"/>
          <w:sz w:val="24"/>
        </w:rPr>
        <w:t xml:space="preserve"> is 300 mg/m</w:t>
      </w:r>
      <w:r>
        <w:rPr>
          <w:rFonts w:ascii="Times New Roman" w:hAnsi="Times New Roman"/>
          <w:sz w:val="24"/>
          <w:vertAlign w:val="superscript"/>
        </w:rPr>
        <w:t>3</w:t>
      </w:r>
      <w:r>
        <w:rPr>
          <w:rFonts w:ascii="Times New Roman" w:hAnsi="Times New Roman"/>
          <w:sz w:val="24"/>
        </w:rPr>
        <w:t xml:space="preserve"> voor tweetaktmotoren, 225 mg/m</w:t>
      </w:r>
      <w:r>
        <w:rPr>
          <w:rFonts w:ascii="Times New Roman" w:hAnsi="Times New Roman"/>
          <w:sz w:val="24"/>
          <w:vertAlign w:val="superscript"/>
        </w:rPr>
        <w:t>3</w:t>
      </w:r>
      <w:r>
        <w:rPr>
          <w:rFonts w:ascii="Times New Roman" w:hAnsi="Times New Roman"/>
          <w:sz w:val="24"/>
        </w:rPr>
        <w:t xml:space="preserve"> voor </w:t>
      </w:r>
      <w:proofErr w:type="spellStart"/>
      <w:r>
        <w:rPr>
          <w:rFonts w:ascii="Times New Roman" w:hAnsi="Times New Roman"/>
          <w:sz w:val="24"/>
        </w:rPr>
        <w:t>viertaktgasmotoren</w:t>
      </w:r>
      <w:proofErr w:type="spellEnd"/>
      <w:r>
        <w:rPr>
          <w:rFonts w:ascii="Times New Roman" w:hAnsi="Times New Roman"/>
          <w:sz w:val="24"/>
        </w:rPr>
        <w:t xml:space="preserve"> op biogas en stortgas en 1 650 mg/m</w:t>
      </w:r>
      <w:r>
        <w:rPr>
          <w:rFonts w:ascii="Times New Roman" w:hAnsi="Times New Roman"/>
          <w:sz w:val="24"/>
          <w:vertAlign w:val="superscript"/>
        </w:rPr>
        <w:t>3</w:t>
      </w:r>
      <w:r>
        <w:rPr>
          <w:rFonts w:ascii="Times New Roman" w:hAnsi="Times New Roman"/>
          <w:sz w:val="24"/>
        </w:rPr>
        <w:t xml:space="preserve"> voor dieselmotoren die uitsluitend worden gebruikt voor exploratieboringen en 1 500 mg/m</w:t>
      </w:r>
      <w:r>
        <w:rPr>
          <w:rFonts w:ascii="Times New Roman" w:hAnsi="Times New Roman"/>
          <w:sz w:val="24"/>
          <w:vertAlign w:val="superscript"/>
        </w:rPr>
        <w:t>3</w:t>
      </w:r>
      <w:r>
        <w:rPr>
          <w:rFonts w:ascii="Times New Roman" w:hAnsi="Times New Roman"/>
          <w:sz w:val="24"/>
        </w:rPr>
        <w:t xml:space="preserve"> voor overige dieselmotoren.”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 Het onderstaande </w:t>
      </w:r>
      <w:proofErr w:type="spellStart"/>
      <w:r>
        <w:rPr>
          <w:rFonts w:ascii="Times New Roman" w:hAnsi="Times New Roman"/>
          <w:sz w:val="24"/>
        </w:rPr>
        <w:t>subpunt</w:t>
      </w:r>
      <w:proofErr w:type="spellEnd"/>
      <w:r>
        <w:rPr>
          <w:rFonts w:ascii="Times New Roman" w:hAnsi="Times New Roman"/>
          <w:sz w:val="24"/>
        </w:rPr>
        <w:t> 3.4 wordt toegevoegd aan punt 3 van bijlage 1 bij het besluit: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“3.4. De TOC-emissiegrenswaarde voor gasmotoren op aardgas met een ethaaninhoud van meer dan 5 % is 95 mg/m.”</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Bijlage 2 bij besluit nr. 51/2019 van de minister van Landbouw van 28 oktober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In cel B:5 van de tabel van punt 2 van bijlage 2 bij het besluit wordt “1 500” vervangen door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 Punt 2, </w:t>
      </w:r>
      <w:proofErr w:type="spellStart"/>
      <w:r>
        <w:rPr>
          <w:rFonts w:ascii="Times New Roman" w:hAnsi="Times New Roman"/>
          <w:sz w:val="24"/>
        </w:rPr>
        <w:t>subpunt</w:t>
      </w:r>
      <w:proofErr w:type="spellEnd"/>
      <w:r>
        <w:rPr>
          <w:rFonts w:ascii="Times New Roman" w:hAnsi="Times New Roman"/>
          <w:sz w:val="24"/>
        </w:rPr>
        <w:t> 2.5, van bijlage 2 bij het besluit treedt in werking als volgt: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“2.5. De emissiegrenswaarde voor </w:t>
      </w:r>
      <w:proofErr w:type="spellStart"/>
      <w:r>
        <w:rPr>
          <w:rFonts w:ascii="Times New Roman" w:hAnsi="Times New Roman"/>
          <w:sz w:val="24"/>
        </w:rPr>
        <w:t>NOx</w:t>
      </w:r>
      <w:proofErr w:type="spellEnd"/>
      <w:r>
        <w:rPr>
          <w:rFonts w:ascii="Times New Roman" w:hAnsi="Times New Roman"/>
          <w:sz w:val="24"/>
        </w:rPr>
        <w:t xml:space="preserve"> is 320 mg/Nm</w:t>
      </w:r>
      <w:r>
        <w:rPr>
          <w:rFonts w:ascii="Times New Roman" w:hAnsi="Times New Roman"/>
          <w:sz w:val="24"/>
          <w:vertAlign w:val="superscript"/>
        </w:rPr>
        <w:t>3</w:t>
      </w:r>
      <w:r>
        <w:rPr>
          <w:rFonts w:ascii="Times New Roman" w:hAnsi="Times New Roman"/>
          <w:sz w:val="24"/>
        </w:rPr>
        <w:t xml:space="preserve"> voor bruinkoolverbranding, 300 mg/Nm</w:t>
      </w:r>
      <w:r>
        <w:rPr>
          <w:rFonts w:ascii="Times New Roman" w:hAnsi="Times New Roman"/>
          <w:sz w:val="24"/>
          <w:vertAlign w:val="superscript"/>
        </w:rPr>
        <w:t>3</w:t>
      </w:r>
      <w:r>
        <w:rPr>
          <w:rFonts w:ascii="Times New Roman" w:hAnsi="Times New Roman"/>
          <w:sz w:val="24"/>
        </w:rPr>
        <w:t xml:space="preserve"> voor ketels voor wervelbedverbranding die worden gebruikt voor het stoken van vaste biomassabrandstoffen en 210 mg/Nm</w:t>
      </w:r>
      <w:r>
        <w:rPr>
          <w:rFonts w:ascii="Times New Roman" w:hAnsi="Times New Roman"/>
          <w:sz w:val="24"/>
          <w:vertAlign w:val="superscript"/>
        </w:rPr>
        <w:t>3</w:t>
      </w:r>
      <w:r>
        <w:rPr>
          <w:rFonts w:ascii="Times New Roman" w:hAnsi="Times New Roman"/>
          <w:sz w:val="24"/>
        </w:rPr>
        <w:t xml:space="preserve"> voor ketels voor wervelbedverbranding die worden gebruikt voor het stoken van andere vaste brandstoffen.”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 Punt 3, </w:t>
      </w:r>
      <w:proofErr w:type="spellStart"/>
      <w:r>
        <w:rPr>
          <w:rFonts w:ascii="Times New Roman" w:hAnsi="Times New Roman"/>
          <w:sz w:val="24"/>
        </w:rPr>
        <w:t>subpunt</w:t>
      </w:r>
      <w:proofErr w:type="spellEnd"/>
      <w:r>
        <w:rPr>
          <w:rFonts w:ascii="Times New Roman" w:hAnsi="Times New Roman"/>
          <w:sz w:val="24"/>
        </w:rPr>
        <w:t> 3.3, van bijlage 2 bij het besluit treedt in werking als volgt: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“3.3. De emissiegrenswaarde voor </w:t>
      </w:r>
      <w:proofErr w:type="spellStart"/>
      <w:r>
        <w:rPr>
          <w:rFonts w:ascii="Times New Roman" w:hAnsi="Times New Roman"/>
          <w:sz w:val="24"/>
        </w:rPr>
        <w:t>NOx</w:t>
      </w:r>
      <w:proofErr w:type="spellEnd"/>
      <w:r>
        <w:rPr>
          <w:rFonts w:ascii="Times New Roman" w:hAnsi="Times New Roman"/>
          <w:sz w:val="24"/>
        </w:rPr>
        <w:t xml:space="preserve"> is 1 500 mg/Nm</w:t>
      </w:r>
      <w:r>
        <w:rPr>
          <w:rFonts w:ascii="Times New Roman" w:hAnsi="Times New Roman"/>
          <w:sz w:val="24"/>
          <w:vertAlign w:val="superscript"/>
        </w:rPr>
        <w:t>3</w:t>
      </w:r>
      <w:r>
        <w:rPr>
          <w:rFonts w:ascii="Times New Roman" w:hAnsi="Times New Roman"/>
          <w:sz w:val="24"/>
        </w:rPr>
        <w:t xml:space="preserve"> in de volgende gevallen: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voor dieselmotoren waarvan de bouw vóór 18 mei 2006 aanving;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voor </w:t>
      </w:r>
      <w:proofErr w:type="spellStart"/>
      <w:r>
        <w:rPr>
          <w:rFonts w:ascii="Times New Roman" w:hAnsi="Times New Roman"/>
          <w:sz w:val="24"/>
        </w:rPr>
        <w:t>dual-fuelmotoren</w:t>
      </w:r>
      <w:proofErr w:type="spellEnd"/>
      <w:r>
        <w:rPr>
          <w:rFonts w:ascii="Times New Roman" w:hAnsi="Times New Roman"/>
          <w:sz w:val="24"/>
        </w:rPr>
        <w:t xml:space="preserve"> in de vloeibare-brandstofmodus.”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4. Het volgende </w:t>
      </w:r>
      <w:proofErr w:type="spellStart"/>
      <w:r>
        <w:rPr>
          <w:rFonts w:ascii="Times New Roman" w:hAnsi="Times New Roman"/>
          <w:sz w:val="24"/>
        </w:rPr>
        <w:t>subpunt</w:t>
      </w:r>
      <w:proofErr w:type="spellEnd"/>
      <w:r>
        <w:rPr>
          <w:rFonts w:ascii="Times New Roman" w:hAnsi="Times New Roman"/>
          <w:sz w:val="24"/>
        </w:rPr>
        <w:t> 3.8 wordt toegevoegd aan punt 3 van bijlage 2 bij het besluit: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“3.8. De TOC-emissiegrenswaarde voor gasmotoren op aardgas met een ethaaninhoud van meer dan 5 % is 95 mg/m.”</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lastRenderedPageBreak/>
        <w:t>Bijlage 3 bij besluit nr. 51/2019 van de minister van Landbouw van 28 oktober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In cel B:5 van de tabel van punt 2 van bijlage 3 bij het besluit wordt “1 500” vervangen door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 Punt 2, </w:t>
      </w:r>
      <w:proofErr w:type="spellStart"/>
      <w:r>
        <w:rPr>
          <w:rFonts w:ascii="Times New Roman" w:hAnsi="Times New Roman"/>
          <w:sz w:val="24"/>
        </w:rPr>
        <w:t>subpunt</w:t>
      </w:r>
      <w:proofErr w:type="spellEnd"/>
      <w:r>
        <w:rPr>
          <w:rFonts w:ascii="Times New Roman" w:hAnsi="Times New Roman"/>
          <w:sz w:val="24"/>
        </w:rPr>
        <w:t> 2.6, van bijlage 3 bij het besluit treedt in werking als volgt: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“2.6. De emissiegrenswaarde voor </w:t>
      </w:r>
      <w:proofErr w:type="spellStart"/>
      <w:r>
        <w:rPr>
          <w:rFonts w:ascii="Times New Roman" w:hAnsi="Times New Roman"/>
          <w:sz w:val="24"/>
        </w:rPr>
        <w:t>NOx</w:t>
      </w:r>
      <w:proofErr w:type="spellEnd"/>
      <w:r>
        <w:rPr>
          <w:rFonts w:ascii="Times New Roman" w:hAnsi="Times New Roman"/>
          <w:sz w:val="24"/>
        </w:rPr>
        <w:t xml:space="preserve"> is 320 mg/m</w:t>
      </w:r>
      <w:r>
        <w:rPr>
          <w:rFonts w:ascii="Times New Roman" w:hAnsi="Times New Roman"/>
          <w:sz w:val="24"/>
          <w:vertAlign w:val="superscript"/>
        </w:rPr>
        <w:t>3</w:t>
      </w:r>
      <w:r>
        <w:rPr>
          <w:rFonts w:ascii="Times New Roman" w:hAnsi="Times New Roman"/>
          <w:sz w:val="24"/>
        </w:rPr>
        <w:t xml:space="preserve"> voor bruinkoolverbranding, 300 mg/m</w:t>
      </w:r>
      <w:r>
        <w:rPr>
          <w:rFonts w:ascii="Times New Roman" w:hAnsi="Times New Roman"/>
          <w:sz w:val="24"/>
          <w:vertAlign w:val="superscript"/>
        </w:rPr>
        <w:t>3</w:t>
      </w:r>
      <w:r>
        <w:rPr>
          <w:rFonts w:ascii="Times New Roman" w:hAnsi="Times New Roman"/>
          <w:sz w:val="24"/>
        </w:rPr>
        <w:t xml:space="preserve"> voor ketels voor wervelbedverbranding die worden gebruikt voor het stoken van vaste biomassabrandstoffen en 210 mg/m</w:t>
      </w:r>
      <w:r>
        <w:rPr>
          <w:rFonts w:ascii="Times New Roman" w:hAnsi="Times New Roman"/>
          <w:sz w:val="24"/>
          <w:vertAlign w:val="superscript"/>
        </w:rPr>
        <w:t>3</w:t>
      </w:r>
      <w:r>
        <w:rPr>
          <w:rFonts w:ascii="Times New Roman" w:hAnsi="Times New Roman"/>
          <w:sz w:val="24"/>
        </w:rPr>
        <w:t xml:space="preserve"> voor ketels voor wervelbedverbranding die worden gebruikt voor het stoken van andere vaste brandstoffen.”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 Punt 3, </w:t>
      </w:r>
      <w:proofErr w:type="spellStart"/>
      <w:r>
        <w:rPr>
          <w:rFonts w:ascii="Times New Roman" w:hAnsi="Times New Roman"/>
          <w:sz w:val="24"/>
        </w:rPr>
        <w:t>subpunt</w:t>
      </w:r>
      <w:proofErr w:type="spellEnd"/>
      <w:r>
        <w:rPr>
          <w:rFonts w:ascii="Times New Roman" w:hAnsi="Times New Roman"/>
          <w:sz w:val="24"/>
        </w:rPr>
        <w:t> 3.2, van bijlage 3 bij het besluit treedt in werking als volgt: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“3.2. De emissiegrenswaarde voor </w:t>
      </w:r>
      <w:proofErr w:type="spellStart"/>
      <w:r>
        <w:rPr>
          <w:rFonts w:ascii="Times New Roman" w:hAnsi="Times New Roman"/>
          <w:sz w:val="24"/>
        </w:rPr>
        <w:t>NOx</w:t>
      </w:r>
      <w:proofErr w:type="spellEnd"/>
      <w:r>
        <w:rPr>
          <w:rFonts w:ascii="Times New Roman" w:hAnsi="Times New Roman"/>
          <w:sz w:val="24"/>
        </w:rPr>
        <w:t xml:space="preserve"> is 1 500 mg/Nm</w:t>
      </w:r>
      <w:r>
        <w:rPr>
          <w:rFonts w:ascii="Times New Roman" w:hAnsi="Times New Roman"/>
          <w:sz w:val="24"/>
          <w:vertAlign w:val="superscript"/>
        </w:rPr>
        <w:t>3</w:t>
      </w:r>
      <w:r>
        <w:rPr>
          <w:rFonts w:ascii="Times New Roman" w:hAnsi="Times New Roman"/>
          <w:sz w:val="24"/>
        </w:rPr>
        <w:t xml:space="preserve"> in de volgende gevallen: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voor dieselmotoren waarvan de bouw vóór 18 mei 2006 aanving;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voor </w:t>
      </w:r>
      <w:proofErr w:type="spellStart"/>
      <w:r>
        <w:rPr>
          <w:rFonts w:ascii="Times New Roman" w:hAnsi="Times New Roman"/>
          <w:sz w:val="24"/>
        </w:rPr>
        <w:t>dual-fuelmotoren</w:t>
      </w:r>
      <w:proofErr w:type="spellEnd"/>
      <w:r>
        <w:rPr>
          <w:rFonts w:ascii="Times New Roman" w:hAnsi="Times New Roman"/>
          <w:sz w:val="24"/>
        </w:rPr>
        <w:t xml:space="preserve"> in de vloeibare-brandstofmodus.”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4. Punt 3 van bijlage 3 bij het besluit treedt in werking met de volgende </w:t>
      </w:r>
      <w:proofErr w:type="spellStart"/>
      <w:r>
        <w:rPr>
          <w:rFonts w:ascii="Times New Roman" w:hAnsi="Times New Roman"/>
          <w:sz w:val="24"/>
        </w:rPr>
        <w:t>subpunten</w:t>
      </w:r>
      <w:proofErr w:type="spellEnd"/>
      <w:r>
        <w:rPr>
          <w:rFonts w:ascii="Times New Roman" w:hAnsi="Times New Roman"/>
          <w:sz w:val="24"/>
        </w:rPr>
        <w:t xml:space="preserve"> 3.9 en 3.10: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“3.9. De TOC-emissiegrenswaarde voor gasmotoren op aardgas met een ethaaninhoud van meer dan 5 % is 95 mg/m</w:t>
      </w:r>
      <w:r>
        <w:rPr>
          <w:rFonts w:ascii="Times New Roman" w:hAnsi="Times New Roman"/>
          <w:sz w:val="24"/>
          <w:vertAlign w:val="superscript"/>
        </w:rPr>
        <w:t>3</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3.10. In het geval van gasmotoren die voor 1 januari 1994 in gebruik zijn genomen en die worden gebruikt om gascompressiestations aan te drijven om de veiligheid en de zekerheid van nationale gastransmissiesystemen te waarborgen, is de CO-emissiegrenswaarde voor viertaktmotoren 375 mg/m</w:t>
      </w:r>
      <w:r>
        <w:rPr>
          <w:rFonts w:ascii="Times New Roman" w:hAnsi="Times New Roman"/>
          <w:sz w:val="24"/>
          <w:vertAlign w:val="superscript"/>
        </w:rPr>
        <w:t>3</w:t>
      </w:r>
      <w:r>
        <w:rPr>
          <w:rFonts w:ascii="Times New Roman" w:hAnsi="Times New Roman"/>
          <w:sz w:val="24"/>
        </w:rPr>
        <w:t xml:space="preserve"> en voor tweetaktmotoren 320 mg/m</w:t>
      </w:r>
      <w:r>
        <w:rPr>
          <w:rFonts w:ascii="Times New Roman" w:hAnsi="Times New Roman"/>
          <w:sz w:val="24"/>
          <w:vertAlign w:val="superscript"/>
        </w:rPr>
        <w:t>3</w:t>
      </w:r>
      <w:r>
        <w:rPr>
          <w:rFonts w:ascii="Times New Roman" w:hAnsi="Times New Roman"/>
          <w:sz w:val="24"/>
        </w:rPr>
        <w:t xml:space="preserve"> en is de TOC-emissiegrenswaarde tot 1 januari 2030 115 mg/m</w:t>
      </w:r>
      <w:r>
        <w:rPr>
          <w:rFonts w:ascii="Times New Roman" w:hAnsi="Times New Roman"/>
          <w:sz w:val="24"/>
          <w:vertAlign w:val="superscript"/>
        </w:rPr>
        <w:t>3</w:t>
      </w:r>
      <w:r>
        <w:rPr>
          <w:rFonts w:ascii="Times New Roman" w:hAnsi="Times New Roman"/>
          <w:sz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Bijlage 4 bij besluit nr. 51/2019 van de minister van Landbouw van 28 oktober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1. Punt 2, </w:t>
      </w:r>
      <w:proofErr w:type="spellStart"/>
      <w:r>
        <w:rPr>
          <w:rFonts w:ascii="Times New Roman" w:hAnsi="Times New Roman"/>
          <w:sz w:val="24"/>
        </w:rPr>
        <w:t>subpunt</w:t>
      </w:r>
      <w:proofErr w:type="spellEnd"/>
      <w:r>
        <w:rPr>
          <w:rFonts w:ascii="Times New Roman" w:hAnsi="Times New Roman"/>
          <w:sz w:val="24"/>
        </w:rPr>
        <w:t> 2.5, van bijlage 4 bij het besluit wordt vervangen door het volgende: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“2.5. De emissiegrenswaarde voor </w:t>
      </w:r>
      <w:proofErr w:type="spellStart"/>
      <w:r>
        <w:rPr>
          <w:rFonts w:ascii="Times New Roman" w:hAnsi="Times New Roman"/>
          <w:sz w:val="24"/>
        </w:rPr>
        <w:t>NOx</w:t>
      </w:r>
      <w:proofErr w:type="spellEnd"/>
      <w:r>
        <w:rPr>
          <w:rFonts w:ascii="Times New Roman" w:hAnsi="Times New Roman"/>
          <w:sz w:val="24"/>
        </w:rPr>
        <w:t xml:space="preserve"> is 320 mg/m</w:t>
      </w:r>
      <w:r>
        <w:rPr>
          <w:rFonts w:ascii="Times New Roman" w:hAnsi="Times New Roman"/>
          <w:sz w:val="24"/>
          <w:vertAlign w:val="superscript"/>
        </w:rPr>
        <w:t>3</w:t>
      </w:r>
      <w:r>
        <w:rPr>
          <w:rFonts w:ascii="Times New Roman" w:hAnsi="Times New Roman"/>
          <w:sz w:val="24"/>
        </w:rPr>
        <w:t xml:space="preserve"> voor bruinkoolverbranding, 300 mg/m</w:t>
      </w:r>
      <w:r>
        <w:rPr>
          <w:rFonts w:ascii="Times New Roman" w:hAnsi="Times New Roman"/>
          <w:sz w:val="24"/>
          <w:vertAlign w:val="superscript"/>
        </w:rPr>
        <w:t>3</w:t>
      </w:r>
      <w:r>
        <w:rPr>
          <w:rFonts w:ascii="Times New Roman" w:hAnsi="Times New Roman"/>
          <w:sz w:val="24"/>
        </w:rPr>
        <w:t xml:space="preserve"> voor ketels voor wervelbedverbranding die worden gebruikt voor het stoken van vaste biomassabrandstoffen en 210 mg/m</w:t>
      </w:r>
      <w:r>
        <w:rPr>
          <w:rFonts w:ascii="Times New Roman" w:hAnsi="Times New Roman"/>
          <w:sz w:val="24"/>
          <w:vertAlign w:val="superscript"/>
        </w:rPr>
        <w:t>3</w:t>
      </w:r>
      <w:r>
        <w:rPr>
          <w:rFonts w:ascii="Times New Roman" w:hAnsi="Times New Roman"/>
          <w:sz w:val="24"/>
        </w:rPr>
        <w:t xml:space="preserve"> voor ketels voor wervelbedverbranding die worden gebruikt voor het stoken van andere vaste brandstoffen.”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 Punt 3, </w:t>
      </w:r>
      <w:proofErr w:type="spellStart"/>
      <w:r>
        <w:rPr>
          <w:rFonts w:ascii="Times New Roman" w:hAnsi="Times New Roman"/>
          <w:sz w:val="24"/>
        </w:rPr>
        <w:t>subpunt</w:t>
      </w:r>
      <w:proofErr w:type="spellEnd"/>
      <w:r>
        <w:rPr>
          <w:rFonts w:ascii="Times New Roman" w:hAnsi="Times New Roman"/>
          <w:sz w:val="24"/>
        </w:rPr>
        <w:t> 3.3, van bijlage 4 bij het besluit wordt vervangen door het volgende: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“3.3. De emissiegrenswaarde voor </w:t>
      </w:r>
      <w:proofErr w:type="spellStart"/>
      <w:r>
        <w:rPr>
          <w:rFonts w:ascii="Times New Roman" w:hAnsi="Times New Roman"/>
          <w:sz w:val="24"/>
        </w:rPr>
        <w:t>NOx</w:t>
      </w:r>
      <w:proofErr w:type="spellEnd"/>
      <w:r>
        <w:rPr>
          <w:rFonts w:ascii="Times New Roman" w:hAnsi="Times New Roman"/>
          <w:sz w:val="24"/>
        </w:rPr>
        <w:t xml:space="preserve"> voor dieselmotoren, indien hun </w:t>
      </w:r>
      <w:proofErr w:type="spellStart"/>
      <w:r>
        <w:rPr>
          <w:rFonts w:ascii="Times New Roman" w:hAnsi="Times New Roman"/>
          <w:sz w:val="24"/>
        </w:rPr>
        <w:t>NOx-emissie</w:t>
      </w:r>
      <w:proofErr w:type="spellEnd"/>
      <w:r>
        <w:rPr>
          <w:rFonts w:ascii="Times New Roman" w:hAnsi="Times New Roman"/>
          <w:sz w:val="24"/>
        </w:rPr>
        <w:t xml:space="preserve"> is beperkt naar aanleiding van primaire maatregelen, die uitsluitend worden gebruikt voor exploratieboringen, is 1 650 mg/m</w:t>
      </w:r>
      <w:r>
        <w:rPr>
          <w:rFonts w:ascii="Times New Roman" w:hAnsi="Times New Roman"/>
          <w:sz w:val="24"/>
          <w:vertAlign w:val="superscript"/>
        </w:rPr>
        <w:t>3</w:t>
      </w:r>
      <w:r>
        <w:rPr>
          <w:rFonts w:ascii="Times New Roman" w:hAnsi="Times New Roman"/>
          <w:sz w:val="24"/>
        </w:rPr>
        <w:t xml:space="preserve"> en 1 500 mg/m</w:t>
      </w:r>
      <w:r>
        <w:rPr>
          <w:rFonts w:ascii="Times New Roman" w:hAnsi="Times New Roman"/>
          <w:sz w:val="24"/>
          <w:vertAlign w:val="superscript"/>
        </w:rPr>
        <w:t>3</w:t>
      </w:r>
      <w:r>
        <w:rPr>
          <w:rFonts w:ascii="Times New Roman" w:hAnsi="Times New Roman"/>
          <w:sz w:val="24"/>
        </w:rPr>
        <w:t xml:space="preserve"> voor overige dieselmotoren.”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 Het onderstaande </w:t>
      </w:r>
      <w:proofErr w:type="spellStart"/>
      <w:r>
        <w:rPr>
          <w:rFonts w:ascii="Times New Roman" w:hAnsi="Times New Roman"/>
          <w:sz w:val="24"/>
        </w:rPr>
        <w:t>subpunt</w:t>
      </w:r>
      <w:proofErr w:type="spellEnd"/>
      <w:r>
        <w:rPr>
          <w:rFonts w:ascii="Times New Roman" w:hAnsi="Times New Roman"/>
          <w:sz w:val="24"/>
        </w:rPr>
        <w:t> 3.8 wordt toegevoegd aan punt 3 van bijlage 4 bij het besluit: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“3.8. De TOC-emissiegrenswaarde voor gasmotoren op aardgas met een ethaaninhoud van meer dan 5 % is 95 mg/m.”</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Bijlage 5 bij besluit nr. 51/2019 van de minister van Landbouw van 28 oktober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In cel B:5 van de tabel van punt 2 van bijlage 5 bij het besluit wordt “1 500” vervangen door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 xml:space="preserve">2. Punt 2, </w:t>
      </w:r>
      <w:proofErr w:type="spellStart"/>
      <w:r>
        <w:rPr>
          <w:rFonts w:ascii="Times New Roman" w:hAnsi="Times New Roman"/>
          <w:sz w:val="24"/>
        </w:rPr>
        <w:t>subpunten</w:t>
      </w:r>
      <w:proofErr w:type="spellEnd"/>
      <w:r>
        <w:rPr>
          <w:rFonts w:ascii="Times New Roman" w:hAnsi="Times New Roman"/>
          <w:sz w:val="24"/>
        </w:rPr>
        <w:t> 2.3 en 2.4, van bijlage 5 bij het besluit worden vervangen door het volgende: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“2.3. De emissiegrenswaarde voor </w:t>
      </w:r>
      <w:proofErr w:type="spellStart"/>
      <w:r>
        <w:rPr>
          <w:rFonts w:ascii="Times New Roman" w:hAnsi="Times New Roman"/>
          <w:sz w:val="24"/>
        </w:rPr>
        <w:t>NOx</w:t>
      </w:r>
      <w:proofErr w:type="spellEnd"/>
      <w:r>
        <w:rPr>
          <w:rFonts w:ascii="Times New Roman" w:hAnsi="Times New Roman"/>
          <w:sz w:val="24"/>
        </w:rPr>
        <w:t xml:space="preserve"> is 500 mg/m</w:t>
      </w:r>
      <w:r>
        <w:rPr>
          <w:rFonts w:ascii="Times New Roman" w:hAnsi="Times New Roman"/>
          <w:sz w:val="24"/>
          <w:vertAlign w:val="superscript"/>
        </w:rPr>
        <w:t>3</w:t>
      </w:r>
      <w:r>
        <w:rPr>
          <w:rFonts w:ascii="Times New Roman" w:hAnsi="Times New Roman"/>
          <w:sz w:val="24"/>
        </w:rPr>
        <w:t xml:space="preserve"> voor stookinstallaties die vaste brandstoffen stoken met een totaal nominaal thermisch ingangsvermogen van 1 </w:t>
      </w:r>
      <w:proofErr w:type="spellStart"/>
      <w:r>
        <w:rPr>
          <w:rFonts w:ascii="Times New Roman" w:hAnsi="Times New Roman"/>
          <w:sz w:val="24"/>
        </w:rPr>
        <w:t>MWth</w:t>
      </w:r>
      <w:proofErr w:type="spellEnd"/>
      <w:r>
        <w:rPr>
          <w:rFonts w:ascii="Times New Roman" w:hAnsi="Times New Roman"/>
          <w:sz w:val="24"/>
        </w:rPr>
        <w:t xml:space="preserve"> of meer maar minder dan 5 </w:t>
      </w:r>
      <w:proofErr w:type="spellStart"/>
      <w:r>
        <w:rPr>
          <w:rFonts w:ascii="Times New Roman" w:hAnsi="Times New Roman"/>
          <w:sz w:val="24"/>
        </w:rPr>
        <w:t>MWth</w:t>
      </w:r>
      <w:proofErr w:type="spellEnd"/>
      <w:r>
        <w:rPr>
          <w:rFonts w:ascii="Times New Roman" w:hAnsi="Times New Roman"/>
          <w:sz w:val="24"/>
        </w:rPr>
        <w:t>, met de uitzondering dat de emissiegrenswaarde voor bruinkoolverbranding 320 mg/Nm</w:t>
      </w:r>
      <w:r>
        <w:rPr>
          <w:rFonts w:ascii="Times New Roman" w:hAnsi="Times New Roman"/>
          <w:sz w:val="24"/>
          <w:vertAlign w:val="superscript"/>
        </w:rPr>
        <w:t>3</w:t>
      </w:r>
      <w:r>
        <w:rPr>
          <w:rFonts w:ascii="Times New Roman" w:hAnsi="Times New Roman"/>
          <w:sz w:val="24"/>
        </w:rPr>
        <w:t xml:space="preserve"> bedraagt, en voor ketels voor wervelbedverbranding die worden gebruikt voor het stoken van vaste biomassabrandstoffen 300 mg/Nm</w:t>
      </w:r>
      <w:r>
        <w:rPr>
          <w:rFonts w:ascii="Times New Roman" w:hAnsi="Times New Roman"/>
          <w:sz w:val="24"/>
          <w:vertAlign w:val="superscript"/>
        </w:rPr>
        <w:t>3</w:t>
      </w:r>
      <w:r>
        <w:rPr>
          <w:rFonts w:ascii="Times New Roman" w:hAnsi="Times New Roman"/>
          <w:sz w:val="24"/>
        </w:rPr>
        <w:t xml:space="preserve"> bedraagt.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2.4. De emissiegrenswaarde voor </w:t>
      </w:r>
      <w:proofErr w:type="spellStart"/>
      <w:r>
        <w:rPr>
          <w:rFonts w:ascii="Times New Roman" w:hAnsi="Times New Roman"/>
          <w:sz w:val="24"/>
        </w:rPr>
        <w:t>NOx</w:t>
      </w:r>
      <w:proofErr w:type="spellEnd"/>
      <w:r>
        <w:rPr>
          <w:rFonts w:ascii="Times New Roman" w:hAnsi="Times New Roman"/>
          <w:sz w:val="24"/>
        </w:rPr>
        <w:t xml:space="preserve"> is 210 mg/m</w:t>
      </w:r>
      <w:r>
        <w:rPr>
          <w:rFonts w:ascii="Times New Roman" w:hAnsi="Times New Roman"/>
          <w:sz w:val="24"/>
          <w:vertAlign w:val="superscript"/>
        </w:rPr>
        <w:t>3</w:t>
      </w:r>
      <w:r>
        <w:rPr>
          <w:rFonts w:ascii="Times New Roman" w:hAnsi="Times New Roman"/>
          <w:sz w:val="24"/>
        </w:rPr>
        <w:t xml:space="preserve"> voor ketels voor wervelbedverbranding die worden gebruikt voor het stoken van overige brandstoffen.”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 Punt 3, </w:t>
      </w:r>
      <w:proofErr w:type="spellStart"/>
      <w:r>
        <w:rPr>
          <w:rFonts w:ascii="Times New Roman" w:hAnsi="Times New Roman"/>
          <w:sz w:val="24"/>
        </w:rPr>
        <w:t>subpunt</w:t>
      </w:r>
      <w:proofErr w:type="spellEnd"/>
      <w:r>
        <w:rPr>
          <w:rFonts w:ascii="Times New Roman" w:hAnsi="Times New Roman"/>
          <w:sz w:val="24"/>
        </w:rPr>
        <w:t> 3.2, van bijlage 5 bij het besluit wordt vervangen door het volgende: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“3.2. In het geval van motoren die tussen 500 en 1 500 uur per jaar in bedrijf zijn, indien hun </w:t>
      </w:r>
      <w:proofErr w:type="spellStart"/>
      <w:r>
        <w:rPr>
          <w:rFonts w:ascii="Times New Roman" w:hAnsi="Times New Roman"/>
          <w:sz w:val="24"/>
        </w:rPr>
        <w:t>NOx-emissie</w:t>
      </w:r>
      <w:proofErr w:type="spellEnd"/>
      <w:r>
        <w:rPr>
          <w:rFonts w:ascii="Times New Roman" w:hAnsi="Times New Roman"/>
          <w:sz w:val="24"/>
        </w:rPr>
        <w:t xml:space="preserve"> is beperkt naar aanleiding van primaire maatregelen, moeten de volgende emissiegrenswaarden voor </w:t>
      </w:r>
      <w:proofErr w:type="spellStart"/>
      <w:r>
        <w:rPr>
          <w:rFonts w:ascii="Times New Roman" w:hAnsi="Times New Roman"/>
          <w:sz w:val="24"/>
        </w:rPr>
        <w:t>NOx</w:t>
      </w:r>
      <w:proofErr w:type="spellEnd"/>
      <w:r>
        <w:rPr>
          <w:rFonts w:ascii="Times New Roman" w:hAnsi="Times New Roman"/>
          <w:sz w:val="24"/>
        </w:rPr>
        <w:t xml:space="preserve"> worden toegepast: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1 300 mg/ Nm</w:t>
      </w:r>
      <w:r>
        <w:rPr>
          <w:rFonts w:ascii="Times New Roman" w:hAnsi="Times New Roman"/>
          <w:sz w:val="24"/>
          <w:vertAlign w:val="superscript"/>
        </w:rPr>
        <w:t>3</w:t>
      </w:r>
      <w:r>
        <w:rPr>
          <w:rFonts w:ascii="Times New Roman" w:hAnsi="Times New Roman"/>
          <w:sz w:val="24"/>
        </w:rPr>
        <w:t xml:space="preserve"> voor dieselmotoren met een totaal nominaal thermisch ingangsvermogen van maximaal 20 </w:t>
      </w:r>
      <w:proofErr w:type="spellStart"/>
      <w:r>
        <w:rPr>
          <w:rFonts w:ascii="Times New Roman" w:hAnsi="Times New Roman"/>
          <w:sz w:val="24"/>
        </w:rPr>
        <w:t>MWth</w:t>
      </w:r>
      <w:proofErr w:type="spellEnd"/>
      <w:r>
        <w:rPr>
          <w:rFonts w:ascii="Times New Roman" w:hAnsi="Times New Roman"/>
          <w:sz w:val="24"/>
        </w:rPr>
        <w:t xml:space="preserve"> met ≤ 1 200 </w:t>
      </w:r>
      <w:proofErr w:type="spellStart"/>
      <w:r>
        <w:rPr>
          <w:rFonts w:ascii="Times New Roman" w:hAnsi="Times New Roman"/>
          <w:sz w:val="24"/>
        </w:rPr>
        <w:t>omw</w:t>
      </w:r>
      <w:proofErr w:type="spellEnd"/>
      <w:r>
        <w:rPr>
          <w:rFonts w:ascii="Times New Roman" w:hAnsi="Times New Roman"/>
          <w:sz w:val="24"/>
        </w:rPr>
        <w:t>./min.;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1 500 mg/Nm</w:t>
      </w:r>
      <w:r>
        <w:rPr>
          <w:rFonts w:ascii="Times New Roman" w:hAnsi="Times New Roman"/>
          <w:sz w:val="24"/>
          <w:vertAlign w:val="superscript"/>
        </w:rPr>
        <w:t>3</w:t>
      </w:r>
      <w:r>
        <w:rPr>
          <w:rFonts w:ascii="Times New Roman" w:hAnsi="Times New Roman"/>
          <w:sz w:val="24"/>
        </w:rPr>
        <w:t xml:space="preserve"> voor dieselmotoren met een totaal nominaal thermisch ingangsvermogen van meer dan 20 </w:t>
      </w:r>
      <w:proofErr w:type="spellStart"/>
      <w:r>
        <w:rPr>
          <w:rFonts w:ascii="Times New Roman" w:hAnsi="Times New Roman"/>
          <w:sz w:val="24"/>
        </w:rPr>
        <w:t>MWth</w:t>
      </w:r>
      <w:proofErr w:type="spellEnd"/>
      <w:r>
        <w:rPr>
          <w:rFonts w:ascii="Times New Roman" w:hAnsi="Times New Roman"/>
          <w:sz w:val="24"/>
        </w:rPr>
        <w:t xml:space="preserve"> en voor </w:t>
      </w:r>
      <w:proofErr w:type="spellStart"/>
      <w:r>
        <w:rPr>
          <w:rFonts w:ascii="Times New Roman" w:hAnsi="Times New Roman"/>
          <w:sz w:val="24"/>
        </w:rPr>
        <w:t>dual-fuelmotoren</w:t>
      </w:r>
      <w:proofErr w:type="spellEnd"/>
      <w:r>
        <w:rPr>
          <w:rFonts w:ascii="Times New Roman" w:hAnsi="Times New Roman"/>
          <w:sz w:val="24"/>
        </w:rPr>
        <w:t xml:space="preserve"> in vloeibare-brandstofmodus;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c)</w:t>
      </w:r>
      <w:r>
        <w:rPr>
          <w:rFonts w:ascii="Times New Roman" w:hAnsi="Times New Roman"/>
          <w:sz w:val="24"/>
        </w:rPr>
        <w:t xml:space="preserve"> 750 mg/Nm</w:t>
      </w:r>
      <w:r>
        <w:rPr>
          <w:rFonts w:ascii="Times New Roman" w:hAnsi="Times New Roman"/>
          <w:sz w:val="24"/>
          <w:vertAlign w:val="superscript"/>
        </w:rPr>
        <w:t>3</w:t>
      </w:r>
      <w:r>
        <w:rPr>
          <w:rFonts w:ascii="Times New Roman" w:hAnsi="Times New Roman"/>
          <w:sz w:val="24"/>
        </w:rPr>
        <w:t xml:space="preserve"> voor dieselmotoren met &gt; 1 200 </w:t>
      </w:r>
      <w:proofErr w:type="spellStart"/>
      <w:r>
        <w:rPr>
          <w:rFonts w:ascii="Times New Roman" w:hAnsi="Times New Roman"/>
          <w:sz w:val="24"/>
        </w:rPr>
        <w:t>omw</w:t>
      </w:r>
      <w:proofErr w:type="spellEnd"/>
      <w:r>
        <w:rPr>
          <w:rFonts w:ascii="Times New Roman" w:hAnsi="Times New Roman"/>
          <w:sz w:val="24"/>
        </w:rPr>
        <w:t>./min.;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d)</w:t>
      </w:r>
      <w:r>
        <w:rPr>
          <w:rFonts w:ascii="Times New Roman" w:hAnsi="Times New Roman"/>
          <w:sz w:val="24"/>
        </w:rPr>
        <w:t xml:space="preserve"> 380 mg/Nm</w:t>
      </w:r>
      <w:r>
        <w:rPr>
          <w:rFonts w:ascii="Times New Roman" w:hAnsi="Times New Roman"/>
          <w:sz w:val="24"/>
          <w:vertAlign w:val="superscript"/>
        </w:rPr>
        <w:t>3</w:t>
      </w:r>
      <w:r>
        <w:rPr>
          <w:rFonts w:ascii="Times New Roman" w:hAnsi="Times New Roman"/>
          <w:sz w:val="24"/>
        </w:rPr>
        <w:t xml:space="preserve"> voor </w:t>
      </w:r>
      <w:proofErr w:type="spellStart"/>
      <w:r>
        <w:rPr>
          <w:rFonts w:ascii="Times New Roman" w:hAnsi="Times New Roman"/>
          <w:sz w:val="24"/>
        </w:rPr>
        <w:t>dual-fuelmotoren</w:t>
      </w:r>
      <w:proofErr w:type="spellEnd"/>
      <w:r>
        <w:rPr>
          <w:rFonts w:ascii="Times New Roman" w:hAnsi="Times New Roman"/>
          <w:sz w:val="24"/>
        </w:rPr>
        <w:t xml:space="preserve"> in vloeibare-brandstofmodus.”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4. Het onderstaande </w:t>
      </w:r>
      <w:proofErr w:type="spellStart"/>
      <w:r>
        <w:rPr>
          <w:rFonts w:ascii="Times New Roman" w:hAnsi="Times New Roman"/>
          <w:sz w:val="24"/>
        </w:rPr>
        <w:t>subpunt</w:t>
      </w:r>
      <w:proofErr w:type="spellEnd"/>
      <w:r>
        <w:rPr>
          <w:rFonts w:ascii="Times New Roman" w:hAnsi="Times New Roman"/>
          <w:sz w:val="24"/>
        </w:rPr>
        <w:t> 3.9 wordt toegevoegd aan punt 3 van bijlage 5 bij het besluit: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“3.9. De TOC-emissiegrenswaarde voor gasmotoren op aardgas met een ethaaninhoud van meer dan 5 % is 95 mg/m</w:t>
      </w:r>
      <w:r>
        <w:rPr>
          <w:rFonts w:ascii="Times New Roman" w:hAnsi="Times New Roman"/>
          <w:sz w:val="24"/>
          <w:vertAlign w:val="superscript"/>
        </w:rPr>
        <w:t>3</w:t>
      </w:r>
      <w:r>
        <w:rPr>
          <w:rFonts w:ascii="Times New Roman" w:hAnsi="Times New Roman"/>
          <w:sz w:val="24"/>
        </w:rPr>
        <w:t>.”</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61" w:rsidRDefault="00742D61" w:rsidP="000A7E07">
      <w:pPr>
        <w:spacing w:after="0" w:line="240" w:lineRule="auto"/>
      </w:pPr>
      <w:r>
        <w:separator/>
      </w:r>
    </w:p>
  </w:endnote>
  <w:endnote w:type="continuationSeparator" w:id="0">
    <w:p w:rsidR="00742D61" w:rsidRDefault="00742D61"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61" w:rsidRDefault="00742D61" w:rsidP="000A7E07">
      <w:pPr>
        <w:spacing w:after="0" w:line="240" w:lineRule="auto"/>
      </w:pPr>
      <w:r>
        <w:separator/>
      </w:r>
    </w:p>
  </w:footnote>
  <w:footnote w:type="continuationSeparator" w:id="0">
    <w:p w:rsidR="00742D61" w:rsidRDefault="00742D61"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96C2F"/>
    <w:rsid w:val="00563F3E"/>
    <w:rsid w:val="00742D61"/>
    <w:rsid w:val="0093333B"/>
    <w:rsid w:val="00A8487D"/>
    <w:rsid w:val="00C7759E"/>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1981C"/>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12002</Characters>
  <Application>Microsoft Office Word</Application>
  <DocSecurity>0</DocSecurity>
  <Lines>100</Lines>
  <Paragraphs>28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Ke, Tingting</cp:lastModifiedBy>
  <cp:revision>8</cp:revision>
  <dcterms:created xsi:type="dcterms:W3CDTF">2020-09-23T07:03:00Z</dcterms:created>
  <dcterms:modified xsi:type="dcterms:W3CDTF">2020-11-26T07:26:00Z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