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ΓΑΛΛΙΚΗ ΔΗΜΟΚΡΑΤΙΑ</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Υπουργείο Οικολογικής Μετάβασης</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Διάταγμα αριθ.                           της</w:t>
      </w:r>
    </w:p>
    <w:p w14:paraId="273D2CCE" w14:textId="77777777" w:rsidR="00BF56AE" w:rsidRDefault="00BF56AE" w:rsidP="00187BA0">
      <w:pPr>
        <w:pStyle w:val="SNtitre"/>
        <w:spacing w:after="0"/>
      </w:pPr>
      <w:r>
        <w:t>σχετικά με το ελάχιστο ποσοστό επαναχρησιμοποιούμενων συσκευασιών που πρέπει να διατίθενται στην αγορά ετησίως</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Αριθ. αναφοράς: 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Ενδιαφερόμενες ομάδες:</w:t>
      </w:r>
      <w:r>
        <w:t xml:space="preserve"> </w:t>
      </w:r>
      <w:r>
        <w:rPr>
          <w:b w:val="0"/>
          <w:i/>
        </w:rPr>
        <w:t>οι παραγωγοί συσκευασιών, οι παραγωγοί, οι εισαγωγείς, οι διανομείς ή άλλοι έμποροι προϊόντων που χρησιμοποιούν συσκευασίες, οι οικολογικές οργανώσεις που αναφέρονται στο άρθρο L. 541-10, εκείνοι που συμμετέχουν στις δραστηριότητες επαναχρησιμοποίησης και ανάκτησης.</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Σκοπός:</w:t>
      </w:r>
      <w:r>
        <w:t xml:space="preserve"> </w:t>
      </w:r>
      <w:r>
        <w:rPr>
          <w:b w:val="0"/>
          <w:i/>
        </w:rPr>
        <w:t>ελάχιστο ποσοστό επαναχρησιμοποιούμενων συσκευασιών που διατίθενται στην αγορά ετησίως στη Γαλλία σύμφωνα με το άρθρο 67 του νόμου αριθ. 2020-105, της 10ης Φεβρουαρίου 2020, για την καταπολέμηση των αποβλήτων και την κυκλική οικονομία.</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Έναρξη ισχύος: </w:t>
      </w:r>
      <w:r>
        <w:rPr>
          <w:b w:val="0"/>
          <w:i/>
        </w:rPr>
        <w:t>το διάταγμα αρχίζει να ισχύει την 1η Ιανουαρίου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Ανακοίνωση: </w:t>
      </w:r>
      <w:r>
        <w:rPr>
          <w:b w:val="0"/>
          <w:i/>
        </w:rPr>
        <w:t>το διάταγμα ορίζει για τα έτη 2022 έως 2027 το ελάχιστο ποσοστό επαναχρησιμοποιούμενων συσκευασιών που πρέπει να διατίθενται στην αγορά ετησίως στη Γαλλία προκειμένου να επιτευχθούν οι στόχοι επαναχρησιμοποίησης που ορίζονται στο άρθρο L. 541-1 του Περιβαλλοντικού Κώδικα, δηλαδή 5 % το 2023 και 10 % το 2027. Προσδιορίζει τους ενδιαφερόμενους παραγωγούς και προβλέπει τη δυνατότητα για τους εν λόγω παραγωγούς να σχηματίσουν συλλογική δομή ή να βασίζονται στην οικολογική τους οργάνωση για την εκπλήρωση της υποχρέωσης τους για επαναχρησιμοποιούμενη συσκευασία.</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Αναφορές: </w:t>
      </w:r>
      <w:r>
        <w:rPr>
          <w:b w:val="0"/>
          <w:i/>
        </w:rPr>
        <w:t>ο Περιβαλλοντικός Κώδικας, όπως τροποποιείται με το παρόν διάταγμα, μπορεί να ζητηθεί από την ιστοσελίδα Légifrance (</w:t>
      </w:r>
      <w:hyperlink r:id="rId8" w:history="1">
        <w:r>
          <w:rPr>
            <w:rStyle w:val="Hyperlink"/>
            <w:b w:val="0"/>
            <w:i/>
          </w:rPr>
          <w:t>https://www.legifrance.gouv.fr</w:t>
        </w:r>
      </w:hyperlink>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Ο Γάλλος Πρωθυπουργός,</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Μετά την έκθεση του Γάλλου Υπουργού Οικολογικής Μετάβασης,</w:t>
      </w:r>
    </w:p>
    <w:p w14:paraId="0072186B" w14:textId="77777777" w:rsidR="009666CF" w:rsidRDefault="009666CF" w:rsidP="00A57CCE">
      <w:pPr>
        <w:pStyle w:val="SNVisa"/>
      </w:pPr>
    </w:p>
    <w:p w14:paraId="341F7B8A" w14:textId="77777777" w:rsidR="009666CF" w:rsidRDefault="009666CF" w:rsidP="00A57CCE">
      <w:pPr>
        <w:pStyle w:val="SNVisa"/>
      </w:pPr>
      <w:r>
        <w:t xml:space="preserve">Έχοντας υπόψη την οδηγία 2008/98/ΕΚ του Ευρωπαϊκού Κοινοβουλίου και του Συμβουλίου, της 19ης Νοεμβρίου 2008, για τα απόβλητα και την κατάργηση συγκεκριμένων οδηγιών, και ιδίως το άρθρο 9· </w:t>
      </w:r>
    </w:p>
    <w:p w14:paraId="36D33F97" w14:textId="77777777" w:rsidR="009666CF" w:rsidRDefault="009666CF" w:rsidP="00A57CCE">
      <w:pPr>
        <w:pStyle w:val="SNVisa"/>
      </w:pPr>
    </w:p>
    <w:p w14:paraId="613B5CC2" w14:textId="77777777" w:rsidR="00BF56AE" w:rsidRDefault="00BF56AE" w:rsidP="00A57CCE">
      <w:pPr>
        <w:pStyle w:val="SNVisa"/>
      </w:pPr>
      <w:r>
        <w:t>Έχοντας υπόψη το νόμο αριθ. 2020-105 σχετικά με την καταπολέμηση των αποβλήτων και την κυκλική οικονομία, και ιδίως τα άρθρα 9, 67 και 130·</w:t>
      </w:r>
    </w:p>
    <w:p w14:paraId="3D6258FE" w14:textId="77777777" w:rsidR="00AB34D5" w:rsidRDefault="00AB34D5" w:rsidP="00A57CCE">
      <w:pPr>
        <w:pStyle w:val="SNVisa"/>
      </w:pPr>
    </w:p>
    <w:p w14:paraId="00FCCBF0" w14:textId="7EAE0D3C" w:rsidR="00BF56AE" w:rsidRDefault="00BF56AE" w:rsidP="00A57CCE">
      <w:pPr>
        <w:pStyle w:val="SNVisa"/>
      </w:pPr>
      <w:r>
        <w:t>Έχοντας υπόψη τον Περιβαλλοντικό Κώδικα , και ιδίως τα άρθρα L. 541-1, L. 541-9-6, L. 541-10, L. 541-10-1, L. 541-10-3, L. 541-10-8, L. 541-10-18, L. 541-50, R. 541-128 και R. 543-43·</w:t>
      </w:r>
    </w:p>
    <w:p w14:paraId="35E1F319" w14:textId="77777777" w:rsidR="00A57CCE" w:rsidRDefault="00A57CCE" w:rsidP="00A57CCE">
      <w:pPr>
        <w:pStyle w:val="SNVisa"/>
      </w:pPr>
    </w:p>
    <w:p w14:paraId="6B44A064" w14:textId="3C6DBDC6" w:rsidR="00A57CCE" w:rsidRDefault="00A57CCE" w:rsidP="00A57CCE">
      <w:pPr>
        <w:pStyle w:val="SNVisa"/>
      </w:pPr>
      <w:r>
        <w:lastRenderedPageBreak/>
        <w:t>Έχοντας υπόψη τον Γαλλικού Κώδικα Αγροτικής και Θαλάσσιας Αλιείας, και ιδίως τα άρθρα L. 641-1 έως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Έχοντας υπόψη τον αριθμό κοινοποίησης </w:t>
      </w:r>
      <w:r>
        <w:rPr>
          <w:highlight w:val="yellow"/>
        </w:rPr>
        <w:t>xxx</w:t>
      </w:r>
      <w:r w:rsidRPr="00144E4E">
        <w:t xml:space="preserve"> </w:t>
      </w:r>
      <w:r>
        <w:t xml:space="preserve">που απευθύνεται στην Ευρωπαϊκή Επιτροπή στις </w:t>
      </w:r>
      <w:r>
        <w:rPr>
          <w:highlight w:val="yellow"/>
        </w:rPr>
        <w:t>xxx</w:t>
      </w:r>
      <w:r>
        <w:t>·</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Έχοντας υπόψη τις παρατηρήσεις που διατυπώθηκαν κατά τη δημόσια διαβούλευση μεταξύ </w:t>
      </w:r>
      <w:r>
        <w:rPr>
          <w:highlight w:val="yellow"/>
        </w:rPr>
        <w:t>xxx</w:t>
      </w:r>
      <w:r>
        <w:t xml:space="preserve"> και </w:t>
      </w:r>
      <w:r>
        <w:rPr>
          <w:highlight w:val="yellow"/>
        </w:rPr>
        <w:t>xxx</w:t>
      </w:r>
      <w:r>
        <w:t>, σύμφωνα με το άρθρο L. 123-19-1 του Περιβαλλοντικού Κώδικα·</w:t>
      </w:r>
    </w:p>
    <w:p w14:paraId="5967BEBE" w14:textId="2BFA0F09" w:rsidR="00A57CCE" w:rsidRDefault="00A57CCE" w:rsidP="00921C73">
      <w:pPr>
        <w:pStyle w:val="SNConsultation"/>
      </w:pPr>
    </w:p>
    <w:p w14:paraId="331F9F37" w14:textId="0314E57F" w:rsidR="00A57CCE" w:rsidRDefault="00A57CCE" w:rsidP="00921C73">
      <w:pPr>
        <w:pStyle w:val="SNConsultation"/>
      </w:pPr>
      <w:r>
        <w:t>Κατόπιν γνωμοδότησης του Συμβουλίου της Επικρατείας (τμήμα δημοσίων έργων),</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rFonts w:ascii="Times New Roman" w:eastAsia="Lucida Sans Unicode" w:hAnsi="Times New Roman" w:cs="Times New Roman"/>
          <w:sz w:val="24"/>
          <w:szCs w:val="24"/>
        </w:rPr>
      </w:pPr>
      <w:r>
        <w:rPr>
          <w:rFonts w:ascii="Times New Roman" w:hAnsi="Times New Roman"/>
          <w:sz w:val="24"/>
        </w:rPr>
        <w:t>Διατάσσει:</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rFonts w:ascii="Times New Roman" w:eastAsia="Times New Roman" w:hAnsi="Times New Roman" w:cs="Times New Roman"/>
          <w:b/>
          <w:sz w:val="24"/>
          <w:szCs w:val="24"/>
          <w:u w:val="single"/>
        </w:rPr>
      </w:pPr>
      <w:r>
        <w:rPr>
          <w:rFonts w:ascii="Times New Roman" w:hAnsi="Times New Roman"/>
          <w:b/>
          <w:sz w:val="24"/>
          <w:u w:val="single"/>
        </w:rPr>
        <w:t>Άρθρο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Το βιβλίο V, τίτλος IV, κεφάλαιο I, τμήμα 10 του Περιβαλλοντικού Κώδικα συμπληρώνεται από ένα υποτμήμα 7 το οποίο έχει ως εξής:</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rFonts w:ascii="Times New Roman" w:hAnsi="Times New Roman" w:cs="Times New Roman"/>
          <w:sz w:val="24"/>
          <w:szCs w:val="24"/>
        </w:rPr>
      </w:pPr>
      <w:r>
        <w:rPr>
          <w:rFonts w:ascii="Times New Roman" w:hAnsi="Times New Roman"/>
          <w:sz w:val="24"/>
        </w:rPr>
        <w:t>«Υποτμήμα 7 – Επαναχρησιμοποίηση των συσκευασιών</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rFonts w:ascii="Times New Roman" w:hAnsi="Times New Roman" w:cs="Times New Roman"/>
          <w:sz w:val="24"/>
          <w:szCs w:val="24"/>
        </w:rPr>
      </w:pPr>
      <w:r>
        <w:rPr>
          <w:rFonts w:ascii="Times New Roman" w:hAnsi="Times New Roman"/>
          <w:sz w:val="24"/>
        </w:rPr>
        <w:t>«Άρθρο R. 541-370. Για τους σκοπούς του άρθρου L. 541-1, παράγραφος III, και κατά την έννοια του παρόντος υποτμήματος, ισχύουν οι ακόλουθοι ορισμοί:</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«1. «Συσκευασία», εκείνη που πληροί τις προϋποθέσεις που ορίζονται στο άρθρο R. 543-43 του Περιβαλλοντικού Κώδικα και αναφέρεται στο άρθρο L. 541-10-1 παράγραφοι 1 και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«2. «Παραγωγός»,</w:t>
      </w:r>
      <w:r>
        <w:t xml:space="preserve"> </w:t>
      </w:r>
      <w:r>
        <w:rPr>
          <w:rFonts w:ascii="Times New Roman" w:hAnsi="Times New Roman"/>
          <w:sz w:val="24"/>
        </w:rPr>
        <w:t>κάθε πρόσωπο το οποίο, με την επαγγελματική του ιδιότητα, συσκευάζει ή έχει συσκευάσει τα προϊόντα του με σκοπό τη διάθεσή τους στην αγορά, κάθε εισαγωγέας του οποίου τα προϊόντα διατίθενται στην αγορά σε συσκευασία ή, εάν ο παραγωγός ή ο εισαγωγέας δεν μπορεί να ταυτοποιηθεί, το πρόσωπο που είναι υπεύθυνο για την πρώτη διάθεση των εν λόγω προϊόντων στην αγορά;</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rFonts w:ascii="Times New Roman" w:hAnsi="Times New Roman" w:cs="Times New Roman"/>
          <w:sz w:val="24"/>
          <w:szCs w:val="24"/>
        </w:rPr>
      </w:pPr>
      <w:r>
        <w:rPr>
          <w:rFonts w:ascii="Times New Roman" w:hAnsi="Times New Roman"/>
          <w:sz w:val="24"/>
        </w:rPr>
        <w:t>«3. «Επαναχρησιμοποιούμενες συσκευασίες», συσκευασίες που αποτελούν αντικείμενο τουλάχιστον μιας δεύτερης χρήσης για χρήση πανομοιότυπη με εκείνη για την οποία σχεδιάστηκαν και των οποίων η επαναχρησιμοποίηση ή η ανάκτηση οργανώνεται από τον παραγωγό ή για λογαριασμό του. Ένα πακέτο που αποτελεί αντικείμενο τουλάχιστον μιας δεύτερης χρήσης με πλήρωση στο σημείο πώλησης ως μέρος μαζικής πώλησης, ή στο σπίτι στην περίπτωση συσκευής επαναπλήρωσης</w:t>
      </w:r>
      <w:r>
        <w:t xml:space="preserve"> </w:t>
      </w:r>
      <w:r>
        <w:rPr>
          <w:rFonts w:ascii="Times New Roman" w:hAnsi="Times New Roman"/>
          <w:sz w:val="24"/>
        </w:rPr>
        <w:t>που οργανώνεται από τον παραγωγό, θεωρείται ότι επαναχρησιμοποιείται.</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rFonts w:ascii="Times New Roman" w:hAnsi="Times New Roman" w:cs="Times New Roman"/>
          <w:sz w:val="24"/>
          <w:szCs w:val="24"/>
        </w:rPr>
      </w:pPr>
      <w:r>
        <w:rPr>
          <w:rFonts w:ascii="Times New Roman" w:hAnsi="Times New Roman"/>
          <w:sz w:val="24"/>
        </w:rPr>
        <w:t>«Άρθρο R. 541-371. I. – Το ελάχιστο ποσοστό των επαναχρησιμοποιούμενων συσκευασιών που πρέπει να διατίθενται ετησίως στην αγορά, σύμφωνα με το άρθρο L. 541-1, παράγραφος III, έχει ως εξής:</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rFonts w:ascii="Times New Roman" w:hAnsi="Times New Roman" w:cs="Times New Roman"/>
          <w:sz w:val="24"/>
          <w:szCs w:val="24"/>
        </w:rPr>
      </w:pPr>
      <w:r>
        <w:rPr>
          <w:rFonts w:ascii="Times New Roman" w:hAnsi="Times New Roman"/>
          <w:sz w:val="24"/>
        </w:rPr>
        <w:t>«- 1,5 % το 2022·</w:t>
      </w:r>
    </w:p>
    <w:p w14:paraId="485B39D8" w14:textId="639C2DB6"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«- 5 % το 2023·</w:t>
      </w:r>
    </w:p>
    <w:p w14:paraId="6EC6FF23" w14:textId="078D8D59"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«- 6 % το 2024·</w:t>
      </w:r>
    </w:p>
    <w:p w14:paraId="6336E297" w14:textId="5C7439BD"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«- 7 % το 2025·</w:t>
      </w:r>
    </w:p>
    <w:p w14:paraId="4B9FA4E1" w14:textId="71D80084"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«- 8 % το 2026·</w:t>
      </w:r>
    </w:p>
    <w:p w14:paraId="46852667" w14:textId="720F2ADD"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lastRenderedPageBreak/>
        <w:t>«- 10 % το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«II. — Από τον σκοπό αυτό και τις διατάξεις του παρόντος υποτμήματος δεν θίγονται τα εξής:</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«1. Συσκευασία προϊόντων για τα οποία εθνική ή κοινοτική νομοθετική ή κανονιστική διάταξη απαγορεύει την επαναχρησιμοποίηση ή επαναχρησιμοποίηση τέτοιων συσκευασιών λόγω απαιτήσεων υγείας ή ασφάλειας</w:t>
      </w:r>
      <w:r>
        <w:t xml:space="preserve"> </w:t>
      </w:r>
      <w:r>
        <w:rPr>
          <w:rFonts w:ascii="Times New Roman" w:hAnsi="Times New Roman"/>
          <w:sz w:val="24"/>
        </w:rPr>
        <w:t xml:space="preserve"> του καταναλωτή·</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«2. Έως την 1η Ιανουαρίου 2024, η συσκευασία των προϊόντων για τα οποία οι προδιαγραφές για τα σήματα αναγνώρισης ποιότητας και καταγωγής που προβλέπονται στα άρθρα L. 641-1 έως L. 641-13 του Κώδικα Αγροτικής και Θαλάσσιας Αλιείας απαγορεύουν την επαναχρησιμοποίηση ή την ανάκτηση της συσκευασίας τους.</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rFonts w:ascii="Times New Roman" w:hAnsi="Times New Roman" w:cs="Times New Roman"/>
          <w:sz w:val="24"/>
          <w:szCs w:val="24"/>
        </w:rPr>
      </w:pPr>
      <w:r>
        <w:rPr>
          <w:rFonts w:ascii="Times New Roman" w:hAnsi="Times New Roman"/>
          <w:sz w:val="24"/>
        </w:rPr>
        <w:t xml:space="preserve">«III. — Η μονάδα μέτρησης των επαναχρησιμοποιούμενων συσκευασιών πρέπει να αντιστοιχεί σε κάθε πρωτογενή, δευτερογενή ή τριτογενή συσκευασία. </w:t>
      </w:r>
    </w:p>
    <w:p w14:paraId="3F04B8D7" w14:textId="77777777" w:rsidR="003F3509" w:rsidRPr="00AA30CE" w:rsidRDefault="00205EE6" w:rsidP="00413B02">
      <w:pPr>
        <w:spacing w:after="0" w:line="240" w:lineRule="auto"/>
        <w:jc w:val="both"/>
        <w:rPr>
          <w:rFonts w:ascii="Times New Roman" w:hAnsi="Times New Roman" w:cs="Times New Roman"/>
          <w:sz w:val="24"/>
          <w:szCs w:val="24"/>
        </w:rPr>
      </w:pPr>
      <w:r>
        <w:rPr>
          <w:rFonts w:ascii="Times New Roman" w:hAnsi="Times New Roman"/>
          <w:sz w:val="24"/>
        </w:rPr>
        <w:t xml:space="preserve"> </w:t>
      </w:r>
    </w:p>
    <w:p w14:paraId="3333D50A" w14:textId="2FFAEC64" w:rsidR="00F43519" w:rsidRPr="00AA30CE" w:rsidRDefault="002253EB" w:rsidP="003F3509">
      <w:pPr>
        <w:spacing w:after="0" w:line="240" w:lineRule="auto"/>
        <w:jc w:val="both"/>
        <w:rPr>
          <w:rFonts w:ascii="Times New Roman" w:hAnsi="Times New Roman" w:cs="Times New Roman"/>
          <w:sz w:val="24"/>
          <w:szCs w:val="24"/>
        </w:rPr>
      </w:pPr>
      <w:r>
        <w:rPr>
          <w:rFonts w:ascii="Times New Roman" w:hAnsi="Times New Roman"/>
          <w:sz w:val="24"/>
        </w:rPr>
        <w:t>«Ωστόσο, ο παραγωγός μπορεί να υιοθετήσει άλλη μονάδα μέτρησης για επαναχρησιμοποιούμενες συσκευασίες που αντιστοιχούν σε ισοδύναμη χωρητικότητα, εφόσον μπορούν να δικαιολογήσουν ότι αυτή η ισοδύναμη μονάδα μέτρησης είναι καταλληλότερη για συσκευασμένα προϊόντα. Στην περίπτωση αυτή, η μονάδα μέτρησης αντιστοιχεί σε χωρητικότητα ίση με 0,5 λίτρα για τα υγρά και 0,5 χιλιόγραμμα διαφορετικά.</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rFonts w:ascii="Times New Roman" w:hAnsi="Times New Roman" w:cs="Times New Roman"/>
          <w:sz w:val="24"/>
          <w:szCs w:val="24"/>
        </w:rPr>
      </w:pPr>
      <w:r>
        <w:rPr>
          <w:rFonts w:ascii="Times New Roman" w:hAnsi="Times New Roman"/>
          <w:sz w:val="24"/>
        </w:rPr>
        <w:t>«IV. — Το παρατηρητήριο επαναχρησιμοποίησης και ανάκτησης εκπονεί, έως την 1η Δεκεμβρίου 2022, μελέτη για τον χαρακτηρισμό των υφιστάμενων περιθωρίων προόδου των διαφόρων ροών συσκευασίας και κατηγοριών προϊόντων. Οι στόχοι που έχουν τεθεί στο σημείο Ι μπορούν να αναθεωρηθούν αναλόγως.</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«Άρθρο R. 541-372. -Ι. - Για τους σκοπούς του άρθρου L. 541-1, παράγραφος III, τα πρόσωπα που υποχρεούνται να τηρούν τις ελάχιστες αναλογίες των επαναχρησιμοποιούμενων συσκευασιών που προβλέπονται στο άρθρο R. 541-371 είναι οι παραγωγοί που είναι υπεύθυνοι για τη διάθεση στην αγορά τουλάχιστον 10.000 τεμαχίων συσκευασμένων προϊόντων ετησίως και δηλώνουν ετήσιο κύκλο εργασιών που υπερβαίνει τις ακόλουθες τιμές:</w:t>
      </w:r>
    </w:p>
    <w:p w14:paraId="2E28EEE8" w14:textId="781B951D" w:rsidR="00D05C46"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«- 50 εκατ. ευρώ έως τις 31 Δεκεμβρίου 2024·</w:t>
      </w:r>
    </w:p>
    <w:p w14:paraId="0FEDC01B" w14:textId="0BEE314A" w:rsidR="00496410"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«- 20 εκατ. EUR από την 1η Ιανουαρίου 2025 έως τις 31 Δεκεμβρίου 2025·</w:t>
      </w:r>
    </w:p>
    <w:p w14:paraId="0FD6637E" w14:textId="4BE59A0E" w:rsidR="00D05C46" w:rsidRPr="00AA30CE" w:rsidRDefault="00496410" w:rsidP="00187BA0">
      <w:pPr>
        <w:spacing w:after="0" w:line="240" w:lineRule="auto"/>
        <w:jc w:val="both"/>
        <w:rPr>
          <w:rFonts w:ascii="Times New Roman" w:hAnsi="Times New Roman" w:cs="Times New Roman"/>
          <w:sz w:val="24"/>
          <w:szCs w:val="24"/>
        </w:rPr>
      </w:pPr>
      <w:r>
        <w:rPr>
          <w:rFonts w:ascii="Times New Roman" w:hAnsi="Times New Roman"/>
          <w:sz w:val="24"/>
        </w:rPr>
        <w:t>«Από την 1η Ιανουαρίου 2026, το κριτήριο του ετήσιου κύκλου εργασιών εφαρμόζεται χωρίς κατώτατο όριο.</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xml:space="preserve">«II. — Κάθε παραγωγός που αναφέρεται στο σημείο Ι του παρόντος άρθρου μπορεί να επιλέξει να συμμετάσχει μαζί με άλλους ενδιαφερόμενους παραγωγούς στη δημιουργία συλλογικής δομής για την ομαδοποίηση και την εφαρμογή των ενεργειών που είναι αναγκαίες για τη διάθεση στην αγορά επαναχρησιμοποιούμενων συσκευασιών.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rFonts w:ascii="Times New Roman" w:hAnsi="Times New Roman" w:cs="Times New Roman"/>
          <w:sz w:val="24"/>
          <w:szCs w:val="24"/>
        </w:rPr>
      </w:pPr>
      <w:r>
        <w:rPr>
          <w:rFonts w:ascii="Times New Roman" w:hAnsi="Times New Roman"/>
          <w:sz w:val="24"/>
        </w:rPr>
        <w:t xml:space="preserve">«Εν προκειμένω, οι παραγωγοί που είναι μέλη της συλλογικής δομής είναι από κοινού και εις ολόκληρον υπεύθυνοι για την τήρηση του ετήσιου στόχου που αντιστοιχεί στο άθροισμα των ελάχιστων ποσοστών επαναχρησιμοποιούμενων συσκευασιών που πρέπει να διατίθενται στην αγορά από όλους τους παραγωγούς μέλη.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xml:space="preserve">«III. — Οι οικολογικές οργανώσεις που έχουν εγκριθεί για τις συσκευασίες που αναφέρονται στο άρθρο L. 541-10-1, παράγραφοι 1 και 2, του Περιβαλλοντικού Κώδικα μπορούν να προτείνουν στους παραγωγούς στους οποίους αφορά η υποχρέωση να διαθέτουν στην αγορά </w:t>
      </w:r>
      <w:r>
        <w:rPr>
          <w:rFonts w:ascii="Times New Roman" w:hAnsi="Times New Roman"/>
          <w:sz w:val="24"/>
        </w:rPr>
        <w:lastRenderedPageBreak/>
        <w:t>ένα ελάχιστο ποσοστό επαναχρησιμοποιούμενων συσκευασιών, συμπεριλαμβανομένων των συσκευασιών που δεν καλύπτονται από την έγκρισή τους, για την άσκηση του ρόλου της συλλογικής δομής που αναφέρεται στο ΙΙ. Οι οικολογικές οργανώσεις παρεμβαίνουν υπό τους όρους που προβλέπονται στο δεύτερο εδάφιο του ΙΙ.</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rFonts w:ascii="Times New Roman" w:hAnsi="Times New Roman" w:cs="Times New Roman"/>
          <w:sz w:val="24"/>
          <w:szCs w:val="24"/>
        </w:rPr>
      </w:pPr>
      <w:r>
        <w:rPr>
          <w:rFonts w:ascii="Times New Roman" w:hAnsi="Times New Roman"/>
          <w:sz w:val="24"/>
        </w:rPr>
        <w:t>«Άρθρο R. 541-373. Οι προδιαγραφές των οικολογικών οργανώσεων που έχουν συσταθεί από τους παραγωγούς των προϊόντων που αναφέρονται στο άρθρο L. 541-10-1, παράγραφοι 1 και 2, και προβλέπονται στο άρθρο L. 541-10, II, καθορίζουν στόχο επαναχρησιμοποίησης που αντιστοιχεί τουλάχιστον σε εκείνους που αναφέρονται στο άρθρο R. 541-371,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rFonts w:ascii="Times New Roman" w:hAnsi="Times New Roman" w:cs="Times New Roman"/>
          <w:sz w:val="24"/>
          <w:szCs w:val="24"/>
        </w:rPr>
      </w:pPr>
      <w:r>
        <w:rPr>
          <w:rFonts w:ascii="Times New Roman" w:hAnsi="Times New Roman"/>
          <w:sz w:val="24"/>
        </w:rPr>
        <w:t>«Για την επίτευξη των προαναφερθέντων στόχων επαναχρησιμοποίησης, οι εγκεκριμένες οικολογικές οργανώσεις εφαρμόζουν τις διαφοροποιήσεις που προβλέπονται στο άρθρο L. 541-10-3 και συμβάλλουν στην ανάπτυξη λύσεων για την επαναχρησιμοποίηση και την ανάκτηση των συσκευασιών, βασιζόμενοι ιδίως στα κονδύλια που προβλέπονται στο άρθρο L. 541-10-18, V. Οι συνεισφορές αυτές λαμβάνουν τη μορφή χρηματοδοτικής στήριξης που χορηγείται βάσει διαδικασιών που είναι ανοικτές σε κάθε επιλέξιμο πρόσωπο που υποβάλλει αίτηση ή βάσει ανταγωνιστικών διαδικασιών επιλογής.</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rFonts w:ascii="Times New Roman" w:hAnsi="Times New Roman" w:cs="Times New Roman"/>
          <w:sz w:val="24"/>
          <w:szCs w:val="24"/>
        </w:rPr>
      </w:pPr>
      <w:r>
        <w:rPr>
          <w:rFonts w:ascii="Times New Roman" w:hAnsi="Times New Roman"/>
          <w:sz w:val="24"/>
        </w:rPr>
        <w:t>«Οι οικολογικές οργανώσεις μπορούν επίσης να συμβάλλουν υπό τους ίδιους όρους στην ανάπτυξη λύσεων επαναχρησιμοποίησης και ανάκτησης για άλλες συσκευασίες που δεν καλύπτονται από την έγκρισή τους.</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rFonts w:ascii="Times New Roman" w:hAnsi="Times New Roman" w:cs="Times New Roman"/>
          <w:sz w:val="24"/>
          <w:szCs w:val="24"/>
        </w:rPr>
      </w:pPr>
      <w:r>
        <w:rPr>
          <w:rFonts w:ascii="Times New Roman" w:hAnsi="Times New Roman"/>
          <w:sz w:val="24"/>
        </w:rPr>
        <w:t>«Άρθρο R. 541-374. — I. – Κάθε παραγωγός που αναφέρεται στο άρθρο R. 541-372(I) ή, κατά περίπτωση, η συλλογική δομή του που αναφέρεται στο άρθρο R. 541-372(II), κοινοποιεί ετησίως το ποσοστό των επαναχρησιμοποιούμενων συσκευασιών που διατίθενται στην αγορά στο παρατηρητήριο επαναχρησιμοποίησης και ανάκτησης.</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rFonts w:ascii="Times New Roman" w:hAnsi="Times New Roman" w:cs="Times New Roman"/>
          <w:sz w:val="24"/>
          <w:szCs w:val="24"/>
        </w:rPr>
      </w:pPr>
      <w:r>
        <w:rPr>
          <w:rFonts w:ascii="Times New Roman" w:hAnsi="Times New Roman"/>
          <w:sz w:val="24"/>
        </w:rPr>
        <w:t xml:space="preserve">«Κάθε παραγωγός που αναφέρεται στο άρθρο R. 541-372(I), κοινοποιεί επίσης τις πληροφορίες αυτές στην οικολογική οργάνωση στην οποία συμμετέχει ως μέλος για τη συσκευασία αυτή, στο πλαίσιο της διευρυμένης ευθύνης του που προβλέπεται στο άρθρο L. 541-10 του Περιβαλλοντικού Κώδικα. Η οικολογική οργάνωση αξιολογεί τη συμμόρφωση των πληροφοριών αυτών στο πλαίσιο του προγράμματος αυτοελέγχου που προβλέπεται στο άρθρο R. 541-128 του Περιβαλλοντικού Κώδικα. </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rFonts w:ascii="Times New Roman" w:hAnsi="Times New Roman" w:cs="Times New Roman"/>
          <w:sz w:val="24"/>
          <w:szCs w:val="24"/>
        </w:rPr>
      </w:pPr>
      <w:r>
        <w:rPr>
          <w:rFonts w:ascii="Times New Roman" w:hAnsi="Times New Roman"/>
          <w:sz w:val="24"/>
        </w:rPr>
        <w:t xml:space="preserve">«II. — Κάθε οικολογική οργάνωση που εγκρίνεται για συσκευασία κοινοποιεί ετησίως στη διοικητική αρχή που αναφέρεται στο άρθρο L. 541-10-13 την ποσότητα των συσκευασιών που επαναχρησιμοποιούν οι παραγωγοί-μέλη της και την ποσότητα των επαναχρησιμοποιούμενων συσκευασιών που αποτέλεσαν αντικείμενο των μέτρων που προβλέπονται στο άρθρο R. 341-373, κάνοντας διάκριση μεταξύ εκείνων που καλύπτονται από την έγκρισή της και εκείνων που δεν καλύπτονται από αυτήν.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rFonts w:ascii="Times New Roman" w:hAnsi="Times New Roman" w:cs="Times New Roman"/>
          <w:sz w:val="24"/>
          <w:szCs w:val="24"/>
        </w:rPr>
      </w:pPr>
      <w:r>
        <w:rPr>
          <w:rFonts w:ascii="Times New Roman" w:hAnsi="Times New Roman"/>
          <w:sz w:val="24"/>
        </w:rPr>
        <w:t>«Η αρχή αυτή κοινοποιεί όλες αυτές τις πληροφορίες στο παρατηρητήριο επαναχρησιμοποίησης και ανάκτησης.»</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rFonts w:ascii="Times New Roman" w:hAnsi="Times New Roman" w:cs="Times New Roman"/>
          <w:b/>
          <w:sz w:val="24"/>
          <w:szCs w:val="24"/>
          <w:u w:val="single"/>
        </w:rPr>
      </w:pPr>
      <w:r>
        <w:rPr>
          <w:rFonts w:ascii="Times New Roman" w:hAnsi="Times New Roman"/>
          <w:b/>
          <w:sz w:val="24"/>
          <w:u w:val="single"/>
        </w:rPr>
        <w:t>Άρθρο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I. – Οι διατάξεις του παρόντος διατάγματος αρχίζουν να ισχύουν από 1η Ιανουαρίου 2022, με την επιφύλαξη των κατωτέρω διατάξεων του ΙΙ.</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lastRenderedPageBreak/>
        <w:t>II. — Οι οικολογικές οργανώσεις που έχουν εγκριθεί για τη συσκευασία και οι οποίοι αναφέρονται στο άρθρο 130, τέταρτο εδάφιο, πρώτη πρόταση, του προαναφερθέντος νόμου της 10ης Φεβρουαρίου 2020 πρέπει να εφαρμόζουν τις διατάξεις των άρθρων R. 341-372 έως R. 341-374 που τους αφορούν από την ανανέωση της εγκρίσεώς τους και το αργότερο από την 1η Ιανουαρίου 2023. Ωστόσο, μετά από αίτηση των παραγωγών που αναφέρονται στο άρθρο R. 341-372 (I), οι εν λόγω οικολογικές οργανώσεις μπορούν να αποφασίσουν να εφαρμόσουν τις διατάξεις αυτές πριν από τη λήξη της έγκρισής τους.</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rFonts w:ascii="Times New Roman" w:hAnsi="Times New Roman" w:cs="Times New Roman"/>
          <w:b/>
          <w:sz w:val="24"/>
          <w:szCs w:val="24"/>
          <w:u w:val="single"/>
        </w:rPr>
      </w:pPr>
      <w:r>
        <w:rPr>
          <w:rFonts w:ascii="Times New Roman" w:hAnsi="Times New Roman"/>
          <w:b/>
          <w:sz w:val="24"/>
          <w:u w:val="single"/>
        </w:rPr>
        <w:t>Άρθρο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Ο Γάλλος Υπουργός Οικολογικής Μετάβασης είναι υπεύθυνος για την εφαρμογή του παρόντος διατάγματος, το οποίο δημοσιεύεται στην </w:t>
      </w:r>
      <w:r>
        <w:rPr>
          <w:i/>
        </w:rPr>
        <w:t>Επίσημη Εφημερίδα</w:t>
      </w:r>
      <w:r>
        <w:t xml:space="preserve"> της Γαλλικής Δημοκρατίας.</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Ημερομηνία: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144E4E">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144E4E">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144E4E">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4E4E"/>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1638</Words>
  <Characters>9339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4</cp:revision>
  <cp:lastPrinted>2021-07-27T08:40:00Z</cp:lastPrinted>
  <dcterms:created xsi:type="dcterms:W3CDTF">2021-07-27T11:56:00Z</dcterms:created>
  <dcterms:modified xsi:type="dcterms:W3CDTF">2021-08-04T09:15:00Z</dcterms:modified>
</cp:coreProperties>
</file>