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FRANCUSKA REPUBLIKA</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Ministarstvo ekološke tranzicije</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Uredba br.                           od</w:t>
      </w:r>
    </w:p>
    <w:p w14:paraId="273D2CCE" w14:textId="77777777" w:rsidR="00BF56AE" w:rsidRDefault="00BF56AE" w:rsidP="00187BA0">
      <w:pPr>
        <w:pStyle w:val="SNtitre"/>
        <w:spacing w:after="0"/>
      </w:pPr>
      <w:r>
        <w:t xml:space="preserve">o minimalnom udjelu ponovno upotrijebljene ambalaže koja se godišnje stavlja na tržište</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Oznaka NOR:</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 xml:space="preserve">Zainteresirane strane:</w:t>
      </w:r>
      <w:r>
        <w:t xml:space="preserve"> </w:t>
      </w:r>
      <w:r>
        <w:rPr>
          <w:b w:val="0"/>
          <w:i/>
        </w:rPr>
        <w:t xml:space="preserve">proizvođači ambalaže, proizvođači, uvoznici, distributeri ili drugi trgovci proizvodima koji se koriste ambalažom, ekoorganizacije iz članka L. 541-10., dionici u djelatnostima ponovne uporabe i oporabe.</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Predmet:</w:t>
      </w:r>
      <w:r>
        <w:t xml:space="preserve"> </w:t>
      </w:r>
      <w:r>
        <w:rPr>
          <w:b w:val="0"/>
          <w:i/>
        </w:rPr>
        <w:t xml:space="preserve">minimalni udio ponovno upotrijebljene ambalaže koja se godišnje stavlja na tržište u Francuskoj u skladu s člankom 67. Zakona br. 2020-105 od 10. veljače 2020. o borbi protiv otpada i kružnom gospodarstvu.</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Stupanje na snagu: </w:t>
      </w:r>
      <w:r>
        <w:rPr>
          <w:i/>
          <w:b w:val="0"/>
        </w:rPr>
        <w:t xml:space="preserve">Uredba stupa na snagu 1. siječnja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Sažetak: </w:t>
      </w:r>
      <w:r>
        <w:rPr>
          <w:i/>
          <w:b w:val="0"/>
        </w:rPr>
        <w:t xml:space="preserve">Uredbom se za razdoblje od 2022. do 2027. utvrđuje minimalni udio ponovno upotrijebljene ambalaže koja se godišnje stavlja na tržište u Francuskoj kako bi se postigli ciljevi ponovne uporabe utvrđeni u članku L. 541-1. Zakonika o okolišu, tj. 5 % 2023. i 10 % 2027. godine.</w:t>
      </w:r>
      <w:r>
        <w:rPr>
          <w:i/>
          <w:b w:val="0"/>
        </w:rPr>
        <w:t xml:space="preserve"> </w:t>
      </w:r>
      <w:r>
        <w:rPr>
          <w:i/>
          <w:b w:val="0"/>
        </w:rPr>
        <w:t xml:space="preserve">U njoj se navode predmetni proizvođači i predviđa mogućnost da ti proizvođači formiraju zajedničku strukturu ili da se oslone na svoju ekoorganizaciju kako bi ispunili obvezu ponovne uporabe ambalaže.</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Upućivanja: </w:t>
      </w:r>
      <w:r>
        <w:rPr>
          <w:i/>
          <w:b w:val="0"/>
        </w:rPr>
        <w:t xml:space="preserve">Zakon o okolišu, izmijenjen i dopunjen ovom uredbom, dostupan je na internetskoj stranici Légifrance (</w:t>
      </w:r>
      <w:hyperlink r:id="rId8" w:history="1">
        <w:r>
          <w:rPr>
            <w:rStyle w:val="Hyperlink"/>
            <w:b w:val="0"/>
            <w:i/>
          </w:rPr>
          <w:t xml:space="preserve">https://www.legifrance.gouv.fr</w:t>
        </w:r>
      </w:hyperlink>
      <w:r>
        <w:rPr>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Francuski premijer,</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Nakon izvješća francuskog ministra ekološke tranzicije,</w:t>
      </w:r>
    </w:p>
    <w:p w14:paraId="0072186B" w14:textId="77777777" w:rsidR="009666CF" w:rsidRDefault="009666CF" w:rsidP="00A57CCE">
      <w:pPr>
        <w:pStyle w:val="SNVisa"/>
      </w:pPr>
    </w:p>
    <w:p w14:paraId="341F7B8A" w14:textId="77777777" w:rsidR="009666CF" w:rsidRDefault="009666CF" w:rsidP="00A57CCE">
      <w:pPr>
        <w:pStyle w:val="SNVisa"/>
      </w:pPr>
      <w:r>
        <w:t xml:space="preserve">uzimajući u obzir Direktivu 2008/98/EZ Europskog parlamenta i Vijeća od 19. studenoga 2008. o otpadu i stavljanju izvan snage određenih direktiva, a posebno njezin članak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uzimajući u obzir Zakon br. 2020-105 od 10. veljače 2020. o borbi protiv otpada i kružnom gospodarstvu, a posebice njegove članke 9., 67. i 130.,</w:t>
      </w:r>
    </w:p>
    <w:p w14:paraId="3D6258FE" w14:textId="77777777" w:rsidR="00AB34D5" w:rsidRDefault="00AB34D5" w:rsidP="00A57CCE">
      <w:pPr>
        <w:pStyle w:val="SNVisa"/>
      </w:pPr>
    </w:p>
    <w:p w14:paraId="00FCCBF0" w14:textId="7EAE0D3C" w:rsidR="00BF56AE" w:rsidRDefault="00BF56AE" w:rsidP="00A57CCE">
      <w:pPr>
        <w:pStyle w:val="SNVisa"/>
      </w:pPr>
      <w:r>
        <w:t xml:space="preserve">uzimajući u obzir Zakonik o okolišu, a posebno njegove članke L. 541-1., L. 541-9-6., L. 541-10., L. 541-10-1., L. 541-10-3., L. 541-10-8., L. 541-10-18., L. 541-50., R. 541-128. i R. 543-43.,</w:t>
      </w:r>
    </w:p>
    <w:p w14:paraId="35E1F319" w14:textId="77777777" w:rsidR="00A57CCE" w:rsidRDefault="00A57CCE" w:rsidP="00A57CCE">
      <w:pPr>
        <w:pStyle w:val="SNVisa"/>
      </w:pPr>
    </w:p>
    <w:p w14:paraId="6B44A064" w14:textId="3C6DBDC6" w:rsidR="00A57CCE" w:rsidRDefault="00A57CCE" w:rsidP="00A57CCE">
      <w:pPr>
        <w:pStyle w:val="SNVisa"/>
      </w:pPr>
      <w:r>
        <w:t xml:space="preserve">uzimajući u obzir francuski Zakonik o ruralnom i morskom ribarstvu, a posebno njegove članke od L. 641-1. do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7uzimajući u obzir Obavijest br. </w:t>
      </w:r>
      <w:r>
        <w:rPr>
          <w:highlight w:val="yellow"/>
        </w:rPr>
        <w:t xml:space="preserve">xxx </w:t>
      </w:r>
      <w:r>
        <w:t xml:space="preserve">upućenu Europskoj komisiji o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uzimajući u obzir primjedbe iznesene tijekom javnog savjetovanja provedenog između </w:t>
      </w:r>
      <w:r>
        <w:rPr>
          <w:highlight w:val="yellow"/>
        </w:rPr>
        <w:t xml:space="preserve">xxx</w:t>
      </w:r>
      <w:r>
        <w:t xml:space="preserve"> i </w:t>
      </w:r>
      <w:r>
        <w:rPr>
          <w:highlight w:val="yellow"/>
        </w:rPr>
        <w:t xml:space="preserve">xxx</w:t>
      </w:r>
      <w:r>
        <w:t xml:space="preserve">, u skladu s člankom L. 123-19-1. Zakonika o okolišu;</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nakon što je saslušao Državno vijeće (odjel javnih radova),</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ovime donosi:</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Članak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Svezak V., glava IV. poglavlje I. odjeljak 10. Zakonika o okolišu dopunjen je pododjeljkom 7. koji glasi kako slijedi:</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„Pododjeljak 7. – Ponovna uporaba ambalaže</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„Članak R. 541-370.</w:t>
      </w:r>
      <w:r>
        <w:rPr>
          <w:sz w:val="24"/>
          <w:rFonts w:ascii="Times New Roman" w:hAnsi="Times New Roman"/>
        </w:rPr>
        <w:t xml:space="preserve"> </w:t>
      </w:r>
      <w:r>
        <w:rPr>
          <w:sz w:val="24"/>
          <w:rFonts w:ascii="Times New Roman" w:hAnsi="Times New Roman"/>
        </w:rPr>
        <w:t xml:space="preserve">Za potrebe stavka III. članka L. 541-1. i u smislu ovog pododjeljka, primjenjuju se sljedeće definicije:</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„Ambalaža“, ona koja ispunjava uvjete navedene u članku R. 543-43. Zakonika o okolišu i na koju se upućuje u stavcima 1. i 2. članka L. 541-10-1.</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„Proizvođač“,</w:t>
      </w:r>
      <w:r>
        <w:t xml:space="preserve"> </w:t>
      </w:r>
      <w:r>
        <w:rPr>
          <w:sz w:val="24"/>
          <w:rFonts w:ascii="Times New Roman" w:hAnsi="Times New Roman"/>
        </w:rPr>
        <w:t xml:space="preserve">svaka osoba koja u profesionalnom svojstvu pakira ili je pakirala svoje proizvode u svrhu njihova stavljanja na tržište, bilo koji uvoznik čiji se proizvodi stavljaju na tržište u ambalaži ili, ako se proizvođač ili uvoznik ne može identificirati, osoba odgovorna za prvo stavljanje na tržište takvih proizvoda;</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„Ponovno korištena ambalaža“, ambalaža koja je predmet najmanje jedne ponovne uporabe za namjenu jednaku onoj za koju je osmišljena i čiju ponovnu uporabu ili oporabu organizira proizvođač ili se organizira u njegovo ime.</w:t>
      </w:r>
      <w:r>
        <w:rPr>
          <w:sz w:val="24"/>
          <w:rFonts w:ascii="Times New Roman" w:hAnsi="Times New Roman"/>
        </w:rPr>
        <w:t xml:space="preserve"> </w:t>
      </w:r>
      <w:r>
        <w:rPr>
          <w:sz w:val="24"/>
          <w:rFonts w:ascii="Times New Roman" w:hAnsi="Times New Roman"/>
        </w:rPr>
        <w:t xml:space="preserve">Ambalaža koja je predmet najmanje jedne ponovne uporabe punjenjem na prodajnom mjestu kao dio prodaje u rasutom stanju ili kod kuće u slučaju uređaja za ponovno punjenje</w:t>
      </w:r>
      <w:r>
        <w:t xml:space="preserve"> </w:t>
      </w:r>
      <w:r>
        <w:rPr>
          <w:sz w:val="24"/>
          <w:rFonts w:ascii="Times New Roman" w:hAnsi="Times New Roman"/>
        </w:rPr>
        <w:t xml:space="preserve">koje organizira proizvođač, smatra se ponovnom upotrijebljenom.</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„Članak R. 541-371.</w:t>
      </w:r>
      <w:r>
        <w:rPr>
          <w:sz w:val="24"/>
          <w:rFonts w:ascii="Times New Roman" w:hAnsi="Times New Roman"/>
        </w:rPr>
        <w:t xml:space="preserve"> </w:t>
      </w:r>
      <w:r>
        <w:rPr>
          <w:sz w:val="24"/>
          <w:rFonts w:ascii="Times New Roman" w:hAnsi="Times New Roman"/>
        </w:rPr>
        <w:t xml:space="preserve">Minimalni udio ponovno upotrijebljene ambalaže koja se godišnje stavlja na tržište u skladu sa stavkom III. članka L. 541-1. sljedeći je:</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10 %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Ovom cilju i odredbama ovog pododjeljka ne podliježe sljedeće:</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Pakiranje proizvoda za koje se nacionalnim zakonodavstvom ili propisima Zajednice zabranjuje ponovna uporaba takve ambalaže zbog zdravstvenih ili sigurnosnih zahtjeva</w:t>
      </w:r>
      <w:r>
        <w:t xml:space="preserve"> </w:t>
      </w:r>
      <w:r>
        <w:rPr>
          <w:sz w:val="24"/>
          <w:rFonts w:ascii="Times New Roman" w:hAnsi="Times New Roman"/>
        </w:rPr>
        <w:t xml:space="preserve">potrošača;</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Do 1. siječnja 2024. ambalaža proizvoda za koje specifikacije za identifikacijske oznake kvalitete i podrijetla predviđene člancima od L. 641-1. do L. 641-13. Zakonika o ruralnom i morskom ribarstvu zabranjuju ponovnu uporabu ili oporabu njihove ambalaže.</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Mjerna jedinica ponovno upotrijebljene ambalaže odgovara svakoj primarnoj, sekundarnoj ili tercijarnoj ambalaži.</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„Međutim, proizvođač može usvojiti drugu mjernu jedinicu za ponovno upotrijebljenu ambalažu koja odgovara jednakovrijednom kapacitetu ako može opravdati da je takva jednakovrijedna mjerna jedinica prikladnija za pakirane proizvode.</w:t>
      </w:r>
      <w:r>
        <w:rPr>
          <w:sz w:val="24"/>
          <w:rFonts w:ascii="Times New Roman" w:hAnsi="Times New Roman"/>
        </w:rPr>
        <w:t xml:space="preserve"> </w:t>
      </w:r>
      <w:r>
        <w:rPr>
          <w:sz w:val="24"/>
          <w:rFonts w:ascii="Times New Roman" w:hAnsi="Times New Roman"/>
        </w:rPr>
        <w:t xml:space="preserve">U tom slučaju mjerna jedinica odgovara kapacitetu od 0,5 litre za tekućine i 0,5 kilograma za ostale slučajeve.</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Promatračnica za ponovnu uporabu i oporabu provodi ispitivanje do 1. prosinca 2022. kako bi se utvrdio postojeći prostor za napredak različitih tokova ambalaže i kategorija proizvoda.</w:t>
      </w:r>
      <w:r>
        <w:rPr>
          <w:sz w:val="24"/>
          <w:rFonts w:ascii="Times New Roman" w:hAnsi="Times New Roman"/>
        </w:rPr>
        <w:t xml:space="preserve"> </w:t>
      </w:r>
      <w:r>
        <w:rPr>
          <w:sz w:val="24"/>
          <w:rFonts w:ascii="Times New Roman" w:hAnsi="Times New Roman"/>
        </w:rPr>
        <w:t xml:space="preserve">Ciljevi utvrđeni u odjeljku I. mogu se u skladu s time revidirati.</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„Članak R. 541-372.</w:t>
      </w:r>
      <w:r>
        <w:rPr>
          <w:sz w:val="24"/>
          <w:rFonts w:ascii="Times New Roman" w:hAnsi="Times New Roman"/>
        </w:rPr>
        <w:t xml:space="preserve"> </w:t>
      </w:r>
      <w:r>
        <w:rPr>
          <w:sz w:val="24"/>
          <w:rFonts w:ascii="Times New Roman" w:hAnsi="Times New Roman"/>
        </w:rPr>
        <w:t xml:space="preserve">Za potrebe stavka III. članka L. 541-1., osobe koje moraju poštovati minimalne udjele ponovno upotrijebljene ambalaže utvrđene u članku R. 541-371. moraju biti proizvođači odgovorni za stavljanje na tržište najmanje 10 000 jedinica pakiranih proizvoda godišnje i koji prijavljuju godišnji promet koji premašuje sljedeće vrijednosti:</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milijuna EUR do 31. prosinca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milijuna EUR od 1. siječnja 2025. do 31. prosinca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„Od 1. siječnja 2026. kriterij godišnjeg prometa primjenjuje se bez praga.</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Svaki proizvođač iz stavka I. ovog članka može odlučiti sudjelovati s drugim dotičnim proizvođačima u uspostavi zajedničke strukture za udruživanje i provedbu mjera potrebnih za stavljanje na tržište ponovno upotrijebljene ambalaže.</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„U ovom slučaju, proizvođači koji su članovi kolektivne strukture solidarno su odgovorni za poštovanje godišnjeg cilja koji odgovara zbroju minimalnih udjela ponovno upotrijebljene ambalaže koju svi članovi moraju staviti na tržište.</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Ekoorganizacije odobrene za ambalažu iz točaka 1. i 2. članka L. 541-10-1. Zakonika o okolišu mogu proizvođačima na koje se odnosi obveza stavljanja na tržište predložiti minimalni udio ponovno upotrijebljene ambalaže, uključujući ambalažu koja nije obuhvaćena njihovim odobrenjem, za izvršavanje uloge zajedničke strukture iz stavka II. Ekološke organizacije postupaju u skladu s uvjetima utvrđenima u drugom podstavku II.</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„Članak R. 541-373.</w:t>
      </w:r>
      <w:r>
        <w:rPr>
          <w:sz w:val="24"/>
          <w:rFonts w:ascii="Times New Roman" w:hAnsi="Times New Roman"/>
        </w:rPr>
        <w:t xml:space="preserve"> </w:t>
      </w:r>
      <w:r>
        <w:rPr>
          <w:sz w:val="24"/>
          <w:rFonts w:ascii="Times New Roman" w:hAnsi="Times New Roman"/>
        </w:rPr>
        <w:t xml:space="preserve">— Specifikacijama za ekoorganizacije koje su uspostavili proizvođači proizvoda navedenih u točkama 1. i 2. članka L. 541-10-1. i propisanih stavkom II. članka L. 541-10. utvrđuje se cilj ponovne uporabe koji odgovara barem onima iz stavka I članka R. 541-371.</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„Kako bi se postigli navedeni ciljevi ponovne uporabe, odobrene ekološke organizacije provode prilagodbe iz članka L. 541-10-3. i doprinose razvoju rješenja za ponovnu uporabu i oporabu ambalaže oslanjajući se posebno na sredstva predviđena stavkom V. članka L. 541-10-18.</w:t>
      </w:r>
      <w:r>
        <w:rPr>
          <w:sz w:val="24"/>
          <w:rFonts w:ascii="Times New Roman" w:hAnsi="Times New Roman"/>
        </w:rPr>
        <w:t xml:space="preserve"> </w:t>
      </w:r>
      <w:r>
        <w:rPr>
          <w:sz w:val="24"/>
          <w:rFonts w:ascii="Times New Roman" w:hAnsi="Times New Roman"/>
        </w:rPr>
        <w:t xml:space="preserve">Takvi doprinosi imaju oblik financijske potpore koja se dodjeljuje na temelju postupaka koji su otvoreni svakoj osobi koja ispunjava uvjete ili na temelju natjecateljskih postupaka odabira.</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„Ekoorganizacije također mogu pod istim uvjetima doprinijeti razvoju rješenja za ponovnu uporabu i oporabu za drugu ambalažu koja nije obuhvaćena njihovim odobrenjem.</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„Članak R. 541-374.</w:t>
      </w:r>
      <w:r>
        <w:rPr>
          <w:sz w:val="24"/>
          <w:rFonts w:ascii="Times New Roman" w:hAnsi="Times New Roman"/>
        </w:rPr>
        <w:t xml:space="preserve"> </w:t>
      </w:r>
      <w:r>
        <w:rPr>
          <w:sz w:val="24"/>
          <w:rFonts w:ascii="Times New Roman" w:hAnsi="Times New Roman"/>
        </w:rPr>
        <w:t xml:space="preserve">Svaki proizvođač iz članka R. 541-372. stavka I. ili, prema potrebi, njihova zajednička struktura iz članka R. 541-372. stavka II. svake godine dostavlja promatračnici za ponovnu uporabu i oporabu udio ponovno upotrijebljene ambalaže stavljene na tržište.</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„Svaki proizvođač iz članka R. 541-372. stavka I. također dostavlja te podatke ekoorganizaciji čiji je član za tu ambalažu u okviru svoje proširene odgovornosti predviđene člankom L. 541-10 Zakonika o okolišu.</w:t>
      </w:r>
      <w:r>
        <w:rPr>
          <w:sz w:val="24"/>
          <w:rFonts w:ascii="Times New Roman" w:hAnsi="Times New Roman"/>
        </w:rPr>
        <w:t xml:space="preserve"> </w:t>
      </w:r>
      <w:r>
        <w:rPr>
          <w:sz w:val="24"/>
          <w:rFonts w:ascii="Times New Roman" w:hAnsi="Times New Roman"/>
        </w:rPr>
        <w:t xml:space="preserve">Ekoorganizacija ocjenjuje sukladnost tih informacija u okviru programa samokontrole predviđenog člankom R. 541-128. Zakonika o okolišu.</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Svaka ekoorganizacija odobrena za pakiranje svake godine obavješćuje upravno tijelo iz članka L. 541-10-13. o količini ambalaže koju su ponovno upotrijebili njegovi proizvođači i o količini ponovno upotrijebljene ambalaže koja je predmet mjera predviđenih u članku R. 341-373., pri čemu se razlikuju one koje su obuhvaćene njegovim odobrenjem i one koje nisu obuhvaćene tim člankom.</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„To tijelo dostavlja sve te informacije promatračnici za ponovnu uporabu i oporabu.“</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Članak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 Odredbe ove Uredbe stupaju na snagu 1. siječnja 2022. podložno odredbama stavka II. u nastavku.</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Ekoorganizacije odobrene za pakiranje i navedene u prvoj rečenicu četvrtog podstavka članka 130. Zakona od 10. veljače 2020. dužne su primjenjivati odredbe članaka R. 341-372. do R. 341-374. koje se odnose na njih od njihova produljenja odobrenja, a najkasnije od 1. siječnja 2023.</w:t>
      </w:r>
      <w:r>
        <w:t xml:space="preserve"> </w:t>
      </w:r>
      <w:r>
        <w:t xml:space="preserve">Međutim, na zahtjev proizvođača iz stavka II. članka R. 341-372., te ekoorganizacije mogu odlučiti primijeniti te odredbe prije isteka njihova odobrenja.</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Članak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Francuski ministar ekološke tranzicije odgovoran je za provedbu ove Uredbe, koja će biti objavljena u </w:t>
      </w:r>
      <w:r>
        <w:rPr>
          <w:i/>
        </w:rPr>
        <w:t xml:space="preserve">Službenom listu</w:t>
      </w:r>
      <w:r>
        <w:t xml:space="preserve"> Francuske Republike.</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Sastavljeno dana</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