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8F20" w14:textId="77777777" w:rsidR="00F15D67" w:rsidRPr="001B22A9" w:rsidRDefault="00F15D67" w:rsidP="00F1590B">
      <w:pPr>
        <w:jc w:val="center"/>
        <w:rPr>
          <w:rFonts w:cstheme="minorHAnsi"/>
          <w:sz w:val="24"/>
          <w:szCs w:val="24"/>
        </w:rPr>
      </w:pPr>
      <w:r w:rsidRPr="001B22A9">
        <w:rPr>
          <w:rFonts w:cstheme="minorHAnsi"/>
          <w:sz w:val="24"/>
        </w:rPr>
        <w:t>Rozporządzenie zmieniające rozporządzenie w sprawie higieny środków spożywczych</w:t>
      </w:r>
    </w:p>
    <w:p w14:paraId="46616DFB" w14:textId="77777777" w:rsidR="00F15D67" w:rsidRPr="001B22A9" w:rsidRDefault="00F15D67" w:rsidP="00F1590B">
      <w:pPr>
        <w:jc w:val="center"/>
        <w:rPr>
          <w:rFonts w:cstheme="minorHAnsi"/>
          <w:sz w:val="24"/>
          <w:szCs w:val="24"/>
        </w:rPr>
      </w:pPr>
    </w:p>
    <w:p w14:paraId="22C5083B" w14:textId="77777777" w:rsidR="00F1590B" w:rsidRPr="001B22A9" w:rsidRDefault="0015460A" w:rsidP="00F1590B">
      <w:pPr>
        <w:jc w:val="center"/>
        <w:rPr>
          <w:rFonts w:cstheme="minorHAnsi"/>
          <w:b/>
          <w:sz w:val="24"/>
          <w:szCs w:val="24"/>
        </w:rPr>
      </w:pPr>
      <w:r w:rsidRPr="001B22A9">
        <w:rPr>
          <w:rFonts w:cstheme="minorHAnsi"/>
          <w:b/>
          <w:sz w:val="24"/>
        </w:rPr>
        <w:t>Sekcja 1</w:t>
      </w:r>
    </w:p>
    <w:p w14:paraId="7BD9954C" w14:textId="77777777" w:rsidR="00F15D67" w:rsidRPr="001B22A9" w:rsidRDefault="00F1590B">
      <w:pPr>
        <w:rPr>
          <w:rFonts w:cstheme="minorHAnsi"/>
          <w:sz w:val="24"/>
          <w:szCs w:val="24"/>
        </w:rPr>
      </w:pPr>
      <w:r w:rsidRPr="001B22A9">
        <w:rPr>
          <w:rFonts w:cstheme="minorHAnsi"/>
          <w:sz w:val="24"/>
        </w:rPr>
        <w:t>W rozporządzeniu nr 497 z dnia 23 marca 2021 r. w sprawie higieny środków spożywczych wprowadza się następujące zmiany:</w:t>
      </w:r>
    </w:p>
    <w:p w14:paraId="65418AF4" w14:textId="77777777" w:rsidR="00F15D67" w:rsidRPr="001B22A9" w:rsidRDefault="00A50188">
      <w:pPr>
        <w:rPr>
          <w:rFonts w:cstheme="minorHAnsi"/>
          <w:sz w:val="24"/>
          <w:szCs w:val="24"/>
        </w:rPr>
      </w:pPr>
      <w:r w:rsidRPr="001B22A9">
        <w:rPr>
          <w:rFonts w:cstheme="minorHAnsi"/>
          <w:b/>
          <w:sz w:val="24"/>
        </w:rPr>
        <w:t>1</w:t>
      </w:r>
      <w:r w:rsidRPr="001B22A9">
        <w:rPr>
          <w:rFonts w:cstheme="minorHAnsi"/>
          <w:i/>
          <w:sz w:val="24"/>
        </w:rPr>
        <w:t>. Sekcja 15</w:t>
      </w:r>
      <w:r w:rsidRPr="001B22A9">
        <w:rPr>
          <w:rFonts w:cstheme="minorHAnsi"/>
          <w:sz w:val="24"/>
        </w:rPr>
        <w:t xml:space="preserve"> otzymuje następujące brzmienie:</w:t>
      </w:r>
    </w:p>
    <w:p w14:paraId="1E7CA6B5" w14:textId="29BEC0DD" w:rsidR="00315D7E" w:rsidRPr="001B22A9" w:rsidRDefault="002147AD">
      <w:pPr>
        <w:rPr>
          <w:rFonts w:cstheme="minorHAnsi"/>
          <w:sz w:val="24"/>
          <w:szCs w:val="24"/>
        </w:rPr>
      </w:pPr>
      <w:r w:rsidRPr="001B22A9">
        <w:rPr>
          <w:rStyle w:val="paragrafnr"/>
          <w:rFonts w:cstheme="minorHAnsi"/>
          <w:b/>
          <w:color w:val="212529"/>
          <w:sz w:val="24"/>
        </w:rPr>
        <w:t>„</w:t>
      </w:r>
      <w:r w:rsidRPr="001B22A9">
        <w:rPr>
          <w:rFonts w:cstheme="minorHAnsi"/>
          <w:b/>
          <w:sz w:val="24"/>
        </w:rPr>
        <w:t>Sekcja 15</w:t>
      </w:r>
      <w:r w:rsidRPr="001B22A9">
        <w:rPr>
          <w:rFonts w:cstheme="minorHAnsi"/>
          <w:sz w:val="24"/>
        </w:rPr>
        <w:t xml:space="preserve"> Mleko surowe wprowadzone do obrotu od każdego producenta podstawowego musi spełniać kryteria dotyczące liczby komórek i liczby płytek ustanowione w rozporządzeniu w sprawie higieny żywności pochodzenia zwierzęcego, jak określono w załączniku III, sekcja IX, rozdział I, część III, pkt. 3.</w:t>
      </w:r>
    </w:p>
    <w:p w14:paraId="2F142F18" w14:textId="77777777" w:rsidR="00053863" w:rsidRPr="001B22A9" w:rsidRDefault="00331B89" w:rsidP="00337092">
      <w:pPr>
        <w:pStyle w:val="paragraf"/>
        <w:shd w:val="clear" w:color="auto" w:fill="F9F9FB"/>
        <w:spacing w:before="200" w:beforeAutospacing="0" w:after="0" w:afterAutospacing="0"/>
        <w:rPr>
          <w:rFonts w:asciiTheme="minorHAnsi" w:hAnsiTheme="minorHAnsi" w:cstheme="minorHAnsi"/>
          <w:color w:val="212529"/>
        </w:rPr>
      </w:pPr>
      <w:r w:rsidRPr="001B22A9">
        <w:rPr>
          <w:rFonts w:asciiTheme="minorHAnsi" w:hAnsiTheme="minorHAnsi" w:cstheme="minorHAnsi"/>
          <w:i/>
        </w:rPr>
        <w:t>2)</w:t>
      </w:r>
      <w:r w:rsidRPr="001B22A9">
        <w:rPr>
          <w:rFonts w:asciiTheme="minorHAnsi" w:hAnsiTheme="minorHAnsi" w:cstheme="minorHAnsi"/>
        </w:rPr>
        <w:t xml:space="preserve"> W przypadku gdy mleko surowe nie spełnia kryteriów liczby komórek lub liczby płytek, o których mowa w podsekcji 1, producent podstawowy musi podjąć niezbędne środki w celu usunięcia braków i niezwłocznie poinformować nabywcę mleka, że mleko nie spełnia kryteriów liczby komórek lub liczby płytek.</w:t>
      </w:r>
      <w:r w:rsidRPr="001B22A9">
        <w:rPr>
          <w:rFonts w:asciiTheme="minorHAnsi" w:hAnsiTheme="minorHAnsi" w:cstheme="minorHAnsi"/>
          <w:color w:val="212529"/>
        </w:rPr>
        <w:t xml:space="preserve"> Do czasu ponownego spełnienia przekroczonego kryterium mleko może być wykorzystywane wyłącznie do produkcji serów o minimalnym okresie dojrzewania wynoszącym 60 dni oraz produktów mlecznych wytwarzanych w związku z produkcją takich serów.</w:t>
      </w:r>
    </w:p>
    <w:p w14:paraId="345F6E2E" w14:textId="77777777" w:rsidR="002A2AC6" w:rsidRPr="001B22A9" w:rsidRDefault="002A2AC6" w:rsidP="00CD091A">
      <w:pPr>
        <w:rPr>
          <w:rFonts w:cstheme="minorHAnsi"/>
          <w:sz w:val="24"/>
          <w:szCs w:val="24"/>
        </w:rPr>
      </w:pPr>
    </w:p>
    <w:p w14:paraId="4C12B8F8" w14:textId="45DA7124" w:rsidR="000F0A3C" w:rsidRPr="001B22A9" w:rsidRDefault="00331B89" w:rsidP="00CD091A">
      <w:pPr>
        <w:rPr>
          <w:rFonts w:cstheme="minorHAnsi"/>
          <w:sz w:val="24"/>
          <w:szCs w:val="24"/>
        </w:rPr>
      </w:pPr>
      <w:r w:rsidRPr="001B22A9">
        <w:rPr>
          <w:rFonts w:cstheme="minorHAnsi"/>
          <w:i/>
          <w:sz w:val="24"/>
        </w:rPr>
        <w:t>3).</w:t>
      </w:r>
      <w:r w:rsidRPr="001B22A9">
        <w:rPr>
          <w:rFonts w:cstheme="minorHAnsi"/>
          <w:sz w:val="24"/>
        </w:rPr>
        <w:t xml:space="preserve"> Jeżeli mleko surowe nie spełnia kryteriów dotyczących liczby komórek i liczby bakterii określonych w podsekcji 1 w terminie trzech miesięcy od pierwszego wystąpienia niezgodności, producent podstawowy musi zaprzestać sprzedaży surowego mleka z gospodarstwa. Wprowadzanie do obrotu nie może zostać wznowione, dopóki mleko nie spełni kryteriów, o których mowa w podsekcji 1. Dostępne muszą być wyniki reprezentatywnych próbek pobranych z częstotliwością rutynowo stosowaną przed przekroczeniem kryterium, wskazujące, że mleko spełnia kryteria. Producent podstawowy musi poinformować duński Urząd ds. Weterynarii i Żywności, czy sprzedaż mleka surowego zostanie przerwana i czy sprzedaż mleka surowego zostanie wznowiona pod wzmożonym nadzorem, patrz sekcja 16.</w:t>
      </w:r>
      <w:r w:rsidRPr="001B22A9">
        <w:rPr>
          <w:rFonts w:cstheme="minorHAnsi"/>
          <w:color w:val="212529"/>
        </w:rPr>
        <w:t>”</w:t>
      </w:r>
    </w:p>
    <w:p w14:paraId="054EEF45" w14:textId="77777777" w:rsidR="002A2AC6" w:rsidRPr="001B22A9" w:rsidRDefault="002A2AC6" w:rsidP="00CD091A">
      <w:pPr>
        <w:rPr>
          <w:rFonts w:cstheme="minorHAnsi"/>
          <w:b/>
          <w:sz w:val="24"/>
          <w:szCs w:val="24"/>
        </w:rPr>
      </w:pPr>
    </w:p>
    <w:p w14:paraId="403DD021" w14:textId="77777777" w:rsidR="00F1590B" w:rsidRPr="001B22A9" w:rsidRDefault="00A50188" w:rsidP="00CD091A">
      <w:pPr>
        <w:rPr>
          <w:rFonts w:cstheme="minorHAnsi"/>
          <w:sz w:val="24"/>
          <w:szCs w:val="24"/>
        </w:rPr>
      </w:pPr>
      <w:r w:rsidRPr="001B22A9">
        <w:rPr>
          <w:rFonts w:cstheme="minorHAnsi"/>
          <w:b/>
          <w:sz w:val="24"/>
        </w:rPr>
        <w:t>2.</w:t>
      </w:r>
      <w:r w:rsidRPr="001B22A9">
        <w:rPr>
          <w:rFonts w:cstheme="minorHAnsi"/>
          <w:sz w:val="24"/>
        </w:rPr>
        <w:t xml:space="preserve"> </w:t>
      </w:r>
      <w:r w:rsidRPr="001B22A9">
        <w:rPr>
          <w:rFonts w:cstheme="minorHAnsi"/>
          <w:i/>
          <w:sz w:val="24"/>
        </w:rPr>
        <w:t xml:space="preserve">Sekcja 16 </w:t>
      </w:r>
      <w:r w:rsidRPr="001B22A9">
        <w:rPr>
          <w:rFonts w:cstheme="minorHAnsi"/>
          <w:sz w:val="24"/>
        </w:rPr>
        <w:t>otrzymuje następujące brzmienie:</w:t>
      </w:r>
    </w:p>
    <w:p w14:paraId="1E666652" w14:textId="77777777" w:rsidR="00CD091A" w:rsidRPr="001B22A9" w:rsidRDefault="00337092" w:rsidP="00547B2F">
      <w:pPr>
        <w:rPr>
          <w:rFonts w:cstheme="minorHAnsi"/>
          <w:color w:val="212529"/>
          <w:sz w:val="24"/>
          <w:szCs w:val="24"/>
        </w:rPr>
      </w:pPr>
      <w:r w:rsidRPr="001B22A9">
        <w:rPr>
          <w:rStyle w:val="paragrafnr"/>
          <w:rFonts w:cstheme="minorHAnsi"/>
          <w:b/>
          <w:color w:val="212529"/>
          <w:sz w:val="24"/>
        </w:rPr>
        <w:t>„Sekcja 16.</w:t>
      </w:r>
      <w:r w:rsidRPr="001B22A9">
        <w:rPr>
          <w:rFonts w:cstheme="minorHAnsi"/>
          <w:color w:val="212529"/>
          <w:sz w:val="24"/>
        </w:rPr>
        <w:t> Niezależnie od przepisów sekcji 15 ust. 3, producent podstawowy może jednak wprowadzać do obrotu mleko surowe krowie przez okres objęty bardziej rygorystycznym nadzorem w odniesieniu do danego przekroczonego kryterium, po tym jak przynajmniej jedna reprezentatywna próbka indywidualna wykaże, że liczba komórek w mleku ze zbiornika nie przekracza 400 000 komórek/ml lub że liczba bakterii w mleku ze zbiornika nie przekracza 100 000 jtk/ml. Do czasu ponownego spełnienia kryterium, mleko może być wykorzystywane wyłącznie do produkcji serów o minimalnym okresie dojrzewania wynoszącym 60 dni</w:t>
      </w:r>
      <w:r w:rsidRPr="001B22A9">
        <w:rPr>
          <w:rFonts w:cstheme="minorHAnsi"/>
          <w:color w:val="212529"/>
        </w:rPr>
        <w:t xml:space="preserve"> oraz przetworów mlecznych wytwarzanych w związku z produkcją takich serów</w:t>
      </w:r>
      <w:r w:rsidRPr="001B22A9">
        <w:rPr>
          <w:rFonts w:cstheme="minorHAnsi"/>
          <w:color w:val="212529"/>
          <w:sz w:val="24"/>
        </w:rPr>
        <w:t>.</w:t>
      </w:r>
    </w:p>
    <w:p w14:paraId="59701395" w14:textId="77777777" w:rsidR="00AB3DB0" w:rsidRPr="001B22A9" w:rsidRDefault="00B25764" w:rsidP="00337092">
      <w:pPr>
        <w:pStyle w:val="paragraf"/>
        <w:shd w:val="clear" w:color="auto" w:fill="F9F9FB"/>
        <w:spacing w:before="200" w:beforeAutospacing="0" w:after="0" w:afterAutospacing="0"/>
        <w:rPr>
          <w:rFonts w:asciiTheme="minorHAnsi" w:hAnsiTheme="minorHAnsi" w:cstheme="minorHAnsi"/>
          <w:color w:val="212529"/>
        </w:rPr>
      </w:pPr>
      <w:r w:rsidRPr="001B22A9">
        <w:rPr>
          <w:rFonts w:asciiTheme="minorHAnsi" w:hAnsiTheme="minorHAnsi" w:cstheme="minorHAnsi"/>
          <w:i/>
          <w:color w:val="212529"/>
        </w:rPr>
        <w:t>2).</w:t>
      </w:r>
      <w:r w:rsidRPr="001B22A9">
        <w:rPr>
          <w:rFonts w:asciiTheme="minorHAnsi" w:hAnsiTheme="minorHAnsi" w:cstheme="minorHAnsi"/>
          <w:color w:val="212529"/>
        </w:rPr>
        <w:t xml:space="preserve"> Jeżeli jednak przy każdym odbiorze mleka surowego krowiego mleko jest badane pod kątem liczby komórek i liczby bakterii, co było również rutynową czynnością przed rozpoczęciem okresu wzmożonego nadzoru, mleko, z którego pobiera się indywidualną reprezentatywną próbkę, o której mowa w podsekcji 1, może być odbierane i wykorzystywane do produkcji serów o </w:t>
      </w:r>
      <w:r w:rsidRPr="001B22A9">
        <w:rPr>
          <w:rFonts w:asciiTheme="minorHAnsi" w:hAnsiTheme="minorHAnsi" w:cstheme="minorHAnsi"/>
          <w:color w:val="212529"/>
        </w:rPr>
        <w:lastRenderedPageBreak/>
        <w:t>minimalnym czasie dojrzewania wynoszącym 60 dni oraz przetworów mlecznych wytwarzanych przy produkcji takich serów.</w:t>
      </w:r>
    </w:p>
    <w:p w14:paraId="3BAC1305" w14:textId="77777777" w:rsidR="00770E03" w:rsidRPr="001B22A9" w:rsidRDefault="00770E03" w:rsidP="00337092">
      <w:pPr>
        <w:pStyle w:val="stk2"/>
        <w:shd w:val="clear" w:color="auto" w:fill="F9F9FB"/>
        <w:spacing w:before="0" w:beforeAutospacing="0" w:after="0" w:afterAutospacing="0"/>
        <w:rPr>
          <w:rStyle w:val="stknr"/>
          <w:rFonts w:asciiTheme="minorHAnsi" w:hAnsiTheme="minorHAnsi" w:cstheme="minorHAnsi"/>
          <w:i/>
          <w:iCs/>
          <w:color w:val="212529"/>
        </w:rPr>
      </w:pPr>
    </w:p>
    <w:p w14:paraId="53628321" w14:textId="77777777" w:rsidR="00CD091A" w:rsidRPr="001B22A9"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1B22A9">
        <w:rPr>
          <w:rStyle w:val="stknr"/>
          <w:rFonts w:asciiTheme="minorHAnsi" w:hAnsiTheme="minorHAnsi" w:cstheme="minorHAnsi"/>
          <w:i/>
          <w:color w:val="212529"/>
        </w:rPr>
        <w:t>3)</w:t>
      </w:r>
      <w:r w:rsidRPr="001B22A9">
        <w:rPr>
          <w:rFonts w:asciiTheme="minorHAnsi" w:hAnsiTheme="minorHAnsi" w:cstheme="minorHAnsi"/>
          <w:color w:val="212529"/>
        </w:rPr>
        <w:t>W okresie objętym bardziej rygorystycznym nadzorem po przekroczeniu kryterium, producent podstawowy może wprowadzać do obrotu mleko surowe krowie wyłącznie po tym, jak wszystkie zwykłe indywidualne próbki pobrane do analizy danego kryterium, zgodnie z sekcją 17 ust. 1, wykażą, że liczba komórek w mleku ze zbiornika nie przekracza 400 000 komórek/ml lub że liczba bakterii w mleku luzem nie przekracza 100 000 jtk/ml. W przypadku gdy wzmożone monitorowanie wykaże, że liczba komórek lub liczba płytek jest przekroczona, mleko surowe krowie z danego gospodarstwa nie może być wprowadzone do obrotu.</w:t>
      </w:r>
    </w:p>
    <w:p w14:paraId="054D5A70" w14:textId="77777777" w:rsidR="000F0A3C" w:rsidRPr="001B22A9"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03933F2D" w14:textId="77777777" w:rsidR="00CD091A" w:rsidRPr="001B22A9"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1B22A9">
        <w:rPr>
          <w:rStyle w:val="stknr"/>
          <w:rFonts w:asciiTheme="minorHAnsi" w:hAnsiTheme="minorHAnsi" w:cstheme="minorHAnsi"/>
          <w:i/>
          <w:color w:val="212529"/>
        </w:rPr>
        <w:t xml:space="preserve">4) </w:t>
      </w:r>
      <w:r w:rsidRPr="001B22A9">
        <w:rPr>
          <w:rFonts w:asciiTheme="minorHAnsi" w:hAnsiTheme="minorHAnsi" w:cstheme="minorHAnsi"/>
          <w:color w:val="212529"/>
        </w:rPr>
        <w:t>W okresie bardziej rygorystycznego nadzoru zakłady, które odbierają lub przetwarzają mleko surowe krowie, muszą niezwłocznie informować duński Urząd ds. Weterynarii i Żywności o wynikach analiz, które pociągają za sobą przerwanie lub wznowienie obrotu.</w:t>
      </w:r>
    </w:p>
    <w:p w14:paraId="42EB5593" w14:textId="77777777" w:rsidR="000F0A3C" w:rsidRPr="001B22A9"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593EB308" w14:textId="77777777" w:rsidR="00CD091A" w:rsidRPr="001B22A9"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1B22A9">
        <w:rPr>
          <w:rStyle w:val="stknr"/>
          <w:rFonts w:asciiTheme="minorHAnsi" w:hAnsiTheme="minorHAnsi" w:cstheme="minorHAnsi"/>
          <w:i/>
          <w:color w:val="212529"/>
        </w:rPr>
        <w:t xml:space="preserve">5) </w:t>
      </w:r>
      <w:r w:rsidRPr="001B22A9">
        <w:rPr>
          <w:rFonts w:asciiTheme="minorHAnsi" w:hAnsiTheme="minorHAnsi" w:cstheme="minorHAnsi"/>
          <w:color w:val="212529"/>
        </w:rPr>
        <w:t>Producenci podstawowi w stadach, z których mleko surowe nie jest odbierane ani przetwarzane przez zakład w Danii, który chce wprowadzić mleko surowe do obrotu w okresie wzmożonego nadzoru, o którym mowa w podsekcji 1, muszą dopilnować, aby pobrano i przeanalizowano indywidualne próbki, o których mowa w podsekcjach 1-2. Producent podstawowy musi zapewnić, że duński Urząd ds. Weterynarii i Żywności zostanie niezwłocznie poinformowany o wynikach analiz prowadzących do przerwania lub wznowienia wprowadzania do obrotu.</w:t>
      </w:r>
    </w:p>
    <w:p w14:paraId="55671073" w14:textId="77777777" w:rsidR="002A2AC6" w:rsidRPr="001B22A9" w:rsidRDefault="002A2AC6" w:rsidP="00CD091A">
      <w:pPr>
        <w:pStyle w:val="stk2"/>
        <w:shd w:val="clear" w:color="auto" w:fill="F9F9FB"/>
        <w:spacing w:before="0" w:beforeAutospacing="0" w:after="0" w:afterAutospacing="0"/>
        <w:ind w:firstLine="240"/>
        <w:rPr>
          <w:rFonts w:asciiTheme="minorHAnsi" w:hAnsiTheme="minorHAnsi" w:cstheme="minorHAnsi"/>
          <w:color w:val="212529"/>
        </w:rPr>
      </w:pPr>
    </w:p>
    <w:p w14:paraId="6DEEDDBF" w14:textId="77777777" w:rsidR="00CD091A" w:rsidRPr="001B22A9"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1B22A9">
        <w:rPr>
          <w:rStyle w:val="stknr"/>
          <w:rFonts w:asciiTheme="minorHAnsi" w:hAnsiTheme="minorHAnsi" w:cstheme="minorHAnsi"/>
          <w:i/>
          <w:color w:val="212529"/>
        </w:rPr>
        <w:t>6)</w:t>
      </w:r>
      <w:r w:rsidRPr="001B22A9">
        <w:rPr>
          <w:rFonts w:asciiTheme="minorHAnsi" w:hAnsiTheme="minorHAnsi" w:cstheme="minorHAnsi"/>
          <w:color w:val="212529"/>
        </w:rPr>
        <w:t>Okres objęty bardziej rygorystycznym nadzorem kończy się, gdy przekroczone kryterium liczby komórek lub liczby bakterii zostanie ponownie spełnione (patrz sekcja 15 ust. 1).</w:t>
      </w:r>
    </w:p>
    <w:p w14:paraId="7FBDDDA5" w14:textId="77777777" w:rsidR="000F0A3C" w:rsidRPr="001B22A9"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31ED0D7C" w14:textId="68335AE7" w:rsidR="00CD091A" w:rsidRPr="001B22A9"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1B22A9">
        <w:rPr>
          <w:rStyle w:val="stknr"/>
          <w:rFonts w:asciiTheme="minorHAnsi" w:hAnsiTheme="minorHAnsi" w:cstheme="minorHAnsi"/>
          <w:i/>
          <w:color w:val="212529"/>
        </w:rPr>
        <w:t>7)</w:t>
      </w:r>
      <w:r w:rsidRPr="001B22A9">
        <w:rPr>
          <w:rFonts w:asciiTheme="minorHAnsi" w:hAnsiTheme="minorHAnsi" w:cstheme="minorHAnsi"/>
          <w:color w:val="212529"/>
        </w:rPr>
        <w:t>Okres wzmożonego nadzoru nie może przekraczać 60 dni. Jeżeli kryteria określone w sekcji 15 ust. 1 nie zostaną spełnione w ciągu 60 dni przy zastosowaniu bardziej rygorystycznego nadzoru, producent podstawowy musi zaprzestać wprowadzania do obrotu mleka surowego z danego gospodarstwa. Wprowadzenie do obrotu może zostać wznowione tylko wtedy, gdy mleko ponownie spełnia kryteria dotyczące mleka surowego”.</w:t>
      </w:r>
    </w:p>
    <w:p w14:paraId="6E2B2257" w14:textId="77777777" w:rsidR="00F1590B" w:rsidRPr="001B22A9"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07D14AB6" w14:textId="77777777" w:rsidR="000F0A3C" w:rsidRPr="001B22A9" w:rsidRDefault="000F0A3C" w:rsidP="00F1590B">
      <w:pPr>
        <w:pStyle w:val="stk2"/>
        <w:shd w:val="clear" w:color="auto" w:fill="F9F9FB"/>
        <w:spacing w:before="0" w:beforeAutospacing="0" w:after="0" w:afterAutospacing="0"/>
        <w:rPr>
          <w:rFonts w:asciiTheme="minorHAnsi" w:hAnsiTheme="minorHAnsi" w:cstheme="minorHAnsi"/>
          <w:color w:val="212529"/>
        </w:rPr>
      </w:pPr>
    </w:p>
    <w:p w14:paraId="032BD933" w14:textId="77777777" w:rsidR="00F1590B" w:rsidRPr="001B22A9"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1B22A9">
        <w:rPr>
          <w:rFonts w:asciiTheme="minorHAnsi" w:hAnsiTheme="minorHAnsi" w:cstheme="minorHAnsi"/>
          <w:b/>
          <w:color w:val="212529"/>
        </w:rPr>
        <w:t xml:space="preserve">3. </w:t>
      </w:r>
      <w:r w:rsidRPr="001B22A9">
        <w:rPr>
          <w:rFonts w:asciiTheme="minorHAnsi" w:hAnsiTheme="minorHAnsi" w:cstheme="minorHAnsi"/>
          <w:i/>
          <w:color w:val="212529"/>
        </w:rPr>
        <w:t xml:space="preserve">Sekcja 17 </w:t>
      </w:r>
      <w:r w:rsidRPr="001B22A9">
        <w:rPr>
          <w:rFonts w:asciiTheme="minorHAnsi" w:hAnsiTheme="minorHAnsi" w:cstheme="minorHAnsi"/>
          <w:color w:val="212529"/>
        </w:rPr>
        <w:t>otrzymuje następujące brzmienie:</w:t>
      </w:r>
    </w:p>
    <w:p w14:paraId="44382C07" w14:textId="77777777" w:rsidR="0085737E" w:rsidRPr="001B22A9" w:rsidRDefault="0085737E" w:rsidP="00F1590B">
      <w:pPr>
        <w:pStyle w:val="stk2"/>
        <w:shd w:val="clear" w:color="auto" w:fill="F9F9FB"/>
        <w:spacing w:before="0" w:beforeAutospacing="0" w:after="0" w:afterAutospacing="0"/>
        <w:rPr>
          <w:rFonts w:asciiTheme="minorHAnsi" w:hAnsiTheme="minorHAnsi" w:cstheme="minorHAnsi"/>
          <w:color w:val="212529"/>
        </w:rPr>
      </w:pPr>
    </w:p>
    <w:p w14:paraId="39FDF2B8" w14:textId="77777777" w:rsidR="0085737E" w:rsidRPr="001B22A9" w:rsidRDefault="00F1590B" w:rsidP="0085737E">
      <w:pPr>
        <w:jc w:val="center"/>
        <w:rPr>
          <w:rFonts w:cstheme="minorHAnsi"/>
        </w:rPr>
      </w:pPr>
      <w:r w:rsidRPr="001B22A9">
        <w:rPr>
          <w:rFonts w:cstheme="minorHAnsi"/>
          <w:color w:val="212529"/>
        </w:rPr>
        <w:t>„</w:t>
      </w:r>
      <w:r w:rsidRPr="001B22A9">
        <w:rPr>
          <w:rFonts w:cstheme="minorHAnsi"/>
        </w:rPr>
        <w:t xml:space="preserve"> </w:t>
      </w:r>
      <w:r w:rsidRPr="001B22A9">
        <w:rPr>
          <w:rFonts w:cstheme="minorHAnsi"/>
          <w:i/>
        </w:rPr>
        <w:t>Kontrola kryteriów dla mleka surowego krowiego w okresie wzmożonego nadzoru</w:t>
      </w:r>
    </w:p>
    <w:p w14:paraId="5E555615" w14:textId="77777777" w:rsidR="0085737E" w:rsidRPr="001B22A9" w:rsidRDefault="0085737E" w:rsidP="0085737E">
      <w:pPr>
        <w:rPr>
          <w:rFonts w:cstheme="minorHAnsi"/>
        </w:rPr>
      </w:pPr>
      <w:r w:rsidRPr="001B22A9">
        <w:rPr>
          <w:rFonts w:cstheme="minorHAnsi"/>
          <w:b/>
        </w:rPr>
        <w:t>Sekcja 17</w:t>
      </w:r>
      <w:r w:rsidRPr="001B22A9">
        <w:rPr>
          <w:rFonts w:cstheme="minorHAnsi"/>
        </w:rPr>
        <w:t xml:space="preserve"> Zakłady, które odbierają lub przetwarzają mleko surowe krowie otrzymane od producentów podstawowych w ramach wzmożonego monitorowania, patrz sekcja 16, muszą zapewnić, że reprezentatywne, zwykłe próbki surowego mleka krowiego pobiera się co najmniej raz w tygodniu i analizuje z określoną zwykłą częstotliwością, która jest co najmniej zgodna z załącznikiem 2. Próbki muszą być pobierane przy odbiorze w cysternie lub przy dostawie do przedsiębiorstwa sektora spożywczego.</w:t>
      </w:r>
    </w:p>
    <w:p w14:paraId="0AD44A49" w14:textId="77777777" w:rsidR="0085737E" w:rsidRPr="001B22A9" w:rsidRDefault="0085737E" w:rsidP="0085737E">
      <w:pPr>
        <w:rPr>
          <w:rFonts w:cstheme="minorHAnsi"/>
        </w:rPr>
      </w:pPr>
      <w:r w:rsidRPr="001B22A9">
        <w:rPr>
          <w:rFonts w:cstheme="minorHAnsi"/>
          <w:i/>
        </w:rPr>
        <w:t>2)</w:t>
      </w:r>
      <w:r w:rsidRPr="001B22A9">
        <w:rPr>
          <w:rFonts w:cstheme="minorHAnsi"/>
        </w:rPr>
        <w:t xml:space="preserve"> Jeżeli próbkę, o której mowa w podsekcji 1, pobiera i analizuje zakład znajdujący się w Danii, dalsze próbki mleka surowego krowiego nie muszą być pobierane z tego samego zbiornika w danym gospodarstwie podstawowym.</w:t>
      </w:r>
    </w:p>
    <w:p w14:paraId="0D328027" w14:textId="77777777" w:rsidR="00F1590B" w:rsidRPr="001B22A9" w:rsidRDefault="0085737E" w:rsidP="0085737E">
      <w:pPr>
        <w:rPr>
          <w:rFonts w:cstheme="minorHAnsi"/>
        </w:rPr>
      </w:pPr>
      <w:r w:rsidRPr="001B22A9">
        <w:rPr>
          <w:rFonts w:cstheme="minorHAnsi"/>
          <w:i/>
        </w:rPr>
        <w:t>3)</w:t>
      </w:r>
      <w:r w:rsidRPr="001B22A9">
        <w:rPr>
          <w:rFonts w:cstheme="minorHAnsi"/>
        </w:rPr>
        <w:t xml:space="preserve"> Zakład musi udostępnić wszystkie wyniki analiz duńskiemu Urzędowi ds. Weterynarii i Żywności.</w:t>
      </w:r>
    </w:p>
    <w:p w14:paraId="656B2365" w14:textId="77777777" w:rsidR="00A50188" w:rsidRPr="001B22A9" w:rsidRDefault="00A50188" w:rsidP="001B22A9">
      <w:pPr>
        <w:pStyle w:val="stk2"/>
        <w:pageBreakBefore/>
        <w:shd w:val="clear" w:color="auto" w:fill="F9F9FB"/>
        <w:spacing w:before="0" w:beforeAutospacing="0" w:after="0" w:afterAutospacing="0"/>
        <w:rPr>
          <w:rFonts w:asciiTheme="minorHAnsi" w:hAnsiTheme="minorHAnsi" w:cstheme="minorHAnsi"/>
          <w:color w:val="212529"/>
        </w:rPr>
      </w:pPr>
    </w:p>
    <w:p w14:paraId="5A39C19E" w14:textId="77777777" w:rsidR="00A50188" w:rsidRPr="001B22A9"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1B22A9">
        <w:rPr>
          <w:rFonts w:asciiTheme="minorHAnsi" w:hAnsiTheme="minorHAnsi" w:cstheme="minorHAnsi"/>
          <w:b/>
          <w:color w:val="212529"/>
        </w:rPr>
        <w:t xml:space="preserve">4. </w:t>
      </w:r>
      <w:r w:rsidRPr="001B22A9">
        <w:rPr>
          <w:rFonts w:asciiTheme="minorHAnsi" w:hAnsiTheme="minorHAnsi" w:cstheme="minorHAnsi"/>
          <w:i/>
          <w:color w:val="212529"/>
        </w:rPr>
        <w:t>Sekcja 38 ust. 4</w:t>
      </w:r>
      <w:r w:rsidRPr="001B22A9">
        <w:rPr>
          <w:rFonts w:asciiTheme="minorHAnsi" w:hAnsiTheme="minorHAnsi" w:cstheme="minorHAnsi"/>
          <w:color w:val="212529"/>
        </w:rPr>
        <w:t xml:space="preserve"> otrzymuje następujące brzmienie:</w:t>
      </w:r>
    </w:p>
    <w:p w14:paraId="74C5A1C3" w14:textId="77777777" w:rsidR="0085737E" w:rsidRPr="001B22A9" w:rsidRDefault="0085737E" w:rsidP="00F1590B">
      <w:pPr>
        <w:pStyle w:val="stk2"/>
        <w:shd w:val="clear" w:color="auto" w:fill="F9F9FB"/>
        <w:spacing w:before="0" w:beforeAutospacing="0" w:after="0" w:afterAutospacing="0"/>
        <w:rPr>
          <w:rFonts w:asciiTheme="minorHAnsi" w:hAnsiTheme="minorHAnsi" w:cstheme="minorHAnsi"/>
          <w:i/>
          <w:color w:val="212529"/>
        </w:rPr>
      </w:pPr>
    </w:p>
    <w:p w14:paraId="5CDBAE19" w14:textId="77777777" w:rsidR="00A50188" w:rsidRPr="001B22A9" w:rsidRDefault="00337092" w:rsidP="00A50188">
      <w:pPr>
        <w:spacing w:after="0" w:line="240" w:lineRule="auto"/>
        <w:rPr>
          <w:rFonts w:cstheme="minorHAnsi"/>
          <w:sz w:val="24"/>
          <w:szCs w:val="24"/>
        </w:rPr>
      </w:pPr>
      <w:r w:rsidRPr="001B22A9">
        <w:rPr>
          <w:rFonts w:cstheme="minorHAnsi"/>
          <w:i/>
          <w:sz w:val="24"/>
        </w:rPr>
        <w:t>„4)</w:t>
      </w:r>
      <w:r w:rsidRPr="001B22A9">
        <w:rPr>
          <w:rFonts w:cstheme="minorHAnsi"/>
          <w:sz w:val="24"/>
        </w:rPr>
        <w:t xml:space="preserve"> Zwierzęta robocze specjalnie przeszkolone do wykonywania jednego lub więcej użytecznych zadań, takich jak zwalczanie szkodników lub organoleptyczne badanie żywności, mogą mieć dostęp do przedsiębiorstw sektora spożywczego, jeżeli odbywa się to w kontekście pracy wykonywanej przez podmiot zawodowy. Podmiot działający na rynku spożywczym jest odpowiedzialny za zapewnienie, że taki dostęp nie spowoduje zanieczyszczenia żywności”.</w:t>
      </w:r>
    </w:p>
    <w:p w14:paraId="72B2E373" w14:textId="77777777" w:rsidR="008A2A56" w:rsidRPr="001B22A9" w:rsidRDefault="008A2A56" w:rsidP="00A50188">
      <w:pPr>
        <w:spacing w:after="0" w:line="240" w:lineRule="auto"/>
        <w:rPr>
          <w:rFonts w:cstheme="minorHAnsi"/>
          <w:sz w:val="24"/>
          <w:szCs w:val="24"/>
        </w:rPr>
      </w:pPr>
    </w:p>
    <w:p w14:paraId="0FD5B01B" w14:textId="77777777" w:rsidR="00A50188" w:rsidRPr="001B22A9"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13D1AA31" w14:textId="77777777" w:rsidR="00F1590B" w:rsidRPr="001B22A9"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6D7ADDFC" w14:textId="77777777" w:rsidR="004D3390" w:rsidRPr="001B22A9"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1B22A9">
        <w:rPr>
          <w:rFonts w:asciiTheme="minorHAnsi" w:hAnsiTheme="minorHAnsi" w:cstheme="minorHAnsi"/>
          <w:b/>
          <w:color w:val="212529"/>
        </w:rPr>
        <w:t xml:space="preserve">5. </w:t>
      </w:r>
      <w:r w:rsidRPr="001B22A9">
        <w:rPr>
          <w:rFonts w:asciiTheme="minorHAnsi" w:hAnsiTheme="minorHAnsi" w:cstheme="minorHAnsi"/>
          <w:i/>
          <w:color w:val="212529"/>
        </w:rPr>
        <w:t>Załącznik 2</w:t>
      </w:r>
      <w:r w:rsidRPr="001B22A9">
        <w:rPr>
          <w:rFonts w:asciiTheme="minorHAnsi" w:hAnsiTheme="minorHAnsi" w:cstheme="minorHAnsi"/>
          <w:color w:val="212529"/>
        </w:rPr>
        <w:t xml:space="preserve"> otrzymuje następujące brzmienie: </w:t>
      </w:r>
    </w:p>
    <w:p w14:paraId="1DA2F1A1" w14:textId="77777777" w:rsidR="00D81FFD" w:rsidRPr="001B22A9" w:rsidRDefault="00D81FFD" w:rsidP="00CD091A">
      <w:pPr>
        <w:rPr>
          <w:rFonts w:eastAsia="Times New Roman" w:cstheme="minorHAnsi"/>
          <w:color w:val="212529"/>
          <w:sz w:val="24"/>
          <w:szCs w:val="24"/>
          <w:lang w:eastAsia="da-DK"/>
        </w:rPr>
      </w:pPr>
    </w:p>
    <w:p w14:paraId="0F1C6251" w14:textId="77777777" w:rsidR="00D81FFD" w:rsidRPr="001B22A9" w:rsidRDefault="00F1590B" w:rsidP="00D81FFD">
      <w:pPr>
        <w:jc w:val="right"/>
        <w:rPr>
          <w:rFonts w:cstheme="minorHAnsi"/>
          <w:b/>
          <w:sz w:val="24"/>
          <w:szCs w:val="24"/>
        </w:rPr>
      </w:pPr>
      <w:r w:rsidRPr="001B22A9">
        <w:rPr>
          <w:rFonts w:cstheme="minorHAnsi"/>
          <w:b/>
          <w:sz w:val="24"/>
        </w:rPr>
        <w:t>„Załącznik 2</w:t>
      </w:r>
    </w:p>
    <w:p w14:paraId="4EF47313" w14:textId="77777777" w:rsidR="00D81FFD" w:rsidRPr="001B22A9" w:rsidRDefault="00D81FFD" w:rsidP="00D81FFD">
      <w:pPr>
        <w:rPr>
          <w:rFonts w:cstheme="minorHAnsi"/>
          <w:sz w:val="24"/>
          <w:szCs w:val="24"/>
        </w:rPr>
      </w:pPr>
    </w:p>
    <w:p w14:paraId="12EF7BD8" w14:textId="77777777" w:rsidR="00D81FFD" w:rsidRPr="001B22A9" w:rsidRDefault="00D81FFD" w:rsidP="00D81FFD">
      <w:pPr>
        <w:rPr>
          <w:rFonts w:cstheme="minorHAnsi"/>
          <w:sz w:val="24"/>
          <w:szCs w:val="24"/>
        </w:rPr>
      </w:pPr>
      <w:r w:rsidRPr="001B22A9">
        <w:rPr>
          <w:rFonts w:cstheme="minorHAnsi"/>
          <w:sz w:val="24"/>
        </w:rPr>
        <w:t>Kontrola kryteriów dotyczących mleka surowego krowiego w okresie wzmożonego nadzoru (patrz sekcja 16)</w:t>
      </w:r>
    </w:p>
    <w:p w14:paraId="086EBC14" w14:textId="77777777" w:rsidR="00D81FFD" w:rsidRPr="001B22A9" w:rsidRDefault="00D81FFD" w:rsidP="00D81FFD">
      <w:pPr>
        <w:rPr>
          <w:rFonts w:cstheme="minorHAnsi"/>
          <w:sz w:val="24"/>
          <w:szCs w:val="24"/>
        </w:rPr>
      </w:pPr>
      <w:r w:rsidRPr="001B22A9">
        <w:rPr>
          <w:rFonts w:cstheme="minorHAnsi"/>
          <w:sz w:val="24"/>
        </w:rPr>
        <w:t>Próbki muszą być poddane co najmniej następującym badaniom:</w:t>
      </w:r>
    </w:p>
    <w:tbl>
      <w:tblPr>
        <w:tblStyle w:val="TableGrid"/>
        <w:tblW w:w="0" w:type="auto"/>
        <w:tblLook w:val="04A0" w:firstRow="1" w:lastRow="0" w:firstColumn="1" w:lastColumn="0" w:noHBand="0" w:noVBand="1"/>
      </w:tblPr>
      <w:tblGrid>
        <w:gridCol w:w="2407"/>
        <w:gridCol w:w="2407"/>
        <w:gridCol w:w="2407"/>
        <w:gridCol w:w="2407"/>
      </w:tblGrid>
      <w:tr w:rsidR="00D81FFD" w:rsidRPr="001B22A9" w14:paraId="361B5020" w14:textId="77777777" w:rsidTr="00D81FFD">
        <w:tc>
          <w:tcPr>
            <w:tcW w:w="2407" w:type="dxa"/>
          </w:tcPr>
          <w:p w14:paraId="1B31FDFF" w14:textId="77777777" w:rsidR="00D81FFD" w:rsidRPr="001B22A9" w:rsidRDefault="00D81FFD" w:rsidP="00D81FFD">
            <w:pPr>
              <w:rPr>
                <w:rFonts w:cstheme="minorHAnsi"/>
                <w:sz w:val="24"/>
                <w:szCs w:val="24"/>
              </w:rPr>
            </w:pPr>
          </w:p>
        </w:tc>
        <w:tc>
          <w:tcPr>
            <w:tcW w:w="2407" w:type="dxa"/>
          </w:tcPr>
          <w:p w14:paraId="67E9D1FD" w14:textId="77777777" w:rsidR="00D81FFD" w:rsidRPr="001B22A9" w:rsidRDefault="00D81FFD" w:rsidP="00D81FFD">
            <w:pPr>
              <w:rPr>
                <w:rFonts w:cstheme="minorHAnsi"/>
                <w:b/>
                <w:sz w:val="24"/>
                <w:szCs w:val="24"/>
              </w:rPr>
            </w:pPr>
            <w:r w:rsidRPr="001B22A9">
              <w:rPr>
                <w:rFonts w:cstheme="minorHAnsi"/>
                <w:b/>
                <w:sz w:val="24"/>
              </w:rPr>
              <w:t>Oznaczanie liczby płytek w temperaturze 30°C</w:t>
            </w:r>
          </w:p>
        </w:tc>
        <w:tc>
          <w:tcPr>
            <w:tcW w:w="2407" w:type="dxa"/>
          </w:tcPr>
          <w:p w14:paraId="1029B326" w14:textId="77777777" w:rsidR="00D81FFD" w:rsidRPr="001B22A9" w:rsidRDefault="00D81FFD" w:rsidP="00D81FFD">
            <w:pPr>
              <w:rPr>
                <w:rFonts w:cstheme="minorHAnsi"/>
                <w:b/>
                <w:sz w:val="24"/>
                <w:szCs w:val="24"/>
              </w:rPr>
            </w:pPr>
            <w:r w:rsidRPr="001B22A9">
              <w:rPr>
                <w:rFonts w:cstheme="minorHAnsi"/>
                <w:b/>
                <w:sz w:val="24"/>
              </w:rPr>
              <w:t>Oznaczanie liczby komórek</w:t>
            </w:r>
          </w:p>
        </w:tc>
        <w:tc>
          <w:tcPr>
            <w:tcW w:w="2407" w:type="dxa"/>
          </w:tcPr>
          <w:p w14:paraId="2ACA8349" w14:textId="77777777" w:rsidR="00D81FFD" w:rsidRPr="001B22A9" w:rsidRDefault="00D81FFD" w:rsidP="00D81FFD">
            <w:pPr>
              <w:rPr>
                <w:rFonts w:cstheme="minorHAnsi"/>
                <w:b/>
                <w:sz w:val="24"/>
                <w:szCs w:val="24"/>
              </w:rPr>
            </w:pPr>
            <w:r w:rsidRPr="001B22A9">
              <w:rPr>
                <w:rFonts w:cstheme="minorHAnsi"/>
                <w:b/>
                <w:sz w:val="24"/>
              </w:rPr>
              <w:t>Oznaczanie zawartości pozostałości antybiotyków</w:t>
            </w:r>
          </w:p>
        </w:tc>
      </w:tr>
      <w:tr w:rsidR="00D81FFD" w:rsidRPr="001B22A9" w14:paraId="0CDC8AB3" w14:textId="77777777" w:rsidTr="00D81FFD">
        <w:tc>
          <w:tcPr>
            <w:tcW w:w="2407" w:type="dxa"/>
          </w:tcPr>
          <w:p w14:paraId="50DDB5D7" w14:textId="77777777" w:rsidR="00D81FFD" w:rsidRPr="001B22A9" w:rsidRDefault="00D81FFD" w:rsidP="00D81FFD">
            <w:pPr>
              <w:rPr>
                <w:rFonts w:cstheme="minorHAnsi"/>
                <w:b/>
                <w:sz w:val="24"/>
                <w:szCs w:val="24"/>
              </w:rPr>
            </w:pPr>
            <w:r w:rsidRPr="001B22A9">
              <w:rPr>
                <w:rFonts w:cstheme="minorHAnsi"/>
                <w:b/>
                <w:sz w:val="24"/>
              </w:rPr>
              <w:t>Częstotliwość w warunkach bardziej rygorystycznego nadzoru</w:t>
            </w:r>
          </w:p>
        </w:tc>
        <w:tc>
          <w:tcPr>
            <w:tcW w:w="2407" w:type="dxa"/>
          </w:tcPr>
          <w:p w14:paraId="6495C741" w14:textId="77777777" w:rsidR="00D81FFD" w:rsidRPr="001B22A9" w:rsidRDefault="00D81FFD" w:rsidP="00D81FFD">
            <w:pPr>
              <w:rPr>
                <w:rFonts w:cstheme="minorHAnsi"/>
                <w:sz w:val="24"/>
                <w:szCs w:val="24"/>
              </w:rPr>
            </w:pPr>
            <w:r w:rsidRPr="001B22A9">
              <w:rPr>
                <w:rFonts w:cstheme="minorHAnsi"/>
                <w:sz w:val="24"/>
              </w:rPr>
              <w:t>1 raz na tydzień</w:t>
            </w:r>
          </w:p>
        </w:tc>
        <w:tc>
          <w:tcPr>
            <w:tcW w:w="2407" w:type="dxa"/>
          </w:tcPr>
          <w:p w14:paraId="6109F3C2" w14:textId="77777777" w:rsidR="00D81FFD" w:rsidRPr="001B22A9" w:rsidRDefault="00D81FFD" w:rsidP="00D81FFD">
            <w:pPr>
              <w:rPr>
                <w:rFonts w:cstheme="minorHAnsi"/>
                <w:sz w:val="24"/>
                <w:szCs w:val="24"/>
              </w:rPr>
            </w:pPr>
            <w:r w:rsidRPr="001B22A9">
              <w:rPr>
                <w:rFonts w:cstheme="minorHAnsi"/>
                <w:sz w:val="24"/>
              </w:rPr>
              <w:t>1 raz na tydzień</w:t>
            </w:r>
          </w:p>
        </w:tc>
        <w:tc>
          <w:tcPr>
            <w:tcW w:w="2407" w:type="dxa"/>
          </w:tcPr>
          <w:p w14:paraId="55D94FF0" w14:textId="77777777" w:rsidR="00D81FFD" w:rsidRPr="001B22A9" w:rsidRDefault="00D81FFD" w:rsidP="00D81FFD">
            <w:pPr>
              <w:rPr>
                <w:rFonts w:cstheme="minorHAnsi"/>
                <w:sz w:val="24"/>
                <w:szCs w:val="24"/>
              </w:rPr>
            </w:pPr>
            <w:r w:rsidRPr="001B22A9">
              <w:rPr>
                <w:rFonts w:cstheme="minorHAnsi"/>
                <w:sz w:val="24"/>
              </w:rPr>
              <w:t>1 raz na cztery tygodnie</w:t>
            </w:r>
          </w:p>
        </w:tc>
      </w:tr>
    </w:tbl>
    <w:p w14:paraId="03C1A6B5" w14:textId="77777777" w:rsidR="00D81FFD" w:rsidRPr="001B22A9" w:rsidRDefault="00D81FFD" w:rsidP="00D81FFD">
      <w:pPr>
        <w:rPr>
          <w:rFonts w:cstheme="minorHAnsi"/>
          <w:sz w:val="24"/>
          <w:szCs w:val="24"/>
        </w:rPr>
      </w:pPr>
    </w:p>
    <w:p w14:paraId="372531A4" w14:textId="14E74DFD" w:rsidR="00D81FFD" w:rsidRPr="001B22A9" w:rsidRDefault="00F80EAE" w:rsidP="00F80EAE">
      <w:pPr>
        <w:rPr>
          <w:rFonts w:cstheme="minorHAnsi"/>
          <w:sz w:val="24"/>
          <w:szCs w:val="24"/>
        </w:rPr>
      </w:pPr>
      <w:r w:rsidRPr="001B22A9">
        <w:rPr>
          <w:rFonts w:cstheme="minorHAnsi"/>
          <w:sz w:val="24"/>
        </w:rPr>
        <w:t>Po wykryciu pozostałości antybiotyków przekraczających najwyższy dopuszczalny poziom pozostałości dla danej substancji, badanie powtarza się w każdym z kolejnych czterech tygodni”.</w:t>
      </w:r>
    </w:p>
    <w:p w14:paraId="28EE29C9" w14:textId="77777777" w:rsidR="000F0A3C" w:rsidRPr="001B22A9" w:rsidRDefault="000F0A3C" w:rsidP="00F80EAE">
      <w:pPr>
        <w:rPr>
          <w:rFonts w:cstheme="minorHAnsi"/>
          <w:sz w:val="24"/>
          <w:szCs w:val="24"/>
        </w:rPr>
      </w:pPr>
    </w:p>
    <w:p w14:paraId="53C5C941" w14:textId="77777777" w:rsidR="000F0A3C" w:rsidRPr="001B22A9" w:rsidRDefault="000F0A3C" w:rsidP="00F80EAE">
      <w:pPr>
        <w:rPr>
          <w:rFonts w:cstheme="minorHAnsi"/>
          <w:sz w:val="24"/>
          <w:szCs w:val="24"/>
        </w:rPr>
      </w:pPr>
    </w:p>
    <w:p w14:paraId="65C69628" w14:textId="77777777" w:rsidR="000F0A3C" w:rsidRPr="001B22A9" w:rsidRDefault="000F0A3C" w:rsidP="000F0A3C">
      <w:pPr>
        <w:jc w:val="center"/>
        <w:rPr>
          <w:rFonts w:cstheme="minorHAnsi"/>
          <w:b/>
          <w:sz w:val="24"/>
          <w:szCs w:val="24"/>
        </w:rPr>
      </w:pPr>
      <w:r w:rsidRPr="001B22A9">
        <w:rPr>
          <w:rFonts w:cstheme="minorHAnsi"/>
          <w:b/>
          <w:sz w:val="24"/>
        </w:rPr>
        <w:t>Sekcja 2</w:t>
      </w:r>
    </w:p>
    <w:p w14:paraId="0E7B6AAE" w14:textId="77777777" w:rsidR="0015460A" w:rsidRPr="001B22A9" w:rsidRDefault="0015460A" w:rsidP="000F0A3C">
      <w:pPr>
        <w:rPr>
          <w:rFonts w:cstheme="minorHAnsi"/>
          <w:sz w:val="24"/>
          <w:szCs w:val="24"/>
        </w:rPr>
      </w:pPr>
      <w:r w:rsidRPr="001B22A9">
        <w:rPr>
          <w:rFonts w:cstheme="minorHAnsi"/>
          <w:i/>
          <w:sz w:val="24"/>
        </w:rPr>
        <w:t xml:space="preserve">(1) </w:t>
      </w:r>
      <w:r w:rsidRPr="001B22A9">
        <w:rPr>
          <w:rFonts w:cstheme="minorHAnsi"/>
          <w:sz w:val="24"/>
        </w:rPr>
        <w:t xml:space="preserve">To rozporządzenie wchodzi w życie z dniem 1 stycznia 2022. </w:t>
      </w:r>
    </w:p>
    <w:p w14:paraId="2FB84923" w14:textId="77777777" w:rsidR="000F0A3C" w:rsidRPr="001B22A9" w:rsidRDefault="0015460A" w:rsidP="000F0A3C">
      <w:pPr>
        <w:rPr>
          <w:rFonts w:cstheme="minorHAnsi"/>
          <w:sz w:val="24"/>
          <w:szCs w:val="24"/>
        </w:rPr>
      </w:pPr>
      <w:r w:rsidRPr="001B22A9">
        <w:rPr>
          <w:rFonts w:cstheme="minorHAnsi"/>
          <w:i/>
          <w:sz w:val="24"/>
        </w:rPr>
        <w:t xml:space="preserve">(2) </w:t>
      </w:r>
      <w:r w:rsidRPr="001B22A9">
        <w:rPr>
          <w:rFonts w:cstheme="minorHAnsi"/>
          <w:sz w:val="24"/>
        </w:rPr>
        <w:t>Rozporządzenie nr 497 z 23 marca 2021 w sprawie higieny żywności zostaje uchylone.</w:t>
      </w:r>
    </w:p>
    <w:sectPr w:rsidR="000F0A3C" w:rsidRPr="001B22A9" w:rsidSect="00D81FF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4805" w14:textId="77777777" w:rsidR="001C313B" w:rsidRDefault="001C313B" w:rsidP="00A50188">
      <w:pPr>
        <w:spacing w:after="0" w:line="240" w:lineRule="auto"/>
      </w:pPr>
      <w:r>
        <w:separator/>
      </w:r>
    </w:p>
  </w:endnote>
  <w:endnote w:type="continuationSeparator" w:id="0">
    <w:p w14:paraId="324C4C80" w14:textId="77777777" w:rsidR="001C313B" w:rsidRDefault="001C313B" w:rsidP="00A5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C590B" w14:textId="77777777" w:rsidR="001C313B" w:rsidRDefault="001C313B" w:rsidP="00A50188">
      <w:pPr>
        <w:spacing w:after="0" w:line="240" w:lineRule="auto"/>
      </w:pPr>
      <w:r>
        <w:separator/>
      </w:r>
    </w:p>
  </w:footnote>
  <w:footnote w:type="continuationSeparator" w:id="0">
    <w:p w14:paraId="3250E8A8" w14:textId="77777777" w:rsidR="001C313B" w:rsidRDefault="001C313B" w:rsidP="00A50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9"/>
    <w:rsid w:val="00043C9D"/>
    <w:rsid w:val="00053863"/>
    <w:rsid w:val="00060FC9"/>
    <w:rsid w:val="000F0A3C"/>
    <w:rsid w:val="0015460A"/>
    <w:rsid w:val="001B22A9"/>
    <w:rsid w:val="001C313B"/>
    <w:rsid w:val="001D7D66"/>
    <w:rsid w:val="001E4D7D"/>
    <w:rsid w:val="002147AD"/>
    <w:rsid w:val="002A2AC6"/>
    <w:rsid w:val="002E7540"/>
    <w:rsid w:val="003101AF"/>
    <w:rsid w:val="00315D7E"/>
    <w:rsid w:val="0031683F"/>
    <w:rsid w:val="00331B89"/>
    <w:rsid w:val="00337092"/>
    <w:rsid w:val="00340D26"/>
    <w:rsid w:val="00345694"/>
    <w:rsid w:val="00370DEF"/>
    <w:rsid w:val="003A0A26"/>
    <w:rsid w:val="003A7D73"/>
    <w:rsid w:val="00401EFA"/>
    <w:rsid w:val="004D3390"/>
    <w:rsid w:val="00536C63"/>
    <w:rsid w:val="00547B2F"/>
    <w:rsid w:val="0059020A"/>
    <w:rsid w:val="00606DB6"/>
    <w:rsid w:val="006E1949"/>
    <w:rsid w:val="00745CF7"/>
    <w:rsid w:val="007471C9"/>
    <w:rsid w:val="00770E03"/>
    <w:rsid w:val="007C370C"/>
    <w:rsid w:val="007F718C"/>
    <w:rsid w:val="0085737E"/>
    <w:rsid w:val="008A2A56"/>
    <w:rsid w:val="008B2F9D"/>
    <w:rsid w:val="00941AEB"/>
    <w:rsid w:val="009D7E07"/>
    <w:rsid w:val="009E01F3"/>
    <w:rsid w:val="009E59CB"/>
    <w:rsid w:val="00A05302"/>
    <w:rsid w:val="00A274CC"/>
    <w:rsid w:val="00A50188"/>
    <w:rsid w:val="00A81BB2"/>
    <w:rsid w:val="00AB3DB0"/>
    <w:rsid w:val="00AC66E3"/>
    <w:rsid w:val="00AD6948"/>
    <w:rsid w:val="00AD70F9"/>
    <w:rsid w:val="00B25764"/>
    <w:rsid w:val="00B30803"/>
    <w:rsid w:val="00B829C9"/>
    <w:rsid w:val="00BE4F33"/>
    <w:rsid w:val="00C630C9"/>
    <w:rsid w:val="00C71862"/>
    <w:rsid w:val="00C84738"/>
    <w:rsid w:val="00CC7E48"/>
    <w:rsid w:val="00CD091A"/>
    <w:rsid w:val="00D138BD"/>
    <w:rsid w:val="00D16219"/>
    <w:rsid w:val="00D81FFD"/>
    <w:rsid w:val="00DA3397"/>
    <w:rsid w:val="00E0416A"/>
    <w:rsid w:val="00E80038"/>
    <w:rsid w:val="00E9538F"/>
    <w:rsid w:val="00EF0C4F"/>
    <w:rsid w:val="00F1590B"/>
    <w:rsid w:val="00F15D67"/>
    <w:rsid w:val="00F5325A"/>
    <w:rsid w:val="00F80E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DD0C"/>
  <w15:chartTrackingRefBased/>
  <w15:docId w15:val="{DD8C494C-9BBB-4BAB-92FF-3A523981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91A"/>
    <w:rPr>
      <w:rFonts w:ascii="Segoe UI" w:hAnsi="Segoe UI" w:cs="Segoe UI"/>
      <w:sz w:val="18"/>
      <w:szCs w:val="18"/>
    </w:rPr>
  </w:style>
  <w:style w:type="paragraph" w:customStyle="1" w:styleId="paragrafgruppeoverskrift">
    <w:name w:val="paragrafgruppeoverskrift"/>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CD091A"/>
  </w:style>
  <w:style w:type="paragraph" w:customStyle="1" w:styleId="paragraf">
    <w:name w:val="paragraf"/>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CD091A"/>
  </w:style>
  <w:style w:type="paragraph" w:customStyle="1" w:styleId="stk2">
    <w:name w:val="stk2"/>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CD091A"/>
  </w:style>
  <w:style w:type="character" w:styleId="CommentReference">
    <w:name w:val="annotation reference"/>
    <w:basedOn w:val="DefaultParagraphFont"/>
    <w:uiPriority w:val="99"/>
    <w:semiHidden/>
    <w:unhideWhenUsed/>
    <w:rsid w:val="00B25764"/>
    <w:rPr>
      <w:sz w:val="16"/>
      <w:szCs w:val="16"/>
    </w:rPr>
  </w:style>
  <w:style w:type="paragraph" w:styleId="CommentText">
    <w:name w:val="annotation text"/>
    <w:basedOn w:val="Normal"/>
    <w:link w:val="CommentTextChar"/>
    <w:uiPriority w:val="99"/>
    <w:semiHidden/>
    <w:unhideWhenUsed/>
    <w:rsid w:val="00B25764"/>
    <w:pPr>
      <w:spacing w:line="240" w:lineRule="auto"/>
    </w:pPr>
    <w:rPr>
      <w:sz w:val="20"/>
      <w:szCs w:val="20"/>
    </w:rPr>
  </w:style>
  <w:style w:type="character" w:customStyle="1" w:styleId="CommentTextChar">
    <w:name w:val="Comment Text Char"/>
    <w:basedOn w:val="DefaultParagraphFont"/>
    <w:link w:val="CommentText"/>
    <w:uiPriority w:val="99"/>
    <w:semiHidden/>
    <w:rsid w:val="00B25764"/>
    <w:rPr>
      <w:sz w:val="20"/>
      <w:szCs w:val="20"/>
    </w:rPr>
  </w:style>
  <w:style w:type="paragraph" w:styleId="CommentSubject">
    <w:name w:val="annotation subject"/>
    <w:basedOn w:val="CommentText"/>
    <w:next w:val="CommentText"/>
    <w:link w:val="CommentSubjectChar"/>
    <w:uiPriority w:val="99"/>
    <w:semiHidden/>
    <w:unhideWhenUsed/>
    <w:rsid w:val="00B25764"/>
    <w:rPr>
      <w:b/>
      <w:bCs/>
    </w:rPr>
  </w:style>
  <w:style w:type="character" w:customStyle="1" w:styleId="CommentSubjectChar">
    <w:name w:val="Comment Subject Char"/>
    <w:basedOn w:val="CommentTextChar"/>
    <w:link w:val="CommentSubject"/>
    <w:uiPriority w:val="99"/>
    <w:semiHidden/>
    <w:rsid w:val="00B25764"/>
    <w:rPr>
      <w:b/>
      <w:bCs/>
      <w:sz w:val="20"/>
      <w:szCs w:val="20"/>
    </w:rPr>
  </w:style>
  <w:style w:type="paragraph" w:styleId="Revision">
    <w:name w:val="Revision"/>
    <w:hidden/>
    <w:uiPriority w:val="99"/>
    <w:semiHidden/>
    <w:rsid w:val="002E7540"/>
    <w:pPr>
      <w:spacing w:after="0" w:line="240" w:lineRule="auto"/>
    </w:pPr>
  </w:style>
  <w:style w:type="table" w:styleId="TableGrid">
    <w:name w:val="Table Grid"/>
    <w:basedOn w:val="TableNormal"/>
    <w:uiPriority w:val="39"/>
    <w:rsid w:val="00D8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1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0188"/>
  </w:style>
  <w:style w:type="paragraph" w:styleId="Footer">
    <w:name w:val="footer"/>
    <w:basedOn w:val="Normal"/>
    <w:link w:val="FooterChar"/>
    <w:uiPriority w:val="99"/>
    <w:unhideWhenUsed/>
    <w:rsid w:val="00A501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1083</Words>
  <Characters>6176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Sørensen</dc:creator>
  <cp:keywords/>
  <dc:description/>
  <cp:lastModifiedBy>Liana Brili</cp:lastModifiedBy>
  <cp:revision>7</cp:revision>
  <cp:lastPrinted>2021-06-23T14:05:00Z</cp:lastPrinted>
  <dcterms:created xsi:type="dcterms:W3CDTF">2021-08-11T06:31:00Z</dcterms:created>
  <dcterms:modified xsi:type="dcterms:W3CDTF">2021-08-19T09:23:00Z</dcterms:modified>
</cp:coreProperties>
</file>