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6BBBC105"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490117"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1CE8CBB6"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72083A0E"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9DBD85D"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0B5B6C9F"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0A815DC"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Cím</w:t>
            </w:r>
          </w:p>
        </w:tc>
      </w:tr>
      <w:tr w:rsidR="00FD36C9" w:rsidRPr="00FD36C9" w14:paraId="604AB3F1"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D62BF1E" w14:textId="73F9B8F2"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2019. április 26. Királyi rendelet a dohánytermékek gyártásáról és forgalomba hozataláról szóló, 2016. február 5-i királyi rendelet módosításáról  </w:t>
            </w:r>
            <w:r w:rsidR="004E4D21">
              <w:rPr>
                <w:rFonts w:ascii="Times New Roman" w:hAnsi="Times New Roman"/>
                <w:b/>
                <w:sz w:val="24"/>
              </w:rPr>
              <w:br/>
            </w:r>
            <w:r w:rsidR="004E4D21">
              <w:rPr>
                <w:rFonts w:ascii="Times New Roman" w:hAnsi="Times New Roman"/>
                <w:b/>
                <w:sz w:val="24"/>
              </w:rPr>
              <w:br/>
            </w:r>
            <w:r>
              <w:rPr>
                <w:rFonts w:ascii="Times New Roman" w:hAnsi="Times New Roman"/>
                <w:b/>
                <w:color w:val="FF0000"/>
                <w:sz w:val="24"/>
              </w:rPr>
              <w:t>Forrás: </w:t>
            </w:r>
            <w:r>
              <w:rPr>
                <w:rFonts w:ascii="Times New Roman" w:hAnsi="Times New Roman"/>
                <w:b/>
                <w:sz w:val="24"/>
              </w:rPr>
              <w:t xml:space="preserve">KÖZEGÉSZSÉGÜGY, ÉLELMISZERLÁNC- ÉS KÖRNYEZET-BIZTONSÁG </w:t>
            </w:r>
            <w:r>
              <w:rPr>
                <w:rFonts w:ascii="Times New Roman" w:hAnsi="Times New Roman"/>
                <w:b/>
                <w:sz w:val="24"/>
              </w:rPr>
              <w:br/>
            </w:r>
            <w:r>
              <w:rPr>
                <w:rFonts w:ascii="Times New Roman" w:hAnsi="Times New Roman"/>
                <w:b/>
                <w:color w:val="FF0000"/>
                <w:sz w:val="24"/>
              </w:rPr>
              <w:t>Közzététel: </w:t>
            </w:r>
            <w:r>
              <w:rPr>
                <w:rFonts w:ascii="Times New Roman" w:hAnsi="Times New Roman"/>
                <w:b/>
                <w:sz w:val="24"/>
              </w:rPr>
              <w:t xml:space="preserve">2019.06.20. </w:t>
            </w:r>
            <w:r>
              <w:rPr>
                <w:rFonts w:ascii="Times New Roman" w:hAnsi="Times New Roman"/>
                <w:b/>
                <w:color w:val="FF0000"/>
                <w:sz w:val="24"/>
              </w:rPr>
              <w:t>szám: </w:t>
            </w:r>
            <w:r>
              <w:rPr>
                <w:rFonts w:ascii="Times New Roman" w:hAnsi="Times New Roman"/>
                <w:b/>
                <w:sz w:val="24"/>
              </w:rPr>
              <w:t>  2019012788</w:t>
            </w:r>
            <w:r>
              <w:rPr>
                <w:rFonts w:ascii="Times New Roman" w:hAnsi="Times New Roman"/>
                <w:b/>
                <w:color w:val="FF0000"/>
                <w:sz w:val="24"/>
              </w:rPr>
              <w:t xml:space="preserve"> oldal: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anchor="571. oldal" w:tgtFrame="_blank" w:history="1">
              <w:r>
                <w:rPr>
                  <w:rFonts w:ascii="Times New Roman" w:hAnsi="Times New Roman"/>
                  <w:b/>
                  <w:color w:val="0000FF"/>
                  <w:sz w:val="24"/>
                  <w:u w:val="single"/>
                </w:rPr>
                <w:t>eredeti verzió</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Fájlszám: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Hatálybalépés: </w:t>
            </w:r>
            <w:r>
              <w:rPr>
                <w:rFonts w:ascii="Times New Roman" w:hAnsi="Times New Roman"/>
                <w:b/>
                <w:sz w:val="24"/>
              </w:rPr>
              <w:t>2019.06.30.</w:t>
            </w:r>
            <w:r>
              <w:rPr>
                <w:rFonts w:ascii="Times New Roman" w:hAnsi="Times New Roman"/>
                <w:b/>
                <w:sz w:val="24"/>
              </w:rPr>
              <w:br/>
            </w:r>
            <w:r>
              <w:rPr>
                <w:rFonts w:ascii="Times New Roman" w:hAnsi="Times New Roman"/>
                <w:b/>
                <w:sz w:val="24"/>
              </w:rPr>
              <w:br/>
            </w:r>
            <w:r>
              <w:rPr>
                <w:rFonts w:ascii="Times New Roman" w:hAnsi="Times New Roman"/>
                <w:b/>
                <w:color w:val="FF0000"/>
                <w:sz w:val="24"/>
              </w:rPr>
              <w:t>Ez a szöveg módosítja a következő szöveget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2CE620C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125560B6"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138478A4"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Tartalomjegyzék</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C14F934"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6" w:anchor="szöveg" w:history="1">
              <w:r w:rsidR="00FD36C9">
                <w:rPr>
                  <w:rFonts w:ascii="Times New Roman" w:hAnsi="Times New Roman"/>
                  <w:b/>
                  <w:color w:val="0000FF"/>
                  <w:sz w:val="24"/>
                  <w:u w:val="single"/>
                </w:rPr>
                <w:t>Szöveg</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BA920A0"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7" w:anchor="teteje" w:history="1">
              <w:r w:rsidR="00FD36C9">
                <w:rPr>
                  <w:rFonts w:ascii="Times New Roman" w:hAnsi="Times New Roman"/>
                  <w:b/>
                  <w:color w:val="0000FF"/>
                  <w:sz w:val="24"/>
                  <w:u w:val="single"/>
                </w:rPr>
                <w:t xml:space="preserve">Eleje </w:t>
              </w:r>
            </w:hyperlink>
          </w:p>
        </w:tc>
      </w:tr>
      <w:tr w:rsidR="00FD36C9" w:rsidRPr="00FD36C9" w14:paraId="7522A6E7"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06BDDA3"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1-19. cikk</w:t>
            </w:r>
          </w:p>
        </w:tc>
      </w:tr>
    </w:tbl>
    <w:p w14:paraId="4D69F350"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53"/>
        <w:gridCol w:w="1837"/>
        <w:gridCol w:w="920"/>
      </w:tblGrid>
      <w:tr w:rsidR="00FD36C9" w:rsidRPr="00FD36C9" w14:paraId="6CD16072"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4A82697"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Szöveg</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DD6996"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8" w:anchor="tartalomjegyzék" w:history="1">
              <w:r w:rsidR="00FD36C9">
                <w:rPr>
                  <w:rFonts w:ascii="Times New Roman" w:hAnsi="Times New Roman"/>
                  <w:b/>
                  <w:color w:val="0000FF"/>
                  <w:sz w:val="24"/>
                  <w:u w:val="single"/>
                </w:rPr>
                <w:t>Tartalomjegyzék</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6288DB6"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9" w:anchor="teteje" w:history="1">
              <w:r w:rsidR="00FD36C9">
                <w:rPr>
                  <w:rFonts w:ascii="Times New Roman" w:hAnsi="Times New Roman"/>
                  <w:b/>
                  <w:color w:val="0000FF"/>
                  <w:sz w:val="24"/>
                  <w:u w:val="single"/>
                </w:rPr>
                <w:t xml:space="preserve">Eleje </w:t>
              </w:r>
            </w:hyperlink>
          </w:p>
        </w:tc>
      </w:tr>
      <w:bookmarkStart w:id="3" w:name="Art.1"/>
      <w:tr w:rsidR="00FD36C9" w:rsidRPr="00FD36C9" w14:paraId="102CA375"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376DF3BE" w14:textId="3E989EBE" w:rsidR="00FD36C9" w:rsidRPr="00FD36C9" w:rsidRDefault="00DD315A"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"http://www.ejustice.just.fgov.be/cgi_loi/loi_a1.pl?language=nl&amp;la=N&amp;cn=2019042633&amp;table_name=wet&amp;&amp;caller=list&amp;N&amp;fromtab=wet&amp;tri=dd+AS+RANK&amp;rech=1&amp;numero=1&amp;sql=(text+contains+(" </w:instrText>
            </w:r>
            <w:r>
              <w:rPr>
                <w:rFonts w:ascii="Times New Roman" w:hAnsi="Times New Roman"/>
                <w:b/>
                <w:sz w:val="24"/>
              </w:rPr>
            </w:r>
            <w:r>
              <w:rPr>
                <w:rFonts w:ascii="Times New Roman" w:hAnsi="Times New Roman"/>
                <w:b/>
                <w:sz w:val="24"/>
              </w:rPr>
              <w:fldChar w:fldCharType="separate"/>
            </w:r>
            <w:r w:rsidR="00FD36C9" w:rsidRPr="00DD315A">
              <w:rPr>
                <w:rStyle w:val="Hyperlink"/>
                <w:rFonts w:ascii="Times New Roman" w:hAnsi="Times New Roman"/>
                <w:b/>
                <w:sz w:val="24"/>
              </w:rPr>
              <w:t>Cikk</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"2.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A dohánytermékek gyártásáról és forgalomba hozataláról szóló, 2016. február 5-i királyi rendelet címében a „dohánytermékek” szó helyébe a „dohányalapú termékek és növényalapú dohánytermékek” szövegrész lép.</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0" w:anchor="3. cikk" w:history="1">
              <w:r w:rsidR="00FD36C9">
                <w:rPr>
                  <w:rFonts w:ascii="Times New Roman" w:hAnsi="Times New Roman"/>
                  <w:b/>
                  <w:color w:val="0000FF"/>
                  <w:sz w:val="24"/>
                  <w:u w:val="single"/>
                </w:rPr>
                <w:t>2</w:t>
              </w:r>
            </w:hyperlink>
            <w:r w:rsidR="00FD36C9">
              <w:rPr>
                <w:rFonts w:ascii="Times New Roman" w:hAnsi="Times New Roman"/>
                <w:b/>
                <w:sz w:val="24"/>
              </w:rPr>
              <w:t>. Ugyanezen rendelet 3. és 6. fejezetének, valamint 7., 8., 9., 10., 13. és 14. cikkének címében a „dohánytermékek” szó helyébe minden alkalommal a „dohányalapú termékek” kifejezés lép.</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"2.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1" w:anchor="4. cikk" w:history="1">
              <w:r w:rsidR="00FD36C9">
                <w:rPr>
                  <w:rFonts w:ascii="Times New Roman" w:hAnsi="Times New Roman"/>
                  <w:b/>
                  <w:color w:val="0000FF"/>
                  <w:sz w:val="24"/>
                  <w:u w:val="single"/>
                </w:rPr>
                <w:t>3</w:t>
              </w:r>
            </w:hyperlink>
            <w:r w:rsidR="00FD36C9">
              <w:rPr>
                <w:rFonts w:ascii="Times New Roman" w:hAnsi="Times New Roman"/>
                <w:b/>
                <w:sz w:val="24"/>
              </w:rPr>
              <w:t>. Ugyanezen rendelet 2., 4., 5., 6., 7., 8., 10., 11. és 19. cikkében a „dohánytermékek” szó helyébe minden alkalommal a „dohányalapú termékek” kifejezés lép. Ugyanezen rendelet 2., 4., 5., 6., 11. és 14. cikkében a „dohánytermék” szó helyébe a „dohányalapú termék” kifejezés lép.</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"3.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2" w:anchor="5. cikk" w:history="1">
              <w:r w:rsidR="00FD36C9">
                <w:rPr>
                  <w:rFonts w:ascii="Times New Roman" w:hAnsi="Times New Roman"/>
                  <w:b/>
                  <w:color w:val="0000FF"/>
                  <w:sz w:val="24"/>
                  <w:u w:val="single"/>
                </w:rPr>
                <w:t>4</w:t>
              </w:r>
            </w:hyperlink>
            <w:r w:rsidR="00FD36C9">
              <w:rPr>
                <w:rFonts w:ascii="Times New Roman" w:hAnsi="Times New Roman"/>
                <w:b/>
                <w:sz w:val="24"/>
              </w:rPr>
              <w:t>. Ugyanennek a rendeletnek a 2. cikke az alábbiak szerint módosul:</w:t>
            </w:r>
            <w:r w:rsidR="00FD36C9">
              <w:rPr>
                <w:rFonts w:ascii="Times New Roman" w:hAnsi="Times New Roman"/>
                <w:b/>
                <w:sz w:val="24"/>
              </w:rPr>
              <w:br/>
              <w:t>  a) a szöveg az alábbi szövegezésű 14/1. ponttal egészül ki:</w:t>
            </w:r>
            <w:r w:rsidR="00FD36C9">
              <w:rPr>
                <w:rFonts w:ascii="Times New Roman" w:hAnsi="Times New Roman"/>
                <w:b/>
                <w:sz w:val="24"/>
              </w:rPr>
              <w:br/>
              <w:t>  „14/1. készülék: az új dohányalapú termékek fogyasztásához és/vagy használatához szükséges bármely eszköz vagy annak egy alkotóeleme;”;</w:t>
            </w:r>
            <w:r w:rsidR="00FD36C9">
              <w:rPr>
                <w:rFonts w:ascii="Times New Roman" w:hAnsi="Times New Roman"/>
                <w:b/>
                <w:sz w:val="24"/>
              </w:rPr>
              <w:br/>
              <w:t>  b) a szöveg az alábbi szövegezésű 35/1. ponttal egészül ki:</w:t>
            </w:r>
            <w:r w:rsidR="00FD36C9">
              <w:rPr>
                <w:rFonts w:ascii="Times New Roman" w:hAnsi="Times New Roman"/>
                <w:b/>
                <w:sz w:val="24"/>
              </w:rPr>
              <w:br/>
              <w:t>  „35/1. a dohányalapú termékek belgiumi importőre: a Belgium területén bevezetett dohányalapú termékek rendelkezésre bocsátása tekintetében jogosultsággal rendelkező birtokos vagy személy;”.</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"4.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3" w:anchor="6. cikk" w:history="1">
              <w:r w:rsidR="00FD36C9">
                <w:rPr>
                  <w:rFonts w:ascii="Times New Roman" w:hAnsi="Times New Roman"/>
                  <w:b/>
                  <w:color w:val="0000FF"/>
                  <w:sz w:val="24"/>
                  <w:u w:val="single"/>
                </w:rPr>
                <w:t>5</w:t>
              </w:r>
            </w:hyperlink>
            <w:r w:rsidR="00FD36C9">
              <w:rPr>
                <w:rFonts w:ascii="Times New Roman" w:hAnsi="Times New Roman"/>
                <w:b/>
                <w:sz w:val="24"/>
              </w:rPr>
              <w:t>. Ugyanennek a rendeletnek a 4. cikke az alábbiak szerint módosul:</w:t>
            </w:r>
            <w:r w:rsidR="00FD36C9">
              <w:rPr>
                <w:rFonts w:ascii="Times New Roman" w:hAnsi="Times New Roman"/>
                <w:b/>
                <w:sz w:val="24"/>
              </w:rPr>
              <w:br/>
              <w:t>  1. az (1) bekezdésben a „november huszadika” szavak helyébe a „március elseje” szavak lépnek;</w:t>
            </w:r>
            <w:r w:rsidR="00FD36C9">
              <w:rPr>
                <w:rFonts w:ascii="Times New Roman" w:hAnsi="Times New Roman"/>
                <w:b/>
                <w:sz w:val="24"/>
              </w:rPr>
              <w:br/>
              <w:t>  2. az (1) bekezdés a következő 4. ponttal egészül ki:</w:t>
            </w:r>
            <w:r w:rsidR="00FD36C9">
              <w:rPr>
                <w:rFonts w:ascii="Times New Roman" w:hAnsi="Times New Roman"/>
                <w:b/>
                <w:sz w:val="24"/>
              </w:rPr>
              <w:br/>
            </w:r>
            <w:r w:rsidR="00FD36C9">
              <w:rPr>
                <w:rFonts w:ascii="Times New Roman" w:hAnsi="Times New Roman"/>
                <w:b/>
                <w:sz w:val="24"/>
              </w:rPr>
              <w:lastRenderedPageBreak/>
              <w:t>  „4. címkézés”;</w:t>
            </w:r>
            <w:r w:rsidR="00FD36C9">
              <w:rPr>
                <w:rFonts w:ascii="Times New Roman" w:hAnsi="Times New Roman"/>
                <w:b/>
                <w:sz w:val="24"/>
              </w:rPr>
              <w:br/>
              <w:t>  3. a (6) bekezdés az alábbi mondattal egészül ki:</w:t>
            </w:r>
            <w:r w:rsidR="00FD36C9">
              <w:rPr>
                <w:rFonts w:ascii="Times New Roman" w:hAnsi="Times New Roman"/>
                <w:b/>
                <w:sz w:val="24"/>
              </w:rPr>
              <w:br/>
              <w:t>  „Ezeket az éves értékesítési adatokat legkésőbb a következő év március elsejéig a Szolgálat rendelkezésére kell bocsátani.”;</w:t>
            </w:r>
            <w:r w:rsidR="00FD36C9">
              <w:rPr>
                <w:rFonts w:ascii="Times New Roman" w:hAnsi="Times New Roman"/>
                <w:b/>
                <w:sz w:val="24"/>
              </w:rPr>
              <w:br/>
              <w:t>  4. a (7) bekezdésben az „125 eurós” és a „díj” szó közé az „éves” szót kell beilleszteni;</w:t>
            </w:r>
            <w:r w:rsidR="00FD36C9">
              <w:rPr>
                <w:rFonts w:ascii="Times New Roman" w:hAnsi="Times New Roman"/>
                <w:b/>
                <w:sz w:val="24"/>
              </w:rPr>
              <w:br/>
              <w:t>  5. a (7) bekezdés az alábbi mondattal egészül ki:</w:t>
            </w:r>
            <w:r w:rsidR="00FD36C9">
              <w:rPr>
                <w:rFonts w:ascii="Times New Roman" w:hAnsi="Times New Roman"/>
                <w:b/>
                <w:sz w:val="24"/>
              </w:rPr>
              <w:br/>
              <w:t>  „Ezt az adót minden év március elseje előtt be kell fizetni. ”.</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"5.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4" w:anchor="7. cikk" w:history="1">
              <w:r w:rsidR="00FD36C9">
                <w:rPr>
                  <w:rFonts w:ascii="Times New Roman" w:hAnsi="Times New Roman"/>
                  <w:b/>
                  <w:color w:val="0000FF"/>
                  <w:sz w:val="24"/>
                  <w:u w:val="single"/>
                </w:rPr>
                <w:t>6</w:t>
              </w:r>
            </w:hyperlink>
            <w:r w:rsidR="00FD36C9">
              <w:rPr>
                <w:rFonts w:ascii="Times New Roman" w:hAnsi="Times New Roman"/>
                <w:b/>
                <w:sz w:val="24"/>
              </w:rPr>
              <w:t>. Ugyanez a rendelet az alábbi szövegezésű 4/1. cikkel egészül ki:</w:t>
            </w:r>
            <w:r w:rsidR="00FD36C9">
              <w:rPr>
                <w:rFonts w:ascii="Times New Roman" w:hAnsi="Times New Roman"/>
                <w:b/>
                <w:sz w:val="24"/>
              </w:rPr>
              <w:br/>
              <w:t>  „4/1. cikk 1.  § A 2014/40/EU irányelv 6. cikkének (1) bekezdésével összhangban a cigaretta és a cigarettasodrásra szánt dohány forgalomba hozatala fokozott jelentéstételi kötelezettségek függvénye, amelyek a cigarettában és a cigarettasodrásra szánt dohányban található, prioritási listán szereplő bizonyos adalékanyagokra vonatkoznak.</w:t>
            </w:r>
            <w:r w:rsidR="00FD36C9">
              <w:rPr>
                <w:rFonts w:ascii="Times New Roman" w:hAnsi="Times New Roman"/>
                <w:b/>
                <w:sz w:val="24"/>
              </w:rPr>
              <w:br/>
              <w:t>  2. § Az e cikk 1. §-a szerinti prioritási listán szereplő bizonyos adalékanyagokat tartalmazó cigaretta és a cigarettasodrásra szánt dohány gyártója vagy importőre, vagy – amennyiben e kettő nem rendelkezik belgiumi székhellyel – belgiumi importőre, alapos tanulmányokat készít, amelyek célja az alábbiak vizsgálata valamennyi adalékanyag tekintetében:</w:t>
            </w:r>
            <w:r w:rsidR="00FD36C9">
              <w:rPr>
                <w:rFonts w:ascii="Times New Roman" w:hAnsi="Times New Roman"/>
                <w:b/>
                <w:sz w:val="24"/>
              </w:rPr>
              <w:br/>
              <w:t>  1. hozzájárul-e a szóban forgó termék mérgező hatásához vagy a tőle való függőséghez, és ez maga után vonja-e az érintett termékek mérgező hatásának vagy a tőlük való függőségnek a jelentős vagy mérhető növekedését;</w:t>
            </w:r>
            <w:r w:rsidR="00FD36C9">
              <w:rPr>
                <w:rFonts w:ascii="Times New Roman" w:hAnsi="Times New Roman"/>
                <w:b/>
                <w:sz w:val="24"/>
              </w:rPr>
              <w:br/>
              <w:t>  2. jellegzetes aromájú-e;</w:t>
            </w:r>
            <w:r w:rsidR="00FD36C9">
              <w:rPr>
                <w:rFonts w:ascii="Times New Roman" w:hAnsi="Times New Roman"/>
                <w:b/>
                <w:sz w:val="24"/>
              </w:rPr>
              <w:br/>
              <w:t>  3. megkönnyíti-e a nikotin belégzését vagy felszívódását;</w:t>
            </w:r>
            <w:r w:rsidR="00FD36C9">
              <w:rPr>
                <w:rFonts w:ascii="Times New Roman" w:hAnsi="Times New Roman"/>
                <w:b/>
                <w:sz w:val="24"/>
              </w:rPr>
              <w:br/>
              <w:t>  4. CMR tulajdonságokkal rendelkező anyagok képződéséhez vezet-e, milyen mennyiségben, és jelentősen vagy mérhetően növeli-e az érintett termékek CMR tulajdonságait.</w:t>
            </w:r>
            <w:r w:rsidR="00FD36C9">
              <w:rPr>
                <w:rFonts w:ascii="Times New Roman" w:hAnsi="Times New Roman"/>
                <w:b/>
                <w:sz w:val="24"/>
              </w:rPr>
              <w:br/>
              <w:t>  3. § Ezek a tanulmányok figyelembe veszik az érintett termékek tervezett felhasználását, és megvizsgálják különösen az érintett adalékanyagokat magukban foglaló égési folyamatokból származó kibocsátásokat. Megvizsgálják továbbá az adalékanyagnak az érintett termékben található más összetevőkkel való interakcióját. Az a gyártó vagy importőr, vagy – amennyiben e kettő nem rendelkezik belgiumi székhellyel – a belgiumi importőr, aki dohányalapú termékeiben ugyanazt az adalékanyagot használja, készíthet közös tanulmányt, amennyiben az adalékanyagot összehasonlítható összetételű termékekben használja.</w:t>
            </w:r>
            <w:r w:rsidR="00FD36C9">
              <w:rPr>
                <w:rFonts w:ascii="Times New Roman" w:hAnsi="Times New Roman"/>
                <w:b/>
                <w:sz w:val="24"/>
              </w:rPr>
              <w:br/>
              <w:t>  4. § A gyártónak vagy importőrnek, vagy – amennyiben e kettő nem rendelkezik belgiumi székhellyel – a belgiumi az importőrnek jelentést kell készítenie a tanulmányok eredményeiről. A jelentésnek tartalmaznia kell egy összefoglalót, és egy, az adalékanyagra vonatkozó tudományos publikációkat összegyűjtő és a hatásaira vonatkozó belső adatokat összefoglaló részletes bemutatót.</w:t>
            </w:r>
            <w:r w:rsidR="00FD36C9">
              <w:rPr>
                <w:rFonts w:ascii="Times New Roman" w:hAnsi="Times New Roman"/>
                <w:b/>
                <w:sz w:val="24"/>
              </w:rPr>
              <w:br/>
              <w:t>  A gyártónak vagy az importőrnek, vagy amennyiben az előbbi kettő nem rendelkezik belgiumi székhellyel, az importőrnek ezeket a jelentéseket legkésőbb tizennyolc hónappal az érintett adalékanyagnak az (1) bekezdés szerinti prioritási listára való felkerülését követően be kell nyújtania a Szolgálatnak. A Szolgálat az érintett adalékanyagra vonatkozóan kiegészítő információkat kérhet a gyártótól vagy importőrtől, vagy – amennyiben e kettő nem rendelkezik belgiumi székhellyel – a belgiumi importőrtől. Ezek a kiegészítő információk a jelentés elválaszthatatlan részét képezik.</w:t>
            </w:r>
            <w:r w:rsidR="00FD36C9">
              <w:rPr>
                <w:rFonts w:ascii="Times New Roman" w:hAnsi="Times New Roman"/>
                <w:b/>
                <w:sz w:val="24"/>
              </w:rPr>
              <w:br/>
              <w:t xml:space="preserve">  5. § A 2003/361/EK bizottsági ajánlás szerint meghatározott kis- és középvállalkozások mentesülnek e cikk követelményei alól, amennyiben az érintett </w:t>
            </w:r>
            <w:r w:rsidR="00FD36C9">
              <w:rPr>
                <w:rFonts w:ascii="Times New Roman" w:hAnsi="Times New Roman"/>
                <w:b/>
                <w:sz w:val="24"/>
              </w:rPr>
              <w:lastRenderedPageBreak/>
              <w:t>adalékanyagra vonatkozóan egy másik gyártó vagy importőr kidolgoz jelentést.</w:t>
            </w:r>
            <w:r w:rsidR="00FD36C9">
              <w:rPr>
                <w:rFonts w:ascii="Times New Roman" w:hAnsi="Times New Roman"/>
                <w:b/>
                <w:sz w:val="24"/>
              </w:rPr>
              <w:br/>
              <w:t>  6. § Az e cikkben meghatározott fokozott bejelentési kötelezettségnek alávetett adalékanyagok prioritási listájának összetételét a miniszter határozza meg. A miniszter kiegészítő adatokat írhat elő az e cikknek megfelelően benyújtandó tanulmány vonatkozásában.”.</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"6.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5" w:anchor="8. cikk" w:history="1">
              <w:r w:rsidR="00FD36C9">
                <w:rPr>
                  <w:rFonts w:ascii="Times New Roman" w:hAnsi="Times New Roman"/>
                  <w:b/>
                  <w:color w:val="0000FF"/>
                  <w:sz w:val="24"/>
                  <w:u w:val="single"/>
                </w:rPr>
                <w:t>7</w:t>
              </w:r>
            </w:hyperlink>
            <w:r w:rsidR="00FD36C9">
              <w:rPr>
                <w:rFonts w:ascii="Times New Roman" w:hAnsi="Times New Roman"/>
                <w:b/>
                <w:sz w:val="24"/>
              </w:rPr>
              <w:t>. Ugyanezen rendelet 5. cikke a következő szövegezésű (9) bekezdéssel egészül ki:</w:t>
            </w:r>
            <w:r w:rsidR="00FD36C9">
              <w:rPr>
                <w:rFonts w:ascii="Times New Roman" w:hAnsi="Times New Roman"/>
                <w:b/>
                <w:sz w:val="24"/>
              </w:rPr>
              <w:br/>
              <w:t>  „9. § A dohányalapú termékek illatának, ízének, füstintenzitásának vagy a kibocsátott füst színének megváltoztatását lehetővé tevő technikai elemek, mint például szűrők és papírok forgalomba hozatala tilos. Ezek az elemek nem tartalmazhatnak az e cikk (3) bekezdésében említett adalékanyagokat.”.</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"7.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6" w:anchor="9. cikk" w:history="1">
              <w:r w:rsidR="00FD36C9">
                <w:rPr>
                  <w:rFonts w:ascii="Times New Roman" w:hAnsi="Times New Roman"/>
                  <w:b/>
                  <w:color w:val="0000FF"/>
                  <w:sz w:val="24"/>
                  <w:u w:val="single"/>
                </w:rPr>
                <w:t>8</w:t>
              </w:r>
            </w:hyperlink>
            <w:r w:rsidR="00FD36C9">
              <w:rPr>
                <w:rFonts w:ascii="Times New Roman" w:hAnsi="Times New Roman"/>
                <w:b/>
                <w:sz w:val="24"/>
              </w:rPr>
              <w:t>. Ugyanezen rendelet 7. cikkének (3) bekezdésében az 1. rendelkezés helyébe az alábbi rendelkezés lép:</w:t>
            </w:r>
            <w:r w:rsidR="00FD36C9">
              <w:rPr>
                <w:rFonts w:ascii="Times New Roman" w:hAnsi="Times New Roman"/>
                <w:b/>
                <w:sz w:val="24"/>
              </w:rPr>
              <w:br/>
              <w:t>  „1. A paralelepipedon alakú csomagolású cigarettacsomagok, vízipipadohány-csomagok és cigarettasodrásra szánt dohány csomagok esetében az általános figyelmeztetés a csomagolási egység valamelyik oldalának alsó részén jelenik meg, míg az információs üzenet a másik oldal alsó részén.  Ezek az egészségvédő figyelmeztetések legalább 20 mm nagyságúak. Ez a rendelkezés azt is magában foglalja, hogy a cigarettacsomag vastagsága nem lehet 20 mm-nél kisebb.”.</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"8.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7" w:anchor="10. cikk" w:history="1">
              <w:r w:rsidR="00FD36C9">
                <w:rPr>
                  <w:rFonts w:ascii="Times New Roman" w:hAnsi="Times New Roman"/>
                  <w:b/>
                  <w:color w:val="0000FF"/>
                  <w:sz w:val="24"/>
                  <w:u w:val="single"/>
                </w:rPr>
                <w:t>9</w:t>
              </w:r>
            </w:hyperlink>
            <w:r w:rsidR="00FD36C9">
              <w:rPr>
                <w:rFonts w:ascii="Times New Roman" w:hAnsi="Times New Roman"/>
                <w:b/>
                <w:sz w:val="24"/>
              </w:rPr>
              <w:t>. Ugyanennek a rendeletnek a 8. cikke az alábbiak szerint módosul:</w:t>
            </w:r>
            <w:r w:rsidR="00FD36C9">
              <w:rPr>
                <w:rFonts w:ascii="Times New Roman" w:hAnsi="Times New Roman"/>
                <w:b/>
                <w:sz w:val="24"/>
              </w:rPr>
              <w:br/>
              <w:t>  1. a (2) bekezdésben az 1. rendelkezés helyébe az alábbi rendelkezés lép:</w:t>
            </w:r>
            <w:r w:rsidR="00FD36C9">
              <w:rPr>
                <w:rFonts w:ascii="Times New Roman" w:hAnsi="Times New Roman"/>
                <w:b/>
                <w:sz w:val="24"/>
              </w:rPr>
              <w:br/>
              <w:t>  1. a csomagolási egység és a teljes külső csomagolás első és hátsó borításának 65%-át lefedik.</w:t>
            </w:r>
            <w:r w:rsidR="00FD36C9">
              <w:rPr>
                <w:rFonts w:ascii="Times New Roman" w:hAnsi="Times New Roman"/>
                <w:b/>
                <w:sz w:val="24"/>
              </w:rPr>
              <w:br/>
              <w:t>  A hengeres csomagoláson:</w:t>
            </w:r>
            <w:r w:rsidR="00FD36C9">
              <w:rPr>
                <w:rFonts w:ascii="Times New Roman" w:hAnsi="Times New Roman"/>
                <w:b/>
                <w:sz w:val="24"/>
              </w:rPr>
              <w:br/>
              <w:t>  – a két kombinált egészségvédő figyelmeztetés egymástól egyenlő távolságra helyezkedik el, és saját domború térfelüknek külön-külön a 65%-át foglalják el.</w:t>
            </w:r>
            <w:r w:rsidR="00FD36C9">
              <w:rPr>
                <w:rFonts w:ascii="Times New Roman" w:hAnsi="Times New Roman"/>
                <w:b/>
                <w:sz w:val="24"/>
              </w:rPr>
              <w:br/>
              <w:t>  – a kombinált egészségvédő figyelmeztetések a két felületet, amelyen elhelyezik őket, teljes szélességében elfoglalják.” ;</w:t>
            </w:r>
            <w:r w:rsidR="00FD36C9">
              <w:rPr>
                <w:rFonts w:ascii="Times New Roman" w:hAnsi="Times New Roman"/>
                <w:b/>
                <w:sz w:val="24"/>
              </w:rPr>
              <w:br/>
              <w:t>  2. a (2) bekezdés 5. pontjában a „jelzések vagy logók” szavak helyébe a „jelzések” szó lép.</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"9.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8" w:anchor="11. cikk" w:history="1">
              <w:r w:rsidR="00FD36C9">
                <w:rPr>
                  <w:rFonts w:ascii="Times New Roman" w:hAnsi="Times New Roman"/>
                  <w:b/>
                  <w:color w:val="0000FF"/>
                  <w:sz w:val="24"/>
                  <w:u w:val="single"/>
                </w:rPr>
                <w:t>10</w:t>
              </w:r>
            </w:hyperlink>
            <w:r w:rsidR="00FD36C9">
              <w:rPr>
                <w:rFonts w:ascii="Times New Roman" w:hAnsi="Times New Roman"/>
                <w:b/>
                <w:sz w:val="24"/>
              </w:rPr>
              <w:t>. Ugyanezen rendelet 9. cikkének 1. §-a az alábbiak szerint módosul:</w:t>
            </w:r>
            <w:r w:rsidR="00FD36C9">
              <w:rPr>
                <w:rFonts w:ascii="Times New Roman" w:hAnsi="Times New Roman"/>
                <w:b/>
                <w:sz w:val="24"/>
              </w:rPr>
              <w:br/>
              <w:t>  1. az (1) bekezdés helyébe az alábbi rendelkezések lépnek:</w:t>
            </w:r>
            <w:r w:rsidR="00FD36C9">
              <w:rPr>
                <w:rFonts w:ascii="Times New Roman" w:hAnsi="Times New Roman"/>
                <w:b/>
                <w:sz w:val="24"/>
              </w:rPr>
              <w:br/>
              <w:t>  A cigarettától, a cigarettasodrásra szánt dohánytól és a vízipipadohánytól eltérő, dohányzásra szolgáló dohányalapú termékek mentesülnek a 7. cikk 2. és 3. §-a, illetve a 8. cikk alól.</w:t>
            </w:r>
            <w:r w:rsidR="00FD36C9">
              <w:rPr>
                <w:rFonts w:ascii="Times New Roman" w:hAnsi="Times New Roman"/>
                <w:b/>
                <w:sz w:val="24"/>
              </w:rPr>
              <w:br/>
              <w:t>  2. a (2) bekezdés az alábbi mondatokkal egészül ki:</w:t>
            </w:r>
            <w:r w:rsidR="00FD36C9">
              <w:rPr>
                <w:rFonts w:ascii="Times New Roman" w:hAnsi="Times New Roman"/>
                <w:b/>
                <w:sz w:val="24"/>
              </w:rPr>
              <w:br/>
              <w:t>  „Ez a hivatkozás tartalmazza a »Szokjon le a dohányzásról!« szolgálat telefonszámát (0800 11100 ) és a következő címeket: www.tabacstop.be - www.tabakstop.be. A dohányzásról való leszokás segélyszolgálatára való hivatkozás fontkészlete méretének meg kell egyeznie az általános figyelmeztetés fontkészletének méretével. ”.</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"10.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19" w:anchor="12. cikk" w:history="1">
              <w:r w:rsidR="00FD36C9">
                <w:rPr>
                  <w:rFonts w:ascii="Times New Roman" w:hAnsi="Times New Roman"/>
                  <w:b/>
                  <w:color w:val="0000FF"/>
                  <w:sz w:val="24"/>
                  <w:u w:val="single"/>
                </w:rPr>
                <w:t>11</w:t>
              </w:r>
            </w:hyperlink>
            <w:r w:rsidR="00FD36C9">
              <w:rPr>
                <w:rFonts w:ascii="Times New Roman" w:hAnsi="Times New Roman"/>
                <w:b/>
                <w:sz w:val="24"/>
              </w:rPr>
              <w:t>. Ugyanennek a rendeletnek a 11. cikke az alábbiak szerint módosul:</w:t>
            </w:r>
            <w:r w:rsidR="00FD36C9">
              <w:rPr>
                <w:rFonts w:ascii="Times New Roman" w:hAnsi="Times New Roman"/>
                <w:b/>
                <w:sz w:val="24"/>
              </w:rPr>
              <w:br/>
              <w:t>  1. a (2) bekezdés az alábbi mondattal egészül ki:</w:t>
            </w:r>
            <w:r w:rsidR="00FD36C9">
              <w:rPr>
                <w:rFonts w:ascii="Times New Roman" w:hAnsi="Times New Roman"/>
                <w:b/>
                <w:sz w:val="24"/>
              </w:rPr>
              <w:br/>
              <w:t>  „Az adójegyen feltüntetett ár kivételével az ár bármilyen egyéb feltüntetése tilos.”;</w:t>
            </w:r>
            <w:r w:rsidR="00FD36C9">
              <w:rPr>
                <w:rFonts w:ascii="Times New Roman" w:hAnsi="Times New Roman"/>
                <w:b/>
                <w:sz w:val="24"/>
              </w:rPr>
              <w:br/>
              <w:t>  2. a cikk az alábbi szövegezésű (4) és (5) bekezdéssel egészül ki:</w:t>
            </w:r>
            <w:r w:rsidR="00FD36C9">
              <w:rPr>
                <w:rFonts w:ascii="Times New Roman" w:hAnsi="Times New Roman"/>
                <w:b/>
                <w:sz w:val="24"/>
              </w:rPr>
              <w:br/>
              <w:t xml:space="preserve">  „4. § E cikk rendelkezéseinek alkalmazásában a miniszter meghatározhatja a </w:t>
            </w:r>
            <w:r w:rsidR="00FD36C9">
              <w:rPr>
                <w:rFonts w:ascii="Times New Roman" w:hAnsi="Times New Roman"/>
                <w:b/>
                <w:sz w:val="24"/>
              </w:rPr>
              <w:lastRenderedPageBreak/>
              <w:t>dohányalapú termékek tiltott jelzéseinek listáját akkor is, ha ezek a dohányalapú termékek már forgalomban vannak. A tiltott jelzések forgalomba hozatalának megállítása érdekében egy éves átmenetei időszakot határoznak meg. A miniszter meghatározza, hogy milyen eljárást kell követni annak érdekében, hogy egy dohányalapú terméket felvegyenek a tiltott márkák listájára. A miniszter a forgalomba még nem hozott dohányalapú termékek jelölésére vonatkozóan engedélyezési eljárást határozhat meg. ”.</w:t>
            </w:r>
            <w:r w:rsidR="00FD36C9">
              <w:rPr>
                <w:rFonts w:ascii="Times New Roman" w:hAnsi="Times New Roman"/>
                <w:b/>
                <w:sz w:val="24"/>
              </w:rPr>
              <w:br/>
              <w:t>  5. „E cikk rendelkezései az olyan technikai elemekre vonatkoznak, mint például a szűrők és papírok, amelyek lehetővé teszik a dohányalapú termékek fogyasztását vagy amelyek növelik az e termékek fogyasztásának arányát.”.</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"11.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0" w:anchor="13. cikk" w:history="1">
              <w:r w:rsidR="00FD36C9">
                <w:rPr>
                  <w:rFonts w:ascii="Times New Roman" w:hAnsi="Times New Roman"/>
                  <w:b/>
                  <w:color w:val="0000FF"/>
                  <w:sz w:val="24"/>
                  <w:u w:val="single"/>
                </w:rPr>
                <w:t>12</w:t>
              </w:r>
            </w:hyperlink>
            <w:r w:rsidR="00FD36C9">
              <w:rPr>
                <w:rFonts w:ascii="Times New Roman" w:hAnsi="Times New Roman"/>
                <w:b/>
                <w:sz w:val="24"/>
              </w:rPr>
              <w:t>. Ugyanennek a rendeletnek a 12. cikke az alábbi (3) bekezdéssel egészül ki:</w:t>
            </w:r>
            <w:r w:rsidR="00FD36C9">
              <w:rPr>
                <w:rFonts w:ascii="Times New Roman" w:hAnsi="Times New Roman"/>
                <w:b/>
                <w:sz w:val="24"/>
              </w:rPr>
              <w:br/>
              <w:t>  „3. § Valamennyi forgalomba hozott dohányalapú terméknek és növényalapú dohányterméknek csomagoltnak kell lennie, vagy külső csomagolással kell rendelkeznie.”.</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"12.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1" w:anchor="14. cikk" w:history="1">
              <w:r w:rsidR="00FD36C9">
                <w:rPr>
                  <w:rFonts w:ascii="Times New Roman" w:hAnsi="Times New Roman"/>
                  <w:b/>
                  <w:color w:val="0000FF"/>
                  <w:sz w:val="24"/>
                  <w:u w:val="single"/>
                </w:rPr>
                <w:t>13</w:t>
              </w:r>
            </w:hyperlink>
            <w:r w:rsidR="00FD36C9">
              <w:rPr>
                <w:rFonts w:ascii="Times New Roman" w:hAnsi="Times New Roman"/>
                <w:b/>
                <w:sz w:val="24"/>
              </w:rPr>
              <w:t>. Ugyanennek a rendeletnek a 13. cikke helyébe az alábbiak lépnek:</w:t>
            </w:r>
            <w:r w:rsidR="00FD36C9">
              <w:rPr>
                <w:rFonts w:ascii="Times New Roman" w:hAnsi="Times New Roman"/>
                <w:b/>
                <w:sz w:val="24"/>
              </w:rPr>
              <w:br/>
              <w:t>  „13. cikk A dohányalapú termékek, növényalapú dohánytermékek és készülékek fogyasztók számára történő távértékesítése és fogyasztók általi távolról történő megvásárlása tilos.</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"13.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2" w:anchor="15. cikk" w:history="1">
              <w:r w:rsidR="00FD36C9">
                <w:rPr>
                  <w:rFonts w:ascii="Times New Roman" w:hAnsi="Times New Roman"/>
                  <w:b/>
                  <w:color w:val="0000FF"/>
                  <w:sz w:val="24"/>
                  <w:u w:val="single"/>
                </w:rPr>
                <w:t>14</w:t>
              </w:r>
            </w:hyperlink>
            <w:r w:rsidR="00FD36C9">
              <w:rPr>
                <w:rFonts w:ascii="Times New Roman" w:hAnsi="Times New Roman"/>
                <w:b/>
                <w:sz w:val="24"/>
              </w:rPr>
              <w:t>. Ugyanennek a rendeletnek a 14. cikke helyébe az alábbiak lépnek:</w:t>
            </w:r>
            <w:r w:rsidR="00FD36C9">
              <w:rPr>
                <w:rFonts w:ascii="Times New Roman" w:hAnsi="Times New Roman"/>
                <w:b/>
                <w:sz w:val="24"/>
              </w:rPr>
              <w:br/>
              <w:t>  „14. cikk 1. Az új dohányalapú termékeket gyártók vagy ezen termékek importőrei, vagy amennyiben az előbbi kettő nem rendelkezik belgiumi székhellyel, a termékek importőrei, hat hónappal a forgalomba hozatal tervezett időpontja előtt elektronikus formában értesítik a Szolgálatot. A bejelentés elektronikus formában történik. Részét képezi az érintett új dohányalapú termék részletes leírása, valamint annak használati útmutatója és az összetevőire és a kibocsátásaira vonatkozó, a 4. cikk szerint előírt információk.</w:t>
            </w:r>
            <w:r w:rsidR="00FD36C9">
              <w:rPr>
                <w:rFonts w:ascii="Times New Roman" w:hAnsi="Times New Roman"/>
                <w:b/>
                <w:sz w:val="24"/>
              </w:rPr>
              <w:br/>
              <w:t>  2. Azoknak az új dohányalapú termékeket gyártóknak vagy a termékek importőreinek, vagy amennyiben az előbbi kettő nem rendelkezik belgiumi székhellyel, a termékek importőreinek, amelyek egy új dohányalapú termékről értesítést nyújtanak be, az alábbiakat is közölniük kell a Szolgálattal:</w:t>
            </w:r>
            <w:r w:rsidR="00FD36C9">
              <w:rPr>
                <w:rFonts w:ascii="Times New Roman" w:hAnsi="Times New Roman"/>
                <w:b/>
                <w:sz w:val="24"/>
              </w:rPr>
              <w:br/>
              <w:t>  1. az új dohányalapú termék mérgező és függőséget kiváltó hatására, illetve vonzó mivoltára vonatkozóan elérthető tudományos tanulmányok, különösen az összetevőire és kibocsátásaira vonatkozóan;</w:t>
            </w:r>
            <w:r w:rsidR="00FD36C9">
              <w:rPr>
                <w:rFonts w:ascii="Times New Roman" w:hAnsi="Times New Roman"/>
                <w:b/>
                <w:sz w:val="24"/>
              </w:rPr>
              <w:br/>
              <w:t>  2. a különböző fogyasztói csoportok (ideértve a fiatalokat és a jelenlegi dohányosokat is) preferenciáira vonatkozóan elérhető tanulmányok, ezek összefoglalása és a piaci elemzések;</w:t>
            </w:r>
            <w:r w:rsidR="00FD36C9">
              <w:rPr>
                <w:rFonts w:ascii="Times New Roman" w:hAnsi="Times New Roman"/>
                <w:b/>
                <w:sz w:val="24"/>
              </w:rPr>
              <w:br/>
              <w:t>  3. egyéb elérhető hasznos információk, nevezetesen a termék kockázat-/haszonelemzése, a dohányfogyasztás megtorpanása tekintetében várható hatásai, a dohányfogyasztás kezdeményezésére vonatkozóan várható hatásai, valamint a fogyasztók gondolkodásmódjára vonatkozó előrejelzések.</w:t>
            </w:r>
            <w:r w:rsidR="00FD36C9">
              <w:rPr>
                <w:rFonts w:ascii="Times New Roman" w:hAnsi="Times New Roman"/>
                <w:b/>
                <w:sz w:val="24"/>
              </w:rPr>
              <w:br/>
              <w:t>  3. Az új dohányalapú termékek gyártói vagy importőrei, vagy amennyiben az előbbi kettő nem rendelkezik belgiumi székhellyel, a termékek importőrei a (2) bekezdés 1–3. pontjában szereplő tanulmányokra, kutatásokra és egyéb információkra vonatkozó minden új és aktuális információt benyújtanak a Szolgálatnak. A Szolgálat előírhatja az új dohányalapú termékek gyártója vagy importőre számára, vagy amennyiben az előbbi kettő nem rendelkezik belgiumi székhellyel, a termékek importőre számára, hogy végezzen kiegészítő vizsgálatokat, vagy mutasson be kiegészítő információkat.</w:t>
            </w:r>
            <w:r w:rsidR="00FD36C9">
              <w:rPr>
                <w:rFonts w:ascii="Times New Roman" w:hAnsi="Times New Roman"/>
                <w:b/>
                <w:sz w:val="24"/>
              </w:rPr>
              <w:br/>
            </w:r>
            <w:r w:rsidR="00FD36C9">
              <w:rPr>
                <w:rFonts w:ascii="Times New Roman" w:hAnsi="Times New Roman"/>
                <w:b/>
                <w:sz w:val="24"/>
              </w:rPr>
              <w:lastRenderedPageBreak/>
              <w:t>  4. A gyártó vagy importőr, vagy amennyiben az előbbi kettő nem rendelkezik belgiumi székhellyel, az importőr a Szolgálatnak bejelentett minden új termék után elküldi a Szolgálat felé teljesített 4000 eurós befizetés igazolását. Ez a díj nem visszatéríthető.</w:t>
            </w:r>
            <w:r w:rsidR="00FD36C9">
              <w:rPr>
                <w:rFonts w:ascii="Times New Roman" w:hAnsi="Times New Roman"/>
                <w:b/>
                <w:sz w:val="24"/>
              </w:rPr>
              <w:br/>
              <w:t>  5. Az e rendelet 3., 4., 5., 6., 11. cikkének, 12. cikke 3 §-ának és 13. cikkének rendelkezései alkalmazandók az új dohányalapú termékekre. A miniszter határozza meg, hogy a 7., 8., 9. és 10. cikk rendelkezései közül melyek alkalmazandók az új dohányalapú termékekre. Ezeket a Szolgálat továbbítja a kérelmezőnek.</w:t>
            </w:r>
            <w:r w:rsidR="00FD36C9">
              <w:rPr>
                <w:rFonts w:ascii="Times New Roman" w:hAnsi="Times New Roman"/>
                <w:b/>
                <w:sz w:val="24"/>
              </w:rPr>
              <w:br/>
              <w:t>  6. § E cikk rendelkezései a készülékekre vonatkoznak.”.</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"14.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3" w:anchor="16. cikk" w:history="1">
              <w:r w:rsidR="00FD36C9">
                <w:rPr>
                  <w:rFonts w:ascii="Times New Roman" w:hAnsi="Times New Roman"/>
                  <w:b/>
                  <w:color w:val="0000FF"/>
                  <w:sz w:val="24"/>
                  <w:u w:val="single"/>
                </w:rPr>
                <w:t>15</w:t>
              </w:r>
            </w:hyperlink>
            <w:r w:rsidR="00FD36C9">
              <w:rPr>
                <w:rFonts w:ascii="Times New Roman" w:hAnsi="Times New Roman"/>
                <w:b/>
                <w:sz w:val="24"/>
              </w:rPr>
              <w:t>. Ugyanennek a rendeletnek a 15. cikke az alábbiak szerint módosul:</w:t>
            </w:r>
            <w:r w:rsidR="00FD36C9">
              <w:rPr>
                <w:rFonts w:ascii="Times New Roman" w:hAnsi="Times New Roman"/>
                <w:b/>
                <w:sz w:val="24"/>
              </w:rPr>
              <w:br/>
              <w:t>  1. a (3) bekezdésben az „5. cikk” szavak helyébe a „7. cikk” szavak lépnek;</w:t>
            </w:r>
            <w:r w:rsidR="00FD36C9">
              <w:rPr>
                <w:rFonts w:ascii="Times New Roman" w:hAnsi="Times New Roman"/>
                <w:b/>
                <w:sz w:val="24"/>
              </w:rPr>
              <w:br/>
              <w:t>  2. a (4) bekezdés helyébe az alábbi rendelkezések lépnek:</w:t>
            </w:r>
            <w:r w:rsidR="00FD36C9">
              <w:rPr>
                <w:rFonts w:ascii="Times New Roman" w:hAnsi="Times New Roman"/>
                <w:b/>
                <w:sz w:val="24"/>
              </w:rPr>
              <w:br/>
              <w:t>  „4. A növényalapú dohánytermékek csomagolási egysége és teljes külső csomagolása nem tartalmazhat a 11. cikk 1. §-a 1., 2. és 4. pontjában említett elemeket, és nem lehet rajta feltüntetni, hogy a termék adalékanyag- vagy aromamentes.”</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"15.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4" w:anchor="17. cikk" w:history="1">
              <w:r w:rsidR="00FD36C9">
                <w:rPr>
                  <w:rFonts w:ascii="Times New Roman" w:hAnsi="Times New Roman"/>
                  <w:b/>
                  <w:color w:val="0000FF"/>
                  <w:sz w:val="24"/>
                  <w:u w:val="single"/>
                </w:rPr>
                <w:t>16</w:t>
              </w:r>
            </w:hyperlink>
            <w:r w:rsidR="00FD36C9">
              <w:rPr>
                <w:rFonts w:ascii="Times New Roman" w:hAnsi="Times New Roman"/>
                <w:b/>
                <w:sz w:val="24"/>
              </w:rPr>
              <w:t>. Ugyanennek a rendeletnek a 16. cikke az alábbiak szerint módosul:</w:t>
            </w:r>
            <w:r w:rsidR="00FD36C9">
              <w:rPr>
                <w:rFonts w:ascii="Times New Roman" w:hAnsi="Times New Roman"/>
                <w:b/>
                <w:sz w:val="24"/>
              </w:rPr>
              <w:br/>
              <w:t>  1. az (1) bekezdés helyébe az alábbi rendelkezések lépnek:</w:t>
            </w:r>
            <w:r w:rsidR="00FD36C9">
              <w:rPr>
                <w:rFonts w:ascii="Times New Roman" w:hAnsi="Times New Roman"/>
                <w:b/>
                <w:sz w:val="24"/>
              </w:rPr>
              <w:br/>
              <w:t>  „1. § A növényalapú dohánytermék gyártója vagy importőre, vagy amennyiben az előbbi kettő nem rendelkezik belgiumi székhellyel, a termék importőre a Szolgálat rendelkezésére bocsát egy, a szóban forgó termékek gyártása során használt valamennyi összetevőt (a mennyiségeikkel együtt) tartalmazó listát, jelölésenként és típusonként. Amikor egy termék összetétele oly módon módosul, hogy az kihat az e cikk értelmében biztosított információkra, a gyártó vagy importőr, vagy a belgiumi importőr erről is értesíti a Szolgálatot. Az e cikk értelmében előírt információkat az új vagy módosított növényalapú termék forgalomba hozatala előtt közölni kell. ”</w:t>
            </w:r>
            <w:r w:rsidR="00FD36C9">
              <w:rPr>
                <w:rFonts w:ascii="Times New Roman" w:hAnsi="Times New Roman"/>
                <w:b/>
                <w:sz w:val="24"/>
              </w:rPr>
              <w:br/>
              <w:t>  2. a cikk az alábbi (3) bekezdéssel egészül ki:</w:t>
            </w:r>
            <w:r w:rsidR="00FD36C9">
              <w:rPr>
                <w:rFonts w:ascii="Times New Roman" w:hAnsi="Times New Roman"/>
                <w:b/>
                <w:sz w:val="24"/>
              </w:rPr>
              <w:br/>
              <w:t>  „3. A gyártó vagy importőr, vagy amennyiben az előbbi kettő nem rendelkezik belgiumi székhellyel, az importőr a Szolgálatnak bejelentett minden új termék, vagy minden összetételben bekövetkezett változás után elküldi a Szolgálat felé teljesített 165 eurós befizetés igazolását. Ez a díj nem visszatéríthető.”.</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"16.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5" w:anchor="18. cikk" w:history="1">
              <w:r w:rsidR="00FD36C9">
                <w:rPr>
                  <w:rFonts w:ascii="Times New Roman" w:hAnsi="Times New Roman"/>
                  <w:b/>
                  <w:color w:val="0000FF"/>
                  <w:sz w:val="24"/>
                  <w:u w:val="single"/>
                </w:rPr>
                <w:t>17</w:t>
              </w:r>
            </w:hyperlink>
            <w:r w:rsidR="00FD36C9">
              <w:rPr>
                <w:rFonts w:ascii="Times New Roman" w:hAnsi="Times New Roman"/>
                <w:b/>
                <w:sz w:val="24"/>
              </w:rPr>
              <w:t>. Ugyanezen rendelet 17. cikkének (1) bekezdésében a „dohánytermékek” szó helyébe a „termékek” szó lép.</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"17.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6" w:anchor="19. cikk" w:history="1">
              <w:r w:rsidR="00FD36C9">
                <w:rPr>
                  <w:rFonts w:ascii="Times New Roman" w:hAnsi="Times New Roman"/>
                  <w:b/>
                  <w:color w:val="0000FF"/>
                  <w:sz w:val="24"/>
                  <w:u w:val="single"/>
                </w:rPr>
                <w:t>18</w:t>
              </w:r>
            </w:hyperlink>
            <w:r w:rsidR="00FD36C9">
              <w:rPr>
                <w:rFonts w:ascii="Times New Roman" w:hAnsi="Times New Roman"/>
                <w:b/>
                <w:sz w:val="24"/>
              </w:rPr>
              <w:t>. E rendelet 9. cikke és 10. cikkének 2. pontja 2020. január 1-jén lép hatályba.</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"18. cikk"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cikk</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E rendelet végrehajtásáért a gazdasági miniszter, a közegészségügyi miniszter és a kis- és középvállalkozásokért felelős miniszter – mindegyikük az őt érintő kérdésekben – felel.</w:t>
            </w:r>
          </w:p>
        </w:tc>
      </w:tr>
    </w:tbl>
    <w:p w14:paraId="1B877468"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51"/>
        <w:gridCol w:w="797"/>
        <w:gridCol w:w="1837"/>
        <w:gridCol w:w="625"/>
      </w:tblGrid>
      <w:tr w:rsidR="00FD36C9" w:rsidRPr="00FD36C9" w14:paraId="1362B2C0"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36897666"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Aláírás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28FFEDF"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27" w:anchor="szöveg" w:history="1">
              <w:r w:rsidR="00FD36C9">
                <w:rPr>
                  <w:rFonts w:ascii="Times New Roman" w:hAnsi="Times New Roman"/>
                  <w:b/>
                  <w:color w:val="0000FF"/>
                  <w:sz w:val="24"/>
                  <w:u w:val="single"/>
                </w:rPr>
                <w:t>Szöveg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31865A"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28" w:anchor="tartalomjegyzék" w:history="1">
              <w:r w:rsidR="00FD36C9">
                <w:rPr>
                  <w:rFonts w:ascii="Times New Roman" w:hAnsi="Times New Roman"/>
                  <w:b/>
                  <w:color w:val="0000FF"/>
                  <w:sz w:val="24"/>
                  <w:u w:val="single"/>
                </w:rPr>
                <w:t>Tartalomjegyzék</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BFC26A0"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29" w:anchor="teteje" w:history="1">
              <w:r w:rsidR="00FD36C9">
                <w:rPr>
                  <w:rFonts w:ascii="Times New Roman" w:hAnsi="Times New Roman"/>
                  <w:b/>
                  <w:color w:val="0000FF"/>
                  <w:sz w:val="24"/>
                  <w:u w:val="single"/>
                </w:rPr>
                <w:t xml:space="preserve">Eleje </w:t>
              </w:r>
            </w:hyperlink>
          </w:p>
        </w:tc>
      </w:tr>
      <w:tr w:rsidR="00FD36C9" w:rsidRPr="00FD36C9" w14:paraId="07C19A31"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C703582" w14:textId="710FD0E0"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Kiadva: Brüsszel, 2019. április 26.</w:t>
            </w:r>
            <w:r>
              <w:rPr>
                <w:rFonts w:ascii="Times New Roman" w:hAnsi="Times New Roman"/>
                <w:b/>
                <w:sz w:val="24"/>
              </w:rPr>
              <w:br/>
              <w:t>FÜLÖP</w:t>
            </w:r>
            <w:r w:rsidR="004E4D21">
              <w:rPr>
                <w:rFonts w:ascii="Times New Roman" w:hAnsi="Times New Roman"/>
                <w:b/>
                <w:sz w:val="24"/>
              </w:rPr>
              <w:br/>
            </w:r>
            <w:r>
              <w:rPr>
                <w:rFonts w:ascii="Times New Roman" w:hAnsi="Times New Roman"/>
                <w:b/>
                <w:sz w:val="24"/>
              </w:rPr>
              <w:t>A király nevében:</w:t>
            </w:r>
            <w:r>
              <w:rPr>
                <w:rFonts w:ascii="Times New Roman" w:hAnsi="Times New Roman"/>
                <w:b/>
                <w:sz w:val="24"/>
              </w:rPr>
              <w:br/>
              <w:t>A gazdasági miniszter,</w:t>
            </w:r>
            <w:r w:rsidR="004E4D21">
              <w:rPr>
                <w:rFonts w:ascii="Times New Roman" w:hAnsi="Times New Roman"/>
                <w:b/>
                <w:sz w:val="24"/>
              </w:rPr>
              <w:br/>
            </w:r>
            <w:r>
              <w:rPr>
                <w:rFonts w:ascii="Times New Roman" w:hAnsi="Times New Roman"/>
                <w:b/>
                <w:sz w:val="24"/>
              </w:rPr>
              <w:t>K. PEETERS</w:t>
            </w:r>
            <w:r w:rsidR="004E4D21">
              <w:rPr>
                <w:rFonts w:ascii="Times New Roman" w:hAnsi="Times New Roman"/>
                <w:b/>
                <w:sz w:val="24"/>
              </w:rPr>
              <w:br/>
            </w:r>
            <w:r>
              <w:rPr>
                <w:rFonts w:ascii="Times New Roman" w:hAnsi="Times New Roman"/>
                <w:b/>
                <w:sz w:val="24"/>
              </w:rPr>
              <w:lastRenderedPageBreak/>
              <w:t>Az egészségügyi miniszter,</w:t>
            </w:r>
            <w:r w:rsidR="004E4D21">
              <w:rPr>
                <w:rFonts w:ascii="Times New Roman" w:hAnsi="Times New Roman"/>
                <w:b/>
                <w:sz w:val="24"/>
              </w:rPr>
              <w:br/>
            </w:r>
            <w:r>
              <w:rPr>
                <w:rFonts w:ascii="Times New Roman" w:hAnsi="Times New Roman"/>
                <w:b/>
                <w:sz w:val="24"/>
              </w:rPr>
              <w:t>M. DE BLOCK</w:t>
            </w:r>
            <w:r w:rsidR="004E4D21">
              <w:rPr>
                <w:rFonts w:ascii="Times New Roman" w:hAnsi="Times New Roman"/>
                <w:b/>
                <w:sz w:val="24"/>
              </w:rPr>
              <w:br/>
            </w:r>
            <w:r>
              <w:rPr>
                <w:rFonts w:ascii="Times New Roman" w:hAnsi="Times New Roman"/>
                <w:b/>
                <w:sz w:val="24"/>
              </w:rPr>
              <w:t>A kis- és középvállalkozásokért felelős miniszter,</w:t>
            </w:r>
            <w:r w:rsidR="004E4D21">
              <w:rPr>
                <w:rFonts w:ascii="Times New Roman" w:hAnsi="Times New Roman"/>
                <w:b/>
                <w:sz w:val="24"/>
              </w:rPr>
              <w:br/>
            </w:r>
            <w:r>
              <w:rPr>
                <w:rFonts w:ascii="Times New Roman" w:hAnsi="Times New Roman"/>
                <w:b/>
                <w:sz w:val="24"/>
              </w:rPr>
              <w:t>D. DUCARME</w:t>
            </w:r>
          </w:p>
        </w:tc>
      </w:tr>
    </w:tbl>
    <w:p w14:paraId="2944F4BD"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49"/>
        <w:gridCol w:w="904"/>
        <w:gridCol w:w="1837"/>
        <w:gridCol w:w="920"/>
      </w:tblGrid>
      <w:tr w:rsidR="00FD36C9" w:rsidRPr="00FD36C9" w14:paraId="2BF88825"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556DAD35"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Bevezetés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9AAD15"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30" w:anchor="szöveg" w:history="1">
              <w:r w:rsidR="00FD36C9">
                <w:rPr>
                  <w:rFonts w:ascii="Times New Roman" w:hAnsi="Times New Roman"/>
                  <w:b/>
                  <w:color w:val="0000FF"/>
                  <w:sz w:val="24"/>
                  <w:u w:val="single"/>
                </w:rPr>
                <w:t>Szöveg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7EEEEE0"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31" w:anchor="tartalomjegyzék" w:history="1">
              <w:r w:rsidR="00FD36C9">
                <w:rPr>
                  <w:rFonts w:ascii="Times New Roman" w:hAnsi="Times New Roman"/>
                  <w:b/>
                  <w:color w:val="0000FF"/>
                  <w:sz w:val="24"/>
                  <w:u w:val="single"/>
                </w:rPr>
                <w:t>Tartalomjegyzék</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4EBEC0"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32" w:anchor="teteje" w:history="1">
              <w:r w:rsidR="00FD36C9">
                <w:rPr>
                  <w:rFonts w:ascii="Times New Roman" w:hAnsi="Times New Roman"/>
                  <w:b/>
                  <w:color w:val="0000FF"/>
                  <w:sz w:val="24"/>
                  <w:u w:val="single"/>
                </w:rPr>
                <w:t xml:space="preserve">Eleje </w:t>
              </w:r>
            </w:hyperlink>
          </w:p>
        </w:tc>
      </w:tr>
      <w:tr w:rsidR="00FD36C9" w:rsidRPr="00FD36C9" w14:paraId="22DF7C67"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88BB659"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Fülöp, a belgák királya, Mindazoknak, akik jelen vannak és akik jönnek, üdvözlet!</w:t>
            </w:r>
            <w:r>
              <w:rPr>
                <w:rFonts w:ascii="Times New Roman" w:hAnsi="Times New Roman"/>
                <w:b/>
                <w:sz w:val="24"/>
              </w:rPr>
              <w:br/>
              <w:t>   Tekintettel az élelmiszerek és egyéb termékek fogyasztói egészségének védelméről szóló 1977. január 24-i törvényre, az 1989. március 22-i törvénnyel módosított 6. cikk 1. §-ának a) pontjára, az 1994. február 9-i törvénnyel felváltott 10. cikk 1. §-ára, valamint a 2014. április 10-i törvénnyel felváltott 3. §-ra, valamint az 1989. március 22-i törvénnyel felváltott és a 2003. december 22-i törvénnyel módosított 18. cikk 1. §-ára;</w:t>
            </w:r>
            <w:r>
              <w:rPr>
                <w:rFonts w:ascii="Times New Roman" w:hAnsi="Times New Roman"/>
                <w:b/>
                <w:sz w:val="24"/>
              </w:rPr>
              <w:br/>
              <w:t>   tekintettel a dohánytermékek gyártásáról és forgalomba hozataláról szóló, 2016. február 5-i királyi rendeletre;</w:t>
            </w:r>
            <w:r>
              <w:rPr>
                <w:rFonts w:ascii="Times New Roman" w:hAnsi="Times New Roman"/>
                <w:b/>
                <w:sz w:val="24"/>
              </w:rPr>
              <w:br/>
              <w:t>   tekintettel a műszaki szabályokkal és az információs társadalom szolgáltatásaira vonatkozó szabályokkal kapcsolatos információszolgáltatási eljárás megállapításáról szóló, 2015. szeptember 9-i (EU) 2015/1535 európai parlamenti és tanácsi irányelv 5. cikke (1) bekezdésének megfelelően az Európai Bizottság részére 2018. március 7-én megküldött értesítésre;</w:t>
            </w:r>
            <w:r>
              <w:rPr>
                <w:rFonts w:ascii="Times New Roman" w:hAnsi="Times New Roman"/>
                <w:b/>
                <w:sz w:val="24"/>
              </w:rPr>
              <w:br/>
              <w:t>   tekintettel a pénzügyi ellenőrök 2018. szeptember 6-án és 2019. március 13-án kiadott véleményére;</w:t>
            </w:r>
            <w:r>
              <w:rPr>
                <w:rFonts w:ascii="Times New Roman" w:hAnsi="Times New Roman"/>
                <w:b/>
                <w:sz w:val="24"/>
              </w:rPr>
              <w:br/>
              <w:t>   tekintettel a költségvetési miniszter 2019. április 2-i megállapodására;</w:t>
            </w:r>
            <w:r>
              <w:rPr>
                <w:rFonts w:ascii="Times New Roman" w:hAnsi="Times New Roman"/>
                <w:b/>
                <w:sz w:val="24"/>
              </w:rPr>
              <w:br/>
              <w:t>   tekintettel az Államtanács 2019. március 20-án az Államtanácsról szóló, 1973. január 12-én egységes szerkezetbe foglalt törvények 84. cikke 1. §-a (1) bekezdésének 2. pontja alapján kiadott 65.468/3. sz. véleményére;</w:t>
            </w:r>
            <w:r>
              <w:rPr>
                <w:rFonts w:ascii="Times New Roman" w:hAnsi="Times New Roman"/>
                <w:b/>
                <w:sz w:val="24"/>
              </w:rPr>
              <w:br/>
              <w:t>   A gazdasági miniszter, a közegészségügyi miniszter és az önálló vállalkozókért felelős miniszter javaslata alapján elrendeltük és ezennel elrendeljük:</w:t>
            </w:r>
          </w:p>
        </w:tc>
      </w:tr>
    </w:tbl>
    <w:p w14:paraId="72B44FDC"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49"/>
        <w:gridCol w:w="904"/>
        <w:gridCol w:w="1837"/>
        <w:gridCol w:w="920"/>
      </w:tblGrid>
      <w:tr w:rsidR="00FD36C9" w:rsidRPr="00FD36C9" w14:paraId="5BA2E9FD"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0A689FF7"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Jelentés a királynak</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ACD6FB7"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33" w:anchor="szöveg" w:history="1">
              <w:r w:rsidR="00FD36C9">
                <w:rPr>
                  <w:rFonts w:ascii="Times New Roman" w:hAnsi="Times New Roman"/>
                  <w:b/>
                  <w:color w:val="0000FF"/>
                  <w:sz w:val="24"/>
                  <w:u w:val="single"/>
                </w:rPr>
                <w:t>Szöveg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43A708"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34" w:anchor="tartalomjegyzék" w:history="1">
              <w:r w:rsidR="00FD36C9">
                <w:rPr>
                  <w:rFonts w:ascii="Times New Roman" w:hAnsi="Times New Roman"/>
                  <w:b/>
                  <w:color w:val="0000FF"/>
                  <w:sz w:val="24"/>
                  <w:u w:val="single"/>
                </w:rPr>
                <w:t>Tartalomjegyzék</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C6BB8F2" w14:textId="77777777" w:rsidR="00FD36C9" w:rsidRPr="00FD36C9" w:rsidRDefault="00BF0158" w:rsidP="00FD36C9">
            <w:pPr>
              <w:spacing w:after="0" w:line="240" w:lineRule="auto"/>
              <w:jc w:val="center"/>
              <w:rPr>
                <w:rFonts w:ascii="Times New Roman" w:eastAsia="Times New Roman" w:hAnsi="Times New Roman" w:cs="Times New Roman"/>
                <w:b/>
                <w:bCs/>
                <w:sz w:val="24"/>
                <w:szCs w:val="24"/>
              </w:rPr>
            </w:pPr>
            <w:hyperlink r:id="rId35" w:anchor="teteje" w:history="1">
              <w:r w:rsidR="00FD36C9">
                <w:rPr>
                  <w:rFonts w:ascii="Times New Roman" w:hAnsi="Times New Roman"/>
                  <w:b/>
                  <w:color w:val="0000FF"/>
                  <w:sz w:val="24"/>
                  <w:u w:val="single"/>
                </w:rPr>
                <w:t xml:space="preserve">Eleje </w:t>
              </w:r>
            </w:hyperlink>
          </w:p>
        </w:tc>
      </w:tr>
      <w:tr w:rsidR="00FD36C9" w:rsidRPr="00FD36C9" w14:paraId="17070D94"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3F77318" w14:textId="385EB38C"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JELENTÉS A KIRÁLYNAK</w:t>
            </w:r>
            <w:r w:rsidR="0019320D">
              <w:rPr>
                <w:rFonts w:ascii="Times New Roman" w:hAnsi="Times New Roman"/>
                <w:b/>
                <w:sz w:val="24"/>
              </w:rPr>
              <w:br/>
            </w:r>
            <w:r>
              <w:rPr>
                <w:rFonts w:ascii="Times New Roman" w:hAnsi="Times New Roman"/>
                <w:b/>
                <w:sz w:val="24"/>
              </w:rPr>
              <w:t>Felség,</w:t>
            </w:r>
            <w:r>
              <w:rPr>
                <w:rFonts w:ascii="Times New Roman" w:hAnsi="Times New Roman"/>
                <w:b/>
                <w:sz w:val="24"/>
              </w:rPr>
              <w:br/>
              <w:t>E királyi rendelettervezet célja a dohánytermékek gyártásáról és forgalomba hozataláról szóló, 2016. február 5-i királyi rendelet módosítása, amely részben ülteti át a 2014/40/EU irányelvet.</w:t>
            </w:r>
            <w:r>
              <w:rPr>
                <w:rFonts w:ascii="Times New Roman" w:hAnsi="Times New Roman"/>
                <w:b/>
                <w:sz w:val="24"/>
              </w:rPr>
              <w:br/>
              <w:t>   A tervezett változtatások főként a fogalommeghatározásokat, az éves bejelentést, az összetevők szabályozását, a címkézést, a termék kiszerelését, a távértékesítést és az új dohányalapú termékeket érintik. Végezetül, számos módosítás célja az átültetés technikai hibáinak kijavítása.</w:t>
            </w:r>
            <w:r>
              <w:rPr>
                <w:rFonts w:ascii="Times New Roman" w:hAnsi="Times New Roman"/>
                <w:b/>
                <w:sz w:val="24"/>
              </w:rPr>
              <w:br/>
              <w:t>   Egyes módosítások további pontosítást igényelnek.</w:t>
            </w:r>
            <w:r>
              <w:rPr>
                <w:rFonts w:ascii="Times New Roman" w:hAnsi="Times New Roman"/>
                <w:b/>
                <w:sz w:val="24"/>
              </w:rPr>
              <w:br/>
              <w:t xml:space="preserve">   A belga importőr fogalommeghatározását illetően ez szükséges ahhoz, hogy Belgium eleget tudjon tenni a 2014/40/EU irányelvben és különösen annak 5. cikkében meghatározott kötelezettségeknek. Ehhez szükség van arra, hogy a jogszabályok be nem tartása esetén kényszerítő intézkedéseket (bírságokat, elkobzásokat,...) szabjanak ki a felelős társasággal szemben. Az importőr 2014/40/EU irányelv szerinti meghatározása nem teszi lehetővé az ellenőrző hatóság számára, hogy fellépjen az európai uniós importőrökkel szemben. Ezért meg kell határozni a belga területre történő behozatalért felelős „belga importőrt”, hogy a belga hatóságok jogsértés esetén </w:t>
            </w:r>
            <w:r>
              <w:rPr>
                <w:rFonts w:ascii="Times New Roman" w:hAnsi="Times New Roman"/>
                <w:b/>
                <w:sz w:val="24"/>
              </w:rPr>
              <w:lastRenderedPageBreak/>
              <w:t>keresetet nyújthassanak be egy belga importőrrel szemben. Ezenkívül nem minden tagállam rendelkezik olyan ellenőrző szolgálattal, amely a belga hatóságok szankció iránti kérelmeinek kezelésére szolgálna.</w:t>
            </w:r>
            <w:r>
              <w:rPr>
                <w:rFonts w:ascii="Times New Roman" w:hAnsi="Times New Roman"/>
                <w:b/>
                <w:sz w:val="24"/>
              </w:rPr>
              <w:br/>
              <w:t>   Ami az összetevők szabályozását illeti, az 5. cikk (4) bekezdésében foglalt tilalomhoz hasonlóan tilalom vonatkozik olyan technikai elemek forgalomba hozatalára, amelyek nem a dohányalapú termékek eredeti alkotóelemei, és amelyek lehetővé teszik a dohányalapú termékek égési intenzitásának, színének, illatának vagy ízének megváltoztatását, annak érdekében, hogy megakadályozzák a gyártókat abban, hogy olyan termékeket hozzanak forgalomba, amelyek csökkentik a megkülönböztető ízesítésű dohánytermékekre vonatkozó tilalom hatását.</w:t>
            </w:r>
            <w:r>
              <w:rPr>
                <w:rFonts w:ascii="Times New Roman" w:hAnsi="Times New Roman"/>
                <w:b/>
                <w:sz w:val="24"/>
              </w:rPr>
              <w:br/>
              <w:t>   Ami a cigarettacsomag vastagságát illeti, pontosításra van szükség annak érdekében, hogy a vastagság legalább 20 mm legyen. Ez a követelmény egyértelműen kitűnik az Európai Bizottság 2017. szeptember 1-jei informális dokumentumában javasolt értelmezésből. Ezért Belgium csupán egy már létező szabály tisztázására szorítkozik.</w:t>
            </w:r>
            <w:r>
              <w:rPr>
                <w:rFonts w:ascii="Times New Roman" w:hAnsi="Times New Roman"/>
                <w:b/>
                <w:sz w:val="24"/>
              </w:rPr>
              <w:br/>
              <w:t>   Ami a termékek bemutatását illeti, a miniszter lehetőséget kap egyrészt arra, hogy összeállítsa a tiltott dohányalapú márkák jegyzékét, másrészt pedig engedélyezési eljárást állapítson meg a még forgalomba nem hozott dohányalapú termékek márkáira vonatkozóan. Ez a lehetőség a 2014/40/EU irányelv 13. cikke alkalmazásának részét képezi, és csupán az említett cikk végrehajtásának gyakorlati szabályait határozza meg. A dohánytermékek és kapcsolódó termékek gyártásáról, kiszereléséről és értékesítéséről szóló 2014/40/EU irányelv átültetéséről szóló, 2016. május 19-i határozat hatálybalépését követően 2017 januárja óta hasonló rendelkezés van hatályban Franciaországban. Ez a módosítás lehetővé teszi az olyan márkák, mint az „olcsó dohány” („goedkope tabak” holland nyelven); „vogue”, „corset”,... tilalmát.</w:t>
            </w:r>
            <w:r>
              <w:rPr>
                <w:rFonts w:ascii="Times New Roman" w:hAnsi="Times New Roman"/>
                <w:b/>
                <w:sz w:val="24"/>
              </w:rPr>
              <w:br/>
              <w:t>   A csomagolási egységek kiszerelését és tartalmát illetően egyértelművé kell tenni, hogy minden dohányterméket és minden dohányzásra szánt növényi terméket csomagolni kell. Ez lehetővé teszi a cigaretták darabonkénti értékesítésének egyértelmű megtiltását, valamint annak előírását, hogy minden egyes szivart csomagolásban kell értékesíteni. Emellett egyértelművé teszi, hogy a dohányt, különösen a vízipipadohányt nem szabad ömlesztve értékesíteni, amint az a vízipipabárokban gyakran előfordul.</w:t>
            </w:r>
            <w:r>
              <w:rPr>
                <w:rFonts w:ascii="Times New Roman" w:hAnsi="Times New Roman"/>
                <w:b/>
                <w:sz w:val="24"/>
              </w:rPr>
              <w:br/>
              <w:t>   Az új dohányalapú termékek esetében a szöveg kiegészült az „eszköz” fogalommeghatározásával annak érdekében, hogy előre jelezze az eszköz használatával fogyasztandó új dohányalapú termékek forgalmazását. Ezenkívül az új dohányalapú termékekre vonatkozó szabályokat meghatározó 14. cikket módosították annak érdekében, hogy részletesen meghatározzák az új dohányalapú termékek forgalomba hozatalakor alkalmazandó eljárást. Ez a cikk a királyi rendeletnek az ilyen termékekre alkalmazandó rendelkezéseit is említi (4., 5., 6., 11. cikk, 12. cikk 3. § és 13. cikk). Végül a miniszter dönt arról, hogy a 7., 8., 9. és 10. cikk mely rendelkezéseit kell alkalmazni, különösen a címkézésre vonatkozó rendelkezések tekintetében. A miniszter tehát eldönti, hogy az újonnan bejelentett dohányalapú termék egyenértékű-e a cigarettával, a sodort dohánytermékkel, a vízipipadohánnyal, az egyéb fogyasztási termékekkel vagy a füstmentes dohánytermékekkel.</w:t>
            </w:r>
            <w:r>
              <w:rPr>
                <w:rFonts w:ascii="Times New Roman" w:hAnsi="Times New Roman"/>
                <w:b/>
                <w:sz w:val="24"/>
              </w:rPr>
              <w:br/>
              <w:t xml:space="preserve">   Megjegyzés cikkenként </w:t>
            </w:r>
            <w:r w:rsidR="00BF0158">
              <w:rPr>
                <w:rFonts w:ascii="Times New Roman" w:hAnsi="Times New Roman"/>
                <w:b/>
                <w:sz w:val="24"/>
              </w:rPr>
              <w:br/>
            </w:r>
            <w:r>
              <w:rPr>
                <w:rFonts w:ascii="Times New Roman" w:hAnsi="Times New Roman"/>
                <w:b/>
                <w:sz w:val="24"/>
              </w:rPr>
              <w:t>1. cikk Az 1. cikk célja, hogy a királyi rendelet címét a következőre változtassa: „A dohányalapú termékek és növényalapú dohánytermékek gyártásáról és forgalomba hozataláról szóló, 2016. február 5-i királyi rendelet”.</w:t>
            </w:r>
            <w:r>
              <w:rPr>
                <w:rFonts w:ascii="Times New Roman" w:hAnsi="Times New Roman"/>
                <w:b/>
                <w:sz w:val="24"/>
              </w:rPr>
              <w:br/>
              <w:t xml:space="preserve">   2. cikk A 2. cikk a „dohánytermékek” szót a „dohányalapú termékek” kifejezéssel kívánja helyettesíteni a királyi rendelet fejezeteinek címeiben. A „dohánytermékek” fogalma magában foglalja többek között az elektronikus cigarettákat, míg a </w:t>
            </w:r>
            <w:r>
              <w:rPr>
                <w:rFonts w:ascii="Times New Roman" w:hAnsi="Times New Roman"/>
                <w:b/>
                <w:sz w:val="24"/>
              </w:rPr>
              <w:lastRenderedPageBreak/>
              <w:t>„dohányalapú termékek” kifejezés csak az e rendeletben említett, dohányt tartalmazó termékeket foglalja magában.</w:t>
            </w:r>
            <w:r>
              <w:rPr>
                <w:rFonts w:ascii="Times New Roman" w:hAnsi="Times New Roman"/>
                <w:b/>
                <w:sz w:val="24"/>
              </w:rPr>
              <w:br/>
              <w:t>   3. cikk A 3. cikk célja, hogy a „dohánytermékek” szót a „dohányalapú termékek” kifejezéssel váltsa fel a királyi rendeletben. A „dohánytermékek” fogalma magában foglalja többek között az elektronikus cigarettákat, míg a „dohányalapú termékek” kifejezés csak azokat a termékeket foglalja magában, amelyek összetétele magában foglalja az e rendeletben említett dohányt is.</w:t>
            </w:r>
            <w:r>
              <w:rPr>
                <w:rFonts w:ascii="Times New Roman" w:hAnsi="Times New Roman"/>
                <w:b/>
                <w:sz w:val="24"/>
              </w:rPr>
              <w:br/>
              <w:t>   4. cikk A 4. cikk célja, hogy a királyi rendelet 2. cikkébe belefoglalja az „eszköz” és a „belgiumi importőr” fogalmát.</w:t>
            </w:r>
            <w:r>
              <w:rPr>
                <w:rFonts w:ascii="Times New Roman" w:hAnsi="Times New Roman"/>
                <w:b/>
                <w:sz w:val="24"/>
              </w:rPr>
              <w:br/>
              <w:t>   5. cikk Az 5. cikk célja az értesítésre vonatkozó 4. cikk módosítása az éves bejelentés benyújtásának időpontja, az ügyiratok adatai, az éves értékesítési adatok és a díj tekintetében.</w:t>
            </w:r>
            <w:r>
              <w:rPr>
                <w:rFonts w:ascii="Times New Roman" w:hAnsi="Times New Roman"/>
                <w:b/>
                <w:sz w:val="24"/>
              </w:rPr>
              <w:br/>
              <w:t>   6. cikk A 6. cikk az egyes adalékanyagokra vonatkozó szigorúbb tájékoztatási követelmények alkalmazásáról szóló 4. cikk (1) bekezdésével egészül ki.</w:t>
            </w:r>
            <w:r>
              <w:rPr>
                <w:rFonts w:ascii="Times New Roman" w:hAnsi="Times New Roman"/>
                <w:b/>
                <w:sz w:val="24"/>
              </w:rPr>
              <w:br/>
              <w:t>   7. cikk A 7. cikk az 5. cikket egy (9) bekezdéssel egészíti ki, amely megtiltja azokat a műszaki elemeket, amelyek lehetővé teszik a dohányalapú termékek illatának, ízének, égési intenzitásának vagy színének megváltoztatását.</w:t>
            </w:r>
            <w:r>
              <w:rPr>
                <w:rFonts w:ascii="Times New Roman" w:hAnsi="Times New Roman"/>
                <w:b/>
                <w:sz w:val="24"/>
              </w:rPr>
              <w:br/>
              <w:t>   Az Államtanács e cikkel kapcsolatos megjegyzése nem követhető. Az új (9) bekezdés olyan technikai elemekkel foglalkozik, amelyek a meglévő (5) bekezdéstől eltérően, kezdetben nem képezik a dohányalapú termék alkotóelemét.</w:t>
            </w:r>
            <w:r>
              <w:rPr>
                <w:rFonts w:ascii="Times New Roman" w:hAnsi="Times New Roman"/>
                <w:b/>
                <w:sz w:val="24"/>
              </w:rPr>
              <w:br/>
              <w:t>   8. cikk A 8. cikk célja annak egyértelművé tétele, hogy a cigarettacsomag vastagsága nem lehet kisebb 20 mm-nél.</w:t>
            </w:r>
            <w:r w:rsidR="0019320D">
              <w:rPr>
                <w:rFonts w:ascii="Times New Roman" w:hAnsi="Times New Roman"/>
                <w:b/>
                <w:sz w:val="24"/>
              </w:rPr>
              <w:br/>
            </w:r>
            <w:r>
              <w:rPr>
                <w:rFonts w:ascii="Times New Roman" w:hAnsi="Times New Roman"/>
                <w:b/>
                <w:sz w:val="24"/>
              </w:rPr>
              <w:t>9. cikk A 9. cikk célja, hogy egyértelművé tegye a kombinált egészségvédő figyelmeztetések használatát a hengeres csomagoláson, és a „márkanevek és logók” kifejezés helyébe a „márkák” szó lépjen.</w:t>
            </w:r>
            <w:r>
              <w:rPr>
                <w:rFonts w:ascii="Times New Roman" w:hAnsi="Times New Roman"/>
                <w:b/>
                <w:sz w:val="24"/>
              </w:rPr>
              <w:br/>
              <w:t>   10. cikk A 10. cikk célja, hogy egyértelművé tegye a cigarettától, a sodort dohánytól és a vízipipadohánytól eltérő, dohányzásra szánt dohányalapú termékekre vonatkozó mentességeket, és hivatkozik a „dohánymegszüntetési vonalra”.</w:t>
            </w:r>
            <w:r>
              <w:rPr>
                <w:rFonts w:ascii="Times New Roman" w:hAnsi="Times New Roman"/>
                <w:b/>
                <w:sz w:val="24"/>
              </w:rPr>
              <w:br/>
              <w:t>   11. cikk A 11. cikk kiegészíti a királyi rendelet 11. cikkének (2) bekezdését egy olyan mondattal, amely megtiltja az ár feltüntetését, az adónyilvántartási számon feltüntetett ár kivételével. Ezenkívül az 11. cikket egy (4) bekezdés egészíti ki, amely lehetővé teszi a miniszter számára, hogy szükség esetén összeállítsa a dohánytermékek tiltott márkáinak jegyzékét. Végezetül a cikk az (5) bekezdéssel egészül ki annak érdekében, hogy e cikk rendelkezéseit olyan technikai elemekre – például szűrőkre és papírra – alkalmazzák, amelyek lehetővé teszik a dohányalapú termékek használatát vagy javítják azok használatát.</w:t>
            </w:r>
            <w:r>
              <w:rPr>
                <w:rFonts w:ascii="Times New Roman" w:hAnsi="Times New Roman"/>
                <w:b/>
                <w:sz w:val="24"/>
              </w:rPr>
              <w:br/>
              <w:t>   12. cikk A 12. cikket egy (3) bekezdés egészíti ki, amely kimondja, hogy minden dohányalapú terméket és minden dohányzásra szánt növényi terméket csomagolni kell, vagy külső csomagolással kell ellátni.</w:t>
            </w:r>
            <w:r w:rsidR="0019320D">
              <w:rPr>
                <w:rFonts w:ascii="Times New Roman" w:hAnsi="Times New Roman"/>
                <w:b/>
                <w:sz w:val="24"/>
              </w:rPr>
              <w:br/>
            </w:r>
            <w:r>
              <w:rPr>
                <w:rFonts w:ascii="Times New Roman" w:hAnsi="Times New Roman"/>
                <w:b/>
                <w:sz w:val="24"/>
              </w:rPr>
              <w:t>13. cikk A 13. cikk célja a távértékesítés tilalmának módosítása a dohányalapú termékek, a növényalapú dohánytermékek és az új dohányalapú termékekhez használt készülékek távértékesítésének és táveladásának tilalma érdekében.</w:t>
            </w:r>
            <w:r>
              <w:rPr>
                <w:rFonts w:ascii="Times New Roman" w:hAnsi="Times New Roman"/>
                <w:b/>
                <w:sz w:val="24"/>
              </w:rPr>
              <w:br/>
              <w:t>   14. cikk A 14. cikk az új dohányalapú termékek jobb szabályozása érdekében a királyi rendelet jelenlegi 14. cikkének helyébe lép.</w:t>
            </w:r>
            <w:r>
              <w:rPr>
                <w:rFonts w:ascii="Times New Roman" w:hAnsi="Times New Roman"/>
                <w:b/>
                <w:sz w:val="24"/>
              </w:rPr>
              <w:br/>
              <w:t>   15. cikk A 15. cikk célja a dohányzásra szánt növényi termékekkel kapcsolatos átültetési hibák módosítása.</w:t>
            </w:r>
            <w:r>
              <w:rPr>
                <w:rFonts w:ascii="Times New Roman" w:hAnsi="Times New Roman"/>
                <w:b/>
                <w:sz w:val="24"/>
              </w:rPr>
              <w:br/>
              <w:t>   16. cikk A 16. cikk (1) bekezdésének célja, hogy az 16. cikk (1) bekezdésének helyébe lépjen annak érdekében, hogy az kidolgozottabb legyen. Ezen túlmenően a (2) bekezdés szerinti rendelkezés a dohányzásra szánt növényi termékek után díjat vet ki.</w:t>
            </w:r>
            <w:r>
              <w:rPr>
                <w:rFonts w:ascii="Times New Roman" w:hAnsi="Times New Roman"/>
                <w:b/>
                <w:sz w:val="24"/>
              </w:rPr>
              <w:br/>
              <w:t xml:space="preserve">   17. cikk A 17. cikk célja, hogy a „dohánytermékek” szó helyébe a királyi rendelet 17. </w:t>
            </w:r>
            <w:r>
              <w:rPr>
                <w:rFonts w:ascii="Times New Roman" w:hAnsi="Times New Roman"/>
                <w:b/>
                <w:sz w:val="24"/>
              </w:rPr>
              <w:lastRenderedPageBreak/>
              <w:t>cikkének (1) bekezdésében szereplő „termékek” szó lépjen annak érdekében, hogy a dohányzásra szánt növényi termékek lefoglalhatók legyenek.</w:t>
            </w:r>
            <w:r>
              <w:rPr>
                <w:rFonts w:ascii="Times New Roman" w:hAnsi="Times New Roman"/>
                <w:b/>
                <w:sz w:val="24"/>
              </w:rPr>
              <w:br/>
              <w:t>   18. cikk A 18. cikk célja a 9. cikk és az 10. cikk (2) bekezdésének 2020. január 1-jei hatálybalépése.</w:t>
            </w:r>
            <w:r>
              <w:rPr>
                <w:rFonts w:ascii="Times New Roman" w:hAnsi="Times New Roman"/>
                <w:b/>
                <w:sz w:val="24"/>
              </w:rPr>
              <w:br/>
              <w:t>   19. cikk A 19. cikk a királyi rendelet végrehajtására vonatkozik.</w:t>
            </w:r>
            <w:r>
              <w:rPr>
                <w:rFonts w:ascii="Times New Roman" w:hAnsi="Times New Roman"/>
                <w:b/>
                <w:sz w:val="24"/>
              </w:rPr>
              <w:br/>
              <w:t>   Megtiszteltetés számunkra,</w:t>
            </w:r>
            <w:r w:rsidR="0019320D">
              <w:rPr>
                <w:rFonts w:ascii="Times New Roman" w:hAnsi="Times New Roman"/>
                <w:b/>
                <w:sz w:val="24"/>
              </w:rPr>
              <w:br/>
            </w:r>
            <w:r>
              <w:rPr>
                <w:rFonts w:ascii="Times New Roman" w:hAnsi="Times New Roman"/>
                <w:b/>
                <w:sz w:val="24"/>
              </w:rPr>
              <w:t xml:space="preserve">Felség, </w:t>
            </w:r>
            <w:r>
              <w:rPr>
                <w:rFonts w:ascii="Times New Roman" w:hAnsi="Times New Roman"/>
                <w:b/>
                <w:sz w:val="24"/>
              </w:rPr>
              <w:br/>
              <w:t>hogy Felséged</w:t>
            </w:r>
            <w:r>
              <w:rPr>
                <w:rFonts w:ascii="Times New Roman" w:hAnsi="Times New Roman"/>
                <w:b/>
                <w:sz w:val="24"/>
              </w:rPr>
              <w:br/>
              <w:t xml:space="preserve">legtiszteletteljesebb és leghűbb szolgái lehetünk, </w:t>
            </w:r>
            <w:r>
              <w:rPr>
                <w:rFonts w:ascii="Times New Roman" w:hAnsi="Times New Roman"/>
                <w:b/>
                <w:sz w:val="24"/>
              </w:rPr>
              <w:br/>
              <w:t>A gazdasági miniszter,</w:t>
            </w:r>
            <w:r>
              <w:rPr>
                <w:rFonts w:ascii="Times New Roman" w:hAnsi="Times New Roman"/>
                <w:b/>
                <w:sz w:val="24"/>
              </w:rPr>
              <w:br/>
              <w:t>K. PEETERS,</w:t>
            </w:r>
            <w:r>
              <w:rPr>
                <w:rFonts w:ascii="Times New Roman" w:hAnsi="Times New Roman"/>
                <w:b/>
                <w:sz w:val="24"/>
              </w:rPr>
              <w:br/>
              <w:t>Az egészségügyi miniszter,</w:t>
            </w:r>
            <w:r>
              <w:rPr>
                <w:rFonts w:ascii="Times New Roman" w:hAnsi="Times New Roman"/>
                <w:b/>
                <w:sz w:val="24"/>
              </w:rPr>
              <w:br/>
              <w:t>M. DE BLOCK,</w:t>
            </w:r>
            <w:r>
              <w:rPr>
                <w:rFonts w:ascii="Times New Roman" w:hAnsi="Times New Roman"/>
                <w:b/>
                <w:sz w:val="24"/>
              </w:rPr>
              <w:br/>
              <w:t>A kis- és középvállalkozásokért felelős miniszter,</w:t>
            </w:r>
            <w:r>
              <w:rPr>
                <w:rFonts w:ascii="Times New Roman" w:hAnsi="Times New Roman"/>
                <w:b/>
                <w:sz w:val="24"/>
              </w:rPr>
              <w:br/>
              <w:t>D. DUCARME</w:t>
            </w:r>
          </w:p>
        </w:tc>
      </w:tr>
    </w:tbl>
    <w:p w14:paraId="04A0A08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213B8356"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19320D"/>
    <w:rsid w:val="004E4D21"/>
    <w:rsid w:val="0084209E"/>
    <w:rsid w:val="00BF0158"/>
    <w:rsid w:val="00DD315A"/>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D850"/>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DD3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4796</Words>
  <Characters>31369</Characters>
  <Application>Microsoft Office Word</Application>
  <DocSecurity>0</DocSecurity>
  <Lines>603</Lines>
  <Paragraphs>43</Paragraphs>
  <ScaleCrop>false</ScaleCrop>
  <HeadingPairs>
    <vt:vector size="2" baseType="variant">
      <vt:variant>
        <vt:lpstr>Title</vt:lpstr>
      </vt:variant>
      <vt:variant>
        <vt:i4>1</vt:i4>
      </vt:variant>
    </vt:vector>
  </HeadingPairs>
  <TitlesOfParts>
    <vt:vector size="1" baseType="lpstr">
      <vt:lpstr/>
    </vt:vector>
  </TitlesOfParts>
  <Company>FPS Economy</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6</cp:revision>
  <dcterms:created xsi:type="dcterms:W3CDTF">2021-03-16T17:03:00Z</dcterms:created>
  <dcterms:modified xsi:type="dcterms:W3CDTF">2021-12-30T08:34:00Z</dcterms:modified>
</cp:coreProperties>
</file>