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3F917589"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C91C724"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4A56F138"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77604E09"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0470D321"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14742117"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9EA030"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Tytuł</w:t>
            </w:r>
          </w:p>
        </w:tc>
      </w:tr>
      <w:tr w:rsidR="00FD36C9" w:rsidRPr="00FD36C9" w14:paraId="408EB17D"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626260E"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kwietnia 2019 r. Dekret królewski zmieniający dekret królewski z dnia 5 lutego 2016 r. w sprawie produkcji i wprowadzania do obrotu wyrobów tytoniowych</w:t>
            </w:r>
            <w:r>
              <w:rPr>
                <w:rFonts w:ascii="Times New Roman" w:hAnsi="Times New Roman"/>
                <w:b/>
                <w:sz w:val="24"/>
              </w:rPr>
              <w:br/>
            </w:r>
            <w:r>
              <w:rPr>
                <w:rFonts w:ascii="Times New Roman" w:hAnsi="Times New Roman"/>
                <w:b/>
                <w:sz w:val="24"/>
              </w:rPr>
              <w:br/>
            </w:r>
            <w:r>
              <w:rPr>
                <w:rFonts w:ascii="Times New Roman" w:hAnsi="Times New Roman"/>
                <w:b/>
                <w:sz w:val="24"/>
              </w:rPr>
              <w:br/>
            </w:r>
            <w:r>
              <w:rPr>
                <w:rFonts w:ascii="Times New Roman" w:hAnsi="Times New Roman"/>
                <w:b/>
                <w:color w:val="FF0000"/>
                <w:sz w:val="24"/>
              </w:rPr>
              <w:t>Źródło: </w:t>
            </w:r>
            <w:r>
              <w:rPr>
                <w:rFonts w:ascii="Times New Roman" w:hAnsi="Times New Roman"/>
                <w:b/>
                <w:sz w:val="24"/>
              </w:rPr>
              <w:t>ZDROWIE PUBLICZNE, BEZPIECZEŃSTWO ŻYWNOŚCI I ŚRODOWISKA</w:t>
            </w:r>
            <w:r>
              <w:rPr>
                <w:rFonts w:ascii="Times New Roman" w:hAnsi="Times New Roman"/>
                <w:b/>
                <w:sz w:val="24"/>
              </w:rPr>
              <w:br/>
            </w:r>
            <w:r>
              <w:rPr>
                <w:rFonts w:ascii="Times New Roman" w:hAnsi="Times New Roman"/>
                <w:b/>
                <w:color w:val="FF0000"/>
                <w:sz w:val="24"/>
              </w:rPr>
              <w:t>Publikacja: </w:t>
            </w:r>
            <w:r>
              <w:rPr>
                <w:rFonts w:ascii="Times New Roman" w:hAnsi="Times New Roman"/>
                <w:b/>
                <w:sz w:val="24"/>
              </w:rPr>
              <w:t xml:space="preserve">20.06.2019 r. </w:t>
            </w:r>
            <w:r>
              <w:rPr>
                <w:rFonts w:ascii="Times New Roman" w:hAnsi="Times New Roman"/>
                <w:b/>
                <w:color w:val="FF0000"/>
                <w:sz w:val="24"/>
              </w:rPr>
              <w:t>numer: </w:t>
            </w:r>
            <w:r>
              <w:rPr>
                <w:rFonts w:ascii="Times New Roman" w:hAnsi="Times New Roman"/>
                <w:b/>
                <w:sz w:val="24"/>
              </w:rPr>
              <w:t>  2019012788</w:t>
            </w:r>
            <w:r>
              <w:rPr>
                <w:rFonts w:ascii="Times New Roman" w:hAnsi="Times New Roman"/>
                <w:b/>
                <w:color w:val="FF0000"/>
                <w:sz w:val="24"/>
              </w:rPr>
              <w:t xml:space="preserve"> strona: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4" w:anchor="Page571" w:tgtFrame="_blank" w:history="1">
              <w:r>
                <w:rPr>
                  <w:rFonts w:ascii="Times New Roman" w:hAnsi="Times New Roman"/>
                  <w:b/>
                  <w:color w:val="0000FF"/>
                  <w:sz w:val="24"/>
                  <w:u w:val="single"/>
                </w:rPr>
                <w:t>oryginalna wersja</w:t>
              </w:r>
            </w:hyperlink>
            <w:r>
              <w:br/>
            </w:r>
            <w:r>
              <w:rPr>
                <w:rFonts w:ascii="Times New Roman" w:hAnsi="Times New Roman"/>
                <w:b/>
                <w:color w:val="FF0000"/>
                <w:sz w:val="24"/>
              </w:rPr>
              <w:t>Numer pliku: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Wejście w życie: </w:t>
            </w:r>
            <w:r>
              <w:rPr>
                <w:rFonts w:ascii="Times New Roman" w:hAnsi="Times New Roman"/>
                <w:b/>
                <w:sz w:val="24"/>
              </w:rPr>
              <w:t>30.06.2019 r.</w:t>
            </w:r>
            <w:r>
              <w:rPr>
                <w:rFonts w:ascii="Times New Roman" w:hAnsi="Times New Roman"/>
                <w:b/>
                <w:sz w:val="24"/>
              </w:rPr>
              <w:br/>
            </w:r>
            <w:r>
              <w:rPr>
                <w:rFonts w:ascii="Times New Roman" w:hAnsi="Times New Roman"/>
                <w:b/>
                <w:sz w:val="24"/>
              </w:rPr>
              <w:br/>
            </w:r>
            <w:r>
              <w:rPr>
                <w:rFonts w:ascii="Times New Roman" w:hAnsi="Times New Roman"/>
                <w:b/>
                <w:color w:val="FF0000"/>
                <w:sz w:val="24"/>
              </w:rPr>
              <w:t>Niniejszy tekst modyfikuje następujący tekst</w:t>
            </w:r>
            <w:r>
              <w:rPr>
                <w:rFonts w:ascii="Times New Roman" w:hAnsi="Times New Roman"/>
                <w:b/>
                <w:sz w:val="24"/>
              </w:rPr>
              <w:t>:</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3D3BF06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02FEC5B1"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3F82CA7B"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Spis treści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9E9E76"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6" w:anchor="text" w:history="1">
              <w:r w:rsidR="00FD36C9">
                <w:rPr>
                  <w:rFonts w:ascii="Times New Roman" w:hAnsi="Times New Roman"/>
                  <w:b/>
                  <w:color w:val="0000FF"/>
                  <w:sz w:val="24"/>
                  <w:u w:val="single"/>
                </w:rPr>
                <w:t>Tekst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1DD2C"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7" w:anchor="top" w:history="1">
              <w:r w:rsidR="00FD36C9">
                <w:rPr>
                  <w:rFonts w:ascii="Times New Roman" w:hAnsi="Times New Roman"/>
                  <w:b/>
                  <w:color w:val="0000FF"/>
                  <w:sz w:val="24"/>
                  <w:u w:val="single"/>
                </w:rPr>
                <w:t xml:space="preserve">Start </w:t>
              </w:r>
            </w:hyperlink>
          </w:p>
        </w:tc>
      </w:tr>
      <w:tr w:rsidR="00FD36C9" w:rsidRPr="00FD36C9" w14:paraId="3811FDB1"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2F2CF93"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Artykuł 1-19</w:t>
            </w:r>
          </w:p>
        </w:tc>
      </w:tr>
    </w:tbl>
    <w:p w14:paraId="253E3E1F"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76B7796B"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5FE200C1"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43CF9D"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8" w:anchor="table of contents" w:history="1">
              <w:r w:rsidR="00FD36C9">
                <w:rPr>
                  <w:rFonts w:ascii="Times New Roman" w:hAnsi="Times New Roman"/>
                  <w:b/>
                  <w:color w:val="0000FF"/>
                  <w:sz w:val="24"/>
                  <w:u w:val="single"/>
                </w:rPr>
                <w:t>Spis treści</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80C2A1"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9" w:anchor="top" w:history="1">
              <w:r w:rsidR="00FD36C9">
                <w:rPr>
                  <w:rFonts w:ascii="Times New Roman" w:hAnsi="Times New Roman"/>
                  <w:b/>
                  <w:color w:val="0000FF"/>
                  <w:sz w:val="24"/>
                  <w:u w:val="single"/>
                </w:rPr>
                <w:t xml:space="preserve">Start </w:t>
              </w:r>
            </w:hyperlink>
          </w:p>
        </w:tc>
      </w:tr>
      <w:bookmarkStart w:id="3" w:name="Art.1"/>
      <w:tr w:rsidR="00FD36C9" w:rsidRPr="00FD36C9" w14:paraId="3621078B"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7BA0364" w14:textId="0C8A90F9" w:rsidR="00FD36C9" w:rsidRPr="00FD36C9" w:rsidRDefault="008F790A"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"http://www.ejustice.just.fgov.be/cgi_loi/loi_a1.pl?language=nl&amp;la=N&amp;cn=2019042633&amp;table_name=wet&amp;&amp;caller=list&amp;N&amp;fromtab=wet&amp;tri=dd+AS+RANK&amp;rech=1&amp;numero=1&amp;sql=(text+contains+(" </w:instrText>
            </w:r>
            <w:r>
              <w:rPr>
                <w:rFonts w:ascii="Times New Roman" w:hAnsi="Times New Roman"/>
                <w:b/>
                <w:sz w:val="24"/>
              </w:rPr>
            </w:r>
            <w:r>
              <w:rPr>
                <w:rFonts w:ascii="Times New Roman" w:hAnsi="Times New Roman"/>
                <w:b/>
                <w:sz w:val="24"/>
              </w:rPr>
              <w:fldChar w:fldCharType="separate"/>
            </w:r>
            <w:r w:rsidR="00FD36C9" w:rsidRPr="008F790A">
              <w:rPr>
                <w:rStyle w:val="Hyperlink"/>
                <w:rFonts w:ascii="Times New Roman" w:hAnsi="Times New Roman"/>
                <w:b/>
                <w:sz w:val="24"/>
              </w:rPr>
              <w:t>Artykuł</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W tytule dekretu królewskiego z dnia 5 lutego 2016 r. w sprawie produkcji i wprowadzania do obrotu wyrobów tytoniowych wyrażenie „wyroby tytoniowe” zastępuje się wyrażeniem „wyroby na bazie tytoniu i wyroby ziołowe do palenia”.</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0" w:anchor="Art.3" w:history="1">
              <w:r w:rsidR="00FD36C9">
                <w:rPr>
                  <w:rFonts w:ascii="Times New Roman" w:hAnsi="Times New Roman"/>
                  <w:b/>
                  <w:color w:val="0000FF"/>
                  <w:sz w:val="24"/>
                  <w:u w:val="single"/>
                </w:rPr>
                <w:t>2</w:t>
              </w:r>
            </w:hyperlink>
            <w:r w:rsidR="00FD36C9">
              <w:rPr>
                <w:rFonts w:ascii="Times New Roman" w:hAnsi="Times New Roman"/>
                <w:b/>
                <w:sz w:val="24"/>
              </w:rPr>
              <w:t>. W tytule rozdziałów 3 i 6 oraz art. 7, 8, 9, 10, 13 i 14 tego samego dekretu wyrazy „wyroby tytoniowe” zastępuje się każdorazowo wyrazami „wyroby na bazie tytoniu”.</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1" w:anchor="Art.4" w:history="1">
              <w:r w:rsidR="00FD36C9">
                <w:rPr>
                  <w:rFonts w:ascii="Times New Roman" w:hAnsi="Times New Roman"/>
                  <w:b/>
                  <w:color w:val="0000FF"/>
                  <w:sz w:val="24"/>
                  <w:u w:val="single"/>
                </w:rPr>
                <w:t>3</w:t>
              </w:r>
            </w:hyperlink>
            <w:r w:rsidR="00FD36C9">
              <w:rPr>
                <w:rFonts w:ascii="Times New Roman" w:hAnsi="Times New Roman"/>
                <w:b/>
                <w:sz w:val="24"/>
              </w:rPr>
              <w:t>. W art. 2, 4, 5, 6, 7, 8, 10, 11 i 19 tego samego dekretu wyrazy „wyroby tytoniowe” zastępuje się każdorazowo wyrazami „wyroby na bazie tytoniu”. W art. 2, 4, 5, 6, 11 i 14 tego samego dekretu wyrazy „wyroby tytoniowe” zastępuje się wyrazami „wyroby na bazie tytoniu”.</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2" w:anchor="Art.5" w:history="1">
              <w:r w:rsidR="00FD36C9">
                <w:rPr>
                  <w:rFonts w:ascii="Times New Roman" w:hAnsi="Times New Roman"/>
                  <w:b/>
                  <w:color w:val="0000FF"/>
                  <w:sz w:val="24"/>
                  <w:u w:val="single"/>
                </w:rPr>
                <w:t>4</w:t>
              </w:r>
            </w:hyperlink>
            <w:r w:rsidR="00FD36C9">
              <w:rPr>
                <w:rFonts w:ascii="Times New Roman" w:hAnsi="Times New Roman"/>
                <w:b/>
                <w:sz w:val="24"/>
              </w:rPr>
              <w:t>. W art. 2 tego samego dekretu wprowadza się następujące zmiany:</w:t>
            </w:r>
            <w:r w:rsidR="00FD36C9">
              <w:rPr>
                <w:rFonts w:ascii="Times New Roman" w:hAnsi="Times New Roman"/>
                <w:b/>
                <w:sz w:val="24"/>
              </w:rPr>
              <w:br/>
              <w:t>  a) dodaje się pkt 14/1 w brzmieniu:</w:t>
            </w:r>
            <w:r w:rsidR="00FD36C9">
              <w:rPr>
                <w:rFonts w:ascii="Times New Roman" w:hAnsi="Times New Roman"/>
                <w:b/>
                <w:sz w:val="24"/>
              </w:rPr>
              <w:br/>
              <w:t>  „14/1 aparat: każde urządzenie lub element tego urządzenia niezbędne do spożywania lub używania nowatorskiego wyrobu na bazie tytoniu”;</w:t>
            </w:r>
            <w:r w:rsidR="00FD36C9">
              <w:rPr>
                <w:rFonts w:ascii="Times New Roman" w:hAnsi="Times New Roman"/>
                <w:b/>
                <w:sz w:val="24"/>
              </w:rPr>
              <w:br/>
              <w:t>  </w:t>
            </w:r>
            <w:r>
              <w:rPr>
                <w:rFonts w:ascii="Times New Roman" w:hAnsi="Times New Roman"/>
                <w:b/>
                <w:sz w:val="24"/>
              </w:rPr>
              <w:t>b</w:t>
            </w:r>
            <w:r w:rsidR="00FD36C9">
              <w:rPr>
                <w:rFonts w:ascii="Times New Roman" w:hAnsi="Times New Roman"/>
                <w:b/>
                <w:sz w:val="24"/>
              </w:rPr>
              <w:t>) dodaje się pkt 35/1 w brzmieniu:</w:t>
            </w:r>
            <w:r w:rsidR="00FD36C9">
              <w:rPr>
                <w:rFonts w:ascii="Times New Roman" w:hAnsi="Times New Roman"/>
                <w:b/>
                <w:sz w:val="24"/>
              </w:rPr>
              <w:br/>
              <w:t>  „pkt 35/1 importer w Belgii wyrobów na bazie tytoniu: właściciel wyrobów na bazie tytoniu lub osoba mająca prawo do rozporządzania tymi wyrobami wprowadzonymi na terytorium Belgii”.</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3" w:anchor="Art.6" w:history="1">
              <w:r w:rsidR="00FD36C9">
                <w:rPr>
                  <w:rFonts w:ascii="Times New Roman" w:hAnsi="Times New Roman"/>
                  <w:b/>
                  <w:color w:val="0000FF"/>
                  <w:sz w:val="24"/>
                  <w:u w:val="single"/>
                </w:rPr>
                <w:t>5</w:t>
              </w:r>
            </w:hyperlink>
            <w:r w:rsidR="00FD36C9">
              <w:rPr>
                <w:rFonts w:ascii="Times New Roman" w:hAnsi="Times New Roman"/>
                <w:b/>
                <w:sz w:val="24"/>
              </w:rPr>
              <w:t>. W art. 4 tego samego dekretu wprowadza się następujące zmiany:</w:t>
            </w:r>
            <w:r w:rsidR="00FD36C9">
              <w:rPr>
                <w:rFonts w:ascii="Times New Roman" w:hAnsi="Times New Roman"/>
                <w:b/>
                <w:sz w:val="24"/>
              </w:rPr>
              <w:br/>
              <w:t xml:space="preserve">  1° w ust. 1 słowa „dwudziestego listopada” zastępuje się słowami „pierwszego </w:t>
            </w:r>
            <w:r w:rsidR="00FD36C9">
              <w:rPr>
                <w:rFonts w:ascii="Times New Roman" w:hAnsi="Times New Roman"/>
                <w:b/>
                <w:sz w:val="24"/>
              </w:rPr>
              <w:lastRenderedPageBreak/>
              <w:t>marca”;</w:t>
            </w:r>
            <w:r w:rsidR="00FD36C9">
              <w:rPr>
                <w:rFonts w:ascii="Times New Roman" w:hAnsi="Times New Roman"/>
                <w:b/>
                <w:sz w:val="24"/>
              </w:rPr>
              <w:br/>
              <w:t>  2° w ust. 1 dodaje się pkt 4 w brzmieniu:</w:t>
            </w:r>
            <w:r w:rsidR="00FD36C9">
              <w:rPr>
                <w:rFonts w:ascii="Times New Roman" w:hAnsi="Times New Roman"/>
                <w:b/>
                <w:sz w:val="24"/>
              </w:rPr>
              <w:br/>
              <w:t>  „4 etykietowanie.”;</w:t>
            </w:r>
            <w:r w:rsidR="00FD36C9">
              <w:rPr>
                <w:rFonts w:ascii="Times New Roman" w:hAnsi="Times New Roman"/>
                <w:b/>
                <w:sz w:val="24"/>
              </w:rPr>
              <w:br/>
              <w:t>  3° w ust. 6 dodaje się wyrażenie:</w:t>
            </w:r>
            <w:r w:rsidR="00FD36C9">
              <w:rPr>
                <w:rFonts w:ascii="Times New Roman" w:hAnsi="Times New Roman"/>
                <w:b/>
                <w:sz w:val="24"/>
              </w:rPr>
              <w:br/>
              <w:t>  «Dane o sprzedaży za ostatni rok należy zgłaszać do Służby do pierwszego marca następnego roku. ”;</w:t>
            </w:r>
            <w:r w:rsidR="00FD36C9">
              <w:rPr>
                <w:rFonts w:ascii="Times New Roman" w:hAnsi="Times New Roman"/>
                <w:b/>
                <w:sz w:val="24"/>
              </w:rPr>
              <w:br/>
              <w:t>  4° w ust. 7 dodaje się słowo „rocznej” między słowa „opłaty” i „w wysokości 125 EUR”;</w:t>
            </w:r>
            <w:r w:rsidR="00FD36C9">
              <w:rPr>
                <w:rFonts w:ascii="Times New Roman" w:hAnsi="Times New Roman"/>
                <w:b/>
                <w:sz w:val="24"/>
              </w:rPr>
              <w:br/>
              <w:t>  5° w ust. 7 dodaje się zdanie:</w:t>
            </w:r>
            <w:r w:rsidR="00FD36C9">
              <w:rPr>
                <w:rFonts w:ascii="Times New Roman" w:hAnsi="Times New Roman"/>
                <w:b/>
                <w:sz w:val="24"/>
              </w:rPr>
              <w:br/>
              <w:t>  „Wspomnianą opłatę należy uiścić przed pierwszym marca każdego roku. ”.</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4" w:anchor="Art.7" w:history="1">
              <w:r w:rsidR="00FD36C9">
                <w:rPr>
                  <w:rFonts w:ascii="Times New Roman" w:hAnsi="Times New Roman"/>
                  <w:b/>
                  <w:color w:val="0000FF"/>
                  <w:sz w:val="24"/>
                  <w:u w:val="single"/>
                </w:rPr>
                <w:t>6</w:t>
              </w:r>
            </w:hyperlink>
            <w:r w:rsidR="00FD36C9">
              <w:rPr>
                <w:rFonts w:ascii="Times New Roman" w:hAnsi="Times New Roman"/>
                <w:b/>
                <w:sz w:val="24"/>
              </w:rPr>
              <w:t>. W tym samym dekrecie dodaje się artykuł 4/1 w brzmieniu:</w:t>
            </w:r>
            <w:r w:rsidR="00FD36C9">
              <w:rPr>
                <w:rFonts w:ascii="Times New Roman" w:hAnsi="Times New Roman"/>
                <w:b/>
                <w:sz w:val="24"/>
              </w:rPr>
              <w:br/>
              <w:t>  „Artykuł 4/1. Ustęp 1. Zgodnie z art. 6 ust. 1 dyrektywy 2014/40/UE, wprowadzanie do obrotu papierosów i tytoniu do samodzielnego skręcania papierosów podlega zwiększonym obowiązkom sprawozdawczym, które mają zastosowanie do niektórych dodatków zawartych w papierosach i tytoniu do samodzielnego skręcania papierosów, znajdujących się w wykazie priorytetowym.</w:t>
            </w:r>
            <w:r w:rsidR="00FD36C9">
              <w:rPr>
                <w:rFonts w:ascii="Times New Roman" w:hAnsi="Times New Roman"/>
                <w:b/>
                <w:sz w:val="24"/>
              </w:rPr>
              <w:br/>
              <w:t>  Ustęp 2. Producent lub importer – lub importer w Belgii, w przypadku gdy dwaj wspomniani nie posiadają siedziby w Belgii – papierosów lub tytoniu do samodzielnego skręcania papierosów zawierających dodatek znajdujący się w wykazie priorytetowym, o którym mowa w ust. 1 niniejszego artykułu, jest zobowiązany do przeprowadzenia kompleksowych badań w celu stwierdzenia czy dodatek:</w:t>
            </w:r>
            <w:r w:rsidR="00FD36C9">
              <w:rPr>
                <w:rFonts w:ascii="Times New Roman" w:hAnsi="Times New Roman"/>
                <w:b/>
                <w:sz w:val="24"/>
              </w:rPr>
              <w:br/>
              <w:t>  1° przyczynia się do toksyczności lub właściwości uzależniających danych wyrobów oraz czy w związku z tym zwiększa się znacznie lub w wymiernym stopniu toksyczność lub właściwości uzależniające któregokolwiek z danych wyrobów;</w:t>
            </w:r>
            <w:r w:rsidR="00FD36C9">
              <w:rPr>
                <w:rFonts w:ascii="Times New Roman" w:hAnsi="Times New Roman"/>
                <w:b/>
                <w:sz w:val="24"/>
              </w:rPr>
              <w:br/>
              <w:t>  2° nadaje aromat charakterystyczny;</w:t>
            </w:r>
            <w:r w:rsidR="00FD36C9">
              <w:rPr>
                <w:rFonts w:ascii="Times New Roman" w:hAnsi="Times New Roman"/>
                <w:b/>
                <w:sz w:val="24"/>
              </w:rPr>
              <w:br/>
              <w:t>  3° ułatwia inhalację lub absorpcję nikotyny;</w:t>
            </w:r>
            <w:r w:rsidR="00FD36C9">
              <w:rPr>
                <w:rFonts w:ascii="Times New Roman" w:hAnsi="Times New Roman"/>
                <w:b/>
                <w:sz w:val="24"/>
              </w:rPr>
              <w:br/>
              <w:t>  4° powoduje powstawanie substancji mających właściwości CMR, wraz z podaniem ich ilości oraz czy w związku z tym zwiększają się znacznie lub w wymiernym stopniu właściwości CMR któregokolwiek z danych wyrobów.</w:t>
            </w:r>
            <w:r w:rsidR="00FD36C9">
              <w:rPr>
                <w:rFonts w:ascii="Times New Roman" w:hAnsi="Times New Roman"/>
                <w:b/>
                <w:sz w:val="24"/>
              </w:rPr>
              <w:br/>
              <w:t>  Ustęp 3. W badaniach tych uwzględnia się przeznaczenie wyrobów oraz ocenia się w szczególności substancje wydzielane w procesie spalania z udziałem danego dodatku. W badaniach ocenia się również interakcję tego dodatku z innymi składnikami zawartymi w danych wyrobach. Producent lub importer – lub importer w Belgii, jeśli dwaj wspomniani nie posiadają siedziby w Belgii – stosujący ten sam dodatek w swoich wyrobach tytoniowych mogą przeprowadzić wspólne badania, jeżeli skład wyrobów zawierających ten dodatek jest porównywalny.</w:t>
            </w:r>
            <w:r w:rsidR="00FD36C9">
              <w:rPr>
                <w:rFonts w:ascii="Times New Roman" w:hAnsi="Times New Roman"/>
                <w:b/>
                <w:sz w:val="24"/>
              </w:rPr>
              <w:br/>
              <w:t>  Ustęp 4. Producent lub importer – lub importer w Belgii, jeśli wspomniani dwaj nie posiadają siedziby w Belgii – sporządza sprawozdanie zawierające wyniki tych badań. Sprawozdanie to zawiera streszczenie oraz kompleksowy przegląd wraz z kompilacją dostępnej literatury naukowej na temat tego dodatku oraz streszczający wewnętrzne dane dotyczące działania tego dodatku.</w:t>
            </w:r>
            <w:r w:rsidR="00FD36C9">
              <w:rPr>
                <w:rFonts w:ascii="Times New Roman" w:hAnsi="Times New Roman"/>
                <w:b/>
                <w:sz w:val="24"/>
              </w:rPr>
              <w:br/>
              <w:t>  Producent lub importer, lub importer w Belgii, jeśli dwaj pierwsi nie posiadają siedziby w Belgii, przedkłada to sprawozdanie Służbie nie później niż 18 miesięcy po umieszczeniu tego dodatku w wykazie priorytetowym, ustanowionym zgodnie z ust. 1. Służba może również zażądać od producenta lub importera – lub importera w Belgii, jeśli wspomniani dwaj nie posiadają siedziby w Belgii – informacji uzupełniających na temat danego dodatku. Informacje uzupełniające umieszczane są w sprawozdaniu.</w:t>
            </w:r>
            <w:r w:rsidR="00FD36C9">
              <w:rPr>
                <w:rFonts w:ascii="Times New Roman" w:hAnsi="Times New Roman"/>
                <w:b/>
                <w:sz w:val="24"/>
              </w:rPr>
              <w:br/>
              <w:t xml:space="preserve">  Ustęp 5. Małe i średnie przedsiębiorstwa, zdefiniowane w zaleceniu Komisji 2003/361/WE, są zwolnione z obowiązków przewidzianych w niniejszym artykule, </w:t>
            </w:r>
            <w:r w:rsidR="00FD36C9">
              <w:rPr>
                <w:rFonts w:ascii="Times New Roman" w:hAnsi="Times New Roman"/>
                <w:b/>
                <w:sz w:val="24"/>
              </w:rPr>
              <w:lastRenderedPageBreak/>
              <w:t>jeżeli sprawozdanie dotyczące danego dodatku sporządza inny producent lub importer.</w:t>
            </w:r>
            <w:r w:rsidR="00FD36C9">
              <w:rPr>
                <w:rFonts w:ascii="Times New Roman" w:hAnsi="Times New Roman"/>
                <w:b/>
                <w:sz w:val="24"/>
              </w:rPr>
              <w:br/>
              <w:t>  Ustęp 6. Zawartość wykazu priorytetowego dodatków podlegających zaostrzonym wymogom zgłaszania, opisanym w niniejszym artykule, określa minister. Minister może zażądać dodatkowych wyjaśnień dotyczących badań, które należy dostarczyć zgodnie z niniejszym artykułem”.</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5" w:anchor="Art.8" w:history="1">
              <w:r w:rsidR="00FD36C9">
                <w:rPr>
                  <w:rFonts w:ascii="Times New Roman" w:hAnsi="Times New Roman"/>
                  <w:b/>
                  <w:color w:val="0000FF"/>
                  <w:sz w:val="24"/>
                  <w:u w:val="single"/>
                </w:rPr>
                <w:t>7</w:t>
              </w:r>
            </w:hyperlink>
            <w:r w:rsidR="00FD36C9">
              <w:rPr>
                <w:rFonts w:ascii="Times New Roman" w:hAnsi="Times New Roman"/>
                <w:b/>
                <w:sz w:val="24"/>
              </w:rPr>
              <w:t>. W artykule 5 tego samego dekretu dodaje się ust. 9 w brzmieniu:</w:t>
            </w:r>
            <w:r w:rsidR="00FD36C9">
              <w:rPr>
                <w:rFonts w:ascii="Times New Roman" w:hAnsi="Times New Roman"/>
                <w:b/>
                <w:sz w:val="24"/>
              </w:rPr>
              <w:br/>
              <w:t>  „Ustęp 9. Zakazuje się wprowadzania do obrotu jakiegokolwiek elementu technicznego, np. filtrów i papieru, pozwalającego na zmianę intensywności spalania, barwy wydzielanych substancji, zapachu lub smaku wyrobów na bazie tytoniu. Ponadto element ten nie może zawierać dodatków wymienionych w ust. 3 niniejszego artykułu”.</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6" w:anchor="Art.9" w:history="1">
              <w:r w:rsidR="00FD36C9">
                <w:rPr>
                  <w:rFonts w:ascii="Times New Roman" w:hAnsi="Times New Roman"/>
                  <w:b/>
                  <w:color w:val="0000FF"/>
                  <w:sz w:val="24"/>
                  <w:u w:val="single"/>
                </w:rPr>
                <w:t>8</w:t>
              </w:r>
            </w:hyperlink>
            <w:r w:rsidR="00FD36C9">
              <w:rPr>
                <w:rFonts w:ascii="Times New Roman" w:hAnsi="Times New Roman"/>
                <w:b/>
                <w:sz w:val="24"/>
              </w:rPr>
              <w:t>. W ust. 7 pkt 3 tego samego dekretu przepis w ppkt 1. otrzymuje brzmienie:</w:t>
            </w:r>
            <w:r w:rsidR="00FD36C9">
              <w:rPr>
                <w:rFonts w:ascii="Times New Roman" w:hAnsi="Times New Roman"/>
                <w:b/>
                <w:sz w:val="24"/>
              </w:rPr>
              <w:br/>
              <w:t>  „1° w przypadku opakowań papierosów, tytoniu do fajki wodnej oraz tytoniu do samodzielnego skręcania papierosów w opakowaniach o kształcie prostopadłościanu, ostrzeżenie ogólne jest umieszczone w dolnej części jednej z bocznych płaszczyzn opakowań jednostkowych, a wiadomość informacyjna jest umieszczona w dolnej części innej bocznej płaszczyzny.  Te ostrzeżenia zdrowotne mają szerokość co najmniej 20 mm. Z przepisu tego wynika, że grubość opakowania papierosów nie może być mniejsza niż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7" w:anchor="Art.10" w:history="1">
              <w:r w:rsidR="00FD36C9">
                <w:rPr>
                  <w:rFonts w:ascii="Times New Roman" w:hAnsi="Times New Roman"/>
                  <w:b/>
                  <w:color w:val="0000FF"/>
                  <w:sz w:val="24"/>
                  <w:u w:val="single"/>
                </w:rPr>
                <w:t>9</w:t>
              </w:r>
            </w:hyperlink>
            <w:r w:rsidR="00FD36C9">
              <w:rPr>
                <w:rFonts w:ascii="Times New Roman" w:hAnsi="Times New Roman"/>
                <w:b/>
                <w:sz w:val="24"/>
              </w:rPr>
              <w:t>. W art. 8 tego samego dekretu wprowadza się następujące zmiany:</w:t>
            </w:r>
            <w:r w:rsidR="00FD36C9">
              <w:rPr>
                <w:rFonts w:ascii="Times New Roman" w:hAnsi="Times New Roman"/>
                <w:b/>
                <w:sz w:val="24"/>
              </w:rPr>
              <w:br/>
              <w:t>  1° w ust. 2 przepis w pkt 1 otrzymuje brzmienie:</w:t>
            </w:r>
            <w:r w:rsidR="00FD36C9">
              <w:rPr>
                <w:rFonts w:ascii="Times New Roman" w:hAnsi="Times New Roman"/>
                <w:b/>
                <w:sz w:val="24"/>
              </w:rPr>
              <w:br/>
              <w:t>  1° pokrywają 65% przedniej i tylnej zewnętrznej płaszczyzny opakowania jednostkowego i opakowania zbiorczego.</w:t>
            </w:r>
            <w:r w:rsidR="00FD36C9">
              <w:rPr>
                <w:rFonts w:ascii="Times New Roman" w:hAnsi="Times New Roman"/>
                <w:b/>
                <w:sz w:val="24"/>
              </w:rPr>
              <w:br/>
              <w:t>  Na opakowaniach w kształcie walca:</w:t>
            </w:r>
            <w:r w:rsidR="00FD36C9">
              <w:rPr>
                <w:rFonts w:ascii="Times New Roman" w:hAnsi="Times New Roman"/>
                <w:b/>
                <w:sz w:val="24"/>
              </w:rPr>
              <w:br/>
              <w:t>  - obydwa mieszane ostrzeżenia znajdują się w równej odległości od siebie, a każde ostrzeżenie zdrowotne zajmuje 65% przypadającej na nie połowy zaokrąglonej płaszczyzny;</w:t>
            </w:r>
            <w:r w:rsidR="00FD36C9">
              <w:rPr>
                <w:rFonts w:ascii="Times New Roman" w:hAnsi="Times New Roman"/>
                <w:b/>
                <w:sz w:val="24"/>
              </w:rPr>
              <w:br/>
              <w:t>  - mieszane ostrzeżenia zdrowotne zajmują całą szerokość obydwu płaszczyzn na których się znajdują.” ;</w:t>
            </w:r>
            <w:r w:rsidR="00FD36C9">
              <w:rPr>
                <w:rFonts w:ascii="Times New Roman" w:hAnsi="Times New Roman"/>
                <w:b/>
                <w:sz w:val="24"/>
              </w:rPr>
              <w:br/>
              <w:t>  2° w ust. 2 pkt 5 słowa „znaki towarowe lub logo” zastępuje się słowami „znaki towarowe”.</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8" w:anchor="Art.11" w:history="1">
              <w:r w:rsidR="00FD36C9">
                <w:rPr>
                  <w:rFonts w:ascii="Times New Roman" w:hAnsi="Times New Roman"/>
                  <w:b/>
                  <w:color w:val="0000FF"/>
                  <w:sz w:val="24"/>
                  <w:u w:val="single"/>
                </w:rPr>
                <w:t>10</w:t>
              </w:r>
            </w:hyperlink>
            <w:r w:rsidR="00FD36C9">
              <w:rPr>
                <w:rFonts w:ascii="Times New Roman" w:hAnsi="Times New Roman"/>
                <w:b/>
                <w:sz w:val="24"/>
              </w:rPr>
              <w:t>. W art. 9 ust. 1 tego samego dekretu wprowadza się następujące zmiany:</w:t>
            </w:r>
            <w:r w:rsidR="00FD36C9">
              <w:rPr>
                <w:rFonts w:ascii="Times New Roman" w:hAnsi="Times New Roman"/>
                <w:b/>
                <w:sz w:val="24"/>
              </w:rPr>
              <w:br/>
              <w:t>  1° akapit 1 otrzymuje brzmienie:</w:t>
            </w:r>
            <w:r w:rsidR="00FD36C9">
              <w:rPr>
                <w:rFonts w:ascii="Times New Roman" w:hAnsi="Times New Roman"/>
                <w:b/>
                <w:sz w:val="24"/>
              </w:rPr>
              <w:br/>
              <w:t>  „Wyroby tytoniowe do palenia inne niż papierosy, tytoń do samodzielnego skręcania papierosów i tytoń do fajki wodnej są zwolnione z obowiązków wymienionych w art. 7 ust. 2 i 3 i w art. 8.</w:t>
            </w:r>
            <w:r w:rsidR="00FD36C9">
              <w:rPr>
                <w:rFonts w:ascii="Times New Roman" w:hAnsi="Times New Roman"/>
                <w:b/>
                <w:sz w:val="24"/>
              </w:rPr>
              <w:br/>
              <w:t>  2° w ust. 2 dodaje się zdania:</w:t>
            </w:r>
            <w:r w:rsidR="00FD36C9">
              <w:rPr>
                <w:rFonts w:ascii="Times New Roman" w:hAnsi="Times New Roman"/>
                <w:b/>
                <w:sz w:val="24"/>
              </w:rPr>
              <w:br/>
              <w:t>  „W odniesieniu znajduje się numer linii Tabac Stop »0800 11100« oraz adresy stron www: www.tabacstop.be - www.tabakstop.be. Wielkość czcionki odniesienia do strony internetowej oferującej pomoc w rzuceniu palenia musi być taka sama jak wielkość czcionki ostrzeżenia ogólnego. ”.</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19" w:anchor="Art.12" w:history="1">
              <w:r w:rsidR="00FD36C9">
                <w:rPr>
                  <w:rFonts w:ascii="Times New Roman" w:hAnsi="Times New Roman"/>
                  <w:b/>
                  <w:color w:val="0000FF"/>
                  <w:sz w:val="24"/>
                  <w:u w:val="single"/>
                </w:rPr>
                <w:t>11</w:t>
              </w:r>
            </w:hyperlink>
            <w:r w:rsidR="00FD36C9">
              <w:rPr>
                <w:rFonts w:ascii="Times New Roman" w:hAnsi="Times New Roman"/>
                <w:b/>
                <w:sz w:val="24"/>
              </w:rPr>
              <w:t>. W art. 11 tego samego dekretu wprowadza się następujące zmiany:</w:t>
            </w:r>
            <w:r w:rsidR="00FD36C9">
              <w:rPr>
                <w:rFonts w:ascii="Times New Roman" w:hAnsi="Times New Roman"/>
                <w:b/>
                <w:sz w:val="24"/>
              </w:rPr>
              <w:br/>
              <w:t>  1° w ust. 2 dodaje się wyrażenie:</w:t>
            </w:r>
            <w:r w:rsidR="00FD36C9">
              <w:rPr>
                <w:rFonts w:ascii="Times New Roman" w:hAnsi="Times New Roman"/>
                <w:b/>
                <w:sz w:val="24"/>
              </w:rPr>
              <w:br/>
              <w:t xml:space="preserve">  „Zabrania się umieszczania jakiegokolwiek odniesienia do ceny, z wyjątkiem ceny </w:t>
            </w:r>
            <w:r w:rsidR="00FD36C9">
              <w:rPr>
                <w:rFonts w:ascii="Times New Roman" w:hAnsi="Times New Roman"/>
                <w:b/>
                <w:sz w:val="24"/>
              </w:rPr>
              <w:lastRenderedPageBreak/>
              <w:t>podanej na banderoli.”;</w:t>
            </w:r>
            <w:r w:rsidR="00FD36C9">
              <w:rPr>
                <w:rFonts w:ascii="Times New Roman" w:hAnsi="Times New Roman"/>
                <w:b/>
                <w:sz w:val="24"/>
              </w:rPr>
              <w:br/>
              <w:t>  2° w artykule dodaje się ust. 4 i 5 w brzmieniu:</w:t>
            </w:r>
            <w:r w:rsidR="00FD36C9">
              <w:rPr>
                <w:rFonts w:ascii="Times New Roman" w:hAnsi="Times New Roman"/>
                <w:b/>
                <w:sz w:val="24"/>
              </w:rPr>
              <w:br/>
              <w:t>  „Ustęp 4. Na podstawie przepisów niniejszego artykułu minister może ustanowić wykaz zakazanych marek wyrobów na bazie tytoniu, nawet jeśli wyroby te znajdują się już w obrocie. Zostanie wprowadzony jednoroczny okres przejściowy na wstrzymanie obrotu zakazanymi markami. Minister określa sposób umieszczenia wyrobu na bazie tytoniu w wykazie zakazanych marek. Minister może ustalić procedurę zatwierdzania dla marek wyrobów na bazie tytoniu, które nie zostały jeszcze wprowadzone do obrotu.</w:t>
            </w:r>
            <w:r w:rsidR="00FD36C9">
              <w:rPr>
                <w:rFonts w:ascii="Times New Roman" w:hAnsi="Times New Roman"/>
                <w:b/>
                <w:sz w:val="24"/>
              </w:rPr>
              <w:br/>
              <w:t>  Ustęp 5. „Przepisy niniejszego artykułu mają zastosowanie do elementów technicznych, takich jak filtry i papier, które umożliwiają lub poprawiają konsumpcję wyrobów na bazie tytoniu”.</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0" w:anchor="Art.13" w:history="1">
              <w:r w:rsidR="00FD36C9">
                <w:rPr>
                  <w:rFonts w:ascii="Times New Roman" w:hAnsi="Times New Roman"/>
                  <w:b/>
                  <w:color w:val="0000FF"/>
                  <w:sz w:val="24"/>
                  <w:u w:val="single"/>
                </w:rPr>
                <w:t>12</w:t>
              </w:r>
            </w:hyperlink>
            <w:r w:rsidR="00FD36C9">
              <w:rPr>
                <w:rFonts w:ascii="Times New Roman" w:hAnsi="Times New Roman"/>
                <w:b/>
                <w:sz w:val="24"/>
              </w:rPr>
              <w:t>. W art. 12 tego samego dekretu dodaje się ust. 3 w brzmieniu:</w:t>
            </w:r>
            <w:r w:rsidR="00FD36C9">
              <w:rPr>
                <w:rFonts w:ascii="Times New Roman" w:hAnsi="Times New Roman"/>
                <w:b/>
                <w:sz w:val="24"/>
              </w:rPr>
              <w:br/>
              <w:t>  „Ustęp 3. Każdy wyrób tytoniowy i każdy wyrób ziołowy przeznaczone do palenia wprowadzane do obrotu muszą być opakowane lub muszą posiadać opakowanie zewnętrzne.”.</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1" w:anchor="Art.14" w:history="1">
              <w:r w:rsidR="00FD36C9">
                <w:rPr>
                  <w:rFonts w:ascii="Times New Roman" w:hAnsi="Times New Roman"/>
                  <w:b/>
                  <w:color w:val="0000FF"/>
                  <w:sz w:val="24"/>
                  <w:u w:val="single"/>
                </w:rPr>
                <w:t>13</w:t>
              </w:r>
            </w:hyperlink>
            <w:r w:rsidR="00FD36C9">
              <w:rPr>
                <w:rFonts w:ascii="Times New Roman" w:hAnsi="Times New Roman"/>
                <w:b/>
                <w:sz w:val="24"/>
              </w:rPr>
              <w:t>. Artykuł 13 tego samego dekretu otrzymuje brzmienie:</w:t>
            </w:r>
            <w:r w:rsidR="00FD36C9">
              <w:rPr>
                <w:rFonts w:ascii="Times New Roman" w:hAnsi="Times New Roman"/>
                <w:b/>
                <w:sz w:val="24"/>
              </w:rPr>
              <w:br/>
              <w:t>  „Artykuł 13. Zakazuje się sprzedaży konsumentowi na odległość oraz zakupu przez konsumenta na odległość wyrobów na bazie tytoniu, wyrobów ziołowych i aparatów przeznaczonych do ich konsumpcji.”.</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2" w:anchor="Art.15" w:history="1">
              <w:r w:rsidR="00FD36C9">
                <w:rPr>
                  <w:rFonts w:ascii="Times New Roman" w:hAnsi="Times New Roman"/>
                  <w:b/>
                  <w:color w:val="0000FF"/>
                  <w:sz w:val="24"/>
                  <w:u w:val="single"/>
                </w:rPr>
                <w:t>14</w:t>
              </w:r>
            </w:hyperlink>
            <w:r w:rsidR="00FD36C9">
              <w:rPr>
                <w:rFonts w:ascii="Times New Roman" w:hAnsi="Times New Roman"/>
                <w:b/>
                <w:sz w:val="24"/>
              </w:rPr>
              <w:t>. Artykuł 14 tego samego dekretu otrzymuje brzmienie:</w:t>
            </w:r>
            <w:r w:rsidR="00FD36C9">
              <w:rPr>
                <w:rFonts w:ascii="Times New Roman" w:hAnsi="Times New Roman"/>
                <w:b/>
                <w:sz w:val="24"/>
              </w:rPr>
              <w:br/>
              <w:t>  „Artykuł 14. Ustęp 1. Producent lub importer lub importer w Belgii, jeśli dwaj pierwsi nie posiadają siedziby w Belgii, nowatorskich wyrobów na bazie tytoniu, jest zobowiązany do elektronicznego powiadomienia Służby sześć miesięcy przez planowaną datą wprowadzenia do obrotu. Powiadomienie jest dokonywane w formie elektronicznej. Do powiadomienia należy załączyć szczegółowy opis danego nowatorskiego wyrobu na bazie tytoniu oraz instrukcję używania, jak również informacje o składzie wyrobu i wydzielanych substancjach wymagane zgodnie z art. 4.</w:t>
            </w:r>
            <w:r w:rsidR="00FD36C9">
              <w:rPr>
                <w:rFonts w:ascii="Times New Roman" w:hAnsi="Times New Roman"/>
                <w:b/>
                <w:sz w:val="24"/>
              </w:rPr>
              <w:br/>
              <w:t>  Ustęp 2. Producent lub importer, lub importer w Belgii, jeśli dwaj pierwsi nie posiadają siedziby w Belgii, nowatorskich wyrobów na bazie tytoniu dokonujący powiadomienia o nowatorskim wyrobie na bazie tytoniu, jest zobowiązany również do dostarczenia Służbie:</w:t>
            </w:r>
            <w:r w:rsidR="00FD36C9">
              <w:rPr>
                <w:rFonts w:ascii="Times New Roman" w:hAnsi="Times New Roman"/>
                <w:b/>
                <w:sz w:val="24"/>
              </w:rPr>
              <w:br/>
              <w:t>  1° informacji o dostępnych badaniach naukowych na temat toksyczności, właściwości uzależniających i atrakcyjności nowatorskiego wyrobu na bazie tytoniu, w szczególności pod względem jego składników i wydzielanych substancji;</w:t>
            </w:r>
            <w:r w:rsidR="00FD36C9">
              <w:rPr>
                <w:rFonts w:ascii="Times New Roman" w:hAnsi="Times New Roman"/>
                <w:b/>
                <w:sz w:val="24"/>
              </w:rPr>
              <w:br/>
              <w:t>  2° informacji o dostępnych badaniach lub ich streszczeń oraz analiz rynkowych na temat preferencji różnych grup konsumentów, w tym ludzi młodych i aktualnych palaczy;</w:t>
            </w:r>
            <w:r w:rsidR="00FD36C9">
              <w:rPr>
                <w:rFonts w:ascii="Times New Roman" w:hAnsi="Times New Roman"/>
                <w:b/>
                <w:sz w:val="24"/>
              </w:rPr>
              <w:br/>
              <w:t>  3° innych dostępnych i istotnych informacji, w tym analiz stosunku ryzyka do korzyści związanych z wyrobem, analiz jego przewidywanych skutków w kontekście zaprzestania i rozpoczęcia spożycia tytoniu oraz przewidywań dotyczących sposobu postrzegania wyrobu przez konsumentów.</w:t>
            </w:r>
            <w:r w:rsidR="00FD36C9">
              <w:rPr>
                <w:rFonts w:ascii="Times New Roman" w:hAnsi="Times New Roman"/>
                <w:b/>
                <w:sz w:val="24"/>
              </w:rPr>
              <w:br/>
              <w:t xml:space="preserve">  Ustęp 3. Producent lub importer, lub importer w Belgii, jeśli dwaj pierwsi nie posiadają siedziby w Belgii, nowatorskich wyrobów na bazie tytoniu przekazuje Służbie wszelkie nowe lub zaktualizowane informacje dotyczące analiz i badań oraz inne informacje, o których mowa w ust. 2 pkt 1–3. Służba mogą zażądać od producenta lub importera, lub importera w Belgii, jeśli dwaj pierwsi nie posiadają </w:t>
            </w:r>
            <w:r w:rsidR="00FD36C9">
              <w:rPr>
                <w:rFonts w:ascii="Times New Roman" w:hAnsi="Times New Roman"/>
                <w:b/>
                <w:sz w:val="24"/>
              </w:rPr>
              <w:lastRenderedPageBreak/>
              <w:t>siedziby w Belgii, nowatorskich wyrobów na bazie tytoniu przeprowadzenia dodatkowych badań lub dostarczenia dodatkowych informacji.</w:t>
            </w:r>
            <w:r w:rsidR="00FD36C9">
              <w:rPr>
                <w:rFonts w:ascii="Times New Roman" w:hAnsi="Times New Roman"/>
                <w:b/>
                <w:sz w:val="24"/>
              </w:rPr>
              <w:br/>
              <w:t>  Ustęp 4. Producent lub importer, lub importer w Belgii, jeśli dwaj pierwsi nie posiadają siedziby w Belgii, jest zobowiązany dostarczyć Służbie dowód uiszczenia na konto Służby opłaty w wysokości 4 000 EUR za każdy zgłoszony nowatorski wyrób na bazie tytoniu. Opłata nie podlega zwrotowi.</w:t>
            </w:r>
            <w:r w:rsidR="00FD36C9">
              <w:rPr>
                <w:rFonts w:ascii="Times New Roman" w:hAnsi="Times New Roman"/>
                <w:b/>
                <w:sz w:val="24"/>
              </w:rPr>
              <w:br/>
              <w:t>  Ustęp 5. Do nowatorskiego wyrobu na bazie tytoniu mają zastosowanie przepisy art. 4, 5, 6, 11, 12, ust. 3 i 13 niniejszego dekretu. Minister ustala, które przepisy art. 7, 8, 9 i 10 mają zastosowanie do nowatorskiego wyrobu na bazie tytoniu. Służba informuje o nich wnioskodawcę.</w:t>
            </w:r>
            <w:r w:rsidR="00FD36C9">
              <w:rPr>
                <w:rFonts w:ascii="Times New Roman" w:hAnsi="Times New Roman"/>
                <w:b/>
                <w:sz w:val="24"/>
              </w:rPr>
              <w:br/>
              <w:t>  Ustęp 6. Przepisy niniejszego dekretu mają zastosowanie do aparatów”.</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3" w:anchor="Art.16" w:history="1">
              <w:r w:rsidR="00FD36C9">
                <w:rPr>
                  <w:rFonts w:ascii="Times New Roman" w:hAnsi="Times New Roman"/>
                  <w:b/>
                  <w:color w:val="0000FF"/>
                  <w:sz w:val="24"/>
                  <w:u w:val="single"/>
                </w:rPr>
                <w:t>15</w:t>
              </w:r>
            </w:hyperlink>
            <w:r w:rsidR="00FD36C9">
              <w:rPr>
                <w:rFonts w:ascii="Times New Roman" w:hAnsi="Times New Roman"/>
                <w:b/>
                <w:sz w:val="24"/>
              </w:rPr>
              <w:t>. W art. 15 tego samego dekretu wprowadza się następujące zmiany:</w:t>
            </w:r>
            <w:r w:rsidR="00FD36C9">
              <w:rPr>
                <w:rFonts w:ascii="Times New Roman" w:hAnsi="Times New Roman"/>
                <w:b/>
                <w:sz w:val="24"/>
              </w:rPr>
              <w:br/>
              <w:t>  1° w ust. 3 słowa „art. 5” zastępuje się słowami „art. 7”;</w:t>
            </w:r>
            <w:r w:rsidR="00FD36C9">
              <w:rPr>
                <w:rFonts w:ascii="Times New Roman" w:hAnsi="Times New Roman"/>
                <w:b/>
                <w:sz w:val="24"/>
              </w:rPr>
              <w:br/>
              <w:t>  2° ust. 4 otrzymuje brzmienie:</w:t>
            </w:r>
            <w:r w:rsidR="00FD36C9">
              <w:rPr>
                <w:rFonts w:ascii="Times New Roman" w:hAnsi="Times New Roman"/>
                <w:b/>
                <w:sz w:val="24"/>
              </w:rPr>
              <w:br/>
              <w:t>  „Ustęp 4. Na opakowaniu jednostkowym i wszelkich opakowaniach zewnętrznych wyrobów ziołowych do palenia nie może znajdować się żaden element wymieniony w art. 11 ust. 1 pkt 1, 2 i 4 ani informacja, że wyrób nie zawiera dodatków lub aromatów.”.</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4" w:anchor="Art.17" w:history="1">
              <w:r w:rsidR="00FD36C9">
                <w:rPr>
                  <w:rFonts w:ascii="Times New Roman" w:hAnsi="Times New Roman"/>
                  <w:b/>
                  <w:color w:val="0000FF"/>
                  <w:sz w:val="24"/>
                  <w:u w:val="single"/>
                </w:rPr>
                <w:t>16</w:t>
              </w:r>
            </w:hyperlink>
            <w:r w:rsidR="00FD36C9">
              <w:rPr>
                <w:rFonts w:ascii="Times New Roman" w:hAnsi="Times New Roman"/>
                <w:b/>
                <w:sz w:val="24"/>
              </w:rPr>
              <w:t>. W art. 16 tego samego dekretu wprowadza się następujące zmiany:</w:t>
            </w:r>
            <w:r w:rsidR="00FD36C9">
              <w:rPr>
                <w:rFonts w:ascii="Times New Roman" w:hAnsi="Times New Roman"/>
                <w:b/>
                <w:sz w:val="24"/>
              </w:rPr>
              <w:br/>
              <w:t>  1° ust. 1 otrzymuje brzmienie:</w:t>
            </w:r>
            <w:r w:rsidR="00FD36C9">
              <w:rPr>
                <w:rFonts w:ascii="Times New Roman" w:hAnsi="Times New Roman"/>
                <w:b/>
                <w:sz w:val="24"/>
              </w:rPr>
              <w:br/>
              <w:t>  „Ustęp 1. Producent lub importer wyrobów ziołowych do palenia, lub importer w Belgii, jeśli dwaj pierwsi nie posiadają siedziby w Belgii, jest zobowiązany do przedłożenia Służbie wykazu ilościowego wszystkich składników używanych do produkcji wspomnianych wyrobów na bazie tytoniu, z podziałem na markę i rodzaj. W przypadku gdy zmiana składu wyrobu ma wpływ na informacje przekazane zgodnie z niniejszym artykułem, producent lub importer, lub importer w Belgii, są zobowiązani powiadomić o tym Służbę. Informacje wymagane na postawie niniejszego artykułu są przekazywane przed wprowadzeniem do obrotu nowego lub zmodyfikowanego wyrobu ziołowego do palenia. ”</w:t>
            </w:r>
            <w:r w:rsidR="00FD36C9">
              <w:rPr>
                <w:rFonts w:ascii="Times New Roman" w:hAnsi="Times New Roman"/>
                <w:b/>
                <w:sz w:val="24"/>
              </w:rPr>
              <w:br/>
              <w:t>  2° w artykule dodaje się ust. 3 w brzmieniu:</w:t>
            </w:r>
            <w:r w:rsidR="00FD36C9">
              <w:rPr>
                <w:rFonts w:ascii="Times New Roman" w:hAnsi="Times New Roman"/>
                <w:b/>
                <w:sz w:val="24"/>
              </w:rPr>
              <w:br/>
              <w:t>  „Ustęp 3. Producent lub importer, lub importer w Belgii, jeśli dwaj pierwsi nie posiadają siedziby w Belgii, jest zobowiązany dostarczyć Służbie dowód uiszczenia na konto Służby opłaty w wysokości 165 EUR za każdy zgłoszony wyrób lub modyfikację składu. Opłata nie podlega zwrotowi. ”.</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5" w:anchor="Art.18" w:history="1">
              <w:r w:rsidR="00FD36C9">
                <w:rPr>
                  <w:rFonts w:ascii="Times New Roman" w:hAnsi="Times New Roman"/>
                  <w:b/>
                  <w:color w:val="0000FF"/>
                  <w:sz w:val="24"/>
                  <w:u w:val="single"/>
                </w:rPr>
                <w:t>17</w:t>
              </w:r>
            </w:hyperlink>
            <w:r w:rsidR="00FD36C9">
              <w:rPr>
                <w:rFonts w:ascii="Times New Roman" w:hAnsi="Times New Roman"/>
                <w:b/>
                <w:sz w:val="24"/>
              </w:rPr>
              <w:t>. W art. 17 ust. 1 tego samego dekretu wyraz „wyroby tytoniowe” zastępuje się wyrazem „wyroby”.</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6" w:anchor="Art.19" w:history="1">
              <w:r w:rsidR="00FD36C9">
                <w:rPr>
                  <w:rFonts w:ascii="Times New Roman" w:hAnsi="Times New Roman"/>
                  <w:b/>
                  <w:color w:val="0000FF"/>
                  <w:sz w:val="24"/>
                  <w:u w:val="single"/>
                </w:rPr>
                <w:t>18</w:t>
              </w:r>
            </w:hyperlink>
            <w:r w:rsidR="00FD36C9">
              <w:rPr>
                <w:rFonts w:ascii="Times New Roman" w:hAnsi="Times New Roman"/>
                <w:b/>
                <w:sz w:val="24"/>
              </w:rPr>
              <w:t>. Art. 9 i 10 ust. 2 niniejszego dekretu wchodzą w życie dnia 1 stycznia 2020 r.</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Za wykonanie niniejszego dekretu odpowiadają, każdy w zakresie swojej właściwości, Minister Gospodarki, Minister Zdrowia Publicznego oraz Minister Małych i Średnich Przedsiębiorstw</w:t>
            </w:r>
          </w:p>
        </w:tc>
      </w:tr>
    </w:tbl>
    <w:p w14:paraId="2C2B2ED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53"/>
        <w:gridCol w:w="723"/>
        <w:gridCol w:w="1609"/>
        <w:gridCol w:w="625"/>
      </w:tblGrid>
      <w:tr w:rsidR="00FD36C9" w:rsidRPr="00FD36C9" w14:paraId="36029ACC"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0FB0FC06"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Podpis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3C126B5"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27" w:anchor="tex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3F6ADE4"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28" w:anchor="table of contents" w:history="1">
              <w:r w:rsidR="00FD36C9">
                <w:rPr>
                  <w:rFonts w:ascii="Times New Roman" w:hAnsi="Times New Roman"/>
                  <w:b/>
                  <w:color w:val="0000FF"/>
                  <w:sz w:val="24"/>
                  <w:u w:val="single"/>
                </w:rPr>
                <w:t>Spis treści</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79F040"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29" w:anchor="top" w:history="1">
              <w:r w:rsidR="00FD36C9">
                <w:rPr>
                  <w:rFonts w:ascii="Times New Roman" w:hAnsi="Times New Roman"/>
                  <w:b/>
                  <w:color w:val="0000FF"/>
                  <w:sz w:val="24"/>
                  <w:u w:val="single"/>
                </w:rPr>
                <w:t xml:space="preserve">Start </w:t>
              </w:r>
            </w:hyperlink>
          </w:p>
        </w:tc>
      </w:tr>
      <w:tr w:rsidR="00FD36C9" w:rsidRPr="00FD36C9" w14:paraId="22E1441E"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1CF94BE5" w14:textId="7B75BF0F"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Wydano w Brukseli w dniu 26 kwietnia 2019 r.</w:t>
            </w:r>
            <w:r>
              <w:rPr>
                <w:rFonts w:ascii="Times New Roman" w:hAnsi="Times New Roman"/>
                <w:b/>
                <w:sz w:val="24"/>
              </w:rPr>
              <w:br/>
              <w:t>FILIP</w:t>
            </w:r>
            <w:r w:rsidR="00911D0F">
              <w:rPr>
                <w:rFonts w:ascii="Times New Roman" w:hAnsi="Times New Roman"/>
                <w:b/>
                <w:sz w:val="24"/>
              </w:rPr>
              <w:br/>
            </w:r>
            <w:r>
              <w:rPr>
                <w:rFonts w:ascii="Times New Roman" w:hAnsi="Times New Roman"/>
                <w:b/>
                <w:sz w:val="24"/>
              </w:rPr>
              <w:t>W imieniu króla:</w:t>
            </w:r>
            <w:r>
              <w:rPr>
                <w:rFonts w:ascii="Times New Roman" w:hAnsi="Times New Roman"/>
                <w:b/>
                <w:sz w:val="24"/>
              </w:rPr>
              <w:br/>
              <w:t>Minister gospodarki</w:t>
            </w:r>
            <w:r w:rsidR="00911D0F">
              <w:rPr>
                <w:rFonts w:ascii="Times New Roman" w:hAnsi="Times New Roman"/>
                <w:b/>
                <w:sz w:val="24"/>
              </w:rPr>
              <w:br/>
            </w:r>
            <w:r>
              <w:rPr>
                <w:rFonts w:ascii="Times New Roman" w:hAnsi="Times New Roman"/>
                <w:b/>
                <w:sz w:val="24"/>
              </w:rPr>
              <w:t>K. PEETERS</w:t>
            </w:r>
            <w:r w:rsidR="00911D0F">
              <w:rPr>
                <w:rFonts w:ascii="Times New Roman" w:hAnsi="Times New Roman"/>
                <w:b/>
                <w:sz w:val="24"/>
              </w:rPr>
              <w:br/>
            </w:r>
            <w:r>
              <w:rPr>
                <w:rFonts w:ascii="Times New Roman" w:hAnsi="Times New Roman"/>
                <w:b/>
                <w:sz w:val="24"/>
              </w:rPr>
              <w:t>Minister zdrowia</w:t>
            </w:r>
            <w:r w:rsidR="00911D0F">
              <w:rPr>
                <w:rFonts w:ascii="Times New Roman" w:hAnsi="Times New Roman"/>
                <w:b/>
                <w:sz w:val="24"/>
              </w:rPr>
              <w:br/>
            </w:r>
            <w:r>
              <w:rPr>
                <w:rFonts w:ascii="Times New Roman" w:hAnsi="Times New Roman"/>
                <w:b/>
                <w:sz w:val="24"/>
              </w:rPr>
              <w:t>M. DE BLOCK</w:t>
            </w:r>
            <w:r w:rsidR="00911D0F">
              <w:rPr>
                <w:rFonts w:ascii="Times New Roman" w:hAnsi="Times New Roman"/>
                <w:b/>
                <w:sz w:val="24"/>
              </w:rPr>
              <w:br/>
            </w:r>
            <w:r>
              <w:rPr>
                <w:rFonts w:ascii="Times New Roman" w:hAnsi="Times New Roman"/>
                <w:b/>
                <w:sz w:val="24"/>
              </w:rPr>
              <w:t>Minister małych i średnicg przedsiębiorstw</w:t>
            </w:r>
            <w:r w:rsidR="00911D0F">
              <w:rPr>
                <w:rFonts w:ascii="Times New Roman" w:hAnsi="Times New Roman"/>
                <w:b/>
                <w:sz w:val="24"/>
              </w:rPr>
              <w:br/>
            </w:r>
            <w:r>
              <w:rPr>
                <w:rFonts w:ascii="Times New Roman" w:hAnsi="Times New Roman"/>
                <w:b/>
                <w:sz w:val="24"/>
              </w:rPr>
              <w:t>D. DUCARME</w:t>
            </w:r>
          </w:p>
        </w:tc>
      </w:tr>
    </w:tbl>
    <w:p w14:paraId="36FF0805"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45ADE8A7"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70E3687A"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Wstęp</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2C0728"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30" w:anchor="tex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71B66AB"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31" w:anchor="table of contents" w:history="1">
              <w:r w:rsidR="00FD36C9">
                <w:rPr>
                  <w:rFonts w:ascii="Times New Roman" w:hAnsi="Times New Roman"/>
                  <w:b/>
                  <w:color w:val="0000FF"/>
                  <w:sz w:val="24"/>
                  <w:u w:val="single"/>
                </w:rPr>
                <w:t>Spis treści</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13E7F7F"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32" w:anchor="top" w:history="1">
              <w:r w:rsidR="00FD36C9">
                <w:rPr>
                  <w:rFonts w:ascii="Times New Roman" w:hAnsi="Times New Roman"/>
                  <w:b/>
                  <w:color w:val="0000FF"/>
                  <w:sz w:val="24"/>
                  <w:u w:val="single"/>
                </w:rPr>
                <w:t xml:space="preserve">Start </w:t>
              </w:r>
            </w:hyperlink>
          </w:p>
        </w:tc>
      </w:tr>
      <w:tr w:rsidR="00FD36C9" w:rsidRPr="00FD36C9" w14:paraId="49B0AC7E"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BC32D61"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FILIP, Król Belgów, Do wszystkich obecnych i przyszłych, Pozdrowienia.</w:t>
            </w:r>
            <w:r>
              <w:rPr>
                <w:rFonts w:ascii="Times New Roman" w:hAnsi="Times New Roman"/>
                <w:b/>
                <w:sz w:val="24"/>
              </w:rPr>
              <w:br/>
              <w:t>   uwzględniając ustawę z dnia 24 stycznia 1977 r. o ochronie zdrowia konsumentów w odniesieniu do środków spożywczych i innych produktów, art. 6 ust.1 lit. a), zmieniony ustawą z dnia 22 marca 1989 r., art. 10 akapit 1, zastąpiony ustawą z dnia 9 lutego 1994 r., i akapit 3 zastąpiony ustawą z dnia 10 kwietnia 2014 r. oraz art. 18 ust. 1 zastąpiony ustawą dnia 22 marca 1989 r. i zmieniony ustawą z dnia 22 grudnia 2003 r.,</w:t>
            </w:r>
            <w:r>
              <w:rPr>
                <w:rFonts w:ascii="Times New Roman" w:hAnsi="Times New Roman"/>
                <w:b/>
                <w:sz w:val="24"/>
              </w:rPr>
              <w:br/>
              <w:t>   uwzględniając dekret królewski z dnia 5 lutego 2016 r. w sprawie produkcji i wprowadzania do obrotu wyrobów tytoniowych,</w:t>
            </w:r>
            <w:r>
              <w:rPr>
                <w:rFonts w:ascii="Times New Roman" w:hAnsi="Times New Roman"/>
                <w:b/>
                <w:sz w:val="24"/>
              </w:rPr>
              <w:br/>
              <w:t>   uwzględniając komunikat do Komisji Europejskiej, wysłany dnia 7 marca 2018 r., zgodnie z art. 5 ust. 1 dyrektywy (UE) 2015/1535 Parlamentu Europejskiego i Rady z dnia 9 września 2015 r. ustanawiającej procedurę udzielania informacji w dziedzinie przepisów technicznych oraz zasad dotyczących usług społeczeństwa informacyjnego,</w:t>
            </w:r>
            <w:r>
              <w:rPr>
                <w:rFonts w:ascii="Times New Roman" w:hAnsi="Times New Roman"/>
                <w:b/>
                <w:sz w:val="24"/>
              </w:rPr>
              <w:br/>
              <w:t>   uwzględniając opinię inspektorów finansów z dnia 6 września 2018 r. i 13 marca 2019 r.,</w:t>
            </w:r>
            <w:r>
              <w:rPr>
                <w:rFonts w:ascii="Times New Roman" w:hAnsi="Times New Roman"/>
                <w:b/>
                <w:sz w:val="24"/>
              </w:rPr>
              <w:br/>
              <w:t>   uwzględniając porozumienie osiągnięte przez Ministra Budżetu z dnia 2 kwietnia 2019 r.,</w:t>
            </w:r>
            <w:r>
              <w:rPr>
                <w:rFonts w:ascii="Times New Roman" w:hAnsi="Times New Roman"/>
                <w:b/>
                <w:sz w:val="24"/>
              </w:rPr>
              <w:br/>
              <w:t>   uwzględniając opinię Rady Stanu nr 65.468/3 z dnia 20 marca 2019 r., wydaną na podstawie art. 84 § 1 ust. 1 pkt 2 ustawy o Radzie Stanu, skonsolidowanej w dniu 12 stycznia 1973 r.,</w:t>
            </w:r>
            <w:r>
              <w:rPr>
                <w:rFonts w:ascii="Times New Roman" w:hAnsi="Times New Roman"/>
                <w:b/>
                <w:sz w:val="24"/>
              </w:rPr>
              <w:br/>
              <w:t>   na wniosek Ministra Gospodarki, Ministra Zdrowia oraz Ministra ds. Małych i Średnich Przedsiębiorstw, zadekretowaliśmy i niniejszym dekretujemy:</w:t>
            </w:r>
          </w:p>
        </w:tc>
      </w:tr>
    </w:tbl>
    <w:p w14:paraId="19D637D7"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1C6D8639"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A28F352"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Sprawozdanie dla Króla</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0B5DD1"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33" w:anchor="tex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F1AEA46"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34" w:anchor="table of contents" w:history="1">
              <w:r w:rsidR="00FD36C9">
                <w:rPr>
                  <w:rFonts w:ascii="Times New Roman" w:hAnsi="Times New Roman"/>
                  <w:b/>
                  <w:color w:val="0000FF"/>
                  <w:sz w:val="24"/>
                  <w:u w:val="single"/>
                </w:rPr>
                <w:t>Spis treści</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69A66FA" w14:textId="77777777" w:rsidR="00FD36C9" w:rsidRPr="00FD36C9" w:rsidRDefault="00B83E6A" w:rsidP="00FD36C9">
            <w:pPr>
              <w:spacing w:after="0" w:line="240" w:lineRule="auto"/>
              <w:jc w:val="center"/>
              <w:rPr>
                <w:rFonts w:ascii="Times New Roman" w:eastAsia="Times New Roman" w:hAnsi="Times New Roman" w:cs="Times New Roman"/>
                <w:b/>
                <w:bCs/>
                <w:sz w:val="24"/>
                <w:szCs w:val="24"/>
              </w:rPr>
            </w:pPr>
            <w:hyperlink r:id="rId35" w:anchor="top" w:history="1">
              <w:r w:rsidR="00FD36C9">
                <w:rPr>
                  <w:rFonts w:ascii="Times New Roman" w:hAnsi="Times New Roman"/>
                  <w:b/>
                  <w:color w:val="0000FF"/>
                  <w:sz w:val="24"/>
                  <w:u w:val="single"/>
                </w:rPr>
                <w:t xml:space="preserve">Start </w:t>
              </w:r>
            </w:hyperlink>
          </w:p>
        </w:tc>
      </w:tr>
      <w:tr w:rsidR="00FD36C9" w:rsidRPr="00FD36C9" w14:paraId="44EAEAB5"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0C306DC" w14:textId="5E5ED7AE"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SPRAWOZDANIE DLA KRÓLA</w:t>
            </w:r>
            <w:r>
              <w:rPr>
                <w:rFonts w:ascii="Times New Roman" w:hAnsi="Times New Roman"/>
                <w:b/>
                <w:sz w:val="24"/>
              </w:rPr>
              <w:br/>
              <w:t>Panie,</w:t>
            </w:r>
            <w:r>
              <w:rPr>
                <w:rFonts w:ascii="Times New Roman" w:hAnsi="Times New Roman"/>
                <w:b/>
                <w:sz w:val="24"/>
              </w:rPr>
              <w:br/>
              <w:t>Niniejszy projekt dekretu królewskiego ma na celu zmianę dekretu królewskiego z dnia 5 lutego 2016 r. w sprawie produkcji i wprowadzania do obrotu wyrobów tytoniowych, częściowo transponującego dyrektywę 2014/40/UE.</w:t>
            </w:r>
            <w:r>
              <w:rPr>
                <w:rFonts w:ascii="Times New Roman" w:hAnsi="Times New Roman"/>
                <w:b/>
                <w:sz w:val="24"/>
              </w:rPr>
              <w:br/>
              <w:t>   Planowane zmiany dotyczą głównie definicji, corocznego powiadamiania, regulacji składników, etykietowania, prezentacji produktu, sprzedaży na odległość i nowatorskich wyrobów tytoniowych. Ponadto istnieje szereg zmian mających na celu skorygowanie błędów technicznych w transpozycji.</w:t>
            </w:r>
            <w:r>
              <w:rPr>
                <w:rFonts w:ascii="Times New Roman" w:hAnsi="Times New Roman"/>
                <w:b/>
                <w:sz w:val="24"/>
              </w:rPr>
              <w:br/>
              <w:t>   Niektóre zmiany wymagają dalszych wyjaśnień.</w:t>
            </w:r>
            <w:r>
              <w:rPr>
                <w:rFonts w:ascii="Times New Roman" w:hAnsi="Times New Roman"/>
                <w:b/>
                <w:sz w:val="24"/>
              </w:rPr>
              <w:br/>
              <w:t xml:space="preserve">   W odniesieniu do definicji belgijskiego importera konieczne jest, aby Belgia była w stanie wywiązać się z obowiązków określonych w dyrektywie 2014/40/UE, w szczególności w art. 5. Wymaga to możliwości nałożenia środków przymusu (grzywny, </w:t>
            </w:r>
            <w:r>
              <w:rPr>
                <w:rFonts w:ascii="Times New Roman" w:hAnsi="Times New Roman"/>
                <w:b/>
                <w:sz w:val="24"/>
              </w:rPr>
              <w:lastRenderedPageBreak/>
              <w:t>konfiskata itp.) na odpowiedzialne przedsiębiorstwo w przypadku nieprzestrzegania przepisów. Definicja importera przewidziana w dyrektywie 2014/40/UE nie pozwala organowi kontrolnemu na podjęcie działań przeciwko importerom w Unii Europejskiej. Należy zatem zdefiniować pojęcie „importera belgijskiego” odpowiedzialnego za wprowadzenie wyrobu na terytorium Belgii, tak aby władze belgijskie mogły wytoczyć powództwo przeciwko belgijskiemu importerowi w przypadku naruszenia przepisów. Ponadto nie wszystkie państwa członkowskie dysponują służbą inspekcyjną umożliwiającą rozpatrywanie wniosków o nałożenie sankcji składanych przez władze belgijskie.</w:t>
            </w:r>
            <w:r>
              <w:rPr>
                <w:rFonts w:ascii="Times New Roman" w:hAnsi="Times New Roman"/>
                <w:b/>
                <w:sz w:val="24"/>
              </w:rPr>
              <w:br/>
              <w:t>   W odniesieniu do regulacji składników, analogicznie do zakazu, o którym mowa w art. 5 ust. 4, przewiduje się zakaz wprowadzania do obrotu elementów technicznych, które nie są początkowym składnikiem wyrobów na bazie tytoniu, które pozwalają na zmianę intensywności spalania, koloru emisji, zapachu lub smaku wyrobów na bazie tytoniu, w celu uniemożliwienia producentom wprowadzania do obrotu produktów, które zmniejszają wpływ zakazu na wyroby na bazie tytoniu o charakterystycznym smaku.</w:t>
            </w:r>
            <w:r>
              <w:rPr>
                <w:rFonts w:ascii="Times New Roman" w:hAnsi="Times New Roman"/>
                <w:b/>
                <w:sz w:val="24"/>
              </w:rPr>
              <w:br/>
              <w:t>   Jeśli chodzi o grubość opakowania papierosów, konieczne jest wyjaśnienie, aby grubość opakowania nie była mniejsza niż 20 mm. Wymóg ten wynika z interpretacji zalecanej w dokumencie roboczym Komisji Europejskiej z dnia 1 września 2017 r. W związku z tym Belgia jedynie wyjaśnia istniejącą już zasadę.</w:t>
            </w:r>
            <w:r>
              <w:rPr>
                <w:rFonts w:ascii="Times New Roman" w:hAnsi="Times New Roman"/>
                <w:b/>
                <w:sz w:val="24"/>
              </w:rPr>
              <w:br/>
              <w:t>   W odniesieniu do prezentacji wyrobów Minister ma możliwość, z jednej strony, ustanowienia wykazu zakazanych marek na bazie tytoniu, a z drugiej strony ustanowienia procedury wydawania zezwoleń na marki wyrobów na bazie tytoniu, które nie zostały jeszcze wprowadzone do obrotu. Możliwość ta stanowi część stosowania art. 13 dyrektywy 2014/40/UE i ogranicza się do określenia praktycznych zasad wykonania tego artykułu. Podobny przepis obowiązuje we Francji od stycznia 2017 r., po wejściu w życie decyzji z dnia 19 maja 2016 r. transponującej dyrektywę 2014/40/UE w sprawie produkcji, prezentowania i sprzedaży wyrobów tytoniowych i powiązanych wyrobów. Poprawka ta dopuszcza zakazanie takich marek jak „tańszy tytoń” („goedkope tabak” w języku holenderskim), „vogue”, „corset”, itp.</w:t>
            </w:r>
            <w:r>
              <w:rPr>
                <w:rFonts w:ascii="Times New Roman" w:hAnsi="Times New Roman"/>
                <w:b/>
                <w:sz w:val="24"/>
              </w:rPr>
              <w:br/>
              <w:t>   W odniesieniu do prezentacji i zawartości opakowań jednostkowych wyjaśniono, że każdy wyrób tytoniowy i każdy wyrób ziołowy przeznaczony do palenia muszą być pakowane. Pozwala to wyraźnie zakazać sprzedaży papierosów na sztuki i narzucić, że każde cygaro musi być zapakowane w celu sprzedaży. Ponadto doprecyzowano, że tytoń, w szczególności tytoń do fajek wodnych, nie powinien być sprzedawany luzem, jak to często zdarza się w shisha barach.</w:t>
            </w:r>
            <w:r>
              <w:rPr>
                <w:rFonts w:ascii="Times New Roman" w:hAnsi="Times New Roman"/>
                <w:b/>
                <w:sz w:val="24"/>
              </w:rPr>
              <w:br/>
              <w:t>   W przypadku nowatorskich wyrobów tytoniowych dodano definicję „aparatu” w celu przewidywania wprowadzania do obrotu nowych wyrobów na bazie tytoniu, które mają być spożywane za pomocą aparatu. Ponadto zmieniono art. 14, który ustanawia przepisy dotyczące nowych wyrobów na bazie tytoniu, aby szczegółowo określić procedurę, która ma być stosowana przy wprowadzaniu do obrotu nowego wyrobu na bazie tytoniu. Artykuł ten wymienia również przepisy dekretu królewskiego, które mają zastosowanie do takich produktów (art. 4, 5, 6, 11, 12, ust. 3 i 13). Wreszcie Minister zdecyduje, które przepisy art. 7, 8, 9 i 10 mają zastosowanie, w szczególności przepisy dotyczące etykietowania. Minister zdecyduje zatem, czy nowo zgłoszony wyrób na bazie tytoniu jest utożsamiany z papierosami, tytoniem do skręcania papierosów i tytoniem do fajek wodnych, innymi wyrobami do palenia lub wyrobami tytoniowymi bezdymnymi.</w:t>
            </w:r>
            <w:r>
              <w:rPr>
                <w:rFonts w:ascii="Times New Roman" w:hAnsi="Times New Roman"/>
                <w:b/>
                <w:sz w:val="24"/>
              </w:rPr>
              <w:br/>
              <w:t xml:space="preserve">   Komentarz do artykułu: </w:t>
            </w:r>
            <w:r w:rsidR="008A4980">
              <w:rPr>
                <w:rFonts w:ascii="Times New Roman" w:hAnsi="Times New Roman"/>
                <w:b/>
                <w:sz w:val="24"/>
              </w:rPr>
              <w:br/>
            </w:r>
            <w:r>
              <w:rPr>
                <w:rFonts w:ascii="Times New Roman" w:hAnsi="Times New Roman"/>
                <w:b/>
                <w:sz w:val="24"/>
              </w:rPr>
              <w:t xml:space="preserve">Artykuł 1. Artykuł 1 ma na celu zmianę tytułu dekretu królewskiego na „dekret </w:t>
            </w:r>
            <w:r>
              <w:rPr>
                <w:rFonts w:ascii="Times New Roman" w:hAnsi="Times New Roman"/>
                <w:b/>
                <w:sz w:val="24"/>
              </w:rPr>
              <w:lastRenderedPageBreak/>
              <w:t>królewski z dnia 5 lutego 2016 r. w sprawie produkcji i wprowadzania do obrotu wyrobów na bazie tytoniu i wyrobów ziołowych do palenia”.</w:t>
            </w:r>
            <w:r>
              <w:rPr>
                <w:rFonts w:ascii="Times New Roman" w:hAnsi="Times New Roman"/>
                <w:b/>
                <w:sz w:val="24"/>
              </w:rPr>
              <w:br/>
              <w:t>   Artykuł 2. Artykuł 2 ma na celu zastąpienie wyrazów „wyroby tytoniowe” wyrazami „wyroby na bazie tytoniu” w tytułach rozdziałów dekretu królewskiego. Termin „wyroby tytoniowe” obejmuje między innymi papierosy elektroniczne, podczas gdy termin „wyroby na bazie tytoniu” obejmuje jedynie wyroby, których skład zawiera tytoń, o których mowa w niniejszym dekrecie.</w:t>
            </w:r>
            <w:r>
              <w:rPr>
                <w:rFonts w:ascii="Times New Roman" w:hAnsi="Times New Roman"/>
                <w:b/>
                <w:sz w:val="24"/>
              </w:rPr>
              <w:br/>
              <w:t>   Art. 3. Artykuł 3 ma na celu zastąpienie w dekrecie królewskim wyrazów „wyroby tytoniowe” wyrażeniem „wyroby na bazie tytoniu”. Termin „wyroby tytoniowe” obejmuje między innymi papierosy elektroniczne, podczas gdy termin „wyroby na bazie tytoniu” obejmuje jedynie wyroby, których skład zawiera tytoń, o których mowa w niniejszym dekrecie.</w:t>
            </w:r>
            <w:r>
              <w:rPr>
                <w:rFonts w:ascii="Times New Roman" w:hAnsi="Times New Roman"/>
                <w:b/>
                <w:sz w:val="24"/>
              </w:rPr>
              <w:br/>
              <w:t>   Art. 4. Artykuł 4 ma na celu uwzględnienie definicji „aparatu” i „importera w Belgii” w art. 2 dekretu królewskiego.</w:t>
            </w:r>
            <w:r>
              <w:rPr>
                <w:rFonts w:ascii="Times New Roman" w:hAnsi="Times New Roman"/>
                <w:b/>
                <w:sz w:val="24"/>
              </w:rPr>
              <w:br/>
              <w:t>   Artykuł 5. Artykuł 5 ma na celu zmianę art. 4 dotyczącego powiadomienia w odniesieniu do daty, w której należy dokonać corocznego powiadomienia, danych dotyczących akt, danych dotyczących rocznej sprzedaży i opłaty.</w:t>
            </w:r>
            <w:r>
              <w:rPr>
                <w:rFonts w:ascii="Times New Roman" w:hAnsi="Times New Roman"/>
                <w:b/>
                <w:sz w:val="24"/>
              </w:rPr>
              <w:br/>
              <w:t>   Artykuł 6. Artykuł 6 ma na celu dodanie art. 4 ust. 1 dotyczącego stosowania bardziej rygorystycznych wymogów informacyjnych w odniesieniu do niektórych dodatków.</w:t>
            </w:r>
            <w:r>
              <w:rPr>
                <w:rFonts w:ascii="Times New Roman" w:hAnsi="Times New Roman"/>
                <w:b/>
                <w:sz w:val="24"/>
              </w:rPr>
              <w:br/>
              <w:t>   Artykuł 7. Artkuł 7 dodaje ust. 9 do art. 5, zakazując elementów technicznych, które pozwalają na zmianę zapachu, smaku, intensywności spalania lub koloru emisji wyrobów na bazie tytoniu.</w:t>
            </w:r>
            <w:r>
              <w:rPr>
                <w:rFonts w:ascii="Times New Roman" w:hAnsi="Times New Roman"/>
                <w:b/>
                <w:sz w:val="24"/>
              </w:rPr>
              <w:br/>
              <w:t>   Uwagi Rady Stanu do tego artykułu nie mogą być przestrzegane. Nowy ust. 9 dotyczy elementów technicznych, które w przeciwieństwie do istniejącego ust. 5 nie są początkowo składnikiem wyrobu na bazie tytoniu.</w:t>
            </w:r>
            <w:r>
              <w:rPr>
                <w:rFonts w:ascii="Times New Roman" w:hAnsi="Times New Roman"/>
                <w:b/>
                <w:sz w:val="24"/>
              </w:rPr>
              <w:br/>
              <w:t>   Artykuł 8. Artykuł 8 ma na celu wyjaśnienie, że grubość opakowania papierosów nie może być mniejsza niż 20 mm.</w:t>
            </w:r>
            <w:r>
              <w:rPr>
                <w:rFonts w:ascii="Times New Roman" w:hAnsi="Times New Roman"/>
                <w:b/>
                <w:sz w:val="24"/>
              </w:rPr>
              <w:br/>
              <w:t>Artykuł 9. Artykuł 9 ma na celu wyjaśnienie stosowania mieszanych ostrzeżeń zdrowotnych na opakowaniach cylindrycznych oraz zastąpienie słów „nazwy marek i logo” słowem „marki”.</w:t>
            </w:r>
            <w:r>
              <w:rPr>
                <w:rFonts w:ascii="Times New Roman" w:hAnsi="Times New Roman"/>
                <w:b/>
                <w:sz w:val="24"/>
              </w:rPr>
              <w:br/>
              <w:t>   Art. 10. Artykuł 10 ma na celu wyjaśnienie zwolnień dla wyrobów na bazie tytoniu do palenia innych niż papierosy, tytoń do skręcania papierosów i tytoń do fajek wodnych oraz zawiera odniesienie do linii na rzecz ograniczenia użycia tytoniu.</w:t>
            </w:r>
            <w:r>
              <w:rPr>
                <w:rFonts w:ascii="Times New Roman" w:hAnsi="Times New Roman"/>
                <w:b/>
                <w:sz w:val="24"/>
              </w:rPr>
              <w:br/>
              <w:t>   Artykuł 11. Artykuł 11 uzupełnia art. 11 ust. 2 dekretu królewskiego o zdanie zakazujące podawania ceny, z wyjątkiem ceny wskazanej na numerze rejestracji podatkowej. Ponadto art. 11 uzupełnia się o ust. 4, który umożliwia ministrowi sporządzenie, w razie potrzeby, wykazu zakazanych marek wyrobów na bazie tytoniu. Ponadto dodaje się ust. 5 w celu zastosowania przepisów niniejszego artykułu do elementów technicznych, takich jak filtry i papier, które umożliwiają stosowanie wyrobów na bazie tytoniu lub usprawniają ich stosowanie.</w:t>
            </w:r>
            <w:r>
              <w:rPr>
                <w:rFonts w:ascii="Times New Roman" w:hAnsi="Times New Roman"/>
                <w:b/>
                <w:sz w:val="24"/>
              </w:rPr>
              <w:br/>
              <w:t xml:space="preserve">   Art. 12. W art. 12 dodaje się ust. 3, w którym stwierdza się, że każdy wyrób na bazie tytoniu i każdy wyrób ziołowy przeznaczone do palenia muszą być pakowane lub posiadać opakowanie zewnętrzne. </w:t>
            </w:r>
            <w:r w:rsidR="008A4980">
              <w:rPr>
                <w:rFonts w:ascii="Times New Roman" w:hAnsi="Times New Roman"/>
                <w:b/>
                <w:sz w:val="24"/>
              </w:rPr>
              <w:br/>
            </w:r>
            <w:r>
              <w:rPr>
                <w:rFonts w:ascii="Times New Roman" w:hAnsi="Times New Roman"/>
                <w:b/>
                <w:sz w:val="24"/>
              </w:rPr>
              <w:t>Art. 13. Artykuł 13 ma na celu zmianę zakazu sprzedaży na odległość w celu zakazania sprzedaży na odległość i zakupu na odległość produktów na bazie tytoniu, produktów ziołowych do palenia oraz urządzeń do produkcji nowatorskich wyrobów tytoniowych.</w:t>
            </w:r>
            <w:r>
              <w:rPr>
                <w:rFonts w:ascii="Times New Roman" w:hAnsi="Times New Roman"/>
                <w:b/>
                <w:sz w:val="24"/>
              </w:rPr>
              <w:br/>
              <w:t>   Artykuł 14. Artykuł 14 zastępuje obecny art. 14 dekretu królewskiego w celu lepszego uregulowania nowatorskich wyrobów tytoniowych.</w:t>
            </w:r>
            <w:r>
              <w:rPr>
                <w:rFonts w:ascii="Times New Roman" w:hAnsi="Times New Roman"/>
                <w:b/>
                <w:sz w:val="24"/>
              </w:rPr>
              <w:br/>
              <w:t xml:space="preserve">   Artykuł 15. Artykuł 15 ma na celu zmianę błędów transpozycji związanych z </w:t>
            </w:r>
            <w:r>
              <w:rPr>
                <w:rFonts w:ascii="Times New Roman" w:hAnsi="Times New Roman"/>
                <w:b/>
                <w:sz w:val="24"/>
              </w:rPr>
              <w:lastRenderedPageBreak/>
              <w:t>wyrobami ziołowymi przeznaczonymi do palenia.</w:t>
            </w:r>
            <w:r>
              <w:rPr>
                <w:rFonts w:ascii="Times New Roman" w:hAnsi="Times New Roman"/>
                <w:b/>
                <w:sz w:val="24"/>
              </w:rPr>
              <w:br/>
              <w:t>   Artykuł 16. Artykuł 16 ust. 1 ma na celu zastąpienie art. 16 ust. 1, aby został on lepiej sformułowany. Ponadto przepis ust. 2 dodaje opłatę za wyroby ziołowe przeznaczone do palenia.</w:t>
            </w:r>
            <w:r>
              <w:rPr>
                <w:rFonts w:ascii="Times New Roman" w:hAnsi="Times New Roman"/>
                <w:b/>
                <w:sz w:val="24"/>
              </w:rPr>
              <w:br/>
              <w:t>   Art. 17. Artykuł 17 ma na celu zastąpienie słowa „wyroby tytoniowe” słowem „wyroby” w art. 17 ust. 1 dekretu królewskiego, aby zajęte zostać mogły wyroby ziołowe przeznaczone do palenia.</w:t>
            </w:r>
            <w:r>
              <w:rPr>
                <w:rFonts w:ascii="Times New Roman" w:hAnsi="Times New Roman"/>
                <w:b/>
                <w:sz w:val="24"/>
              </w:rPr>
              <w:br/>
              <w:t>   Art. 18. Artykuł 18 ma na celu wejście w życie art. 9 i art. 10 ust. 2 w dniu 1 stycznia 2020 r.</w:t>
            </w:r>
            <w:r>
              <w:rPr>
                <w:rFonts w:ascii="Times New Roman" w:hAnsi="Times New Roman"/>
                <w:b/>
                <w:sz w:val="24"/>
              </w:rPr>
              <w:br/>
              <w:t>   Art. 19. Artykuł 19 dotyczy wykonania dekretu królewskiego.</w:t>
            </w:r>
            <w:r>
              <w:rPr>
                <w:rFonts w:ascii="Times New Roman" w:hAnsi="Times New Roman"/>
                <w:b/>
                <w:sz w:val="24"/>
              </w:rPr>
              <w:br/>
              <w:t xml:space="preserve">   Mamy zaszczyt być, Panie, </w:t>
            </w:r>
            <w:r>
              <w:rPr>
                <w:rFonts w:ascii="Times New Roman" w:hAnsi="Times New Roman"/>
                <w:b/>
                <w:sz w:val="24"/>
              </w:rPr>
              <w:br/>
              <w:t xml:space="preserve">Waszej Wysokości, </w:t>
            </w:r>
            <w:r>
              <w:rPr>
                <w:rFonts w:ascii="Times New Roman" w:hAnsi="Times New Roman"/>
                <w:b/>
                <w:sz w:val="24"/>
              </w:rPr>
              <w:br/>
              <w:t xml:space="preserve">najbardziej uniżonymi i wiernymi sługami, </w:t>
            </w:r>
            <w:r>
              <w:rPr>
                <w:rFonts w:ascii="Times New Roman" w:hAnsi="Times New Roman"/>
                <w:b/>
                <w:sz w:val="24"/>
              </w:rPr>
              <w:br/>
              <w:t>Minister gospodarki</w:t>
            </w:r>
            <w:r>
              <w:rPr>
                <w:rFonts w:ascii="Times New Roman" w:hAnsi="Times New Roman"/>
                <w:b/>
                <w:sz w:val="24"/>
              </w:rPr>
              <w:br/>
              <w:t>K. PEETERS,</w:t>
            </w:r>
            <w:r>
              <w:rPr>
                <w:rFonts w:ascii="Times New Roman" w:hAnsi="Times New Roman"/>
                <w:b/>
                <w:sz w:val="24"/>
              </w:rPr>
              <w:br/>
              <w:t>Minister zdrowia</w:t>
            </w:r>
            <w:r>
              <w:rPr>
                <w:rFonts w:ascii="Times New Roman" w:hAnsi="Times New Roman"/>
                <w:b/>
                <w:sz w:val="24"/>
              </w:rPr>
              <w:br/>
              <w:t>M. DE BLOCK,</w:t>
            </w:r>
            <w:r>
              <w:rPr>
                <w:rFonts w:ascii="Times New Roman" w:hAnsi="Times New Roman"/>
                <w:b/>
                <w:sz w:val="24"/>
              </w:rPr>
              <w:br/>
              <w:t xml:space="preserve">Minister małych i średnich przedsiębiorstw </w:t>
            </w:r>
            <w:r>
              <w:rPr>
                <w:rFonts w:ascii="Times New Roman" w:hAnsi="Times New Roman"/>
                <w:b/>
                <w:sz w:val="24"/>
              </w:rPr>
              <w:br/>
              <w:t>D. DUCARME</w:t>
            </w:r>
          </w:p>
        </w:tc>
      </w:tr>
    </w:tbl>
    <w:p w14:paraId="033AF1DB"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075D18B5"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8A4980"/>
    <w:rsid w:val="008F790A"/>
    <w:rsid w:val="00911D0F"/>
    <w:rsid w:val="00B83E6A"/>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9C26"/>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8F7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theme" Target="theme/theme1.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fontTable" Target="fontTable.xml"/><Relationship Id="rId1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3483</Words>
  <Characters>20635</Characters>
  <Application>Microsoft Office Word</Application>
  <DocSecurity>0</DocSecurity>
  <Lines>422</Lines>
  <Paragraphs>26</Paragraphs>
  <ScaleCrop>false</ScaleCrop>
  <Company>FPS Economy</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5</cp:revision>
  <dcterms:created xsi:type="dcterms:W3CDTF">2021-03-16T17:03:00Z</dcterms:created>
  <dcterms:modified xsi:type="dcterms:W3CDTF">2021-12-30T09:10:00Z</dcterms:modified>
</cp:coreProperties>
</file>