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32060" w14:textId="14CA0A71" w:rsidR="00402C49" w:rsidRPr="005224C1" w:rsidRDefault="00402C49" w:rsidP="00402C49">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------IND- 2018 0266 LT- ET- ------ 20190508 --- --- FINAL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709A48D" w14:textId="77777777" w:rsidR="00FA78BD" w:rsidRPr="00C1015A" w:rsidRDefault="00FA78BD">
      <w:pPr>
        <w:tabs>
          <w:tab w:val="center" w:pos="4819"/>
          <w:tab w:val="right" w:pos="9638"/>
        </w:tabs>
        <w:rPr>
          <w:rFonts w:ascii="Calibri" w:eastAsia="Calibri" w:hAnsi="Calibri"/>
          <w:sz w:val="22"/>
          <w:szCs w:val="22"/>
        </w:rPr>
      </w:pPr>
    </w:p>
    <w:p w14:paraId="7709A48E" w14:textId="77777777" w:rsidR="00FA78BD" w:rsidRPr="00C1015A" w:rsidRDefault="00CF7578">
      <w:pPr>
        <w:tabs>
          <w:tab w:val="center" w:pos="4819"/>
          <w:tab w:val="right" w:pos="9638"/>
        </w:tabs>
        <w:jc w:val="center"/>
        <w:rPr>
          <w:b/>
          <w:szCs w:val="24"/>
          <w:rFonts w:eastAsia="Calibri"/>
        </w:rPr>
      </w:pPr>
      <w:r>
        <w:rPr>
          <w:szCs w:val="24"/>
          <w:rFonts w:ascii="TimesNewRomanPSMT" w:hAnsi="TimesNewRomanPSMT"/>
        </w:rPr>
        <w:drawing>
          <wp:inline xmlns:wp14="http://schemas.microsoft.com/office/word/2010/wordprocessingDrawing" xmlns:wp="http://schemas.openxmlformats.org/drawingml/2006/wordprocessingDrawing" distT="0" distB="0" distL="0" distR="0" wp14:anchorId="7709A527" wp14:editId="7709A528">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7709A48F" w14:textId="77777777" w:rsidR="00FA78BD" w:rsidRPr="00C1015A" w:rsidRDefault="00CF7578">
      <w:pPr>
        <w:jc w:val="center"/>
        <w:rPr>
          <w:b/>
          <w:szCs w:val="24"/>
        </w:rPr>
      </w:pPr>
      <w:r>
        <w:rPr>
          <w:b/>
        </w:rPr>
        <w:t xml:space="preserve">LEEDU VABARIIGI KESKKONNAMINISTRI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709A490" w14:textId="77777777" w:rsidR="00FA78BD" w:rsidRPr="00C1015A" w:rsidRDefault="00FA78BD">
      <w:pPr>
        <w:jc w:val="center"/>
        <w:rPr>
          <w:b/>
          <w:szCs w:val="24"/>
        </w:rPr>
      </w:pPr>
    </w:p>
    <w:p w14:paraId="7709A492" w14:textId="195E1045" w:rsidR="00FA78BD" w:rsidRPr="00F320B5" w:rsidRDefault="00CF7578" w:rsidP="00C1015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color w:val="000000"/>
          <w:szCs w:val="24"/>
        </w:rPr>
      </w:pPr>
      <w:r>
        <w:rPr>
          <w:b/>
          <w:caps/>
          <w:color w:val="000000"/>
        </w:rPr>
        <w:t xml:space="preserve">EELNÕU, MILLEGA MUUDETAKSE LEEDU VABARIIGI KESKKONNAMINISTRI 17. MAI 2006. AASTA MÄÄRUST NR D1-236, MILLEGA VÕETAKSE VASTU REOVEEKÄITLUSE MÄÄRUS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709A493" w14:textId="77777777" w:rsidR="00FA78BD" w:rsidRPr="00C1015A" w:rsidRDefault="00FA78BD">
      <w:pPr>
        <w:suppressAutoHyphens/>
        <w:jc w:val="both"/>
        <w:textAlignment w:val="center"/>
        <w:rPr>
          <w:color w:val="000000"/>
          <w:szCs w:val="24"/>
          <w:lang/>
        </w:rPr>
      </w:pPr>
    </w:p>
    <w:p w14:paraId="7709A494" w14:textId="29CF41DE" w:rsidR="00FA78BD" w:rsidRPr="00C1015A" w:rsidRDefault="00CF7578">
      <w:pPr>
        <w:jc w:val="center"/>
        <w:rPr>
          <w:szCs w:val="24"/>
        </w:rPr>
      </w:pPr>
      <w:r>
        <w:t xml:space="preserve">Nr D1-847, 25. september 2018</w:t>
      </w:r>
    </w:p>
    <w:p w14:paraId="7709A495" w14:textId="77777777" w:rsidR="00FA78BD" w:rsidRPr="00C1015A" w:rsidRDefault="00CF7578">
      <w:pPr>
        <w:jc w:val="center"/>
        <w:rPr>
          <w:szCs w:val="24"/>
        </w:rPr>
      </w:pPr>
      <w:r>
        <w:t xml:space="preserve">Vilnius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709A496" w14:textId="77777777" w:rsidR="00FA78BD" w:rsidRPr="00C1015A" w:rsidRDefault="00FA78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Cs w:val="24"/>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709A497" w14:textId="77777777" w:rsidR="00FA78BD" w:rsidRPr="00C1015A" w:rsidRDefault="00FA78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Cs w:val="24"/>
          <w:lang/>
        </w:rPr>
      </w:pPr>
    </w:p>
    <w:p w14:paraId="7709A498" w14:textId="77777777" w:rsidR="00FA78BD" w:rsidRPr="00C1015A" w:rsidRDefault="00CF7578" w:rsidP="00CF757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Cs w:val="24"/>
        </w:rPr>
      </w:pPr>
      <w:r>
        <w:t xml:space="preserve">1.</w:t>
      </w:r>
      <w:r>
        <w:t xml:space="preserve"> </w:t>
      </w:r>
      <w:r>
        <w:t xml:space="preserve">Käesolevaga muudan</w:t>
      </w:r>
      <w:r>
        <w:t xml:space="preserve"> alljärgneval viisil reoveekäitluse määrust ja selle punkti 29, mis kiideti heaks Leedu Vabariigi keskkonnaministri 17. mai 2006. aasta määrusega nr D1-236, millega võetakse vastu reoveekäitluse määrus.</w:t>
      </w:r>
    </w:p>
    <w:p w14:paraId="7709A499" w14:textId="6507DFEA" w:rsidR="00FA78BD" w:rsidRPr="00C1015A" w:rsidRDefault="00CF7578" w:rsidP="00CF7578">
      <w:pPr>
        <w:shd w:val="clear" w:color="auto" w:fill="FFFFFF"/>
        <w:ind w:firstLine="709"/>
        <w:jc w:val="both"/>
      </w:pPr>
      <w:r>
        <w:t xml:space="preserve">„29.</w:t>
      </w:r>
      <w:r>
        <w:t xml:space="preserve"> </w:t>
      </w:r>
      <w:r>
        <w:t xml:space="preserve">Looduskeskkonda lastava olme- ja asulareovee reostus ei tohi ületada tabelis 2 esitatud suurimaid lubatud kontsentratsioone.</w:t>
      </w:r>
      <w:r>
        <w:t xml:space="preserve"> </w:t>
      </w:r>
      <w:r>
        <w:t xml:space="preserve">Ärajuhitav olme- ja asulareovesi peab vastama ka III peatükis sätestatud üldnõuetele.</w:t>
      </w:r>
    </w:p>
    <w:p w14:paraId="7709A49A" w14:textId="4CEB2993" w:rsidR="00FA78BD" w:rsidRPr="00C1015A" w:rsidRDefault="00CF7578" w:rsidP="00CF7578">
      <w:pPr>
        <w:shd w:val="clear" w:color="auto" w:fill="FFFFFF"/>
        <w:ind w:firstLine="709"/>
        <w:jc w:val="both"/>
      </w:pPr>
      <w:r>
        <w:t xml:space="preserve">Tabel 2. Looduskeskkonda lastava reovee reostuse määrad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709A49B" w14:textId="77777777" w:rsidR="00FA78BD" w:rsidRPr="00C1015A" w:rsidRDefault="00FA78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10065" w:type="dxa"/>
        <w:tblInd w:w="40" w:type="dxa"/>
        <w:tblLayout w:type="fixed"/>
        <w:tblCellMar>
          <w:left w:w="40" w:type="dxa"/>
          <w:right w:w="40" w:type="dxa"/>
        </w:tblCellMar>
        <w:tblLook w:val="0000" w:firstRow="0" w:lastRow="0" w:firstColumn="0" w:lastColumn="0" w:noHBand="0" w:noVBand="0"/>
      </w:tblPr>
      <w:tblGrid>
        <w:gridCol w:w="1344"/>
        <w:gridCol w:w="783"/>
        <w:gridCol w:w="1134"/>
        <w:gridCol w:w="992"/>
        <w:gridCol w:w="1417"/>
        <w:gridCol w:w="1560"/>
        <w:gridCol w:w="1417"/>
        <w:gridCol w:w="1418"/>
      </w:tblGrid>
      <w:tr w:rsidR="00FA78BD" w:rsidRPr="00C1015A" w14:paraId="7709A4A3" w14:textId="77777777" w:rsidTr="00C1015A">
        <w:trPr>
          <w:cantSplit/>
        </w:trPr>
        <w:tc>
          <w:tcPr>
            <w:tcW w:w="1344" w:type="dxa"/>
            <w:tcBorders>
              <w:top w:val="single" w:sz="6" w:space="0" w:color="auto"/>
              <w:left w:val="single" w:sz="6" w:space="0" w:color="auto"/>
              <w:bottom w:val="single" w:sz="6" w:space="0" w:color="auto"/>
              <w:right w:val="single" w:sz="6" w:space="0" w:color="auto"/>
            </w:tcBorders>
            <w:shd w:val="clear" w:color="auto" w:fill="FFFFFF"/>
          </w:tcPr>
          <w:p w14:paraId="7709A49C" w14:textId="77777777" w:rsidR="00FA78BD" w:rsidRPr="00C1015A" w:rsidRDefault="00CF7578">
            <w:pPr>
              <w:shd w:val="clear" w:color="auto" w:fill="FFFFFF"/>
              <w:rPr>
                <w:sz w:val="20"/>
              </w:rPr>
            </w:pPr>
            <w:r>
              <w:rPr>
                <w:sz w:val="20"/>
              </w:rPr>
              <w:t xml:space="preserve">Parameetrid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17" w:type="dxa"/>
            <w:gridSpan w:val="2"/>
            <w:tcBorders>
              <w:top w:val="single" w:sz="6" w:space="0" w:color="auto"/>
              <w:left w:val="single" w:sz="6" w:space="0" w:color="auto"/>
              <w:bottom w:val="single" w:sz="6" w:space="0" w:color="auto"/>
              <w:right w:val="single" w:sz="6" w:space="0" w:color="auto"/>
            </w:tcBorders>
            <w:shd w:val="clear" w:color="auto" w:fill="FFFFFF"/>
          </w:tcPr>
          <w:p w14:paraId="7709A49D" w14:textId="77777777" w:rsidR="00FA78BD" w:rsidRPr="00C1015A" w:rsidRDefault="00CF7578">
            <w:pPr>
              <w:shd w:val="clear" w:color="auto" w:fill="FFFFFF"/>
              <w:rPr>
                <w:sz w:val="20"/>
              </w:rPr>
            </w:pPr>
            <w:r>
              <w:rPr>
                <w:sz w:val="20"/>
              </w:rPr>
              <w:t xml:space="preserve">Linnastu suurus (ärajuhitava reovee kogus / reostusallika suurus)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tcPr>
          <w:p w14:paraId="7709A49E" w14:textId="77777777" w:rsidR="00FA78BD" w:rsidRPr="00C1015A" w:rsidRDefault="00CF7578">
            <w:pPr>
              <w:shd w:val="clear" w:color="auto" w:fill="FFFFFF"/>
              <w:rPr>
                <w:sz w:val="20"/>
              </w:rPr>
            </w:pPr>
            <w:r>
              <w:rPr>
                <w:sz w:val="20"/>
              </w:rPr>
              <w:t xml:space="preserve">Mõõtühik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tcPr>
          <w:p w14:paraId="7709A49F" w14:textId="77777777" w:rsidR="00FA78BD" w:rsidRPr="00C1015A" w:rsidRDefault="00CF7578">
            <w:pPr>
              <w:shd w:val="clear" w:color="auto" w:fill="FFFFFF"/>
              <w:rPr>
                <w:sz w:val="20"/>
                <w:vertAlign w:val="superscript"/>
              </w:rPr>
            </w:pPr>
            <w:r>
              <w:rPr>
                <w:sz w:val="20"/>
              </w:rPr>
              <w:t xml:space="preserve">Suurim lubatud kontsentratsioon keskmise päevase proovi</w:t>
            </w:r>
            <w:r>
              <w:rPr>
                <w:sz w:val="20"/>
                <w:vertAlign w:val="superscript"/>
              </w:rPr>
              <w:t xml:space="preserve">1</w:t>
            </w:r>
            <w:r>
              <w:rPr>
                <w:sz w:val="20"/>
              </w:rPr>
              <w:t xml:space="preserve"> puhul (kõrgeim puhastusaste)</w:t>
            </w:r>
            <w:r>
              <w:rPr>
                <w:sz w:val="20"/>
                <w:vertAlign w:val="superscript"/>
              </w:rPr>
              <w:t xml:space="preserve">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tcPr>
          <w:p w14:paraId="7709A4A0" w14:textId="77777777" w:rsidR="00FA78BD" w:rsidRPr="00C1015A" w:rsidRDefault="00CF7578">
            <w:pPr>
              <w:shd w:val="clear" w:color="auto" w:fill="FFFFFF"/>
              <w:rPr>
                <w:sz w:val="20"/>
                <w:vertAlign w:val="superscript"/>
              </w:rPr>
            </w:pPr>
            <w:r>
              <w:rPr>
                <w:sz w:val="20"/>
              </w:rPr>
              <w:t xml:space="preserve">Hetkeline suurim lubatud kontsentratsioon (kõrgeim puhastusaste)</w:t>
            </w:r>
            <w:r>
              <w:rPr>
                <w:sz w:val="20"/>
                <w:vertAlign w:val="superscript"/>
              </w:rPr>
              <w:t xml:space="preserve">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tcPr>
          <w:p w14:paraId="7709A4A1" w14:textId="77777777" w:rsidR="00FA78BD" w:rsidRPr="00C1015A" w:rsidRDefault="00CF7578">
            <w:pPr>
              <w:shd w:val="clear" w:color="auto" w:fill="FFFFFF"/>
              <w:rPr>
                <w:sz w:val="20"/>
              </w:rPr>
            </w:pPr>
            <w:r>
              <w:rPr>
                <w:sz w:val="20"/>
              </w:rPr>
              <w:t xml:space="preserve">Keskmine aastane suurim lubatud kontsentratsioon (kõrgeim puhastusaste)</w:t>
            </w:r>
            <w:r>
              <w:rPr>
                <w:sz w:val="20"/>
                <w:vertAlign w:val="superscript"/>
              </w:rPr>
              <w:t xml:space="preserve">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tcBorders>
              <w:top w:val="single" w:sz="6" w:space="0" w:color="auto"/>
              <w:left w:val="single" w:sz="6" w:space="0" w:color="auto"/>
              <w:bottom w:val="single" w:sz="6" w:space="0" w:color="auto"/>
              <w:right w:val="single" w:sz="6" w:space="0" w:color="auto"/>
            </w:tcBorders>
            <w:shd w:val="clear" w:color="auto" w:fill="FFFFFF"/>
          </w:tcPr>
          <w:p w14:paraId="7709A4A2" w14:textId="77777777" w:rsidR="00FA78BD" w:rsidRPr="00C1015A" w:rsidRDefault="00CF7578">
            <w:pPr>
              <w:shd w:val="clear" w:color="auto" w:fill="FFFFFF"/>
              <w:rPr>
                <w:sz w:val="20"/>
              </w:rPr>
            </w:pPr>
            <w:r>
              <w:rPr>
                <w:sz w:val="20"/>
              </w:rPr>
              <w:t xml:space="preserve">Minimaalne puhastuse tõhusus, % </w:t>
            </w:r>
            <w:r>
              <w:rPr>
                <w:sz w:val="20"/>
                <w:vertAlign w:val="superscript"/>
              </w:rPr>
              <w:t xml:space="preserve">2</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78BD" w:rsidRPr="00C1015A" w14:paraId="7709A4AB" w14:textId="77777777" w:rsidTr="00C1015A">
        <w:trPr>
          <w:cantSplit/>
        </w:trPr>
        <w:tc>
          <w:tcPr>
            <w:tcW w:w="1344" w:type="dxa"/>
            <w:vMerge w:val="restart"/>
            <w:tcBorders>
              <w:top w:val="single" w:sz="6" w:space="0" w:color="auto"/>
              <w:left w:val="single" w:sz="6" w:space="0" w:color="auto"/>
              <w:right w:val="single" w:sz="6" w:space="0" w:color="auto"/>
            </w:tcBorders>
            <w:shd w:val="clear" w:color="auto" w:fill="FFFFFF"/>
          </w:tcPr>
          <w:p w14:paraId="7709A4A4" w14:textId="77777777" w:rsidR="00FA78BD" w:rsidRPr="00C1015A" w:rsidRDefault="00CF7578">
            <w:pPr>
              <w:shd w:val="clear" w:color="auto" w:fill="FFFFFF"/>
              <w:rPr>
                <w:sz w:val="20"/>
              </w:rPr>
            </w:pPr>
            <w:r>
              <w:rPr>
                <w:sz w:val="20"/>
              </w:rPr>
              <w:t xml:space="preserve">Biokeemiline hapnikutarve BOD</w:t>
            </w:r>
            <w:r>
              <w:rPr>
                <w:sz w:val="20"/>
                <w:vertAlign w:val="subscript"/>
              </w:rPr>
              <w:t xml:space="preserve">5</w:t>
            </w:r>
            <w:r>
              <w:rPr>
                <w:sz w:val="20"/>
              </w:rPr>
              <w:t xml:space="preserve">/BOD</w:t>
            </w:r>
            <w:r>
              <w:rPr>
                <w:sz w:val="20"/>
                <w:vertAlign w:val="subscript"/>
              </w:rPr>
              <w:t xml:space="preserve">7</w:t>
            </w:r>
            <w:r>
              <w:rPr>
                <w:sz w:val="20"/>
                <w:vertAlign w:val="superscript"/>
              </w:rPr>
              <w:t xml:space="preserve">3</w:t>
            </w:r>
            <w:r>
              <w:rPr>
                <w:sz w:val="20"/>
                <w:vertAlign w:val="superscript"/>
              </w:rPr>
              <w:t xml:space="preserve">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17" w:type="dxa"/>
            <w:gridSpan w:val="2"/>
            <w:tcBorders>
              <w:top w:val="single" w:sz="6" w:space="0" w:color="auto"/>
              <w:left w:val="single" w:sz="6" w:space="0" w:color="auto"/>
              <w:bottom w:val="single" w:sz="6" w:space="0" w:color="auto"/>
              <w:right w:val="single" w:sz="6" w:space="0" w:color="auto"/>
            </w:tcBorders>
            <w:shd w:val="clear" w:color="auto" w:fill="FFFFFF"/>
          </w:tcPr>
          <w:p w14:paraId="7709A4A5" w14:textId="77777777" w:rsidR="00FA78BD" w:rsidRPr="00C1015A" w:rsidRDefault="00CF7578">
            <w:pPr>
              <w:shd w:val="clear" w:color="auto" w:fill="FFFFFF"/>
              <w:rPr>
                <w:sz w:val="20"/>
              </w:rPr>
            </w:pPr>
            <w:r>
              <w:rPr>
                <w:sz w:val="20"/>
              </w:rPr>
              <w:t xml:space="preserve">&lt; 5 m</w:t>
            </w:r>
            <w:r>
              <w:rPr>
                <w:sz w:val="20"/>
                <w:vertAlign w:val="superscript"/>
              </w:rPr>
              <w:t xml:space="preserve">3</w:t>
            </w:r>
            <w:r>
              <w:rPr>
                <w:sz w:val="20"/>
              </w:rPr>
              <w:t xml:space="preserve">/d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tcPr>
          <w:p w14:paraId="7709A4A6" w14:textId="77777777" w:rsidR="00FA78BD" w:rsidRPr="00C1015A" w:rsidRDefault="00CF7578">
            <w:pPr>
              <w:shd w:val="clear" w:color="auto" w:fill="FFFFFF"/>
              <w:jc w:val="center"/>
              <w:rPr>
                <w:sz w:val="20"/>
              </w:rPr>
            </w:pPr>
            <w:r>
              <w:rPr>
                <w:sz w:val="20"/>
              </w:rPr>
              <w:t xml:space="preserve">mg/l O</w:t>
            </w:r>
            <w:r>
              <w:rPr>
                <w:sz w:val="20"/>
                <w:vertAlign w:val="subscript"/>
              </w:rPr>
              <w:t xml:space="preserve">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tcPr>
          <w:p w14:paraId="7709A4A7"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tcPr>
          <w:p w14:paraId="7709A4A8" w14:textId="77777777" w:rsidR="00FA78BD" w:rsidRPr="00C1015A" w:rsidRDefault="00CF7578">
            <w:pPr>
              <w:shd w:val="clear" w:color="auto" w:fill="FFFFFF"/>
              <w:jc w:val="center"/>
              <w:rPr>
                <w:sz w:val="20"/>
              </w:rPr>
            </w:pPr>
            <w:r>
              <w:rPr>
                <w:sz w:val="20"/>
              </w:rPr>
              <w:t xml:space="preserve">35/40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tcPr>
          <w:p w14:paraId="7709A4A9" w14:textId="77777777" w:rsidR="00FA78BD" w:rsidRPr="00C1015A" w:rsidRDefault="00CF7578">
            <w:pPr>
              <w:shd w:val="clear" w:color="auto" w:fill="FFFFFF"/>
              <w:jc w:val="center"/>
              <w:rPr>
                <w:sz w:val="20"/>
              </w:rPr>
            </w:pPr>
            <w:r>
              <w:rPr>
                <w:sz w:val="20"/>
              </w:rPr>
              <w:t xml:space="preserve">25/29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tcBorders>
              <w:top w:val="single" w:sz="6" w:space="0" w:color="auto"/>
              <w:left w:val="single" w:sz="6" w:space="0" w:color="auto"/>
              <w:bottom w:val="single" w:sz="6" w:space="0" w:color="auto"/>
              <w:right w:val="single" w:sz="6" w:space="0" w:color="auto"/>
            </w:tcBorders>
            <w:shd w:val="clear" w:color="auto" w:fill="FFFFFF"/>
          </w:tcPr>
          <w:p w14:paraId="7709A4AA" w14:textId="77777777" w:rsidR="00FA78BD" w:rsidRPr="00C1015A" w:rsidRDefault="00CF7578">
            <w:pPr>
              <w:shd w:val="clear" w:color="auto" w:fill="FFFFFF"/>
              <w:jc w:val="center"/>
              <w:rPr>
                <w:sz w:val="20"/>
              </w:rPr>
            </w:pPr>
            <w:r>
              <w:rPr>
                <w:sz w:val="20"/>
              </w:rPr>
              <w:t xml:space="preserv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78BD" w:rsidRPr="00C1015A" w14:paraId="7709A4B4" w14:textId="77777777" w:rsidTr="00C1015A">
        <w:trPr>
          <w:cantSplit/>
        </w:trPr>
        <w:tc>
          <w:tcPr>
            <w:tcW w:w="1344" w:type="dxa"/>
            <w:vMerge/>
            <w:tcBorders>
              <w:left w:val="single" w:sz="6" w:space="0" w:color="auto"/>
              <w:right w:val="single" w:sz="6" w:space="0" w:color="auto"/>
            </w:tcBorders>
            <w:shd w:val="clear" w:color="auto" w:fill="FFFFFF"/>
          </w:tcPr>
          <w:p w14:paraId="7709A4AC" w14:textId="77777777" w:rsidR="00FA78BD" w:rsidRPr="00C1015A" w:rsidRDefault="00FA78BD">
            <w:pPr>
              <w:rPr>
                <w:sz w:val="20"/>
              </w:rPr>
            </w:pPr>
          </w:p>
        </w:tc>
        <w:tc>
          <w:tcPr>
            <w:tcW w:w="783" w:type="dxa"/>
            <w:vMerge w:val="restart"/>
            <w:tcBorders>
              <w:top w:val="single" w:sz="6" w:space="0" w:color="auto"/>
              <w:left w:val="single" w:sz="6" w:space="0" w:color="auto"/>
              <w:right w:val="single" w:sz="6" w:space="0" w:color="auto"/>
            </w:tcBorders>
            <w:shd w:val="clear" w:color="auto" w:fill="FFFFFF"/>
            <w:vAlign w:val="center"/>
          </w:tcPr>
          <w:p w14:paraId="7709A4AD" w14:textId="294D991C" w:rsidR="00FA78BD" w:rsidRPr="00C1015A" w:rsidRDefault="00CF7578">
            <w:pPr>
              <w:shd w:val="clear" w:color="auto" w:fill="FFFFFF"/>
              <w:jc w:val="center"/>
              <w:rPr>
                <w:sz w:val="20"/>
              </w:rPr>
            </w:pPr>
            <w:r>
              <w:rPr>
                <w:sz w:val="20"/>
              </w:rPr>
              <w:t xml:space="preserve">&gt; 5 m</w:t>
            </w:r>
            <w:r>
              <w:rPr>
                <w:sz w:val="20"/>
                <w:vertAlign w:val="superscript"/>
              </w:rPr>
              <w:t xml:space="preserve">3</w:t>
            </w:r>
            <w:r>
              <w:rPr>
                <w:sz w:val="20"/>
              </w:rPr>
              <w:t xml:space="preserve">/d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34" w:type="dxa"/>
            <w:tcBorders>
              <w:top w:val="single" w:sz="6" w:space="0" w:color="auto"/>
              <w:left w:val="single" w:sz="6" w:space="0" w:color="auto"/>
              <w:bottom w:val="single" w:sz="6" w:space="0" w:color="auto"/>
              <w:right w:val="single" w:sz="6" w:space="0" w:color="auto"/>
            </w:tcBorders>
            <w:shd w:val="clear" w:color="auto" w:fill="FFFFFF"/>
          </w:tcPr>
          <w:p w14:paraId="7709A4AE" w14:textId="77777777" w:rsidR="00FA78BD" w:rsidRPr="00C1015A" w:rsidRDefault="00CF7578">
            <w:pPr>
              <w:shd w:val="clear" w:color="auto" w:fill="FFFFFF"/>
              <w:rPr>
                <w:sz w:val="20"/>
              </w:rPr>
            </w:pPr>
            <w:r>
              <w:rPr>
                <w:sz w:val="20"/>
              </w:rPr>
              <w:t xml:space="preserve">&lt; 2000 elanikku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tcPr>
          <w:p w14:paraId="7709A4AF" w14:textId="77777777" w:rsidR="00FA78BD" w:rsidRPr="00C1015A" w:rsidRDefault="00CF7578">
            <w:pPr>
              <w:shd w:val="clear" w:color="auto" w:fill="FFFFFF"/>
              <w:jc w:val="center"/>
              <w:rPr>
                <w:sz w:val="20"/>
              </w:rPr>
            </w:pPr>
            <w:r>
              <w:rPr>
                <w:sz w:val="20"/>
              </w:rPr>
              <w:t xml:space="preserve">mg/l O</w:t>
            </w:r>
            <w:r>
              <w:rPr>
                <w:sz w:val="20"/>
                <w:vertAlign w:val="subscript"/>
              </w:rPr>
              <w:t xml:space="preserve">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tcPr>
          <w:p w14:paraId="7709A4B0"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tcPr>
          <w:p w14:paraId="7709A4B1" w14:textId="77777777" w:rsidR="00FA78BD" w:rsidRPr="00C1015A" w:rsidRDefault="00CF7578">
            <w:pPr>
              <w:shd w:val="clear" w:color="auto" w:fill="FFFFFF"/>
              <w:jc w:val="center"/>
              <w:rPr>
                <w:sz w:val="20"/>
              </w:rPr>
            </w:pPr>
            <w:r>
              <w:rPr>
                <w:sz w:val="20"/>
              </w:rPr>
              <w:t xml:space="preserve">30/34 (15/17)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tcPr>
          <w:p w14:paraId="7709A4B2" w14:textId="77777777" w:rsidR="00FA78BD" w:rsidRPr="00C1015A" w:rsidRDefault="00CF7578">
            <w:pPr>
              <w:shd w:val="clear" w:color="auto" w:fill="FFFFFF"/>
              <w:jc w:val="center"/>
              <w:rPr>
                <w:sz w:val="20"/>
              </w:rPr>
            </w:pPr>
            <w:r>
              <w:rPr>
                <w:sz w:val="20"/>
              </w:rPr>
              <w:t xml:space="preserve">20/23 (10/12)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tcBorders>
              <w:top w:val="single" w:sz="6" w:space="0" w:color="auto"/>
              <w:left w:val="single" w:sz="6" w:space="0" w:color="auto"/>
              <w:bottom w:val="single" w:sz="6" w:space="0" w:color="auto"/>
              <w:right w:val="single" w:sz="6" w:space="0" w:color="auto"/>
            </w:tcBorders>
            <w:shd w:val="clear" w:color="auto" w:fill="FFFFFF"/>
          </w:tcPr>
          <w:p w14:paraId="7709A4B3" w14:textId="77777777" w:rsidR="00FA78BD" w:rsidRPr="00C1015A" w:rsidRDefault="00CF7578">
            <w:pPr>
              <w:shd w:val="clear" w:color="auto" w:fill="FFFFFF"/>
              <w:jc w:val="center"/>
              <w:rPr>
                <w:sz w:val="20"/>
              </w:rPr>
            </w:pPr>
            <w:r>
              <w:rPr>
                <w:sz w:val="20"/>
              </w:rPr>
              <w:t xml:space="preserv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78BD" w:rsidRPr="00C1015A" w14:paraId="7709A4BD" w14:textId="77777777" w:rsidTr="00C1015A">
        <w:trPr>
          <w:cantSplit/>
        </w:trPr>
        <w:tc>
          <w:tcPr>
            <w:tcW w:w="1344" w:type="dxa"/>
            <w:vMerge/>
            <w:tcBorders>
              <w:left w:val="single" w:sz="6" w:space="0" w:color="auto"/>
              <w:right w:val="single" w:sz="6" w:space="0" w:color="auto"/>
            </w:tcBorders>
            <w:shd w:val="clear" w:color="auto" w:fill="FFFFFF"/>
          </w:tcPr>
          <w:p w14:paraId="7709A4B5" w14:textId="77777777" w:rsidR="00FA78BD" w:rsidRPr="00C1015A" w:rsidRDefault="00FA78BD">
            <w:pPr>
              <w:rPr>
                <w:sz w:val="20"/>
              </w:rPr>
            </w:pPr>
          </w:p>
        </w:tc>
        <w:tc>
          <w:tcPr>
            <w:tcW w:w="783" w:type="dxa"/>
            <w:vMerge/>
            <w:tcBorders>
              <w:left w:val="single" w:sz="6" w:space="0" w:color="auto"/>
              <w:right w:val="single" w:sz="6" w:space="0" w:color="auto"/>
            </w:tcBorders>
            <w:shd w:val="clear" w:color="auto" w:fill="FFFFFF"/>
          </w:tcPr>
          <w:p w14:paraId="7709A4B6" w14:textId="77777777" w:rsidR="00FA78BD" w:rsidRPr="00C1015A" w:rsidRDefault="00FA78BD">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4B7" w14:textId="77777777" w:rsidR="00FA78BD" w:rsidRPr="00C1015A" w:rsidRDefault="00CF7578">
            <w:pPr>
              <w:shd w:val="clear" w:color="auto" w:fill="FFFFFF"/>
              <w:rPr>
                <w:sz w:val="20"/>
              </w:rPr>
            </w:pPr>
            <w:r>
              <w:rPr>
                <w:sz w:val="20"/>
              </w:rPr>
              <w:t xml:space="preserve">2000–10 000 elanikku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B8" w14:textId="77777777" w:rsidR="00FA78BD" w:rsidRPr="00C1015A" w:rsidRDefault="00CF7578">
            <w:pPr>
              <w:shd w:val="clear" w:color="auto" w:fill="FFFFFF"/>
              <w:jc w:val="center"/>
              <w:rPr>
                <w:sz w:val="20"/>
              </w:rPr>
            </w:pPr>
            <w:r>
              <w:rPr>
                <w:sz w:val="20"/>
              </w:rPr>
              <w:t xml:space="preserve">mg/l O</w:t>
            </w:r>
            <w:r>
              <w:rPr>
                <w:sz w:val="20"/>
                <w:vertAlign w:val="subscript"/>
              </w:rPr>
              <w:t xml:space="preserve">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B9" w14:textId="77777777" w:rsidR="00FA78BD" w:rsidRPr="00C1015A" w:rsidRDefault="00CF7578">
            <w:pPr>
              <w:shd w:val="clear" w:color="auto" w:fill="FFFFFF"/>
              <w:jc w:val="center"/>
              <w:rPr>
                <w:sz w:val="20"/>
              </w:rPr>
            </w:pPr>
            <w:r>
              <w:rPr>
                <w:sz w:val="20"/>
              </w:rPr>
              <w:t xml:space="preserve">25/29 (10/12)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BA"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BB" w14:textId="77777777" w:rsidR="00FA78BD" w:rsidRPr="00C1015A" w:rsidRDefault="00CF7578">
            <w:pPr>
              <w:shd w:val="clear" w:color="auto" w:fill="FFFFFF"/>
              <w:jc w:val="center"/>
              <w:rPr>
                <w:sz w:val="20"/>
              </w:rPr>
            </w:pPr>
            <w:r>
              <w:rPr>
                <w:sz w:val="20"/>
              </w:rPr>
              <w:t xml:space="preserve">määratakse kindlaks individuaalselt</w:t>
            </w:r>
            <w:r>
              <w:rPr>
                <w:sz w:val="20"/>
                <w:vertAlign w:val="superscript"/>
              </w:rPr>
              <w:t xml:space="preserve">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709A4BC" w14:textId="77777777" w:rsidR="00FA78BD" w:rsidRPr="00C1015A" w:rsidRDefault="00CF7578">
            <w:pPr>
              <w:shd w:val="clear" w:color="auto" w:fill="FFFFFF"/>
              <w:jc w:val="center"/>
              <w:rPr>
                <w:sz w:val="20"/>
              </w:rPr>
            </w:pPr>
            <w:r>
              <w:rPr>
                <w:sz w:val="20"/>
              </w:rPr>
              <w:t xml:space="preserve">70–90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78BD" w:rsidRPr="00C1015A" w14:paraId="7709A4C6" w14:textId="77777777" w:rsidTr="00C1015A">
        <w:trPr>
          <w:cantSplit/>
        </w:trPr>
        <w:tc>
          <w:tcPr>
            <w:tcW w:w="1344" w:type="dxa"/>
            <w:vMerge/>
            <w:tcBorders>
              <w:left w:val="single" w:sz="6" w:space="0" w:color="auto"/>
              <w:bottom w:val="single" w:sz="6" w:space="0" w:color="auto"/>
              <w:right w:val="single" w:sz="6" w:space="0" w:color="auto"/>
            </w:tcBorders>
            <w:shd w:val="clear" w:color="auto" w:fill="FFFFFF"/>
          </w:tcPr>
          <w:p w14:paraId="7709A4BE" w14:textId="77777777" w:rsidR="00FA78BD" w:rsidRPr="00C1015A" w:rsidRDefault="00FA78BD">
            <w:pPr>
              <w:rPr>
                <w:sz w:val="20"/>
              </w:rPr>
            </w:pPr>
          </w:p>
        </w:tc>
        <w:tc>
          <w:tcPr>
            <w:tcW w:w="783" w:type="dxa"/>
            <w:vMerge/>
            <w:tcBorders>
              <w:left w:val="single" w:sz="6" w:space="0" w:color="auto"/>
              <w:bottom w:val="single" w:sz="6" w:space="0" w:color="auto"/>
              <w:right w:val="single" w:sz="6" w:space="0" w:color="auto"/>
            </w:tcBorders>
            <w:shd w:val="clear" w:color="auto" w:fill="FFFFFF"/>
          </w:tcPr>
          <w:p w14:paraId="7709A4BF" w14:textId="77777777" w:rsidR="00FA78BD" w:rsidRPr="00C1015A" w:rsidRDefault="00FA78BD">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4C0" w14:textId="77777777" w:rsidR="00FA78BD" w:rsidRPr="00C1015A" w:rsidRDefault="00CF7578">
            <w:pPr>
              <w:shd w:val="clear" w:color="auto" w:fill="FFFFFF"/>
              <w:rPr>
                <w:sz w:val="20"/>
              </w:rPr>
            </w:pPr>
            <w:r>
              <w:rPr>
                <w:sz w:val="20"/>
              </w:rPr>
              <w:t xml:space="preserve">&gt; 10 000 elanikku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1" w14:textId="77777777" w:rsidR="00FA78BD" w:rsidRPr="00C1015A" w:rsidRDefault="00CF7578">
            <w:pPr>
              <w:shd w:val="clear" w:color="auto" w:fill="FFFFFF"/>
              <w:jc w:val="center"/>
              <w:rPr>
                <w:sz w:val="20"/>
              </w:rPr>
            </w:pPr>
            <w:r>
              <w:rPr>
                <w:sz w:val="20"/>
              </w:rPr>
              <w:t xml:space="preserve">mg/l O</w:t>
            </w:r>
            <w:r>
              <w:rPr>
                <w:sz w:val="20"/>
                <w:vertAlign w:val="subscript"/>
              </w:rPr>
              <w:t xml:space="preserve">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2" w14:textId="77777777" w:rsidR="00FA78BD" w:rsidRPr="00C1015A" w:rsidRDefault="00CF7578">
            <w:pPr>
              <w:shd w:val="clear" w:color="auto" w:fill="FFFFFF"/>
              <w:jc w:val="center"/>
              <w:rPr>
                <w:sz w:val="20"/>
              </w:rPr>
            </w:pPr>
            <w:r>
              <w:rPr>
                <w:sz w:val="20"/>
              </w:rPr>
              <w:t xml:space="preserve">15/17 (8/10)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3"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4" w14:textId="77777777" w:rsidR="00FA78BD" w:rsidRPr="00C1015A" w:rsidRDefault="00CF7578">
            <w:pPr>
              <w:shd w:val="clear" w:color="auto" w:fill="FFFFFF"/>
              <w:jc w:val="center"/>
              <w:rPr>
                <w:sz w:val="20"/>
              </w:rPr>
            </w:pPr>
            <w:r>
              <w:rPr>
                <w:sz w:val="20"/>
              </w:rPr>
              <w:t xml:space="preserve">määratakse kindlaks individuaalselt</w:t>
            </w:r>
            <w:r>
              <w:rPr>
                <w:sz w:val="20"/>
                <w:vertAlign w:val="superscript"/>
              </w:rPr>
              <w:t xml:space="preserve">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5" w14:textId="77777777" w:rsidR="00FA78BD" w:rsidRPr="00C1015A" w:rsidRDefault="00CF7578">
            <w:pPr>
              <w:shd w:val="clear" w:color="auto" w:fill="FFFFFF"/>
              <w:jc w:val="center"/>
              <w:rPr>
                <w:sz w:val="20"/>
              </w:rPr>
            </w:pPr>
            <w:r>
              <w:rPr>
                <w:sz w:val="20"/>
              </w:rPr>
              <w:t xml:space="preserve">70–90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78BD" w:rsidRPr="00C1015A" w14:paraId="7709A4CE" w14:textId="77777777" w:rsidTr="00C1015A">
        <w:trPr>
          <w:cantSplit/>
        </w:trPr>
        <w:tc>
          <w:tcPr>
            <w:tcW w:w="1344" w:type="dxa"/>
            <w:tcBorders>
              <w:top w:val="single" w:sz="6" w:space="0" w:color="auto"/>
              <w:left w:val="single" w:sz="6" w:space="0" w:color="auto"/>
              <w:bottom w:val="single" w:sz="6" w:space="0" w:color="auto"/>
              <w:right w:val="single" w:sz="6" w:space="0" w:color="auto"/>
            </w:tcBorders>
            <w:shd w:val="clear" w:color="auto" w:fill="FFFFFF"/>
          </w:tcPr>
          <w:p w14:paraId="7709A4C7" w14:textId="77777777" w:rsidR="00FA78BD" w:rsidRPr="00C1015A" w:rsidRDefault="00CF7578">
            <w:pPr>
              <w:shd w:val="clear" w:color="auto" w:fill="FFFFFF"/>
              <w:rPr>
                <w:sz w:val="20"/>
              </w:rPr>
            </w:pPr>
            <w:r>
              <w:rPr>
                <w:sz w:val="20"/>
              </w:rPr>
              <w:t xml:space="preserve">ChDS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17" w:type="dxa"/>
            <w:gridSpan w:val="2"/>
            <w:tcBorders>
              <w:top w:val="single" w:sz="6" w:space="0" w:color="auto"/>
              <w:left w:val="single" w:sz="6" w:space="0" w:color="auto"/>
              <w:bottom w:val="single" w:sz="6" w:space="0" w:color="auto"/>
              <w:right w:val="single" w:sz="6" w:space="0" w:color="auto"/>
            </w:tcBorders>
            <w:shd w:val="clear" w:color="auto" w:fill="FFFFFF"/>
          </w:tcPr>
          <w:p w14:paraId="7709A4C8" w14:textId="77777777" w:rsidR="00FA78BD" w:rsidRPr="00C1015A" w:rsidRDefault="00CF7578">
            <w:pPr>
              <w:shd w:val="clear" w:color="auto" w:fill="FFFFFF"/>
              <w:rPr>
                <w:sz w:val="20"/>
              </w:rPr>
            </w:pPr>
            <w:r>
              <w:rPr>
                <w:sz w:val="20"/>
              </w:rPr>
              <w:t xml:space="preserve">rohkem kui 2000 elanikku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9" w14:textId="77777777" w:rsidR="00FA78BD" w:rsidRPr="00C1015A" w:rsidRDefault="00CF7578">
            <w:pPr>
              <w:shd w:val="clear" w:color="auto" w:fill="FFFFFF"/>
              <w:jc w:val="center"/>
              <w:rPr>
                <w:sz w:val="20"/>
              </w:rPr>
            </w:pPr>
            <w:r>
              <w:rPr>
                <w:sz w:val="20"/>
              </w:rPr>
              <w:t xml:space="preserve">mg/l O</w:t>
            </w:r>
            <w:r>
              <w:rPr>
                <w:sz w:val="20"/>
                <w:vertAlign w:val="subscript"/>
              </w:rPr>
              <w:t xml:space="preserve">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A" w14:textId="77777777" w:rsidR="00FA78BD" w:rsidRPr="00C1015A" w:rsidRDefault="00CF7578">
            <w:pPr>
              <w:shd w:val="clear" w:color="auto" w:fill="FFFFFF"/>
              <w:jc w:val="center"/>
              <w:rPr>
                <w:sz w:val="20"/>
              </w:rPr>
            </w:pPr>
            <w:r>
              <w:rPr>
                <w:sz w:val="20"/>
              </w:rPr>
              <w:t xml:space="preserve">125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B"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C"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tcBorders>
              <w:top w:val="single" w:sz="6" w:space="0" w:color="auto"/>
              <w:left w:val="single" w:sz="6" w:space="0" w:color="auto"/>
              <w:bottom w:val="single" w:sz="4" w:space="0" w:color="auto"/>
              <w:right w:val="single" w:sz="6" w:space="0" w:color="auto"/>
            </w:tcBorders>
            <w:shd w:val="clear" w:color="auto" w:fill="FFFFFF"/>
            <w:vAlign w:val="center"/>
          </w:tcPr>
          <w:p w14:paraId="7709A4CD" w14:textId="77777777" w:rsidR="00FA78BD" w:rsidRPr="00C1015A" w:rsidRDefault="00CF7578">
            <w:pPr>
              <w:shd w:val="clear" w:color="auto" w:fill="FFFFFF"/>
              <w:jc w:val="center"/>
              <w:rPr>
                <w:sz w:val="20"/>
              </w:rPr>
            </w:pPr>
            <w:r>
              <w:rPr>
                <w:sz w:val="20"/>
              </w:rPr>
              <w:t xml:space="preserve">75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78BD" w:rsidRPr="00C1015A" w14:paraId="7709A4D6" w14:textId="77777777" w:rsidTr="00C1015A">
        <w:trPr>
          <w:cantSplit/>
        </w:trPr>
        <w:tc>
          <w:tcPr>
            <w:tcW w:w="1344" w:type="dxa"/>
            <w:tcBorders>
              <w:left w:val="single" w:sz="6" w:space="0" w:color="auto"/>
              <w:right w:val="single" w:sz="6" w:space="0" w:color="auto"/>
            </w:tcBorders>
            <w:shd w:val="clear" w:color="auto" w:fill="FFFFFF"/>
          </w:tcPr>
          <w:p w14:paraId="7709A4CF" w14:textId="77777777" w:rsidR="00FA78BD" w:rsidRPr="00C1015A" w:rsidRDefault="00FA78BD">
            <w:pPr>
              <w:shd w:val="clear" w:color="auto" w:fill="FFFFFF"/>
              <w:rPr>
                <w:sz w:val="20"/>
              </w:rPr>
            </w:pPr>
          </w:p>
        </w:tc>
        <w:tc>
          <w:tcPr>
            <w:tcW w:w="1917" w:type="dxa"/>
            <w:gridSpan w:val="2"/>
            <w:tcBorders>
              <w:top w:val="single" w:sz="6" w:space="0" w:color="auto"/>
              <w:left w:val="single" w:sz="6" w:space="0" w:color="auto"/>
              <w:right w:val="single" w:sz="6" w:space="0" w:color="auto"/>
            </w:tcBorders>
            <w:shd w:val="clear" w:color="auto" w:fill="FFFFFF"/>
          </w:tcPr>
          <w:p w14:paraId="7709A4D0" w14:textId="77777777" w:rsidR="00FA78BD" w:rsidRPr="00C1015A" w:rsidRDefault="00CF7578">
            <w:pPr>
              <w:shd w:val="clear" w:color="auto" w:fill="FFFFFF"/>
              <w:rPr>
                <w:sz w:val="20"/>
              </w:rPr>
            </w:pPr>
            <w:r>
              <w:rPr>
                <w:sz w:val="20"/>
              </w:rPr>
              <w:t xml:space="preserve">&lt; 5 m</w:t>
            </w:r>
            <w:r>
              <w:rPr>
                <w:sz w:val="20"/>
                <w:vertAlign w:val="superscript"/>
              </w:rPr>
              <w:t xml:space="preserve">3</w:t>
            </w:r>
            <w:r>
              <w:rPr>
                <w:sz w:val="20"/>
              </w:rPr>
              <w:t xml:space="preserve">/d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tcPr>
          <w:p w14:paraId="7709A4D1" w14:textId="77777777" w:rsidR="00FA78BD" w:rsidRPr="00C1015A" w:rsidRDefault="00CF7578">
            <w:pPr>
              <w:shd w:val="clear" w:color="auto" w:fill="FFFFFF"/>
              <w:jc w:val="center"/>
              <w:rPr>
                <w:sz w:val="20"/>
              </w:rPr>
            </w:pPr>
            <w:r>
              <w:rPr>
                <w:sz w:val="20"/>
              </w:rPr>
              <w:t xml:space="preserve">mgP/l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tcPr>
          <w:p w14:paraId="7709A4D2"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tcPr>
          <w:p w14:paraId="7709A4D3" w14:textId="77777777" w:rsidR="00FA78BD" w:rsidRPr="00C1015A" w:rsidRDefault="00CF7578">
            <w:pPr>
              <w:shd w:val="clear" w:color="auto" w:fill="FFFFFF"/>
              <w:jc w:val="center"/>
              <w:rPr>
                <w:sz w:val="20"/>
              </w:rPr>
            </w:pPr>
            <w:r>
              <w:rPr>
                <w:sz w:val="20"/>
              </w:rPr>
              <w:t xml:space="preserve">5</w:t>
            </w:r>
            <w:r>
              <w:rPr>
                <w:sz w:val="20"/>
              </w:rPr>
              <w:t xml:space="preserve">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4" w:space="0" w:color="auto"/>
            </w:tcBorders>
            <w:shd w:val="clear" w:color="auto" w:fill="FFFFFF"/>
          </w:tcPr>
          <w:p w14:paraId="7709A4D4" w14:textId="77777777" w:rsidR="00FA78BD" w:rsidRPr="00C1015A" w:rsidRDefault="00CF7578">
            <w:pPr>
              <w:shd w:val="clear" w:color="auto" w:fill="FFFFFF"/>
              <w:jc w:val="center"/>
              <w:rPr>
                <w:b/>
                <w:strike/>
                <w:sz w:val="20"/>
              </w:rPr>
            </w:pPr>
            <w:r>
              <w:rPr>
                <w:b/>
                <w:strike/>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tcBorders>
              <w:top w:val="single" w:sz="4" w:space="0" w:color="auto"/>
              <w:left w:val="single" w:sz="4" w:space="0" w:color="auto"/>
              <w:right w:val="single" w:sz="4" w:space="0" w:color="auto"/>
            </w:tcBorders>
            <w:shd w:val="clear" w:color="auto" w:fill="FFFFFF"/>
          </w:tcPr>
          <w:p w14:paraId="7709A4D5" w14:textId="77777777" w:rsidR="00FA78BD" w:rsidRPr="00C1015A" w:rsidRDefault="00CF7578">
            <w:pPr>
              <w:shd w:val="clear" w:color="auto" w:fill="FFFFFF"/>
              <w:jc w:val="center"/>
              <w:rPr>
                <w:b/>
                <w:sz w:val="20"/>
              </w:rPr>
            </w:pPr>
            <w:r>
              <w:rPr>
                <w:b/>
                <w:sz w:val="20"/>
              </w:rPr>
              <w:t xml:space="preserv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78BD" w:rsidRPr="00C1015A" w14:paraId="7709A4DF" w14:textId="77777777" w:rsidTr="00C1015A">
        <w:trPr>
          <w:cantSplit/>
        </w:trPr>
        <w:tc>
          <w:tcPr>
            <w:tcW w:w="1344" w:type="dxa"/>
            <w:vMerge w:val="restart"/>
            <w:tcBorders>
              <w:left w:val="single" w:sz="6" w:space="0" w:color="auto"/>
              <w:right w:val="single" w:sz="6" w:space="0" w:color="auto"/>
            </w:tcBorders>
            <w:shd w:val="clear" w:color="auto" w:fill="FFFFFF"/>
          </w:tcPr>
          <w:p w14:paraId="7709A4D7" w14:textId="77777777" w:rsidR="00FA78BD" w:rsidRPr="00C1015A" w:rsidRDefault="00CF7578">
            <w:pPr>
              <w:shd w:val="clear" w:color="auto" w:fill="FFFFFF"/>
              <w:rPr>
                <w:sz w:val="20"/>
              </w:rPr>
            </w:pPr>
            <w:r>
              <w:rPr>
                <w:sz w:val="20"/>
              </w:rPr>
              <w:t xml:space="preserve">Kogu fosfor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83" w:type="dxa"/>
            <w:vMerge w:val="restart"/>
            <w:tcBorders>
              <w:top w:val="single" w:sz="6" w:space="0" w:color="auto"/>
              <w:left w:val="single" w:sz="6" w:space="0" w:color="auto"/>
              <w:right w:val="single" w:sz="6" w:space="0" w:color="auto"/>
            </w:tcBorders>
            <w:shd w:val="clear" w:color="auto" w:fill="FFFFFF"/>
            <w:vAlign w:val="center"/>
          </w:tcPr>
          <w:p w14:paraId="7709A4D8" w14:textId="77777777" w:rsidR="00FA78BD" w:rsidRPr="00C1015A" w:rsidRDefault="00CF7578">
            <w:pPr>
              <w:shd w:val="clear" w:color="auto" w:fill="FFFFFF"/>
              <w:jc w:val="center"/>
              <w:rPr>
                <w:sz w:val="20"/>
              </w:rPr>
            </w:pPr>
            <w:r>
              <w:rPr>
                <w:sz w:val="20"/>
              </w:rPr>
              <w:t xml:space="preserve">&gt; 5 m</w:t>
            </w:r>
            <w:r>
              <w:rPr>
                <w:sz w:val="20"/>
                <w:vertAlign w:val="superscript"/>
              </w:rPr>
              <w:t xml:space="preserve">3</w:t>
            </w:r>
            <w:r>
              <w:rPr>
                <w:sz w:val="20"/>
              </w:rPr>
              <w:t xml:space="preserve">/d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34" w:type="dxa"/>
            <w:tcBorders>
              <w:top w:val="single" w:sz="6" w:space="0" w:color="auto"/>
              <w:left w:val="single" w:sz="6" w:space="0" w:color="auto"/>
              <w:bottom w:val="single" w:sz="6" w:space="0" w:color="auto"/>
              <w:right w:val="single" w:sz="6" w:space="0" w:color="auto"/>
            </w:tcBorders>
            <w:shd w:val="clear" w:color="auto" w:fill="FFFFFF"/>
          </w:tcPr>
          <w:p w14:paraId="7709A4D9" w14:textId="77777777" w:rsidR="00FA78BD" w:rsidRPr="00C1015A" w:rsidRDefault="00CF7578">
            <w:pPr>
              <w:shd w:val="clear" w:color="auto" w:fill="FFFFFF"/>
              <w:rPr>
                <w:sz w:val="20"/>
              </w:rPr>
            </w:pPr>
            <w:r>
              <w:rPr>
                <w:sz w:val="20"/>
              </w:rPr>
              <w:t xml:space="preserve">&lt; 10 000 elanikku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DA" w14:textId="77777777" w:rsidR="00FA78BD" w:rsidRPr="00C1015A" w:rsidRDefault="00CF7578">
            <w:pPr>
              <w:shd w:val="clear" w:color="auto" w:fill="FFFFFF"/>
              <w:jc w:val="center"/>
              <w:rPr>
                <w:sz w:val="20"/>
              </w:rPr>
            </w:pPr>
            <w:r>
              <w:rPr>
                <w:sz w:val="20"/>
              </w:rPr>
              <w:t xml:space="preserve">mgP/l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DB"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DC"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709A4DD" w14:textId="77777777" w:rsidR="00FA78BD" w:rsidRPr="00C1015A" w:rsidRDefault="00CF7578">
            <w:pPr>
              <w:shd w:val="clear" w:color="auto" w:fill="FFFFFF"/>
              <w:jc w:val="center"/>
              <w:rPr>
                <w:sz w:val="20"/>
              </w:rPr>
            </w:pPr>
            <w:r>
              <w:rPr>
                <w:sz w:val="20"/>
              </w:rPr>
              <w:t xml:space="preserve">2 </w:t>
            </w:r>
            <w:r>
              <w:rPr>
                <w:sz w:val="20"/>
                <w:vertAlign w:val="superscript"/>
              </w:rPr>
              <w:t xml:space="preserve">7</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vMerge w:val="restart"/>
            <w:tcBorders>
              <w:top w:val="single" w:sz="4" w:space="0" w:color="auto"/>
              <w:left w:val="single" w:sz="4" w:space="0" w:color="auto"/>
              <w:right w:val="single" w:sz="4" w:space="0" w:color="auto"/>
            </w:tcBorders>
            <w:shd w:val="clear" w:color="auto" w:fill="FFFFFF"/>
            <w:vAlign w:val="center"/>
          </w:tcPr>
          <w:p w14:paraId="7709A4DE" w14:textId="77777777" w:rsidR="00FA78BD" w:rsidRPr="00C1015A" w:rsidRDefault="00CF7578">
            <w:pPr>
              <w:shd w:val="clear" w:color="auto" w:fill="FFFFFF"/>
              <w:jc w:val="center"/>
              <w:rPr>
                <w:sz w:val="20"/>
              </w:rPr>
            </w:pPr>
            <w:r>
              <w:rPr>
                <w:sz w:val="20"/>
              </w:rPr>
              <w:t xml:space="preserve">80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78BD" w:rsidRPr="00C1015A" w14:paraId="7709A4E8" w14:textId="77777777" w:rsidTr="00C1015A">
        <w:trPr>
          <w:cantSplit/>
        </w:trPr>
        <w:tc>
          <w:tcPr>
            <w:tcW w:w="1344" w:type="dxa"/>
            <w:vMerge/>
            <w:tcBorders>
              <w:left w:val="single" w:sz="6" w:space="0" w:color="auto"/>
              <w:right w:val="single" w:sz="6" w:space="0" w:color="auto"/>
            </w:tcBorders>
            <w:shd w:val="clear" w:color="auto" w:fill="FFFFFF"/>
          </w:tcPr>
          <w:p w14:paraId="7709A4E0" w14:textId="77777777" w:rsidR="00FA78BD" w:rsidRPr="00C1015A" w:rsidRDefault="00FA78BD">
            <w:pPr>
              <w:rPr>
                <w:sz w:val="20"/>
              </w:rPr>
            </w:pPr>
          </w:p>
        </w:tc>
        <w:tc>
          <w:tcPr>
            <w:tcW w:w="783" w:type="dxa"/>
            <w:vMerge/>
            <w:tcBorders>
              <w:left w:val="single" w:sz="6" w:space="0" w:color="auto"/>
              <w:right w:val="single" w:sz="6" w:space="0" w:color="auto"/>
            </w:tcBorders>
            <w:shd w:val="clear" w:color="auto" w:fill="FFFFFF"/>
          </w:tcPr>
          <w:p w14:paraId="7709A4E1" w14:textId="77777777" w:rsidR="00FA78BD" w:rsidRPr="00C1015A" w:rsidRDefault="00FA78BD">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4E2" w14:textId="77777777" w:rsidR="00FA78BD" w:rsidRPr="00C1015A" w:rsidRDefault="00CF7578">
            <w:pPr>
              <w:shd w:val="clear" w:color="auto" w:fill="FFFFFF"/>
              <w:rPr>
                <w:sz w:val="20"/>
              </w:rPr>
            </w:pPr>
            <w:r>
              <w:rPr>
                <w:sz w:val="20"/>
              </w:rPr>
              <w:t xml:space="preserve">10 000–100 000 elanikku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E3" w14:textId="77777777" w:rsidR="00FA78BD" w:rsidRPr="00C1015A" w:rsidRDefault="00CF7578">
            <w:pPr>
              <w:shd w:val="clear" w:color="auto" w:fill="FFFFFF"/>
              <w:jc w:val="center"/>
              <w:rPr>
                <w:sz w:val="20"/>
              </w:rPr>
            </w:pPr>
            <w:r>
              <w:rPr>
                <w:sz w:val="20"/>
              </w:rPr>
              <w:t xml:space="preserve">mgP/l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E4"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E5"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709A4E6" w14:textId="77777777" w:rsidR="00FA78BD" w:rsidRPr="00C1015A" w:rsidRDefault="00CF7578">
            <w:pPr>
              <w:shd w:val="clear" w:color="auto" w:fill="FFFFFF"/>
              <w:jc w:val="center"/>
              <w:rPr>
                <w:sz w:val="20"/>
              </w:rPr>
            </w:pPr>
            <w:r>
              <w:rPr>
                <w:sz w:val="20"/>
              </w:rPr>
              <w:t xml:space="preserve">2 (1)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vMerge/>
            <w:tcBorders>
              <w:left w:val="single" w:sz="4" w:space="0" w:color="auto"/>
              <w:right w:val="single" w:sz="4" w:space="0" w:color="auto"/>
            </w:tcBorders>
            <w:shd w:val="clear" w:color="auto" w:fill="FFFFFF"/>
          </w:tcPr>
          <w:p w14:paraId="7709A4E7" w14:textId="77777777" w:rsidR="00FA78BD" w:rsidRPr="00C1015A" w:rsidRDefault="00FA78BD">
            <w:pPr>
              <w:shd w:val="clear" w:color="auto" w:fill="FFFFFF"/>
              <w:jc w:val="center"/>
              <w:rPr>
                <w:sz w:val="20"/>
              </w:rPr>
            </w:pPr>
          </w:p>
        </w:tc>
      </w:tr>
      <w:tr w:rsidR="00FA78BD" w:rsidRPr="00C1015A" w14:paraId="7709A4F1" w14:textId="77777777" w:rsidTr="00C1015A">
        <w:trPr>
          <w:cantSplit/>
        </w:trPr>
        <w:tc>
          <w:tcPr>
            <w:tcW w:w="1344" w:type="dxa"/>
            <w:vMerge/>
            <w:tcBorders>
              <w:left w:val="single" w:sz="6" w:space="0" w:color="auto"/>
              <w:bottom w:val="single" w:sz="6" w:space="0" w:color="auto"/>
              <w:right w:val="single" w:sz="6" w:space="0" w:color="auto"/>
            </w:tcBorders>
            <w:shd w:val="clear" w:color="auto" w:fill="FFFFFF"/>
          </w:tcPr>
          <w:p w14:paraId="7709A4E9" w14:textId="77777777" w:rsidR="00FA78BD" w:rsidRPr="00C1015A" w:rsidRDefault="00FA78BD">
            <w:pPr>
              <w:rPr>
                <w:sz w:val="20"/>
              </w:rPr>
            </w:pPr>
          </w:p>
        </w:tc>
        <w:tc>
          <w:tcPr>
            <w:tcW w:w="783" w:type="dxa"/>
            <w:vMerge/>
            <w:tcBorders>
              <w:left w:val="single" w:sz="6" w:space="0" w:color="auto"/>
              <w:bottom w:val="single" w:sz="6" w:space="0" w:color="auto"/>
              <w:right w:val="single" w:sz="6" w:space="0" w:color="auto"/>
            </w:tcBorders>
            <w:shd w:val="clear" w:color="auto" w:fill="FFFFFF"/>
          </w:tcPr>
          <w:p w14:paraId="7709A4EA" w14:textId="77777777" w:rsidR="00FA78BD" w:rsidRPr="00C1015A" w:rsidRDefault="00FA78BD">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4EB" w14:textId="77777777" w:rsidR="00FA78BD" w:rsidRPr="00C1015A" w:rsidRDefault="00CF7578">
            <w:pPr>
              <w:shd w:val="clear" w:color="auto" w:fill="FFFFFF"/>
              <w:rPr>
                <w:sz w:val="20"/>
              </w:rPr>
            </w:pPr>
            <w:r>
              <w:rPr>
                <w:sz w:val="20"/>
              </w:rPr>
              <w:t xml:space="preserve">&gt; 100 000 elanikku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EC" w14:textId="77777777" w:rsidR="00FA78BD" w:rsidRPr="00C1015A" w:rsidRDefault="00CF7578">
            <w:pPr>
              <w:shd w:val="clear" w:color="auto" w:fill="FFFFFF"/>
              <w:jc w:val="center"/>
              <w:rPr>
                <w:sz w:val="20"/>
              </w:rPr>
            </w:pPr>
            <w:r>
              <w:rPr>
                <w:sz w:val="20"/>
              </w:rPr>
              <w:t xml:space="preserve">mgP/l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ED"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EE"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709A4EF" w14:textId="77777777" w:rsidR="00FA78BD" w:rsidRPr="00C1015A" w:rsidRDefault="00CF7578">
            <w:pPr>
              <w:shd w:val="clear" w:color="auto" w:fill="FFFFFF"/>
              <w:jc w:val="center"/>
              <w:rPr>
                <w:sz w:val="20"/>
              </w:rPr>
            </w:pPr>
            <w:r>
              <w:rPr>
                <w:sz w:val="20"/>
              </w:rPr>
              <w:t xml:space="preserve">1 (0,5)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vMerge/>
            <w:tcBorders>
              <w:left w:val="single" w:sz="4" w:space="0" w:color="auto"/>
              <w:bottom w:val="single" w:sz="4" w:space="0" w:color="auto"/>
              <w:right w:val="single" w:sz="4" w:space="0" w:color="auto"/>
            </w:tcBorders>
            <w:shd w:val="clear" w:color="auto" w:fill="FFFFFF"/>
          </w:tcPr>
          <w:p w14:paraId="7709A4F0" w14:textId="77777777" w:rsidR="00FA78BD" w:rsidRPr="00C1015A" w:rsidRDefault="00FA78BD">
            <w:pPr>
              <w:shd w:val="clear" w:color="auto" w:fill="FFFFFF"/>
              <w:jc w:val="center"/>
              <w:rPr>
                <w:sz w:val="20"/>
              </w:rPr>
            </w:pPr>
          </w:p>
        </w:tc>
      </w:tr>
      <w:tr w:rsidR="00FA78BD" w:rsidRPr="00C1015A" w14:paraId="7709A4F9" w14:textId="77777777" w:rsidTr="00C1015A">
        <w:trPr>
          <w:cantSplit/>
        </w:trPr>
        <w:tc>
          <w:tcPr>
            <w:tcW w:w="1344" w:type="dxa"/>
            <w:tcBorders>
              <w:left w:val="single" w:sz="6" w:space="0" w:color="auto"/>
              <w:right w:val="single" w:sz="6" w:space="0" w:color="auto"/>
            </w:tcBorders>
            <w:shd w:val="clear" w:color="auto" w:fill="FFFFFF"/>
          </w:tcPr>
          <w:p w14:paraId="7709A4F2" w14:textId="77777777" w:rsidR="00FA78BD" w:rsidRPr="00C1015A" w:rsidRDefault="00FA78BD">
            <w:pPr>
              <w:shd w:val="clear" w:color="auto" w:fill="FFFFFF"/>
              <w:rPr>
                <w:sz w:val="20"/>
              </w:rPr>
            </w:pPr>
          </w:p>
        </w:tc>
        <w:tc>
          <w:tcPr>
            <w:tcW w:w="1917" w:type="dxa"/>
            <w:gridSpan w:val="2"/>
            <w:tcBorders>
              <w:top w:val="single" w:sz="6" w:space="0" w:color="auto"/>
              <w:left w:val="single" w:sz="6" w:space="0" w:color="auto"/>
              <w:right w:val="single" w:sz="6" w:space="0" w:color="auto"/>
            </w:tcBorders>
            <w:shd w:val="clear" w:color="auto" w:fill="FFFFFF"/>
            <w:vAlign w:val="center"/>
          </w:tcPr>
          <w:p w14:paraId="7709A4F3" w14:textId="77777777" w:rsidR="00FA78BD" w:rsidRPr="00C1015A" w:rsidRDefault="00CF7578">
            <w:pPr>
              <w:shd w:val="clear" w:color="auto" w:fill="FFFFFF"/>
              <w:rPr>
                <w:sz w:val="20"/>
              </w:rPr>
            </w:pPr>
            <w:r>
              <w:rPr>
                <w:sz w:val="20"/>
              </w:rPr>
              <w:t xml:space="preserve">&lt; 5 m</w:t>
            </w:r>
            <w:r>
              <w:rPr>
                <w:sz w:val="20"/>
                <w:vertAlign w:val="superscript"/>
              </w:rPr>
              <w:t xml:space="preserve">3</w:t>
            </w:r>
            <w:r>
              <w:rPr>
                <w:sz w:val="20"/>
              </w:rPr>
              <w:t xml:space="preserve">/d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F4" w14:textId="77777777" w:rsidR="00FA78BD" w:rsidRPr="00C1015A" w:rsidRDefault="00CF7578">
            <w:pPr>
              <w:shd w:val="clear" w:color="auto" w:fill="FFFFFF"/>
              <w:jc w:val="center"/>
              <w:rPr>
                <w:sz w:val="20"/>
              </w:rPr>
            </w:pPr>
            <w:r>
              <w:rPr>
                <w:sz w:val="20"/>
              </w:rPr>
              <w:t xml:space="preserve">mgN/l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F5"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F6" w14:textId="77777777" w:rsidR="00FA78BD" w:rsidRPr="00C1015A" w:rsidRDefault="00CF7578">
            <w:pPr>
              <w:shd w:val="clear" w:color="auto" w:fill="FFFFFF"/>
              <w:jc w:val="center"/>
              <w:rPr>
                <w:sz w:val="20"/>
              </w:rPr>
            </w:pPr>
            <w:r>
              <w:rPr>
                <w:sz w:val="20"/>
              </w:rPr>
              <w:t xml:space="preserve">25</w:t>
            </w:r>
            <w:r>
              <w:rPr>
                <w:sz w:val="20"/>
              </w:rPr>
              <w:t xml:space="preserve">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709A4F7" w14:textId="77777777" w:rsidR="00FA78BD" w:rsidRPr="00C1015A" w:rsidRDefault="00CF7578">
            <w:pPr>
              <w:shd w:val="clear" w:color="auto" w:fill="FFFFFF"/>
              <w:jc w:val="center"/>
              <w:rPr>
                <w:b/>
                <w:strike/>
                <w:sz w:val="20"/>
                <w:vertAlign w:val="superscript"/>
              </w:rPr>
            </w:pPr>
            <w:r>
              <w:rPr>
                <w:b/>
                <w:strike/>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tcBorders>
              <w:top w:val="single" w:sz="4" w:space="0" w:color="auto"/>
              <w:left w:val="single" w:sz="4" w:space="0" w:color="auto"/>
              <w:right w:val="single" w:sz="4" w:space="0" w:color="auto"/>
            </w:tcBorders>
            <w:shd w:val="clear" w:color="auto" w:fill="FFFFFF"/>
            <w:vAlign w:val="center"/>
          </w:tcPr>
          <w:p w14:paraId="7709A4F8" w14:textId="77777777" w:rsidR="00FA78BD" w:rsidRPr="00C1015A" w:rsidRDefault="00CF7578">
            <w:pPr>
              <w:shd w:val="clear" w:color="auto" w:fill="FFFFFF"/>
              <w:jc w:val="center"/>
              <w:rPr>
                <w:b/>
                <w:sz w:val="20"/>
              </w:rPr>
            </w:pPr>
            <w:r>
              <w:rPr>
                <w:b/>
                <w:sz w:val="20"/>
              </w:rPr>
              <w:t xml:space="preserv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78BD" w:rsidRPr="00C1015A" w14:paraId="7709A502" w14:textId="77777777" w:rsidTr="00C1015A">
        <w:trPr>
          <w:cantSplit/>
        </w:trPr>
        <w:tc>
          <w:tcPr>
            <w:tcW w:w="1344" w:type="dxa"/>
            <w:vMerge w:val="restart"/>
            <w:tcBorders>
              <w:left w:val="single" w:sz="6" w:space="0" w:color="auto"/>
              <w:right w:val="single" w:sz="6" w:space="0" w:color="auto"/>
            </w:tcBorders>
            <w:shd w:val="clear" w:color="auto" w:fill="FFFFFF"/>
          </w:tcPr>
          <w:p w14:paraId="7709A4FA" w14:textId="77777777" w:rsidR="00FA78BD" w:rsidRPr="00C1015A" w:rsidRDefault="00CF7578">
            <w:pPr>
              <w:shd w:val="clear" w:color="auto" w:fill="FFFFFF"/>
              <w:rPr>
                <w:sz w:val="20"/>
              </w:rPr>
            </w:pPr>
            <w:r>
              <w:rPr>
                <w:sz w:val="20"/>
              </w:rPr>
              <w:t xml:space="preserve">Kogu lämmastik </w:t>
            </w:r>
            <w:r>
              <w:rPr>
                <w:sz w:val="20"/>
                <w:vertAlign w:val="superscript"/>
              </w:rPr>
              <w:t xml:space="preserve">4.5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83" w:type="dxa"/>
            <w:vMerge w:val="restart"/>
            <w:tcBorders>
              <w:top w:val="single" w:sz="6" w:space="0" w:color="auto"/>
              <w:left w:val="single" w:sz="6" w:space="0" w:color="auto"/>
              <w:right w:val="single" w:sz="6" w:space="0" w:color="auto"/>
            </w:tcBorders>
            <w:shd w:val="clear" w:color="auto" w:fill="FFFFFF"/>
            <w:vAlign w:val="center"/>
          </w:tcPr>
          <w:p w14:paraId="7709A4FB" w14:textId="77777777" w:rsidR="00FA78BD" w:rsidRPr="00C1015A" w:rsidRDefault="00CF7578">
            <w:pPr>
              <w:shd w:val="clear" w:color="auto" w:fill="FFFFFF"/>
              <w:jc w:val="center"/>
              <w:rPr>
                <w:sz w:val="20"/>
              </w:rPr>
            </w:pPr>
            <w:r>
              <w:rPr>
                <w:sz w:val="20"/>
              </w:rPr>
              <w:t xml:space="preserve">&gt; 5 m</w:t>
            </w:r>
            <w:r>
              <w:rPr>
                <w:sz w:val="20"/>
                <w:vertAlign w:val="superscript"/>
              </w:rPr>
              <w:t xml:space="preserve">3</w:t>
            </w:r>
            <w:r>
              <w:rPr>
                <w:sz w:val="20"/>
              </w:rPr>
              <w:t xml:space="preserve">/d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34" w:type="dxa"/>
            <w:tcBorders>
              <w:top w:val="single" w:sz="6" w:space="0" w:color="auto"/>
              <w:left w:val="single" w:sz="6" w:space="0" w:color="auto"/>
              <w:bottom w:val="single" w:sz="6" w:space="0" w:color="auto"/>
              <w:right w:val="single" w:sz="6" w:space="0" w:color="auto"/>
            </w:tcBorders>
            <w:shd w:val="clear" w:color="auto" w:fill="FFFFFF"/>
          </w:tcPr>
          <w:p w14:paraId="7709A4FC" w14:textId="77777777" w:rsidR="00FA78BD" w:rsidRPr="00C1015A" w:rsidRDefault="00CF7578">
            <w:pPr>
              <w:shd w:val="clear" w:color="auto" w:fill="FFFFFF"/>
              <w:rPr>
                <w:sz w:val="20"/>
              </w:rPr>
            </w:pPr>
            <w:r>
              <w:rPr>
                <w:sz w:val="20"/>
              </w:rPr>
              <w:t xml:space="preserve">&lt; 10 000 elanikku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tcPr>
          <w:p w14:paraId="7709A4FD" w14:textId="77777777" w:rsidR="00FA78BD" w:rsidRPr="00C1015A" w:rsidRDefault="00CF7578">
            <w:pPr>
              <w:shd w:val="clear" w:color="auto" w:fill="FFFFFF"/>
              <w:jc w:val="center"/>
              <w:rPr>
                <w:sz w:val="20"/>
              </w:rPr>
            </w:pPr>
            <w:r>
              <w:rPr>
                <w:sz w:val="20"/>
              </w:rPr>
              <w:t xml:space="preserve">mgN/l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tcPr>
          <w:p w14:paraId="7709A4FE"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tcPr>
          <w:p w14:paraId="7709A4FF"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4" w:space="0" w:color="auto"/>
            </w:tcBorders>
            <w:shd w:val="clear" w:color="auto" w:fill="FFFFFF"/>
          </w:tcPr>
          <w:p w14:paraId="7709A500" w14:textId="77777777" w:rsidR="00FA78BD" w:rsidRPr="00C1015A" w:rsidRDefault="00CF7578">
            <w:pPr>
              <w:shd w:val="clear" w:color="auto" w:fill="FFFFFF"/>
              <w:jc w:val="center"/>
              <w:rPr>
                <w:sz w:val="20"/>
              </w:rPr>
            </w:pPr>
            <w:r>
              <w:rPr>
                <w:sz w:val="20"/>
              </w:rPr>
              <w:t xml:space="preserve">20 </w:t>
            </w:r>
            <w:r>
              <w:rPr>
                <w:sz w:val="20"/>
                <w:vertAlign w:val="superscript"/>
              </w:rPr>
              <w:t xml:space="preserve">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vMerge w:val="restart"/>
            <w:tcBorders>
              <w:top w:val="single" w:sz="4" w:space="0" w:color="auto"/>
              <w:left w:val="single" w:sz="4" w:space="0" w:color="auto"/>
              <w:right w:val="single" w:sz="4" w:space="0" w:color="auto"/>
            </w:tcBorders>
            <w:shd w:val="clear" w:color="auto" w:fill="FFFFFF"/>
            <w:vAlign w:val="center"/>
          </w:tcPr>
          <w:p w14:paraId="7709A501" w14:textId="77777777" w:rsidR="00FA78BD" w:rsidRPr="00C1015A" w:rsidRDefault="00CF7578">
            <w:pPr>
              <w:shd w:val="clear" w:color="auto" w:fill="FFFFFF"/>
              <w:jc w:val="center"/>
              <w:rPr>
                <w:sz w:val="20"/>
              </w:rPr>
            </w:pPr>
            <w:r>
              <w:rPr>
                <w:sz w:val="20"/>
              </w:rPr>
              <w:t xml:space="preserve">70–80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78BD" w:rsidRPr="00C1015A" w14:paraId="7709A50B" w14:textId="77777777" w:rsidTr="00C1015A">
        <w:trPr>
          <w:cantSplit/>
        </w:trPr>
        <w:tc>
          <w:tcPr>
            <w:tcW w:w="1344" w:type="dxa"/>
            <w:vMerge/>
            <w:tcBorders>
              <w:left w:val="single" w:sz="6" w:space="0" w:color="auto"/>
              <w:right w:val="single" w:sz="6" w:space="0" w:color="auto"/>
            </w:tcBorders>
            <w:shd w:val="clear" w:color="auto" w:fill="FFFFFF"/>
          </w:tcPr>
          <w:p w14:paraId="7709A503" w14:textId="77777777" w:rsidR="00FA78BD" w:rsidRPr="00C1015A" w:rsidRDefault="00FA78BD">
            <w:pPr>
              <w:rPr>
                <w:strike/>
                <w:sz w:val="20"/>
              </w:rPr>
            </w:pPr>
          </w:p>
        </w:tc>
        <w:tc>
          <w:tcPr>
            <w:tcW w:w="783" w:type="dxa"/>
            <w:vMerge/>
            <w:tcBorders>
              <w:left w:val="single" w:sz="6" w:space="0" w:color="auto"/>
              <w:right w:val="single" w:sz="6" w:space="0" w:color="auto"/>
            </w:tcBorders>
            <w:shd w:val="clear" w:color="auto" w:fill="FFFFFF"/>
          </w:tcPr>
          <w:p w14:paraId="7709A504" w14:textId="77777777" w:rsidR="00FA78BD" w:rsidRPr="00C1015A" w:rsidRDefault="00FA78BD">
            <w:pPr>
              <w:rPr>
                <w:strike/>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505" w14:textId="77777777" w:rsidR="00FA78BD" w:rsidRPr="00C1015A" w:rsidRDefault="00CF7578">
            <w:pPr>
              <w:shd w:val="clear" w:color="auto" w:fill="FFFFFF"/>
              <w:rPr>
                <w:sz w:val="20"/>
              </w:rPr>
            </w:pPr>
            <w:r>
              <w:rPr>
                <w:sz w:val="20"/>
              </w:rPr>
              <w:t xml:space="preserve">10 000–100 000 elanikku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tcPr>
          <w:p w14:paraId="7709A506" w14:textId="77777777" w:rsidR="00FA78BD" w:rsidRPr="00C1015A" w:rsidRDefault="00CF7578">
            <w:pPr>
              <w:shd w:val="clear" w:color="auto" w:fill="FFFFFF"/>
              <w:jc w:val="center"/>
              <w:rPr>
                <w:sz w:val="20"/>
              </w:rPr>
            </w:pPr>
            <w:r>
              <w:rPr>
                <w:sz w:val="20"/>
              </w:rPr>
              <w:t xml:space="preserve">mgN/l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tcPr>
          <w:p w14:paraId="7709A507"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tcPr>
          <w:p w14:paraId="7709A508"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4" w:space="0" w:color="auto"/>
            </w:tcBorders>
            <w:shd w:val="clear" w:color="auto" w:fill="FFFFFF"/>
          </w:tcPr>
          <w:p w14:paraId="7709A509" w14:textId="77777777" w:rsidR="00FA78BD" w:rsidRPr="00C1015A" w:rsidRDefault="00CF7578">
            <w:pPr>
              <w:shd w:val="clear" w:color="auto" w:fill="FFFFFF"/>
              <w:jc w:val="center"/>
              <w:rPr>
                <w:sz w:val="20"/>
              </w:rPr>
            </w:pPr>
            <w:r>
              <w:rPr>
                <w:sz w:val="20"/>
              </w:rPr>
              <w:t xml:space="preserve">15 (10)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vMerge/>
            <w:tcBorders>
              <w:left w:val="single" w:sz="4" w:space="0" w:color="auto"/>
              <w:right w:val="single" w:sz="4" w:space="0" w:color="auto"/>
            </w:tcBorders>
            <w:shd w:val="clear" w:color="auto" w:fill="FFFFFF"/>
          </w:tcPr>
          <w:p w14:paraId="7709A50A" w14:textId="77777777" w:rsidR="00FA78BD" w:rsidRPr="00C1015A" w:rsidRDefault="00FA78BD">
            <w:pPr>
              <w:shd w:val="clear" w:color="auto" w:fill="FFFFFF"/>
              <w:jc w:val="center"/>
              <w:rPr>
                <w:strike/>
                <w:sz w:val="20"/>
              </w:rPr>
            </w:pPr>
          </w:p>
        </w:tc>
      </w:tr>
      <w:tr w:rsidR="00FA78BD" w:rsidRPr="00C1015A" w14:paraId="7709A514" w14:textId="77777777" w:rsidTr="00C1015A">
        <w:trPr>
          <w:cantSplit/>
        </w:trPr>
        <w:tc>
          <w:tcPr>
            <w:tcW w:w="1344" w:type="dxa"/>
            <w:vMerge/>
            <w:tcBorders>
              <w:left w:val="single" w:sz="6" w:space="0" w:color="auto"/>
              <w:bottom w:val="single" w:sz="6" w:space="0" w:color="auto"/>
              <w:right w:val="single" w:sz="6" w:space="0" w:color="auto"/>
            </w:tcBorders>
            <w:shd w:val="clear" w:color="auto" w:fill="FFFFFF"/>
          </w:tcPr>
          <w:p w14:paraId="7709A50C" w14:textId="77777777" w:rsidR="00FA78BD" w:rsidRPr="00C1015A" w:rsidRDefault="00FA78BD">
            <w:pPr>
              <w:rPr>
                <w:strike/>
                <w:sz w:val="20"/>
              </w:rPr>
            </w:pPr>
          </w:p>
        </w:tc>
        <w:tc>
          <w:tcPr>
            <w:tcW w:w="783" w:type="dxa"/>
            <w:vMerge/>
            <w:tcBorders>
              <w:left w:val="single" w:sz="6" w:space="0" w:color="auto"/>
              <w:bottom w:val="single" w:sz="6" w:space="0" w:color="auto"/>
              <w:right w:val="single" w:sz="6" w:space="0" w:color="auto"/>
            </w:tcBorders>
            <w:shd w:val="clear" w:color="auto" w:fill="FFFFFF"/>
          </w:tcPr>
          <w:p w14:paraId="7709A50D" w14:textId="77777777" w:rsidR="00FA78BD" w:rsidRPr="00C1015A" w:rsidRDefault="00FA78BD">
            <w:pPr>
              <w:rPr>
                <w:strike/>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50E" w14:textId="77777777" w:rsidR="00FA78BD" w:rsidRPr="00C1015A" w:rsidRDefault="00CF7578">
            <w:pPr>
              <w:shd w:val="clear" w:color="auto" w:fill="FFFFFF"/>
              <w:rPr>
                <w:sz w:val="20"/>
              </w:rPr>
            </w:pPr>
            <w:r>
              <w:rPr>
                <w:sz w:val="20"/>
              </w:rPr>
              <w:t xml:space="preserve">&gt; 100 000 elanikku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dxa"/>
            <w:tcBorders>
              <w:top w:val="single" w:sz="6" w:space="0" w:color="auto"/>
              <w:left w:val="single" w:sz="6" w:space="0" w:color="auto"/>
              <w:bottom w:val="single" w:sz="6" w:space="0" w:color="auto"/>
              <w:right w:val="single" w:sz="6" w:space="0" w:color="auto"/>
            </w:tcBorders>
            <w:shd w:val="clear" w:color="auto" w:fill="FFFFFF"/>
          </w:tcPr>
          <w:p w14:paraId="7709A50F" w14:textId="77777777" w:rsidR="00FA78BD" w:rsidRPr="00C1015A" w:rsidRDefault="00CF7578">
            <w:pPr>
              <w:shd w:val="clear" w:color="auto" w:fill="FFFFFF"/>
              <w:jc w:val="center"/>
              <w:rPr>
                <w:sz w:val="20"/>
              </w:rPr>
            </w:pPr>
            <w:r>
              <w:rPr>
                <w:sz w:val="20"/>
              </w:rPr>
              <w:t xml:space="preserve">mgN/1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6" w:space="0" w:color="auto"/>
            </w:tcBorders>
            <w:shd w:val="clear" w:color="auto" w:fill="FFFFFF"/>
          </w:tcPr>
          <w:p w14:paraId="7709A510"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0" w:type="dxa"/>
            <w:tcBorders>
              <w:top w:val="single" w:sz="6" w:space="0" w:color="auto"/>
              <w:left w:val="single" w:sz="6" w:space="0" w:color="auto"/>
              <w:bottom w:val="single" w:sz="6" w:space="0" w:color="auto"/>
              <w:right w:val="single" w:sz="6" w:space="0" w:color="auto"/>
            </w:tcBorders>
            <w:shd w:val="clear" w:color="auto" w:fill="FFFFFF"/>
          </w:tcPr>
          <w:p w14:paraId="7709A511" w14:textId="77777777" w:rsidR="00FA78BD" w:rsidRPr="00C1015A" w:rsidRDefault="00CF7578">
            <w:pPr>
              <w:shd w:val="clear" w:color="auto" w:fill="FFFFFF"/>
              <w:jc w:val="center"/>
              <w:rPr>
                <w:sz w:val="20"/>
              </w:rPr>
            </w:pPr>
            <w:r>
              <w:rPr>
                <w:sz w:val="20"/>
              </w:rPr>
              <w:t xml:space="preserv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7" w:type="dxa"/>
            <w:tcBorders>
              <w:top w:val="single" w:sz="6" w:space="0" w:color="auto"/>
              <w:left w:val="single" w:sz="6" w:space="0" w:color="auto"/>
              <w:bottom w:val="single" w:sz="6" w:space="0" w:color="auto"/>
              <w:right w:val="single" w:sz="4" w:space="0" w:color="auto"/>
            </w:tcBorders>
            <w:shd w:val="clear" w:color="auto" w:fill="FFFFFF"/>
          </w:tcPr>
          <w:p w14:paraId="7709A512" w14:textId="5FE7AEC3" w:rsidR="00FA78BD" w:rsidRPr="00C1015A" w:rsidRDefault="00CF7578">
            <w:pPr>
              <w:shd w:val="clear" w:color="auto" w:fill="FFFFFF"/>
              <w:jc w:val="center"/>
              <w:rPr>
                <w:sz w:val="20"/>
              </w:rPr>
            </w:pPr>
            <w:r>
              <w:rPr>
                <w:sz w:val="20"/>
              </w:rPr>
              <w:t xml:space="preserve">10 (10)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8" w:type="dxa"/>
            <w:vMerge/>
            <w:tcBorders>
              <w:left w:val="single" w:sz="4" w:space="0" w:color="auto"/>
              <w:bottom w:val="single" w:sz="4" w:space="0" w:color="auto"/>
              <w:right w:val="single" w:sz="4" w:space="0" w:color="auto"/>
            </w:tcBorders>
            <w:shd w:val="clear" w:color="auto" w:fill="FFFFFF"/>
          </w:tcPr>
          <w:p w14:paraId="7709A513" w14:textId="77777777" w:rsidR="00FA78BD" w:rsidRPr="00C1015A" w:rsidRDefault="00FA78BD">
            <w:pPr>
              <w:shd w:val="clear" w:color="auto" w:fill="FFFFFF"/>
              <w:jc w:val="center"/>
              <w:rPr>
                <w:strike/>
                <w:sz w:val="20"/>
              </w:rPr>
            </w:pPr>
          </w:p>
        </w:tc>
      </w:tr>
    </w:tbl>
    <w:p w14:paraId="7709A515" w14:textId="230B5213" w:rsidR="00FA78BD" w:rsidRPr="00C1015A" w:rsidRDefault="00CF7578">
      <w:pPr>
        <w:shd w:val="clear" w:color="auto" w:fill="FFFFFF"/>
        <w:ind w:firstLine="709"/>
        <w:jc w:val="both"/>
      </w:pPr>
      <w:r>
        <w:t xml:space="preserve">Märkused</w:t>
      </w:r>
    </w:p>
    <w:p w14:paraId="7709A516" w14:textId="77777777" w:rsidR="00FA78BD" w:rsidRPr="00C1015A" w:rsidRDefault="00CF7578">
      <w:pPr>
        <w:shd w:val="clear" w:color="auto" w:fill="FFFFFF"/>
        <w:ind w:firstLine="709"/>
        <w:jc w:val="both"/>
      </w:pPr>
      <w:r>
        <w:rPr>
          <w:vertAlign w:val="superscript"/>
        </w:rPr>
        <w:t xml:space="preserve">1</w:t>
      </w:r>
      <w:r>
        <w:t xml:space="preserve"> Saasteainete sisaldus keskmises päevases proovis (proportsionaalne voolu või ajaga).</w:t>
      </w:r>
    </w:p>
    <w:p w14:paraId="7709A517" w14:textId="77777777" w:rsidR="00FA78BD" w:rsidRPr="00C1015A" w:rsidRDefault="00CF7578">
      <w:pPr>
        <w:shd w:val="clear" w:color="auto" w:fill="FFFFFF"/>
        <w:ind w:firstLine="709"/>
        <w:jc w:val="both"/>
      </w:pPr>
      <w:r>
        <w:rPr>
          <w:vertAlign w:val="superscript"/>
        </w:rPr>
        <w:t xml:space="preserve">2</w:t>
      </w:r>
      <w:r>
        <w:t xml:space="preserve"> Reovee puhastamise tõhusus = ((saasteainete heitmete kogus – ärajuhitud saasteainete kogus) / saasteainete heitmete kogus) * 100.</w:t>
      </w:r>
    </w:p>
    <w:p w14:paraId="7709A518" w14:textId="77777777" w:rsidR="00FA78BD" w:rsidRPr="00C1015A" w:rsidRDefault="00CF7578">
      <w:pPr>
        <w:shd w:val="clear" w:color="auto" w:fill="FFFFFF"/>
        <w:ind w:firstLine="709"/>
        <w:jc w:val="both"/>
      </w:pPr>
      <w:r>
        <w:t xml:space="preserve">Minimaalsed puhastamise tõhususe nõuded ei kehti saastetasude arvutamisel, st lubatud saastamist arvestusperioodil ja keskmist aastast lubatud saasteainete kontsentratsiooni ei tohi ületada hoolimata sellest, kas minimaalne puhastamise tõhusus on saavutatud või mitte; keskmise päevase proovi lubatud saasteainete kontsentratsiooni või lubatud hetkelise saasteainete kontsentratsiooni ületamist ei peeta siiski rikkumiseks, kui ületamise ajavahemikul säilitatakse minimaalne puhastamise tõhusus.</w:t>
      </w:r>
    </w:p>
    <w:p w14:paraId="7709A519" w14:textId="77777777" w:rsidR="00FA78BD" w:rsidRPr="00C1015A" w:rsidRDefault="00CF7578">
      <w:pPr>
        <w:shd w:val="clear" w:color="auto" w:fill="FFFFFF"/>
        <w:tabs>
          <w:tab w:val="left" w:pos="298"/>
        </w:tabs>
        <w:ind w:firstLine="709"/>
        <w:jc w:val="both"/>
      </w:pPr>
      <w:r>
        <w:rPr>
          <w:vertAlign w:val="superscript"/>
        </w:rPr>
        <w:t xml:space="preserve">3</w:t>
      </w:r>
      <w:r>
        <w:t xml:space="preserve"> Luba, kujundamise tingimused jms peavad sisaldama standardit kooskõlas biokeemilise hapnikutarbega (BOD</w:t>
      </w:r>
      <w:r>
        <w:rPr>
          <w:vertAlign w:val="subscript"/>
        </w:rPr>
        <w:t xml:space="preserve">7</w:t>
      </w:r>
      <w:r>
        <w:t xml:space="preserve">).</w:t>
      </w:r>
      <w:r>
        <w:t xml:space="preserve"> </w:t>
      </w:r>
      <w:r>
        <w:t xml:space="preserve">BOD</w:t>
      </w:r>
      <w:r>
        <w:rPr>
          <w:vertAlign w:val="subscript"/>
        </w:rPr>
        <w:t xml:space="preserve">5</w:t>
      </w:r>
      <w:r>
        <w:t xml:space="preserve"> ümberarvutamisel BOD</w:t>
      </w:r>
      <w:r>
        <w:rPr>
          <w:vertAlign w:val="subscript"/>
        </w:rPr>
        <w:t xml:space="preserve">7</w:t>
      </w:r>
      <w:r>
        <w:t xml:space="preserve">-ks kasutatakse järgmist valemit:</w:t>
      </w:r>
      <w:r>
        <w:t xml:space="preserve"> </w:t>
      </w:r>
      <w:r>
        <w:t xml:space="preserve">BOD</w:t>
      </w:r>
      <w:r>
        <w:rPr>
          <w:vertAlign w:val="subscript"/>
        </w:rPr>
        <w:t xml:space="preserve">7</w:t>
      </w:r>
      <w:r>
        <w:t xml:space="preserve"> = 1,15 x BOD</w:t>
      </w:r>
      <w:r>
        <w:rPr>
          <w:vertAlign w:val="subscript"/>
        </w:rPr>
        <w:t xml:space="preserve">5</w:t>
      </w:r>
      <w:r>
        <w:t xml:space="preserve">.</w:t>
      </w:r>
    </w:p>
    <w:p w14:paraId="7709A51A" w14:textId="77777777" w:rsidR="00FA78BD" w:rsidRPr="00C1015A" w:rsidRDefault="00CF7578">
      <w:pPr>
        <w:shd w:val="clear" w:color="auto" w:fill="FFFFFF"/>
        <w:tabs>
          <w:tab w:val="left" w:pos="235"/>
        </w:tabs>
        <w:ind w:firstLine="709"/>
        <w:jc w:val="both"/>
      </w:pPr>
      <w:r>
        <w:rPr>
          <w:vertAlign w:val="superscript"/>
        </w:rPr>
        <w:t xml:space="preserve">4</w:t>
      </w:r>
      <w:r>
        <w:t xml:space="preserve"> Kogu lämmastik tähendab Kjeldahli lämmastikku (orgaaniline ja ammooniumlämmastik), millele on lisatud lämmastiku nitriti ja nitraadi kujul.</w:t>
      </w:r>
    </w:p>
    <w:p w14:paraId="7709A51B" w14:textId="77777777" w:rsidR="00FA78BD" w:rsidRPr="00C1015A" w:rsidRDefault="00CF7578">
      <w:pPr>
        <w:shd w:val="clear" w:color="auto" w:fill="FFFFFF"/>
        <w:ind w:firstLine="709"/>
        <w:jc w:val="both"/>
      </w:pPr>
      <w:r>
        <w:rPr>
          <w:vertAlign w:val="superscript"/>
        </w:rPr>
        <w:t xml:space="preserve">5</w:t>
      </w:r>
      <w:r>
        <w:t xml:space="preserve"> Kogu lämmastikku on võimalik kontrollida ka päevase keskmise kaudu.</w:t>
      </w:r>
      <w:r>
        <w:t xml:space="preserve"> </w:t>
      </w:r>
      <w:r>
        <w:t xml:space="preserve">Sellisel juhul ei tohi päevane keskmine ületada 20 mg/l, kui reovee temperatuur on 12 °C või kõrgem (kohaldatav ainult siis, kui kontrollitakse käitlusjaamade vastavust ELi nõuetele (ELile aru andes)).</w:t>
      </w:r>
    </w:p>
    <w:p w14:paraId="7709A51C" w14:textId="77777777" w:rsidR="00FA78BD" w:rsidRPr="00C1015A" w:rsidRDefault="00CF7578">
      <w:pPr>
        <w:shd w:val="clear" w:color="auto" w:fill="FFFFFF"/>
        <w:tabs>
          <w:tab w:val="left" w:pos="197"/>
        </w:tabs>
        <w:ind w:firstLine="709"/>
        <w:jc w:val="both"/>
      </w:pPr>
      <w:r>
        <w:rPr>
          <w:vertAlign w:val="superscript"/>
        </w:rPr>
        <w:t xml:space="preserve">6</w:t>
      </w:r>
      <w:r>
        <w:t xml:space="preserve"> Keskmine aastane kontsentratsioon määratakse kindlaks seadme tegelike võimaluste kohaselt, aga see ei või olla suurem kui keskmise päevase proovi suurim lubatud kontsentratsioon.</w:t>
      </w:r>
    </w:p>
    <w:p w14:paraId="7709A51D" w14:textId="77777777" w:rsidR="00FA78BD" w:rsidRPr="00C1015A" w:rsidRDefault="00CF7578">
      <w:pPr>
        <w:shd w:val="clear" w:color="auto" w:fill="FFFFFF"/>
        <w:tabs>
          <w:tab w:val="left" w:pos="197"/>
        </w:tabs>
        <w:ind w:firstLine="709"/>
        <w:jc w:val="both"/>
      </w:pPr>
      <w:r>
        <w:rPr>
          <w:vertAlign w:val="superscript"/>
        </w:rPr>
        <w:t xml:space="preserve">7</w:t>
      </w:r>
      <w:r>
        <w:t xml:space="preserve"> Kohaldatakse asula-, olme- ja tööstuslikule reoveele ja ainult juhul, kui tuleb teha suublale avalduva mõju hindamine kooskõlas punkti 11 sätetega.</w:t>
      </w:r>
      <w:r>
        <w:t xml:space="preserve"> </w:t>
      </w:r>
      <w:r>
        <w:t xml:space="preserve">Kui reovee arvutatud keskmine aastane lubatud saasteainete (kogu fosfori) kontsentratsioon, mis ei tohi ületada lubatud kokkupuudet pinnaveekoguga, on vähem kui 2 mg/l (kui arvutatud kontsentratsioon jääb vahemikku 2–10 mg/l, siis määratakse lubatud saasteainete kontsentratsioon kindlaks arvutustulemuste põhjal; kui arvutatud kontsentratsioon on suurem kui 10 mg/l, siis ei määrata lubatud saasteainete kontsentratsiooni kindlaks (kogu fosforit ei hinnata); kui arvutatud kontsentratsioon on väiksem kui 2 mg/l või sellega võrdne, siis määratakse, et lubatud saasteainete kontsentratsioon on 2 mg/l).</w:t>
      </w:r>
    </w:p>
    <w:p w14:paraId="7709A51E" w14:textId="77777777" w:rsidR="00FA78BD" w:rsidRPr="00C1015A" w:rsidRDefault="00CF7578">
      <w:pPr>
        <w:shd w:val="clear" w:color="auto" w:fill="FFFFFF"/>
        <w:ind w:firstLine="709"/>
        <w:jc w:val="both"/>
      </w:pPr>
      <w:r>
        <w:rPr>
          <w:vertAlign w:val="superscript"/>
        </w:rPr>
        <w:t xml:space="preserve">8</w:t>
      </w:r>
      <w:r>
        <w:t xml:space="preserve"> Kohaldatakse asula-, olme- ja tööstuslikule reoveele ja ainult juhul, kui tuleb teha suublale avalduva mõju hindamine kooskõlas punkti 11 sätetega.</w:t>
      </w:r>
      <w:r>
        <w:t xml:space="preserve"> </w:t>
      </w:r>
      <w:r>
        <w:t xml:space="preserve">Kui reovee arvutatud keskmine aastane lubatud saasteainete (kogu lämmastiku) kontsentratsioon, mis ei tohi ületada lubatud kokkupuudet pinnaveekoguga, on vähem kui 20 mg/l (kui arvutatud kontsentratsioon jääb vahemikku 20–40 mg/l, siis määratakse lubatud saasteainete kontsentratsioon kindlaks arvutustulemuste põhjal; kui arvutatud kontsentratsioon on suurem kui 40 mg/l, siis ei määrata lubatud saasteainete kontsentratsiooni kindlaks (kogu fosforit ei hinnata); kui arvutatud kontsentratsioon on väiksem kui 20 mg/l või sellega võrdne, siis määratakse, et lubatud saasteainete kontsentratsioon on 20 mg/l).</w:t>
      </w:r>
    </w:p>
    <w:p w14:paraId="7709A51F" w14:textId="1DD582E5" w:rsidR="00FA78BD" w:rsidRPr="00C1015A" w:rsidRDefault="00CF7578">
      <w:pPr>
        <w:shd w:val="clear" w:color="auto" w:fill="FFFFFF"/>
        <w:ind w:firstLine="709"/>
        <w:jc w:val="both"/>
      </w:pPr>
      <w:r>
        <w:rPr>
          <w:vertAlign w:val="superscript"/>
        </w:rPr>
        <w:t xml:space="preserve">9</w:t>
      </w:r>
      <w:r>
        <w:t xml:space="preserve"> Lubatud saasteainete kontsentratsiooni minimaalne väärtus, st ärajuhitava olme-, asula- ja tööstusliku reovee lubatud saasteainete kontsentratsiooni väärtus, ei tohi olla rangem kui sulgudes märgitud väärtus.“</w:t>
      </w:r>
    </w:p>
    <w:p w14:paraId="7709A520" w14:textId="77777777" w:rsidR="00FA78BD" w:rsidRPr="00C1015A" w:rsidRDefault="00CF7578">
      <w:pPr>
        <w:suppressAutoHyphens/>
        <w:spacing w:line="276" w:lineRule="auto"/>
        <w:ind w:firstLine="709"/>
        <w:jc w:val="both"/>
        <w:textAlignment w:val="center"/>
        <w:rPr>
          <w:color w:val="000000"/>
          <w:szCs w:val="24"/>
        </w:rPr>
      </w:pPr>
      <w:r>
        <w:rPr>
          <w:color w:val="000000"/>
        </w:rPr>
        <w:t xml:space="preserve">2.</w:t>
      </w:r>
      <w:r>
        <w:rPr>
          <w:color w:val="000000"/>
        </w:rPr>
        <w:t xml:space="preserve"> </w:t>
      </w:r>
      <w:r>
        <w:rPr>
          <w:color w:val="000000"/>
        </w:rPr>
        <w:t xml:space="preserve">Sätestan järgneva:</w:t>
      </w:r>
    </w:p>
    <w:p w14:paraId="7709A521" w14:textId="77777777" w:rsidR="00FA78BD" w:rsidRPr="00C1015A" w:rsidRDefault="00CF7578">
      <w:pPr>
        <w:suppressAutoHyphens/>
        <w:spacing w:line="276" w:lineRule="auto"/>
        <w:ind w:firstLine="709"/>
        <w:jc w:val="both"/>
        <w:textAlignment w:val="center"/>
        <w:rPr>
          <w:color w:val="000000"/>
          <w:szCs w:val="24"/>
        </w:rPr>
      </w:pPr>
      <w:r>
        <w:rPr>
          <w:color w:val="000000"/>
        </w:rPr>
        <w:t xml:space="preserve">2.1. käitlusseadmete suhtes, mis on mõeldud kuni 5 m</w:t>
      </w:r>
      <w:r>
        <w:rPr>
          <w:color w:val="000000"/>
          <w:vertAlign w:val="superscript"/>
        </w:rPr>
        <w:t xml:space="preserve">3</w:t>
      </w:r>
      <w:r>
        <w:rPr>
          <w:color w:val="000000"/>
        </w:rPr>
        <w:t xml:space="preserve">/d reovee puhastamiseks ning mis on paigaldatud enne käesoleva määruse jõustumise kuupäeva, kohaldatakse määruse sätteid alates 1. jaanuarist 2030;</w:t>
      </w:r>
    </w:p>
    <w:p w14:paraId="7709A525" w14:textId="77F69C9F" w:rsidR="00FA78BD" w:rsidRPr="00C1015A" w:rsidRDefault="00CF7578" w:rsidP="00CF7578">
      <w:pPr>
        <w:suppressAutoHyphens/>
        <w:spacing w:line="276" w:lineRule="auto"/>
        <w:ind w:firstLine="709"/>
        <w:jc w:val="both"/>
        <w:textAlignment w:val="center"/>
        <w:rPr>
          <w:szCs w:val="24"/>
          <w:rFonts w:eastAsia="Calibri"/>
        </w:rPr>
      </w:pPr>
      <w:r>
        <w:rPr>
          <w:color w:val="000000"/>
        </w:rPr>
        <w:t xml:space="preserve">2.2. käesolev määrus jõustub 1. novembril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0773218" w14:textId="77777777" w:rsidR="00CF7578" w:rsidRPr="00C1015A" w:rsidRDefault="00CF7578">
      <w:pPr>
        <w:spacing w:line="276" w:lineRule="auto"/>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CBBA94A" w14:textId="77777777" w:rsidR="00CF7578" w:rsidRPr="00C1015A" w:rsidRDefault="00CF7578">
      <w:pPr>
        <w:spacing w:line="276" w:lineRule="auto"/>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65A7E2E" w14:textId="77777777" w:rsidR="00CF7578" w:rsidRPr="00C1015A" w:rsidRDefault="00CF7578">
      <w:pPr>
        <w:spacing w:line="276" w:lineRule="auto"/>
      </w:pPr>
    </w:p>
    <w:p w14:paraId="7709A526" w14:textId="435BA812" w:rsidR="00FA78BD" w:rsidRPr="00C1015A" w:rsidRDefault="00CF7578" w:rsidP="00C1015A">
      <w:pPr>
        <w:tabs>
          <w:tab w:val="right" w:pos="10080"/>
        </w:tabs>
        <w:spacing w:line="276" w:lineRule="auto"/>
        <w:rPr>
          <w:szCs w:val="24"/>
          <w:rFonts w:eastAsia="Calibri"/>
        </w:rPr>
      </w:pPr>
      <w:r>
        <w:t xml:space="preserve">Keskkonnaminister</w:t>
        <w:tab/>
        <w:t xml:space="preserve">Kęstutis Navickas</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78BD" w:rsidRPr="00C1015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1134" w:right="540" w:bottom="1418" w:left="1258" w:header="567" w:footer="567" w:gutter="0"/>
      <w:pgNumType w:start="1"/>
      <w:cols w:space="1296"/>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14:paraId="02A028F0" w14:textId="77777777" w:rsidR="009B36A2" w:rsidRDefault="009B36A2">
      <w:pPr>
        <w:rPr>
          <w:rFonts w:ascii="Calibri" w:eastAsia="Calibri" w:hAnsi="Calibri"/>
          <w:sz w:val="22"/>
          <w:szCs w:val="22"/>
        </w:rPr>
      </w:pPr>
      <w:r>
        <w:rPr>
          <w:rFonts w:ascii="Calibri" w:eastAsia="Calibri" w:hAnsi="Calibri"/>
          <w:sz w:val="22"/>
          <w:szCs w:val="22"/>
        </w:rPr>
        <w:separator/>
      </w:r>
    </w:p>
  </w:endnote>
  <w:endnote xmlns:w15="http://schemas.microsoft.com/office/word/2012/wordml" w:type="continuationSeparator" w:id="0">
    <w:p w14:paraId="5B48EA91" w14:textId="77777777" w:rsidR="009B36A2" w:rsidRDefault="009B36A2">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9A530" w14:textId="77777777" w:rsidR="00FA78BD" w:rsidRDefault="00FA78BD">
    <w:pPr>
      <w:tabs>
        <w:tab w:val="center" w:pos="4819"/>
        <w:tab w:val="right" w:pos="9638"/>
      </w:tabs>
      <w:rPr>
        <w:rFonts w:ascii="Calibri" w:eastAsia="Calibri" w:hAnsi="Calibri"/>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9A531" w14:textId="77777777" w:rsidR="00FA78BD" w:rsidRDefault="00FA78BD">
    <w:pPr>
      <w:tabs>
        <w:tab w:val="center" w:pos="4819"/>
        <w:tab w:val="right" w:pos="9638"/>
      </w:tabs>
      <w:rPr>
        <w:rFonts w:ascii="Calibri" w:eastAsia="Calibri" w:hAnsi="Calibri"/>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9A533" w14:textId="77777777" w:rsidR="00FA78BD" w:rsidRDefault="00FA78BD">
    <w:pPr>
      <w:tabs>
        <w:tab w:val="center" w:pos="4819"/>
        <w:tab w:val="right" w:pos="9638"/>
      </w:tabs>
      <w:rPr>
        <w:rFonts w:ascii="Calibri" w:eastAsia="Calibri" w:hAnsi="Calibri"/>
        <w:sz w:val="22"/>
        <w:szCs w:val="22"/>
      </w:rPr>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14:paraId="1E4DFFA5" w14:textId="77777777" w:rsidR="009B36A2" w:rsidRDefault="009B36A2">
      <w:pPr>
        <w:rPr>
          <w:rFonts w:ascii="Calibri" w:eastAsia="Calibri" w:hAnsi="Calibri"/>
          <w:sz w:val="22"/>
          <w:szCs w:val="22"/>
        </w:rPr>
      </w:pPr>
      <w:r>
        <w:rPr>
          <w:rFonts w:ascii="Calibri" w:eastAsia="Calibri" w:hAnsi="Calibri"/>
          <w:sz w:val="22"/>
          <w:szCs w:val="22"/>
        </w:rPr>
        <w:separator/>
      </w:r>
    </w:p>
  </w:footnote>
  <w:footnote xmlns:w15="http://schemas.microsoft.com/office/word/2012/wordml" w:type="continuationSeparator" w:id="0">
    <w:p w14:paraId="2791A87A" w14:textId="77777777" w:rsidR="009B36A2" w:rsidRDefault="009B36A2">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9A52D" w14:textId="77777777" w:rsidR="00FA78BD" w:rsidRDefault="00FA78BD">
    <w:pPr>
      <w:tabs>
        <w:tab w:val="center" w:pos="4819"/>
        <w:tab w:val="right" w:pos="9638"/>
      </w:tabs>
      <w:rPr>
        <w:rFonts w:ascii="Calibri" w:eastAsia="Calibri" w:hAnsi="Calibri"/>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9A52E" w14:textId="002A7908" w:rsidR="00FA78BD" w:rsidRDefault="00CF7578">
    <w:pPr>
      <w:tabs>
        <w:tab w:val="center" w:pos="4819"/>
        <w:tab w:val="right" w:pos="9638"/>
      </w:tabs>
      <w:jc w:val="center"/>
      <w:rPr>
        <w:sz w:val="22"/>
        <w:szCs w:val="22"/>
        <w:rFonts w:ascii="Calibri" w:eastAsia="Calibri" w:hAnsi="Calibri"/>
      </w:rPr>
    </w:pPr>
    <w:r>
      <w:rPr>
        <w:sz w:val="22"/>
        <w:szCs w:val="22"/>
        <w:rFonts w:eastAsia="Calibri"/>
      </w:rPr>
      <w:fldChar w:fldCharType="begin"/>
    </w:r>
    <w:r>
      <w:rPr>
        <w:sz w:val="22"/>
        <w:szCs w:val="22"/>
        <w:rFonts w:eastAsia="Calibri"/>
      </w:rPr>
      <w:instrText xml:space="preserve"> PAGE   \* MERGEFORMAT </w:instrText>
    </w:r>
    <w:r>
      <w:rPr>
        <w:sz w:val="22"/>
        <w:szCs w:val="22"/>
        <w:rFonts w:eastAsia="Calibri"/>
      </w:rPr>
      <w:fldChar w:fldCharType="separate"/>
    </w:r>
    <w:r w:rsidR="00402C49">
      <w:rPr>
        <w:sz w:val="22"/>
        <w:szCs w:val="22"/>
        <w:rFonts w:eastAsia="Calibri"/>
      </w:rPr>
      <w:t>2</w:t>
    </w:r>
    <w:r>
      <w:rPr>
        <w:sz w:val="22"/>
        <w:szCs w:val="22"/>
        <w:rFonts w:eastAsia="Calibri"/>
      </w:rP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709A52F" w14:textId="77777777" w:rsidR="00FA78BD" w:rsidRDefault="00FA78BD">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9A532" w14:textId="77777777" w:rsidR="00FA78BD" w:rsidRDefault="00FA78BD">
    <w:pPr>
      <w:tabs>
        <w:tab w:val="center" w:pos="4819"/>
        <w:tab w:val="right" w:pos="9638"/>
      </w:tabs>
      <w:rPr>
        <w:rFonts w:ascii="TimesNewRomanPSMT" w:eastAsia="Calibri" w:hAnsi="TimesNewRomanPSMT"/>
        <w:szCs w:val="22"/>
        <w:lan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drawingGridHorizontalSpacing w:val="12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73"/>
    <w:rsid w:val="00090DF0"/>
    <w:rsid w:val="00402C49"/>
    <w:rsid w:val="00430D1A"/>
    <w:rsid w:val="00987453"/>
    <w:rsid w:val="009B36A2"/>
    <w:rsid w:val="00C1015A"/>
    <w:rsid w:val="00CF7578"/>
    <w:rsid w:val="00E65D6F"/>
    <w:rsid w:val="00E92473"/>
    <w:rsid w:val="00F320B5"/>
    <w:rsid w:val="00FA78B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09A48D"/>
  <w15:docId w15:val="{33A9F289-2493-4D22-89BB-A8BC7F7A0FAD}"/>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sz w:val="24"/>
        <w:lang w:val="et-EE" w:eastAsia="en-GB" w:bidi="en-GB"/>
      </w:rPr>
    </w:rPrDefault>
    <w:pPrDefault/>
  </w:docDefaults>
  <w:latentStyles xmlns:w15="http://schemas.microsoft.com/office/word/2012/wordml"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styleId="PlaceholderText">
    <w:name w:val="Placeholder Text"/>
    <w:basedOn w:val="DefaultParagraphFont"/>
    <w:rsid w:val="00CF7578"/>
    <w:rPr>
      <w:color w:val="808080"/>
    </w:rPr>
  </w:style>
  <w:style xmlns:w15="http://schemas.microsoft.com/office/word/2012/wordml" w:type="paragraph" w:styleId="PlainText">
    <w:name w:val="Plain Text"/>
    <w:basedOn w:val="Normal"/>
    <w:link w:val="PlainTextChar"/>
    <w:uiPriority w:val="99"/>
    <w:unhideWhenUsed/>
    <w:rsid w:val="00402C49"/>
    <w:rPr>
      <w:rFonts w:ascii="Consolas" w:hAnsi="Consolas"/>
      <w:sz w:val="21"/>
      <w:szCs w:val="21"/>
      <w:lang w:val="et-EE"/>
    </w:rPr>
  </w:style>
  <w:style xmlns:w15="http://schemas.microsoft.com/office/word/2012/wordml" w:type="character" w:customStyle="1" w:styleId="PlainTextChar">
    <w:name w:val="Plain Text Char"/>
    <w:basedOn w:val="DefaultParagraphFont"/>
    <w:link w:val="PlainText"/>
    <w:uiPriority w:val="99"/>
    <w:rsid w:val="00402C49"/>
    <w:rPr>
      <w:rFonts w:ascii="Consolas" w:hAnsi="Consolas"/>
      <w:sz w:val="21"/>
      <w:szCs w:val="21"/>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8454">
      <w:bodyDiv w:val="1"/>
      <w:marLeft w:val="0"/>
      <w:marRight w:val="0"/>
      <w:marTop w:val="0"/>
      <w:marBottom w:val="0"/>
      <w:divBdr>
        <w:top w:val="none" w:sz="0" w:space="0" w:color="auto"/>
        <w:left w:val="none" w:sz="0" w:space="0" w:color="auto"/>
        <w:bottom w:val="none" w:sz="0" w:space="0" w:color="auto"/>
        <w:right w:val="none" w:sz="0" w:space="0" w:color="auto"/>
      </w:divBdr>
    </w:div>
    <w:div w:id="59061116">
      <w:bodyDiv w:val="1"/>
      <w:marLeft w:val="0"/>
      <w:marRight w:val="0"/>
      <w:marTop w:val="0"/>
      <w:marBottom w:val="0"/>
      <w:divBdr>
        <w:top w:val="none" w:sz="0" w:space="0" w:color="auto"/>
        <w:left w:val="none" w:sz="0" w:space="0" w:color="auto"/>
        <w:bottom w:val="none" w:sz="0" w:space="0" w:color="auto"/>
        <w:right w:val="none" w:sz="0" w:space="0" w:color="auto"/>
      </w:divBdr>
    </w:div>
    <w:div w:id="115174801">
      <w:bodyDiv w:val="1"/>
      <w:marLeft w:val="0"/>
      <w:marRight w:val="0"/>
      <w:marTop w:val="0"/>
      <w:marBottom w:val="0"/>
      <w:divBdr>
        <w:top w:val="none" w:sz="0" w:space="0" w:color="auto"/>
        <w:left w:val="none" w:sz="0" w:space="0" w:color="auto"/>
        <w:bottom w:val="none" w:sz="0" w:space="0" w:color="auto"/>
        <w:right w:val="none" w:sz="0" w:space="0" w:color="auto"/>
      </w:divBdr>
    </w:div>
    <w:div w:id="245311855">
      <w:bodyDiv w:val="1"/>
      <w:marLeft w:val="0"/>
      <w:marRight w:val="0"/>
      <w:marTop w:val="0"/>
      <w:marBottom w:val="0"/>
      <w:divBdr>
        <w:top w:val="none" w:sz="0" w:space="0" w:color="auto"/>
        <w:left w:val="none" w:sz="0" w:space="0" w:color="auto"/>
        <w:bottom w:val="none" w:sz="0" w:space="0" w:color="auto"/>
        <w:right w:val="none" w:sz="0" w:space="0" w:color="auto"/>
      </w:divBdr>
    </w:div>
    <w:div w:id="248007985">
      <w:bodyDiv w:val="1"/>
      <w:marLeft w:val="0"/>
      <w:marRight w:val="0"/>
      <w:marTop w:val="0"/>
      <w:marBottom w:val="0"/>
      <w:divBdr>
        <w:top w:val="none" w:sz="0" w:space="0" w:color="auto"/>
        <w:left w:val="none" w:sz="0" w:space="0" w:color="auto"/>
        <w:bottom w:val="none" w:sz="0" w:space="0" w:color="auto"/>
        <w:right w:val="none" w:sz="0" w:space="0" w:color="auto"/>
      </w:divBdr>
    </w:div>
    <w:div w:id="384529030">
      <w:bodyDiv w:val="1"/>
      <w:marLeft w:val="0"/>
      <w:marRight w:val="0"/>
      <w:marTop w:val="0"/>
      <w:marBottom w:val="0"/>
      <w:divBdr>
        <w:top w:val="none" w:sz="0" w:space="0" w:color="auto"/>
        <w:left w:val="none" w:sz="0" w:space="0" w:color="auto"/>
        <w:bottom w:val="none" w:sz="0" w:space="0" w:color="auto"/>
        <w:right w:val="none" w:sz="0" w:space="0" w:color="auto"/>
      </w:divBdr>
    </w:div>
    <w:div w:id="474569887">
      <w:bodyDiv w:val="1"/>
      <w:marLeft w:val="0"/>
      <w:marRight w:val="0"/>
      <w:marTop w:val="0"/>
      <w:marBottom w:val="0"/>
      <w:divBdr>
        <w:top w:val="none" w:sz="0" w:space="0" w:color="auto"/>
        <w:left w:val="none" w:sz="0" w:space="0" w:color="auto"/>
        <w:bottom w:val="none" w:sz="0" w:space="0" w:color="auto"/>
        <w:right w:val="none" w:sz="0" w:space="0" w:color="auto"/>
      </w:divBdr>
    </w:div>
    <w:div w:id="534512019">
      <w:bodyDiv w:val="1"/>
      <w:marLeft w:val="0"/>
      <w:marRight w:val="0"/>
      <w:marTop w:val="0"/>
      <w:marBottom w:val="0"/>
      <w:divBdr>
        <w:top w:val="none" w:sz="0" w:space="0" w:color="auto"/>
        <w:left w:val="none" w:sz="0" w:space="0" w:color="auto"/>
        <w:bottom w:val="none" w:sz="0" w:space="0" w:color="auto"/>
        <w:right w:val="none" w:sz="0" w:space="0" w:color="auto"/>
      </w:divBdr>
    </w:div>
    <w:div w:id="887423262">
      <w:bodyDiv w:val="1"/>
      <w:marLeft w:val="0"/>
      <w:marRight w:val="0"/>
      <w:marTop w:val="0"/>
      <w:marBottom w:val="0"/>
      <w:divBdr>
        <w:top w:val="none" w:sz="0" w:space="0" w:color="auto"/>
        <w:left w:val="none" w:sz="0" w:space="0" w:color="auto"/>
        <w:bottom w:val="none" w:sz="0" w:space="0" w:color="auto"/>
        <w:right w:val="none" w:sz="0" w:space="0" w:color="auto"/>
      </w:divBdr>
      <w:divsChild>
        <w:div w:id="1386296342">
          <w:marLeft w:val="0"/>
          <w:marRight w:val="0"/>
          <w:marTop w:val="0"/>
          <w:marBottom w:val="0"/>
          <w:divBdr>
            <w:top w:val="none" w:sz="0" w:space="0" w:color="auto"/>
            <w:left w:val="none" w:sz="0" w:space="0" w:color="auto"/>
            <w:bottom w:val="none" w:sz="0" w:space="0" w:color="auto"/>
            <w:right w:val="none" w:sz="0" w:space="0" w:color="auto"/>
          </w:divBdr>
          <w:divsChild>
            <w:div w:id="287246412">
              <w:marLeft w:val="0"/>
              <w:marRight w:val="0"/>
              <w:marTop w:val="0"/>
              <w:marBottom w:val="0"/>
              <w:divBdr>
                <w:top w:val="none" w:sz="0" w:space="0" w:color="auto"/>
                <w:left w:val="none" w:sz="0" w:space="0" w:color="auto"/>
                <w:bottom w:val="none" w:sz="0" w:space="0" w:color="auto"/>
                <w:right w:val="none" w:sz="0" w:space="0" w:color="auto"/>
              </w:divBdr>
              <w:divsChild>
                <w:div w:id="1602639645">
                  <w:marLeft w:val="0"/>
                  <w:marRight w:val="0"/>
                  <w:marTop w:val="0"/>
                  <w:marBottom w:val="0"/>
                  <w:divBdr>
                    <w:top w:val="none" w:sz="0" w:space="0" w:color="auto"/>
                    <w:left w:val="none" w:sz="0" w:space="0" w:color="auto"/>
                    <w:bottom w:val="none" w:sz="0" w:space="0" w:color="auto"/>
                    <w:right w:val="none" w:sz="0" w:space="0" w:color="auto"/>
                  </w:divBdr>
                  <w:divsChild>
                    <w:div w:id="15999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85541">
      <w:bodyDiv w:val="1"/>
      <w:marLeft w:val="0"/>
      <w:marRight w:val="0"/>
      <w:marTop w:val="0"/>
      <w:marBottom w:val="0"/>
      <w:divBdr>
        <w:top w:val="none" w:sz="0" w:space="0" w:color="auto"/>
        <w:left w:val="none" w:sz="0" w:space="0" w:color="auto"/>
        <w:bottom w:val="none" w:sz="0" w:space="0" w:color="auto"/>
        <w:right w:val="none" w:sz="0" w:space="0" w:color="auto"/>
      </w:divBdr>
    </w:div>
    <w:div w:id="984745909">
      <w:bodyDiv w:val="1"/>
      <w:marLeft w:val="0"/>
      <w:marRight w:val="0"/>
      <w:marTop w:val="0"/>
      <w:marBottom w:val="0"/>
      <w:divBdr>
        <w:top w:val="none" w:sz="0" w:space="0" w:color="auto"/>
        <w:left w:val="none" w:sz="0" w:space="0" w:color="auto"/>
        <w:bottom w:val="none" w:sz="0" w:space="0" w:color="auto"/>
        <w:right w:val="none" w:sz="0" w:space="0" w:color="auto"/>
      </w:divBdr>
    </w:div>
    <w:div w:id="998969993">
      <w:bodyDiv w:val="1"/>
      <w:marLeft w:val="0"/>
      <w:marRight w:val="0"/>
      <w:marTop w:val="0"/>
      <w:marBottom w:val="0"/>
      <w:divBdr>
        <w:top w:val="none" w:sz="0" w:space="0" w:color="auto"/>
        <w:left w:val="none" w:sz="0" w:space="0" w:color="auto"/>
        <w:bottom w:val="none" w:sz="0" w:space="0" w:color="auto"/>
        <w:right w:val="none" w:sz="0" w:space="0" w:color="auto"/>
      </w:divBdr>
      <w:divsChild>
        <w:div w:id="198710688">
          <w:marLeft w:val="0"/>
          <w:marRight w:val="0"/>
          <w:marTop w:val="0"/>
          <w:marBottom w:val="0"/>
          <w:divBdr>
            <w:top w:val="none" w:sz="0" w:space="0" w:color="auto"/>
            <w:left w:val="none" w:sz="0" w:space="0" w:color="auto"/>
            <w:bottom w:val="none" w:sz="0" w:space="0" w:color="auto"/>
            <w:right w:val="none" w:sz="0" w:space="0" w:color="auto"/>
          </w:divBdr>
          <w:divsChild>
            <w:div w:id="1731266124">
              <w:marLeft w:val="0"/>
              <w:marRight w:val="0"/>
              <w:marTop w:val="0"/>
              <w:marBottom w:val="0"/>
              <w:divBdr>
                <w:top w:val="none" w:sz="0" w:space="0" w:color="auto"/>
                <w:left w:val="none" w:sz="0" w:space="0" w:color="auto"/>
                <w:bottom w:val="none" w:sz="0" w:space="0" w:color="auto"/>
                <w:right w:val="none" w:sz="0" w:space="0" w:color="auto"/>
              </w:divBdr>
              <w:divsChild>
                <w:div w:id="660545561">
                  <w:marLeft w:val="0"/>
                  <w:marRight w:val="0"/>
                  <w:marTop w:val="0"/>
                  <w:marBottom w:val="0"/>
                  <w:divBdr>
                    <w:top w:val="none" w:sz="0" w:space="0" w:color="auto"/>
                    <w:left w:val="none" w:sz="0" w:space="0" w:color="auto"/>
                    <w:bottom w:val="none" w:sz="0" w:space="0" w:color="auto"/>
                    <w:right w:val="none" w:sz="0" w:space="0" w:color="auto"/>
                  </w:divBdr>
                  <w:divsChild>
                    <w:div w:id="8435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63512">
      <w:bodyDiv w:val="1"/>
      <w:marLeft w:val="0"/>
      <w:marRight w:val="0"/>
      <w:marTop w:val="0"/>
      <w:marBottom w:val="0"/>
      <w:divBdr>
        <w:top w:val="none" w:sz="0" w:space="0" w:color="auto"/>
        <w:left w:val="none" w:sz="0" w:space="0" w:color="auto"/>
        <w:bottom w:val="none" w:sz="0" w:space="0" w:color="auto"/>
        <w:right w:val="none" w:sz="0" w:space="0" w:color="auto"/>
      </w:divBdr>
    </w:div>
    <w:div w:id="1147358094">
      <w:bodyDiv w:val="1"/>
      <w:marLeft w:val="0"/>
      <w:marRight w:val="0"/>
      <w:marTop w:val="0"/>
      <w:marBottom w:val="0"/>
      <w:divBdr>
        <w:top w:val="none" w:sz="0" w:space="0" w:color="auto"/>
        <w:left w:val="none" w:sz="0" w:space="0" w:color="auto"/>
        <w:bottom w:val="none" w:sz="0" w:space="0" w:color="auto"/>
        <w:right w:val="none" w:sz="0" w:space="0" w:color="auto"/>
      </w:divBdr>
      <w:divsChild>
        <w:div w:id="1408184655">
          <w:marLeft w:val="0"/>
          <w:marRight w:val="0"/>
          <w:marTop w:val="0"/>
          <w:marBottom w:val="0"/>
          <w:divBdr>
            <w:top w:val="none" w:sz="0" w:space="0" w:color="auto"/>
            <w:left w:val="none" w:sz="0" w:space="0" w:color="auto"/>
            <w:bottom w:val="none" w:sz="0" w:space="0" w:color="auto"/>
            <w:right w:val="none" w:sz="0" w:space="0" w:color="auto"/>
          </w:divBdr>
        </w:div>
      </w:divsChild>
    </w:div>
    <w:div w:id="1246063660">
      <w:bodyDiv w:val="1"/>
      <w:marLeft w:val="0"/>
      <w:marRight w:val="0"/>
      <w:marTop w:val="0"/>
      <w:marBottom w:val="0"/>
      <w:divBdr>
        <w:top w:val="none" w:sz="0" w:space="0" w:color="auto"/>
        <w:left w:val="none" w:sz="0" w:space="0" w:color="auto"/>
        <w:bottom w:val="none" w:sz="0" w:space="0" w:color="auto"/>
        <w:right w:val="none" w:sz="0" w:space="0" w:color="auto"/>
      </w:divBdr>
    </w:div>
    <w:div w:id="1403797455">
      <w:bodyDiv w:val="1"/>
      <w:marLeft w:val="0"/>
      <w:marRight w:val="0"/>
      <w:marTop w:val="0"/>
      <w:marBottom w:val="0"/>
      <w:divBdr>
        <w:top w:val="none" w:sz="0" w:space="0" w:color="auto"/>
        <w:left w:val="none" w:sz="0" w:space="0" w:color="auto"/>
        <w:bottom w:val="none" w:sz="0" w:space="0" w:color="auto"/>
        <w:right w:val="none" w:sz="0" w:space="0" w:color="auto"/>
      </w:divBdr>
    </w:div>
    <w:div w:id="1533958001">
      <w:bodyDiv w:val="1"/>
      <w:marLeft w:val="0"/>
      <w:marRight w:val="0"/>
      <w:marTop w:val="0"/>
      <w:marBottom w:val="0"/>
      <w:divBdr>
        <w:top w:val="none" w:sz="0" w:space="0" w:color="auto"/>
        <w:left w:val="none" w:sz="0" w:space="0" w:color="auto"/>
        <w:bottom w:val="none" w:sz="0" w:space="0" w:color="auto"/>
        <w:right w:val="none" w:sz="0" w:space="0" w:color="auto"/>
      </w:divBdr>
    </w:div>
    <w:div w:id="1656884070">
      <w:bodyDiv w:val="1"/>
      <w:marLeft w:val="0"/>
      <w:marRight w:val="0"/>
      <w:marTop w:val="0"/>
      <w:marBottom w:val="0"/>
      <w:divBdr>
        <w:top w:val="none" w:sz="0" w:space="0" w:color="auto"/>
        <w:left w:val="none" w:sz="0" w:space="0" w:color="auto"/>
        <w:bottom w:val="none" w:sz="0" w:space="0" w:color="auto"/>
        <w:right w:val="none" w:sz="0" w:space="0" w:color="auto"/>
      </w:divBdr>
    </w:div>
    <w:div w:id="1670907839">
      <w:bodyDiv w:val="1"/>
      <w:marLeft w:val="0"/>
      <w:marRight w:val="0"/>
      <w:marTop w:val="0"/>
      <w:marBottom w:val="0"/>
      <w:divBdr>
        <w:top w:val="none" w:sz="0" w:space="0" w:color="auto"/>
        <w:left w:val="none" w:sz="0" w:space="0" w:color="auto"/>
        <w:bottom w:val="none" w:sz="0" w:space="0" w:color="auto"/>
        <w:right w:val="none" w:sz="0" w:space="0" w:color="auto"/>
      </w:divBdr>
    </w:div>
    <w:div w:id="1802264861">
      <w:bodyDiv w:val="1"/>
      <w:marLeft w:val="0"/>
      <w:marRight w:val="0"/>
      <w:marTop w:val="0"/>
      <w:marBottom w:val="0"/>
      <w:divBdr>
        <w:top w:val="none" w:sz="0" w:space="0" w:color="auto"/>
        <w:left w:val="none" w:sz="0" w:space="0" w:color="auto"/>
        <w:bottom w:val="none" w:sz="0" w:space="0" w:color="auto"/>
        <w:right w:val="none" w:sz="0" w:space="0" w:color="auto"/>
      </w:divBdr>
    </w:div>
    <w:div w:id="1807774966">
      <w:bodyDiv w:val="1"/>
      <w:marLeft w:val="0"/>
      <w:marRight w:val="0"/>
      <w:marTop w:val="0"/>
      <w:marBottom w:val="0"/>
      <w:divBdr>
        <w:top w:val="none" w:sz="0" w:space="0" w:color="auto"/>
        <w:left w:val="none" w:sz="0" w:space="0" w:color="auto"/>
        <w:bottom w:val="none" w:sz="0" w:space="0" w:color="auto"/>
        <w:right w:val="none" w:sz="0" w:space="0" w:color="auto"/>
      </w:divBdr>
    </w:div>
    <w:div w:id="1839496547">
      <w:marLeft w:val="225"/>
      <w:marRight w:val="225"/>
      <w:marTop w:val="0"/>
      <w:marBottom w:val="0"/>
      <w:divBdr>
        <w:top w:val="none" w:sz="0" w:space="0" w:color="auto"/>
        <w:left w:val="none" w:sz="0" w:space="0" w:color="auto"/>
        <w:bottom w:val="none" w:sz="0" w:space="0" w:color="auto"/>
        <w:right w:val="none" w:sz="0" w:space="0" w:color="auto"/>
      </w:divBdr>
      <w:divsChild>
        <w:div w:id="1839496557">
          <w:marLeft w:val="0"/>
          <w:marRight w:val="0"/>
          <w:marTop w:val="0"/>
          <w:marBottom w:val="0"/>
          <w:divBdr>
            <w:top w:val="none" w:sz="0" w:space="0" w:color="auto"/>
            <w:left w:val="none" w:sz="0" w:space="0" w:color="auto"/>
            <w:bottom w:val="none" w:sz="0" w:space="0" w:color="auto"/>
            <w:right w:val="none" w:sz="0" w:space="0" w:color="auto"/>
          </w:divBdr>
        </w:div>
      </w:divsChild>
    </w:div>
    <w:div w:id="1839496548">
      <w:marLeft w:val="0"/>
      <w:marRight w:val="0"/>
      <w:marTop w:val="0"/>
      <w:marBottom w:val="0"/>
      <w:divBdr>
        <w:top w:val="none" w:sz="0" w:space="0" w:color="auto"/>
        <w:left w:val="none" w:sz="0" w:space="0" w:color="auto"/>
        <w:bottom w:val="none" w:sz="0" w:space="0" w:color="auto"/>
        <w:right w:val="none" w:sz="0" w:space="0" w:color="auto"/>
      </w:divBdr>
    </w:div>
    <w:div w:id="1839496550">
      <w:marLeft w:val="0"/>
      <w:marRight w:val="0"/>
      <w:marTop w:val="0"/>
      <w:marBottom w:val="0"/>
      <w:divBdr>
        <w:top w:val="none" w:sz="0" w:space="0" w:color="auto"/>
        <w:left w:val="none" w:sz="0" w:space="0" w:color="auto"/>
        <w:bottom w:val="none" w:sz="0" w:space="0" w:color="auto"/>
        <w:right w:val="none" w:sz="0" w:space="0" w:color="auto"/>
      </w:divBdr>
    </w:div>
    <w:div w:id="1839496553">
      <w:marLeft w:val="225"/>
      <w:marRight w:val="225"/>
      <w:marTop w:val="0"/>
      <w:marBottom w:val="0"/>
      <w:divBdr>
        <w:top w:val="none" w:sz="0" w:space="0" w:color="auto"/>
        <w:left w:val="none" w:sz="0" w:space="0" w:color="auto"/>
        <w:bottom w:val="none" w:sz="0" w:space="0" w:color="auto"/>
        <w:right w:val="none" w:sz="0" w:space="0" w:color="auto"/>
      </w:divBdr>
      <w:divsChild>
        <w:div w:id="1839496566">
          <w:marLeft w:val="0"/>
          <w:marRight w:val="0"/>
          <w:marTop w:val="0"/>
          <w:marBottom w:val="0"/>
          <w:divBdr>
            <w:top w:val="none" w:sz="0" w:space="0" w:color="auto"/>
            <w:left w:val="none" w:sz="0" w:space="0" w:color="auto"/>
            <w:bottom w:val="none" w:sz="0" w:space="0" w:color="auto"/>
            <w:right w:val="none" w:sz="0" w:space="0" w:color="auto"/>
          </w:divBdr>
        </w:div>
      </w:divsChild>
    </w:div>
    <w:div w:id="1839496554">
      <w:marLeft w:val="225"/>
      <w:marRight w:val="225"/>
      <w:marTop w:val="0"/>
      <w:marBottom w:val="0"/>
      <w:divBdr>
        <w:top w:val="none" w:sz="0" w:space="0" w:color="auto"/>
        <w:left w:val="none" w:sz="0" w:space="0" w:color="auto"/>
        <w:bottom w:val="none" w:sz="0" w:space="0" w:color="auto"/>
        <w:right w:val="none" w:sz="0" w:space="0" w:color="auto"/>
      </w:divBdr>
      <w:divsChild>
        <w:div w:id="1839496565">
          <w:marLeft w:val="0"/>
          <w:marRight w:val="0"/>
          <w:marTop w:val="0"/>
          <w:marBottom w:val="0"/>
          <w:divBdr>
            <w:top w:val="none" w:sz="0" w:space="0" w:color="auto"/>
            <w:left w:val="none" w:sz="0" w:space="0" w:color="auto"/>
            <w:bottom w:val="none" w:sz="0" w:space="0" w:color="auto"/>
            <w:right w:val="none" w:sz="0" w:space="0" w:color="auto"/>
          </w:divBdr>
        </w:div>
      </w:divsChild>
    </w:div>
    <w:div w:id="1839496555">
      <w:marLeft w:val="0"/>
      <w:marRight w:val="0"/>
      <w:marTop w:val="0"/>
      <w:marBottom w:val="0"/>
      <w:divBdr>
        <w:top w:val="none" w:sz="0" w:space="0" w:color="auto"/>
        <w:left w:val="none" w:sz="0" w:space="0" w:color="auto"/>
        <w:bottom w:val="none" w:sz="0" w:space="0" w:color="auto"/>
        <w:right w:val="none" w:sz="0" w:space="0" w:color="auto"/>
      </w:divBdr>
    </w:div>
    <w:div w:id="1839496556">
      <w:marLeft w:val="225"/>
      <w:marRight w:val="225"/>
      <w:marTop w:val="0"/>
      <w:marBottom w:val="0"/>
      <w:divBdr>
        <w:top w:val="none" w:sz="0" w:space="0" w:color="auto"/>
        <w:left w:val="none" w:sz="0" w:space="0" w:color="auto"/>
        <w:bottom w:val="none" w:sz="0" w:space="0" w:color="auto"/>
        <w:right w:val="none" w:sz="0" w:space="0" w:color="auto"/>
      </w:divBdr>
      <w:divsChild>
        <w:div w:id="1839496552">
          <w:marLeft w:val="0"/>
          <w:marRight w:val="0"/>
          <w:marTop w:val="0"/>
          <w:marBottom w:val="0"/>
          <w:divBdr>
            <w:top w:val="none" w:sz="0" w:space="0" w:color="auto"/>
            <w:left w:val="none" w:sz="0" w:space="0" w:color="auto"/>
            <w:bottom w:val="none" w:sz="0" w:space="0" w:color="auto"/>
            <w:right w:val="none" w:sz="0" w:space="0" w:color="auto"/>
          </w:divBdr>
        </w:div>
      </w:divsChild>
    </w:div>
    <w:div w:id="1839496558">
      <w:marLeft w:val="225"/>
      <w:marRight w:val="225"/>
      <w:marTop w:val="0"/>
      <w:marBottom w:val="0"/>
      <w:divBdr>
        <w:top w:val="none" w:sz="0" w:space="0" w:color="auto"/>
        <w:left w:val="none" w:sz="0" w:space="0" w:color="auto"/>
        <w:bottom w:val="none" w:sz="0" w:space="0" w:color="auto"/>
        <w:right w:val="none" w:sz="0" w:space="0" w:color="auto"/>
      </w:divBdr>
      <w:divsChild>
        <w:div w:id="1839496563">
          <w:marLeft w:val="0"/>
          <w:marRight w:val="0"/>
          <w:marTop w:val="0"/>
          <w:marBottom w:val="0"/>
          <w:divBdr>
            <w:top w:val="none" w:sz="0" w:space="0" w:color="auto"/>
            <w:left w:val="none" w:sz="0" w:space="0" w:color="auto"/>
            <w:bottom w:val="none" w:sz="0" w:space="0" w:color="auto"/>
            <w:right w:val="none" w:sz="0" w:space="0" w:color="auto"/>
          </w:divBdr>
        </w:div>
      </w:divsChild>
    </w:div>
    <w:div w:id="1839496559">
      <w:marLeft w:val="225"/>
      <w:marRight w:val="225"/>
      <w:marTop w:val="0"/>
      <w:marBottom w:val="0"/>
      <w:divBdr>
        <w:top w:val="none" w:sz="0" w:space="0" w:color="auto"/>
        <w:left w:val="none" w:sz="0" w:space="0" w:color="auto"/>
        <w:bottom w:val="none" w:sz="0" w:space="0" w:color="auto"/>
        <w:right w:val="none" w:sz="0" w:space="0" w:color="auto"/>
      </w:divBdr>
      <w:divsChild>
        <w:div w:id="1839496549">
          <w:marLeft w:val="0"/>
          <w:marRight w:val="0"/>
          <w:marTop w:val="0"/>
          <w:marBottom w:val="0"/>
          <w:divBdr>
            <w:top w:val="none" w:sz="0" w:space="0" w:color="auto"/>
            <w:left w:val="none" w:sz="0" w:space="0" w:color="auto"/>
            <w:bottom w:val="none" w:sz="0" w:space="0" w:color="auto"/>
            <w:right w:val="none" w:sz="0" w:space="0" w:color="auto"/>
          </w:divBdr>
        </w:div>
      </w:divsChild>
    </w:div>
    <w:div w:id="1839496560">
      <w:marLeft w:val="0"/>
      <w:marRight w:val="0"/>
      <w:marTop w:val="0"/>
      <w:marBottom w:val="0"/>
      <w:divBdr>
        <w:top w:val="none" w:sz="0" w:space="0" w:color="auto"/>
        <w:left w:val="none" w:sz="0" w:space="0" w:color="auto"/>
        <w:bottom w:val="none" w:sz="0" w:space="0" w:color="auto"/>
        <w:right w:val="none" w:sz="0" w:space="0" w:color="auto"/>
      </w:divBdr>
    </w:div>
    <w:div w:id="1839496561">
      <w:marLeft w:val="0"/>
      <w:marRight w:val="0"/>
      <w:marTop w:val="0"/>
      <w:marBottom w:val="0"/>
      <w:divBdr>
        <w:top w:val="none" w:sz="0" w:space="0" w:color="auto"/>
        <w:left w:val="none" w:sz="0" w:space="0" w:color="auto"/>
        <w:bottom w:val="none" w:sz="0" w:space="0" w:color="auto"/>
        <w:right w:val="none" w:sz="0" w:space="0" w:color="auto"/>
      </w:divBdr>
    </w:div>
    <w:div w:id="1839496562">
      <w:marLeft w:val="0"/>
      <w:marRight w:val="0"/>
      <w:marTop w:val="0"/>
      <w:marBottom w:val="0"/>
      <w:divBdr>
        <w:top w:val="none" w:sz="0" w:space="0" w:color="auto"/>
        <w:left w:val="none" w:sz="0" w:space="0" w:color="auto"/>
        <w:bottom w:val="none" w:sz="0" w:space="0" w:color="auto"/>
        <w:right w:val="none" w:sz="0" w:space="0" w:color="auto"/>
      </w:divBdr>
    </w:div>
    <w:div w:id="1839496564">
      <w:marLeft w:val="225"/>
      <w:marRight w:val="225"/>
      <w:marTop w:val="0"/>
      <w:marBottom w:val="0"/>
      <w:divBdr>
        <w:top w:val="none" w:sz="0" w:space="0" w:color="auto"/>
        <w:left w:val="none" w:sz="0" w:space="0" w:color="auto"/>
        <w:bottom w:val="none" w:sz="0" w:space="0" w:color="auto"/>
        <w:right w:val="none" w:sz="0" w:space="0" w:color="auto"/>
      </w:divBdr>
      <w:divsChild>
        <w:div w:id="1839496551">
          <w:marLeft w:val="0"/>
          <w:marRight w:val="0"/>
          <w:marTop w:val="0"/>
          <w:marBottom w:val="0"/>
          <w:divBdr>
            <w:top w:val="none" w:sz="0" w:space="0" w:color="auto"/>
            <w:left w:val="none" w:sz="0" w:space="0" w:color="auto"/>
            <w:bottom w:val="none" w:sz="0" w:space="0" w:color="auto"/>
            <w:right w:val="none" w:sz="0" w:space="0" w:color="auto"/>
          </w:divBdr>
        </w:div>
      </w:divsChild>
    </w:div>
    <w:div w:id="1839496567">
      <w:marLeft w:val="225"/>
      <w:marRight w:val="225"/>
      <w:marTop w:val="0"/>
      <w:marBottom w:val="0"/>
      <w:divBdr>
        <w:top w:val="none" w:sz="0" w:space="0" w:color="auto"/>
        <w:left w:val="none" w:sz="0" w:space="0" w:color="auto"/>
        <w:bottom w:val="none" w:sz="0" w:space="0" w:color="auto"/>
        <w:right w:val="none" w:sz="0" w:space="0" w:color="auto"/>
      </w:divBdr>
      <w:divsChild>
        <w:div w:id="1839496570">
          <w:marLeft w:val="0"/>
          <w:marRight w:val="0"/>
          <w:marTop w:val="0"/>
          <w:marBottom w:val="0"/>
          <w:divBdr>
            <w:top w:val="none" w:sz="0" w:space="0" w:color="auto"/>
            <w:left w:val="none" w:sz="0" w:space="0" w:color="auto"/>
            <w:bottom w:val="none" w:sz="0" w:space="0" w:color="auto"/>
            <w:right w:val="none" w:sz="0" w:space="0" w:color="auto"/>
          </w:divBdr>
        </w:div>
      </w:divsChild>
    </w:div>
    <w:div w:id="1839496568">
      <w:marLeft w:val="225"/>
      <w:marRight w:val="225"/>
      <w:marTop w:val="0"/>
      <w:marBottom w:val="0"/>
      <w:divBdr>
        <w:top w:val="none" w:sz="0" w:space="0" w:color="auto"/>
        <w:left w:val="none" w:sz="0" w:space="0" w:color="auto"/>
        <w:bottom w:val="none" w:sz="0" w:space="0" w:color="auto"/>
        <w:right w:val="none" w:sz="0" w:space="0" w:color="auto"/>
      </w:divBdr>
      <w:divsChild>
        <w:div w:id="1839496546">
          <w:marLeft w:val="0"/>
          <w:marRight w:val="0"/>
          <w:marTop w:val="0"/>
          <w:marBottom w:val="0"/>
          <w:divBdr>
            <w:top w:val="none" w:sz="0" w:space="0" w:color="auto"/>
            <w:left w:val="none" w:sz="0" w:space="0" w:color="auto"/>
            <w:bottom w:val="none" w:sz="0" w:space="0" w:color="auto"/>
            <w:right w:val="none" w:sz="0" w:space="0" w:color="auto"/>
          </w:divBdr>
        </w:div>
      </w:divsChild>
    </w:div>
    <w:div w:id="1839496569">
      <w:marLeft w:val="225"/>
      <w:marRight w:val="225"/>
      <w:marTop w:val="0"/>
      <w:marBottom w:val="0"/>
      <w:divBdr>
        <w:top w:val="none" w:sz="0" w:space="0" w:color="auto"/>
        <w:left w:val="none" w:sz="0" w:space="0" w:color="auto"/>
        <w:bottom w:val="none" w:sz="0" w:space="0" w:color="auto"/>
        <w:right w:val="none" w:sz="0" w:space="0" w:color="auto"/>
      </w:divBdr>
      <w:divsChild>
        <w:div w:id="1839496571">
          <w:marLeft w:val="0"/>
          <w:marRight w:val="0"/>
          <w:marTop w:val="0"/>
          <w:marBottom w:val="0"/>
          <w:divBdr>
            <w:top w:val="none" w:sz="0" w:space="0" w:color="auto"/>
            <w:left w:val="none" w:sz="0" w:space="0" w:color="auto"/>
            <w:bottom w:val="none" w:sz="0" w:space="0" w:color="auto"/>
            <w:right w:val="none" w:sz="0" w:space="0" w:color="auto"/>
          </w:divBdr>
        </w:div>
      </w:divsChild>
    </w:div>
    <w:div w:id="1914851353">
      <w:bodyDiv w:val="1"/>
      <w:marLeft w:val="0"/>
      <w:marRight w:val="0"/>
      <w:marTop w:val="0"/>
      <w:marBottom w:val="0"/>
      <w:divBdr>
        <w:top w:val="none" w:sz="0" w:space="0" w:color="auto"/>
        <w:left w:val="none" w:sz="0" w:space="0" w:color="auto"/>
        <w:bottom w:val="none" w:sz="0" w:space="0" w:color="auto"/>
        <w:right w:val="none" w:sz="0" w:space="0" w:color="auto"/>
      </w:divBdr>
    </w:div>
    <w:div w:id="1915973271">
      <w:bodyDiv w:val="1"/>
      <w:marLeft w:val="0"/>
      <w:marRight w:val="0"/>
      <w:marTop w:val="0"/>
      <w:marBottom w:val="0"/>
      <w:divBdr>
        <w:top w:val="none" w:sz="0" w:space="0" w:color="auto"/>
        <w:left w:val="none" w:sz="0" w:space="0" w:color="auto"/>
        <w:bottom w:val="none" w:sz="0" w:space="0" w:color="auto"/>
        <w:right w:val="none" w:sz="0" w:space="0" w:color="auto"/>
      </w:divBdr>
    </w:div>
    <w:div w:id="206729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2940A-8298-4722-8F93-A68BE657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726</Words>
  <Characters>3993</Characters>
  <Application>Microsoft Office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5</vt:lpstr>
    </vt:vector>
  </TitlesOfParts>
  <Company>HP</Company>
  <LinksUpToDate>false</LinksUpToDate>
  <CharactersWithSpaces>4704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Danguolė Sužiedėlytė</dc:creator>
  <cp:lastModifiedBy>Tordai, Vera</cp:lastModifiedBy>
  <cp:revision>4</cp:revision>
  <cp:lastPrinted>2018-09-25T05:25:00Z</cp:lastPrinted>
  <dcterms:created xsi:type="dcterms:W3CDTF">2018-12-05T11:30:00Z</dcterms:created>
  <dcterms:modified xsi:type="dcterms:W3CDTF">2019-04-30T07:59:00Z</dcterms:modified>
</cp:coreProperties>
</file>