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D5247" w14:textId="77777777" w:rsidR="004F7E45" w:rsidRPr="004F7E45" w:rsidRDefault="004F7E45" w:rsidP="004F7E45">
      <w:pPr>
        <w:spacing w:before="100" w:beforeAutospacing="1" w:after="100" w:afterAutospacing="1" w:line="240" w:lineRule="auto"/>
        <w:outlineLvl w:val="1"/>
        <w:rPr>
          <w:b/>
          <w:bCs/>
          <w:sz w:val="36"/>
          <w:szCs w:val="36"/>
          <w:rFonts w:ascii="Times New Roman" w:eastAsia="Times New Roman" w:hAnsi="Times New Roman" w:cs="Times New Roman"/>
        </w:rPr>
      </w:pPr>
      <w:r>
        <w:rPr>
          <w:b/>
          <w:sz w:val="36"/>
          <w:rFonts w:ascii="Times New Roman" w:hAnsi="Times New Roman"/>
        </w:rPr>
        <w:t xml:space="preserve">2020 m. gruodžio 29 d. Dekretas Nr. 2020-1757 dėl elektros ir elektroninės įrangos taisomumo indekso</w:t>
      </w:r>
    </w:p>
    <w:p w14:paraId="122A44DD" w14:textId="77777777" w:rsidR="004F7E45" w:rsidRPr="004F7E45" w:rsidRDefault="004F7E45" w:rsidP="004F7E45">
      <w:pPr>
        <w:spacing w:before="100" w:beforeAutospacing="1" w:after="100" w:afterAutospacing="1" w:line="240" w:lineRule="auto"/>
        <w:outlineLvl w:val="3"/>
        <w:rPr>
          <w:b/>
          <w:bCs/>
          <w:sz w:val="24"/>
          <w:szCs w:val="24"/>
          <w:rFonts w:ascii="Times New Roman" w:eastAsia="Times New Roman" w:hAnsi="Times New Roman" w:cs="Times New Roman"/>
        </w:rPr>
      </w:pPr>
      <w:r>
        <w:rPr>
          <w:b/>
          <w:sz w:val="24"/>
          <w:rFonts w:ascii="Times New Roman" w:hAnsi="Times New Roman"/>
        </w:rPr>
        <w:t xml:space="preserve">Pradinė versija</w:t>
      </w:r>
      <w:r>
        <w:rPr>
          <w:b/>
          <w:sz w:val="24"/>
          <w:rFonts w:ascii="Times New Roman" w:hAnsi="Times New Roman"/>
        </w:rPr>
        <w:t xml:space="preserve"> </w:t>
      </w:r>
    </w:p>
    <w:p w14:paraId="7AA0884E"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Susiję subjektai</w:t>
      </w:r>
      <w:r>
        <w:rPr>
          <w:sz w:val="24"/>
          <w:rFonts w:ascii="Times New Roman" w:hAnsi="Times New Roman"/>
        </w:rPr>
        <w:t xml:space="preserve">: elektros ir elektroninės įrangos gamintojai, importuotojai, platintojai ir kiti tiekėjai, įrangos pardavėjai ir asmenys, parduodantys ją per interneto svetainę, platformą ar kitu platinimo būdu internetu, užsiimdami komercine veikla Prancūzijoje.</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Objektas: taisomumo indekso, apibrėžto Aplinkos kodekso L541-9-2 straipsnyje, įgyvendinimo taisyklės.</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Įsigaliojimas:</w:t>
      </w:r>
      <w:r>
        <w:rPr>
          <w:sz w:val="24"/>
          <w:rFonts w:ascii="Times New Roman" w:hAnsi="Times New Roman"/>
        </w:rPr>
        <w:t xml:space="preserve"> dokumentas įsigalioja 2021 m. sausio 1 d.</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Santrauka: šiuo dekretu nustatoma Aplinkosaugos kodekso L. 541-9-2 straipsnio, kuriame numatyta nustatyti taisomumo indeksą tam tikrų kategorijų elektros ir elektroninei įrangai, įgyvendinimo tvarka.</w:t>
      </w:r>
      <w:r>
        <w:rPr>
          <w:sz w:val="24"/>
          <w:rFonts w:ascii="Times New Roman" w:hAnsi="Times New Roman"/>
        </w:rPr>
        <w:t xml:space="preserve"> </w:t>
      </w:r>
      <w:r>
        <w:rPr>
          <w:sz w:val="24"/>
          <w:rFonts w:ascii="Times New Roman" w:hAnsi="Times New Roman"/>
        </w:rPr>
        <w:t xml:space="preserve">Jame visų pirma nurodomi apskaičiavimo, naudojamo šiam indeksui nustatyti, kriterijai ir parametrai, taip pat bendroji įsipareigojimų, susijusių su jo paskelbimu ir rodymu, sistema.</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Nuorodos:</w:t>
      </w:r>
      <w:r>
        <w:rPr>
          <w:sz w:val="24"/>
          <w:rFonts w:ascii="Times New Roman" w:hAnsi="Times New Roman"/>
        </w:rPr>
        <w:t xml:space="preserve"> šį dekretą galima gauti „Légifrance“ interneto svetainėje (</w:t>
      </w:r>
      <w:r>
        <w:rPr>
          <w:sz w:val="24"/>
          <w:rFonts w:ascii="Times New Roman" w:hAnsi="Times New Roman"/>
        </w:rPr>
        <w:t xml:space="preserve">http://www.legifrance.gouv.fr</w:t>
      </w:r>
      <w:r>
        <w:rPr>
          <w:sz w:val="24"/>
          <w:rFonts w:ascii="Times New Roman" w:hAnsi="Times New Roman"/>
        </w:rPr>
        <w:t xml:space="preserve">).]</w:t>
      </w:r>
      <w:r>
        <w:rPr>
          <w:sz w:val="24"/>
          <w:rFonts w:ascii="Times New Roman" w:hAnsi="Times New Roman"/>
        </w:rPr>
        <w:t xml:space="preserve"> </w:t>
      </w:r>
    </w:p>
    <w:p w14:paraId="09C3F7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Ministras Pirmininkas,</w:t>
      </w:r>
    </w:p>
    <w:p w14:paraId="40611F90"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remdamasis ekologinės pertvarkos ministrės ir ekonomikos, finansų ir ekonomikos atkūrimo ministro ataskaita,</w:t>
      </w:r>
    </w:p>
    <w:p w14:paraId="1A81B9F1"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atsižvelgdamas į 2008 m. lapkričio 19 d. Europos Parlamento ir Tarybos direktyvą 2008/98/EB dėl atliekų ir panaikinančią tam tikras direktyvas su paskutiniais pakeitimais, padarytais 2018 m. gegužės 30 d. Direktyva (ES) 2018/851,</w:t>
      </w:r>
    </w:p>
    <w:p w14:paraId="581D6C66"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atsižvelgdamas į 2015 m. rugsėjo 9 d. Europos Parlamento ir Tarybos direktyvą (ES) 2015/1535, kuria nustatoma informacijos apie techninius reglamentus ir informacinės visuomenės paslaugų taisykles teikimo tvarka, bei pranešimą, išsiųstą Europos Komisijai 2020 m. liepos 21 d.,</w:t>
      </w:r>
    </w:p>
    <w:p w14:paraId="546BA7DD"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atsižvelgdamas į Aplinkosaugos kodeksą, ypač į jo L. 541-9-2 straipsnį su pakeitimais, padarytais 2020 m. vasario 10 d. Įstatymo Nr. 2020-105 dėl kovos su švaistymu ir žiedinės ekonomikos 16 straipsnį,</w:t>
      </w:r>
    </w:p>
    <w:p w14:paraId="09557C55"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atsižvelgdamas į Įstatymą Nr. 2020-105 dėl kovos su atliekomis ir žiedinės ekonomikos, ypač į jo 16, 29 ir 130 straipsnius,</w:t>
      </w:r>
    </w:p>
    <w:p w14:paraId="48736A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atsižvelgdamas į pastabas, pateiktas per viešas konsultacijas, vykusias nuo 2020 m. liepos 21 d. iki 2020 m. rugpjūčio 17 d. pagal Aplinkosaugos kodekso L. 123-19-1 straipsnį,</w:t>
      </w:r>
    </w:p>
    <w:p w14:paraId="514A1D37"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Valstybės tarybai (viešųjų darbų skyriui) susipažinus,</w:t>
      </w:r>
    </w:p>
    <w:p w14:paraId="7B9A171C" w14:textId="529FA357" w:rsidR="004F7E45" w:rsidRPr="004F7E45"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priėmė šį dekretą:</w:t>
      </w:r>
    </w:p>
    <w:p w14:paraId="61759A43"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1 straipsnis</w:t>
      </w:r>
    </w:p>
    <w:p w14:paraId="77ABD76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Aplinkosaugos kodekso V knygos IV antraštinės dalies I skyriuje įterpiamas 9 skirsnis, kuris išdėstomas taip:</w:t>
      </w:r>
    </w:p>
    <w:p w14:paraId="16727251"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„9 skirsnis.</w:t>
      </w:r>
      <w:r>
        <w:rPr>
          <w:sz w:val="24"/>
          <w:rFonts w:ascii="Times New Roman" w:hAnsi="Times New Roman"/>
        </w:rPr>
        <w:br/>
      </w:r>
      <w:r>
        <w:rPr>
          <w:sz w:val="24"/>
          <w:rFonts w:ascii="Times New Roman" w:hAnsi="Times New Roman"/>
        </w:rPr>
        <w:t xml:space="preserve">Visuomenės informavimas apie produktus, dėl kurių gali susidaryti atliekų</w:t>
      </w:r>
    </w:p>
    <w:p w14:paraId="3F984B64"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1 poskirsnis.</w:t>
      </w:r>
      <w:r>
        <w:rPr>
          <w:sz w:val="24"/>
          <w:rFonts w:ascii="Times New Roman" w:hAnsi="Times New Roman"/>
        </w:rPr>
        <w:br/>
      </w:r>
      <w:r>
        <w:rPr>
          <w:sz w:val="24"/>
          <w:rFonts w:ascii="Times New Roman" w:hAnsi="Times New Roman"/>
        </w:rPr>
        <w:t xml:space="preserve">Taisomumo indekso pateikimas</w:t>
      </w:r>
    </w:p>
    <w:p w14:paraId="50911D7C"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R. 541-210 straipsnis.</w:t>
      </w:r>
      <w:r>
        <w:rPr>
          <w:sz w:val="24"/>
          <w:rFonts w:ascii="Times New Roman" w:hAnsi="Times New Roman"/>
        </w:rPr>
        <w:t xml:space="preserve"> </w:t>
      </w:r>
      <w:r>
        <w:rPr>
          <w:sz w:val="24"/>
          <w:rFonts w:ascii="Times New Roman" w:hAnsi="Times New Roman"/>
        </w:rPr>
        <w:t xml:space="preserve">L. 541-9-2 straipsnyje nustatytą elektros ir elektroninės įrangos taisomumo indeksą sudaro balas dešimties balų skalėje, į kurį reikia atkreipti vartotojų dėmesį perkant naują įrangą.</w:t>
      </w:r>
      <w:r>
        <w:rPr>
          <w:sz w:val="24"/>
          <w:rFonts w:ascii="Times New Roman" w:hAnsi="Times New Roman"/>
        </w:rPr>
        <w:br/>
      </w:r>
      <w:r>
        <w:rPr>
          <w:sz w:val="24"/>
          <w:rFonts w:ascii="Times New Roman" w:hAnsi="Times New Roman"/>
        </w:rPr>
        <w:t xml:space="preserve">Šis indeksas yra susijęs su kiekvienu šios įrangos modeliu.</w:t>
      </w:r>
    </w:p>
    <w:p w14:paraId="377464DC"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R. 541-211 straipsnis.</w:t>
      </w:r>
      <w:r>
        <w:rPr>
          <w:sz w:val="24"/>
          <w:rFonts w:ascii="Times New Roman" w:hAnsi="Times New Roman"/>
        </w:rPr>
        <w:t xml:space="preserve"> </w:t>
      </w:r>
      <w:r>
        <w:rPr>
          <w:sz w:val="24"/>
          <w:rFonts w:ascii="Times New Roman" w:hAnsi="Times New Roman"/>
        </w:rPr>
        <w:t xml:space="preserve">Šiame skirsnyje pateikiamos šios terminų apibrėžtys:</w:t>
      </w:r>
      <w:r>
        <w:rPr>
          <w:sz w:val="24"/>
          <w:rFonts w:ascii="Times New Roman" w:hAnsi="Times New Roman"/>
        </w:rPr>
        <w:br/>
      </w: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tiekimas rinkai – bet koks šalies rinkoje platinti ar naudoti skirtos elektros ar elektroninės įrangos teikimas vykdant ekonominę veiklą už atlygį ar nemokamai;</w:t>
      </w:r>
    </w:p>
    <w:p w14:paraId="712B5E6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pateikimas rinkai – elektros ar elektroninės įrangos tiekimas šalies rinkai pirmą kartą;</w:t>
      </w:r>
    </w:p>
    <w:p w14:paraId="38196A95"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importuotojas – bet kuris fizinis ar juridinis asmuo, kuris pateikia elektros ar elektroninę įrangą iš Europos Sąjungos valstybių narių ar trečiųjų šalių nacionalinei rinkai;</w:t>
      </w:r>
    </w:p>
    <w:p w14:paraId="3814DEE0"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pardavėjas – bet kuris fizinis ar juridinis asmuo, kuris, vykdydamas komercinę veiklą, tiekia rinkai elektros ar elektroninę įrangą parduodamas, įskaitant nuotoliniu būdu;</w:t>
      </w:r>
    </w:p>
    <w:p w14:paraId="596FE06B"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nuotolinė prekyba – profesionalaus prekiautojo ir vartotojo nuotoliniu būdu sudaryta sutartis pagal organizuotą pirkimo-pardavimo sistemą prekiautojui ir vartotojui fiziškai kartu nedalyvaujant ir išskirtinai naudojantis viena arba daugiau nuotolinio ryšio priemonių iki sutarties sudarymo;</w:t>
      </w:r>
    </w:p>
    <w:p w14:paraId="76DB348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6)</w:t>
      </w:r>
      <w:r>
        <w:rPr>
          <w:sz w:val="24"/>
          <w:rFonts w:ascii="Times New Roman" w:hAnsi="Times New Roman"/>
        </w:rPr>
        <w:t xml:space="preserve"> </w:t>
      </w:r>
      <w:r>
        <w:rPr>
          <w:sz w:val="24"/>
          <w:rFonts w:ascii="Times New Roman" w:hAnsi="Times New Roman"/>
        </w:rPr>
        <w:t xml:space="preserve">modelis – įrangos versija, kurios visi vienetai pasižymi tomis pačiomis techninėmis charakteristikomis, svarbiomis skaičiuojant taisomumo indeksą.</w:t>
      </w:r>
    </w:p>
    <w:p w14:paraId="6A24F5EF" w14:textId="2E831C23"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Kiti terminai suprantami pagal R. 543-171-2 straipsnio nuostatas, o sąvoka „gamintojas“ (pranc. </w:t>
      </w:r>
      <w:r>
        <w:rPr>
          <w:sz w:val="24"/>
          <w:i/>
          <w:iCs/>
          <w:rFonts w:ascii="Times New Roman" w:hAnsi="Times New Roman"/>
        </w:rPr>
        <w:t xml:space="preserve">producteur</w:t>
      </w:r>
      <w:r>
        <w:rPr>
          <w:sz w:val="24"/>
          <w:rFonts w:ascii="Times New Roman" w:hAnsi="Times New Roman"/>
        </w:rPr>
        <w:t xml:space="preserve">) reiškia „gamintoją“ (pranc. </w:t>
      </w:r>
      <w:r>
        <w:rPr>
          <w:sz w:val="24"/>
          <w:i/>
          <w:iCs/>
          <w:rFonts w:ascii="Times New Roman" w:hAnsi="Times New Roman"/>
        </w:rPr>
        <w:t xml:space="preserve">fabricant</w:t>
      </w:r>
      <w:r>
        <w:rPr>
          <w:sz w:val="24"/>
          <w:rFonts w:ascii="Times New Roman" w:hAnsi="Times New Roman"/>
        </w:rPr>
        <w:t xml:space="preserve">), kaip apibrėžta šiame straipsnyje.</w:t>
      </w:r>
    </w:p>
    <w:p w14:paraId="26FBD48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R. 541-212 straipsnis.</w:t>
      </w:r>
      <w:r>
        <w:rPr>
          <w:sz w:val="24"/>
          <w:rFonts w:ascii="Times New Roman" w:hAnsi="Times New Roman"/>
        </w:rPr>
        <w:t xml:space="preserve"> </w:t>
      </w:r>
      <w:r>
        <w:rPr>
          <w:sz w:val="24"/>
          <w:rFonts w:ascii="Times New Roman" w:hAnsi="Times New Roman"/>
        </w:rPr>
        <w:t xml:space="preserve">I. Gamintojai ar importuotojai elektros ir elektroninei įrangai, kurią jie teikia rinkai, nustato taisomumo indeksą bei parametrus, kuriais jis yra grindžiamas, laikydamiesi įsakyme, kuris nurodytas R. 541-214 straipsnio III dalyje, nustatytos tvarkos</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Gamintojai ir importuotojai nemokamai skaitmeniniu būdu elektros ir elektroninės įrangos susiejimo ir tiekimo metu platintojams ir pardavėjams teikia kiekvieno rinkai teikiamo įrangos modelio:</w:t>
      </w:r>
      <w:r>
        <w:rPr>
          <w:sz w:val="24"/>
          <w:rFonts w:ascii="Times New Roman" w:hAnsi="Times New Roman"/>
        </w:rPr>
        <w:br/>
      </w: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taisomumo indeksą pagal įsakyme, kuris nurodytas R. 541-213 straipsnio I dalyje, numatytas sąlygas ir ženklus;</w:t>
      </w:r>
      <w:r>
        <w:rPr>
          <w:sz w:val="24"/>
          <w:rFonts w:ascii="Times New Roman" w:hAnsi="Times New Roman"/>
        </w:rPr>
        <w:br/>
      </w: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parametrus, kuriais remiantis šis taisomumo indeksas buvo nustatytas, įsakyme, kuris nurodytas R. 541-213 straipsnio I dalyje, numatytu formatu.</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Jei pardavėjas ir platintojas skiriasi, platintojas tomis pačiomis II dalyje nurodytomis sąlygomis elektros ir elektroninės įrangos susiejimo ir tiekimo metu nemokamai pateikia indeksą ir savo skaičiavimo parametrus pardavėjui.</w:t>
      </w:r>
      <w:r>
        <w:rPr>
          <w:sz w:val="24"/>
          <w:rFonts w:ascii="Times New Roman" w:hAnsi="Times New Roman"/>
        </w:rPr>
        <w:br/>
      </w:r>
      <w:r>
        <w:rPr>
          <w:sz w:val="24"/>
          <w:rFonts w:ascii="Times New Roman" w:hAnsi="Times New Roman"/>
        </w:rPr>
        <w:t xml:space="preserve">IV.</w:t>
      </w:r>
      <w:r>
        <w:rPr>
          <w:sz w:val="24"/>
          <w:rFonts w:ascii="Times New Roman" w:hAnsi="Times New Roman"/>
        </w:rPr>
        <w:t xml:space="preserve"> </w:t>
      </w:r>
      <w:r>
        <w:rPr>
          <w:sz w:val="24"/>
          <w:rFonts w:ascii="Times New Roman" w:hAnsi="Times New Roman"/>
        </w:rPr>
        <w:t xml:space="preserve">Indeksas taip pat gali būti nurodytas tiesiogiai ant kiekvienos įrangos arba pakuotės ženklinant etikete arba žymint, pagal įsakyme, kuris nurodytas R. 541-213 straipsnio I dalyje, pateiktus ženklus.</w:t>
      </w:r>
      <w:r>
        <w:rPr>
          <w:sz w:val="24"/>
          <w:rFonts w:ascii="Times New Roman" w:hAnsi="Times New Roman"/>
        </w:rPr>
        <w:br/>
      </w:r>
      <w:r>
        <w:rPr>
          <w:sz w:val="24"/>
          <w:rFonts w:ascii="Times New Roman" w:hAnsi="Times New Roman"/>
        </w:rPr>
        <w:t xml:space="preserve">V. II dalyje nurodytą informaciją gamintojai ir importuotojai teikia nemokamai per 15 dienų kiekvienam to prašančiam asmeniui bent dvejus metus po paskutinio įrangos modelio vieneto pateikimo rinkai.</w:t>
      </w:r>
    </w:p>
    <w:p w14:paraId="261403F3"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R. 541-213 straipsnis.</w:t>
      </w:r>
      <w:r>
        <w:rPr>
          <w:sz w:val="24"/>
          <w:rFonts w:ascii="Times New Roman" w:hAnsi="Times New Roman"/>
        </w:rPr>
        <w:t xml:space="preserve"> </w:t>
      </w:r>
      <w:r>
        <w:rPr>
          <w:sz w:val="24"/>
          <w:rFonts w:ascii="Times New Roman" w:hAnsi="Times New Roman"/>
        </w:rPr>
        <w:t xml:space="preserve">I. Kai elektros ar elektroninė įranga siūloma parduoti parduotuvėje, pardavėjas matomai ant kiekvienos parduodamos įrangos ar visai šalia jos pateikia gamintojo ar importuotojo nurodytą taisomumo indeksą, pagal už aplinkosaugą ir ekonomiką atsakingų ministrų įsakyme nustatytą tvarką ir ženklus.</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Kai elektros ar elektroninė įranga siūloma teikti nuotolinės prekybos būdu, pardavėjas matomai nurodo taisomumo indeksą pateikdamas įrangą greta kainos, pagal įsakyme, kuris nurodytas I dalyje, nustatytas sąlygas.</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Pardavėjas vartotojams bet kokiu tinkamu būdu taip pat nurodo parametrus, kuriais remiantis buvo nustatytas įrangos taisomumo indeksas.</w:t>
      </w:r>
    </w:p>
    <w:p w14:paraId="09FA1FE2"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R. 541-214 straipsnis.</w:t>
      </w:r>
      <w:r>
        <w:rPr>
          <w:sz w:val="24"/>
          <w:rFonts w:ascii="Times New Roman" w:hAnsi="Times New Roman"/>
        </w:rPr>
        <w:t xml:space="preserve"> </w:t>
      </w:r>
      <w:r>
        <w:rPr>
          <w:sz w:val="24"/>
          <w:rFonts w:ascii="Times New Roman" w:hAnsi="Times New Roman"/>
        </w:rPr>
        <w:t xml:space="preserve">I. Taisomumo indeksas apskaičiuojamas pagal šiuos parametrus:</w:t>
      </w:r>
      <w:r>
        <w:rPr>
          <w:sz w:val="24"/>
          <w:rFonts w:ascii="Times New Roman" w:hAnsi="Times New Roman"/>
        </w:rPr>
        <w:br/>
      </w:r>
      <w:r>
        <w:rPr>
          <w:sz w:val="24"/>
          <w:rFonts w:ascii="Times New Roman" w:hAnsi="Times New Roman"/>
        </w:rPr>
        <w:t xml:space="preserve">1) balu dvidešimties balų skalėje, susijusiu su techninių dokumentų, naudojimo instrukcijų ir priežiūros instrukcijų prieinamumu gamintojams, remontininkams ir vartotojams;</w:t>
      </w:r>
    </w:p>
    <w:p w14:paraId="2403791F"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 balu dvidešimties balų skalėje, susijusiu su tuo, kaip lengvai galima įrangą išmontuoti, – reikiamas išmontavimo etapų skaičius, kad būtų galima individualiai pasiekti atskiras dalis, reikalingų įrankių charakteristikos ir atskirų dalių tvirtinimo detalės;</w:t>
      </w:r>
    </w:p>
    <w:p w14:paraId="681FCAC1"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 balu dvidešimties balų skalėje, susijusiu su galimybės rinkoje įsigyti atskirų dalių trukme ir tiekimo terminais gamintojams, atsarginių dalių platintojams, remontininkams ir vartotojams;</w:t>
      </w:r>
    </w:p>
    <w:p w14:paraId="4133FD83"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 balu dvidešimties balų skalėje, susijusiu su santykiu tarp gamintojo ar importuotojo parduodamų detalių kainos ir gamintojo ar importuotojo įrangos pardavimo kainos, apskaičiuojamu pagal susijusiame įsakyme pateiktus metodus;</w:t>
      </w:r>
    </w:p>
    <w:p w14:paraId="68E845C2" w14:textId="57891694"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 balu dvidešimties balų skalėje, susijusiu su konkrečiais atitinkamai įrangos kategorijai taikomais kriterijais.</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Taisomumo indeksas gaunamas sudėjus penkis balus ir sumą padalijus iš dešimties, kad bendras balas būtų išreikštas skalėje nuo 1 iki 10.</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Kiekvienai elektros ir elektroninės įrangos kategorijai už aplinkosaugą ir ekonomiką atsakingų ministrų įsakymu tiksliai nustatomi visi kriterijai ir papildomi kriterijai, įskaitant kategorijai taikomus konkrečius kriterijus ir indekso skaičiavimo metodus.“</w:t>
      </w:r>
    </w:p>
    <w:p w14:paraId="31C9246E"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2 straipsnis</w:t>
      </w:r>
    </w:p>
    <w:p w14:paraId="0C875A98"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Šio dekreto nuostatos įsigalioja 2021 m. sausio 1 d.</w:t>
      </w:r>
    </w:p>
    <w:p w14:paraId="3FAB2966"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3 straipsnis</w:t>
      </w:r>
    </w:p>
    <w:p w14:paraId="24600007"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Ekologinės pertvarkos ministrė bei ekonomikos, finansų ir ekonomikos atkūrimo ministras pagal savo atitinkamą kompetenciją yra atsakingi už šio dekreto, kuris bus paskelbtas Prancūzijos Respublikos oficialiajame leidinyje, įgyvendinimą.</w:t>
      </w:r>
    </w:p>
    <w:p w14:paraId="11EDDB72"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2020 m. gruodžio 29 d.</w:t>
      </w:r>
    </w:p>
    <w:p w14:paraId="6D086227"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Jean Castex</w:t>
      </w:r>
      <w:r>
        <w:rPr>
          <w:sz w:val="24"/>
          <w:rFonts w:ascii="Times New Roman" w:hAnsi="Times New Roman"/>
        </w:rPr>
        <w:br/>
      </w:r>
      <w:r>
        <w:rPr>
          <w:sz w:val="24"/>
          <w:rFonts w:ascii="Times New Roman" w:hAnsi="Times New Roman"/>
        </w:rPr>
        <w:t xml:space="preserve">Ministras Pirmininkas:</w:t>
      </w:r>
    </w:p>
    <w:p w14:paraId="75AA65C8"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Ekologinės pertvarkos ministrė</w:t>
      </w:r>
      <w:r>
        <w:rPr>
          <w:sz w:val="24"/>
          <w:rFonts w:ascii="Times New Roman" w:hAnsi="Times New Roman"/>
        </w:rPr>
        <w:br/>
      </w:r>
      <w:r>
        <w:rPr>
          <w:sz w:val="24"/>
          <w:rFonts w:ascii="Times New Roman" w:hAnsi="Times New Roman"/>
        </w:rPr>
        <w:t xml:space="preserve">Barbara Pompili</w:t>
      </w:r>
    </w:p>
    <w:p w14:paraId="250F8DFD"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Ekonomikos, finansų ir ekonomikos atkūrimo ministras</w:t>
      </w:r>
      <w:r>
        <w:rPr>
          <w:sz w:val="24"/>
          <w:rFonts w:ascii="Times New Roman" w:hAnsi="Times New Roman"/>
        </w:rPr>
        <w:br/>
      </w:r>
      <w:r>
        <w:rPr>
          <w:sz w:val="24"/>
          <w:rFonts w:ascii="Times New Roman" w:hAnsi="Times New Roman"/>
        </w:rPr>
        <w:t xml:space="preserve">Bruno Le Maire</w:t>
      </w:r>
    </w:p>
    <w:p w14:paraId="60C6DEC7" w14:textId="77777777" w:rsidR="00CF4D53" w:rsidRDefault="00CF4D53"/>
    <w:sectPr w:rsidR="00CF4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45"/>
    <w:rsid w:val="004C7568"/>
    <w:rsid w:val="004F7E45"/>
    <w:rsid w:val="00CF4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4B5C"/>
  <w15:chartTrackingRefBased/>
  <w15:docId w15:val="{A73B6F73-6A2C-4EF9-AF88-F4CB7DAB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57498">
      <w:bodyDiv w:val="1"/>
      <w:marLeft w:val="0"/>
      <w:marRight w:val="0"/>
      <w:marTop w:val="0"/>
      <w:marBottom w:val="0"/>
      <w:divBdr>
        <w:top w:val="none" w:sz="0" w:space="0" w:color="auto"/>
        <w:left w:val="none" w:sz="0" w:space="0" w:color="auto"/>
        <w:bottom w:val="none" w:sz="0" w:space="0" w:color="auto"/>
        <w:right w:val="none" w:sz="0" w:space="0" w:color="auto"/>
      </w:divBdr>
      <w:divsChild>
        <w:div w:id="158919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1394</Words>
  <Characters>7951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2021-01-04T14:42:00Z</dcterms:created>
  <dcterms:modified xsi:type="dcterms:W3CDTF">2021-04-13T11:53:00Z</dcterms:modified>
</cp:coreProperties>
</file>