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5703091" w14:textId="77777777" w:rsidR="008F3089" w:rsidRDefault="008F3089" w:rsidP="008F3089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0469 F-- FR- ------ 20210228 --- --- FINAL</w:t>
      </w:r>
    </w:p>
    <w:p w14:paraId="26E282E0" w14:textId="77777777" w:rsidR="00A920F2" w:rsidRDefault="00A920F2" w:rsidP="005D5BFF">
      <w:pPr>
        <w:autoSpaceDE w:val="0"/>
        <w:spacing w:after="0" w:line="240" w:lineRule="auto"/>
      </w:pPr>
    </w:p>
    <w:p w14:paraId="5AC384EB" w14:textId="77777777" w:rsidR="00A920F2" w:rsidRDefault="00A920F2" w:rsidP="005D5BFF">
      <w:pPr>
        <w:autoSpaceDE w:val="0"/>
        <w:spacing w:after="0" w:line="240" w:lineRule="auto"/>
      </w:pPr>
    </w:p>
    <w:p w14:paraId="19CF1865" w14:textId="21186403" w:rsidR="00A920F2" w:rsidRPr="005D5BFF" w:rsidRDefault="00515C32" w:rsidP="005D5BFF">
      <w:pPr>
        <w:autoSpaceDE w:val="0"/>
        <w:spacing w:after="0" w:line="240" w:lineRule="auto"/>
        <w:rPr>
          <w:sz w:val="36"/>
          <w:szCs w:val="36"/>
        </w:rPr>
      </w:pPr>
      <w:r w:rsidRPr="005D5BFF">
        <w:rPr>
          <w:rFonts w:ascii="Times New Roman" w:hAnsi="Times New Roman"/>
          <w:b/>
          <w:bCs/>
          <w:color w:val="000000"/>
          <w:sz w:val="36"/>
          <w:szCs w:val="36"/>
        </w:rPr>
        <w:t xml:space="preserve">Ordni </w:t>
      </w:r>
      <w:r w:rsidR="00ED60B5" w:rsidRPr="005D5BFF">
        <w:rPr>
          <w:rFonts w:ascii="Times New Roman" w:hAnsi="Times New Roman"/>
          <w:b/>
          <w:bCs/>
          <w:color w:val="000000"/>
          <w:sz w:val="36"/>
          <w:szCs w:val="36"/>
          <w:lang w:val="it-IT"/>
        </w:rPr>
        <w:t>tad-29 ta’ Di</w:t>
      </w:r>
      <w:r w:rsidR="00ED60B5" w:rsidRPr="005D5BFF">
        <w:rPr>
          <w:rFonts w:ascii="Times New Roman" w:hAnsi="Times New Roman"/>
          <w:b/>
          <w:bCs/>
          <w:color w:val="000000"/>
          <w:sz w:val="36"/>
          <w:szCs w:val="36"/>
        </w:rPr>
        <w:t>ċ</w:t>
      </w:r>
      <w:r w:rsidR="00ED60B5" w:rsidRPr="005D5BFF">
        <w:rPr>
          <w:rFonts w:ascii="Times New Roman" w:hAnsi="Times New Roman"/>
          <w:b/>
          <w:bCs/>
          <w:color w:val="000000"/>
          <w:sz w:val="36"/>
          <w:szCs w:val="36"/>
          <w:lang w:val="it-IT"/>
        </w:rPr>
        <w:t>embru</w:t>
      </w:r>
      <w:r w:rsidRPr="005D5BFF"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  <w:r w:rsidR="00ED60B5" w:rsidRPr="005D5BFF">
        <w:rPr>
          <w:rFonts w:ascii="Times New Roman" w:hAnsi="Times New Roman"/>
          <w:b/>
          <w:bCs/>
          <w:color w:val="000000"/>
          <w:sz w:val="36"/>
          <w:szCs w:val="36"/>
        </w:rPr>
        <w:t xml:space="preserve">2020 </w:t>
      </w:r>
      <w:r w:rsidRPr="005D5BFF">
        <w:rPr>
          <w:rFonts w:ascii="Times New Roman" w:hAnsi="Times New Roman"/>
          <w:b/>
          <w:bCs/>
          <w:color w:val="000000"/>
          <w:sz w:val="36"/>
          <w:szCs w:val="36"/>
        </w:rPr>
        <w:t>dwar il-modi għall-wiri, is-sinjalar u l-parametri ġenerali ta’ kalkolu tal-indiċi tar-riparabilità</w:t>
      </w:r>
    </w:p>
    <w:p w14:paraId="38E7992F" w14:textId="77777777" w:rsidR="00A920F2" w:rsidRDefault="00A920F2" w:rsidP="005D5BFF">
      <w:pPr>
        <w:autoSpaceDE w:val="0"/>
        <w:spacing w:after="0" w:line="240" w:lineRule="auto"/>
      </w:pPr>
    </w:p>
    <w:p w14:paraId="4CCAB642" w14:textId="1BEE6572" w:rsidR="00ED60B5" w:rsidRPr="00970505" w:rsidRDefault="00ED60B5">
      <w:pPr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970505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Ver</w:t>
      </w:r>
      <w:r w:rsidR="007574A5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żjoni inizjali</w:t>
      </w:r>
    </w:p>
    <w:p w14:paraId="17BEDA9F" w14:textId="77777777" w:rsidR="00ED60B5" w:rsidRDefault="00ED60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0FD5B4AC" w14:textId="77777777" w:rsidR="00ED60B5" w:rsidRPr="00970505" w:rsidRDefault="00ED60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1480D2B9" w14:textId="0434E31B" w:rsidR="00ED60B5" w:rsidRPr="00970505" w:rsidRDefault="00D62C3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5D5BFF">
        <w:rPr>
          <w:rFonts w:ascii="Times New Roman" w:hAnsi="Times New Roman" w:cs="Times New Roman"/>
          <w:sz w:val="24"/>
          <w:szCs w:val="24"/>
          <w:lang w:eastAsia="fr-FR"/>
        </w:rPr>
        <w:t>Pubbliku kkonċernat</w:t>
      </w:r>
      <w:r w:rsidR="00ED60B5" w:rsidRPr="00970505">
        <w:rPr>
          <w:rFonts w:ascii="Times New Roman" w:hAnsi="Times New Roman" w:cs="Times New Roman"/>
          <w:sz w:val="24"/>
          <w:szCs w:val="24"/>
          <w:lang w:eastAsia="fr-F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fr-FR"/>
        </w:rPr>
        <w:t>il-produtturi</w:t>
      </w:r>
      <w:r w:rsidR="00ED60B5" w:rsidRPr="00970505">
        <w:rPr>
          <w:rFonts w:ascii="Times New Roman" w:hAnsi="Times New Roman" w:cs="Times New Roman"/>
          <w:sz w:val="24"/>
          <w:szCs w:val="24"/>
          <w:lang w:eastAsia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fr-FR"/>
        </w:rPr>
        <w:t>l-importaturi</w:t>
      </w:r>
      <w:r w:rsidR="00ED60B5" w:rsidRPr="00970505">
        <w:rPr>
          <w:rFonts w:ascii="Times New Roman" w:hAnsi="Times New Roman" w:cs="Times New Roman"/>
          <w:sz w:val="24"/>
          <w:szCs w:val="24"/>
          <w:lang w:eastAsia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id-distributuri jew </w:t>
      </w:r>
      <w:r w:rsidR="002D5456">
        <w:rPr>
          <w:rFonts w:ascii="Times New Roman" w:hAnsi="Times New Roman" w:cs="Times New Roman"/>
          <w:sz w:val="24"/>
          <w:szCs w:val="24"/>
          <w:lang w:eastAsia="fr-FR"/>
        </w:rPr>
        <w:t>kull minn iqiegħed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fis-suq tagħmir tal-elettriku u elettroniku u l-bejjiegħa ta’ dan l-istess tagħmir, kif ukoll dawk li jużaw sit tal-internet, pjattaforma jew kwalunkwe mezz ta’ distribuzzjoni onlajn ieħor fil-qafas tal-attivit</w:t>
      </w:r>
      <w:r w:rsidRPr="005D5BFF">
        <w:rPr>
          <w:rFonts w:ascii="Times New Roman" w:hAnsi="Times New Roman" w:cs="Times New Roman"/>
          <w:sz w:val="24"/>
          <w:szCs w:val="24"/>
          <w:lang w:eastAsia="fr-FR"/>
        </w:rPr>
        <w:t xml:space="preserve">à </w:t>
      </w:r>
      <w:r>
        <w:rPr>
          <w:rFonts w:ascii="Times New Roman" w:hAnsi="Times New Roman" w:cs="Times New Roman"/>
          <w:sz w:val="24"/>
          <w:szCs w:val="24"/>
          <w:lang w:eastAsia="fr-FR"/>
        </w:rPr>
        <w:t>kummerċjali tagħhom fi Franza</w:t>
      </w:r>
      <w:r w:rsidR="00ED60B5" w:rsidRPr="00970505">
        <w:rPr>
          <w:rFonts w:ascii="Times New Roman" w:hAnsi="Times New Roman" w:cs="Times New Roman"/>
          <w:sz w:val="24"/>
          <w:szCs w:val="24"/>
          <w:lang w:eastAsia="fr-FR"/>
        </w:rPr>
        <w:t xml:space="preserve">. </w:t>
      </w:r>
    </w:p>
    <w:p w14:paraId="2D20CB70" w14:textId="201D9D4B" w:rsidR="00ED60B5" w:rsidRPr="00970505" w:rsidRDefault="007B43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Suġġett</w:t>
      </w:r>
      <w:r w:rsidR="00ED60B5" w:rsidRPr="00970505">
        <w:rPr>
          <w:rFonts w:ascii="Times New Roman" w:hAnsi="Times New Roman" w:cs="Times New Roman"/>
          <w:sz w:val="24"/>
          <w:szCs w:val="24"/>
          <w:lang w:eastAsia="fr-F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fr-FR"/>
        </w:rPr>
        <w:t>il-modi għall-wiri, is-sinjalar u l-parametri ġenerali ta’ kalkolu tal-indiċi tar-riparabilit</w:t>
      </w:r>
      <w:r>
        <w:rPr>
          <w:rFonts w:ascii="Times New Roman" w:hAnsi="Times New Roman" w:cs="Times New Roman"/>
          <w:sz w:val="24"/>
          <w:szCs w:val="24"/>
          <w:lang w:val="it-IT" w:eastAsia="fr-FR"/>
        </w:rPr>
        <w:t>à</w:t>
      </w:r>
      <w:r w:rsidR="00ED60B5" w:rsidRPr="00970505">
        <w:rPr>
          <w:rFonts w:ascii="Times New Roman" w:hAnsi="Times New Roman" w:cs="Times New Roman"/>
          <w:sz w:val="24"/>
          <w:szCs w:val="24"/>
          <w:lang w:eastAsia="fr-FR"/>
        </w:rPr>
        <w:t xml:space="preserve">. </w:t>
      </w:r>
    </w:p>
    <w:p w14:paraId="5E29656C" w14:textId="388FB546" w:rsidR="00ED60B5" w:rsidRPr="00970505" w:rsidRDefault="007B43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Dħul fis-seħħ</w:t>
      </w:r>
      <w:r w:rsidR="00ED60B5" w:rsidRPr="00970505">
        <w:rPr>
          <w:rFonts w:ascii="Times New Roman" w:hAnsi="Times New Roman" w:cs="Times New Roman"/>
          <w:sz w:val="24"/>
          <w:szCs w:val="24"/>
          <w:lang w:eastAsia="fr-F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fr-FR"/>
        </w:rPr>
        <w:t>it-test jidħol fis-seħħ fl-1 ta’ Janna</w:t>
      </w:r>
      <w:r w:rsidR="00ED60B5" w:rsidRPr="00970505">
        <w:rPr>
          <w:rFonts w:ascii="Times New Roman" w:hAnsi="Times New Roman" w:cs="Times New Roman"/>
          <w:sz w:val="24"/>
          <w:szCs w:val="24"/>
          <w:lang w:eastAsia="fr-FR"/>
        </w:rPr>
        <w:t xml:space="preserve">r 2021. </w:t>
      </w:r>
    </w:p>
    <w:p w14:paraId="7524C2FD" w14:textId="12472F6C" w:rsidR="00ED60B5" w:rsidRPr="00970505" w:rsidRDefault="007B43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Avviż</w:t>
      </w:r>
      <w:r w:rsidR="00ED60B5" w:rsidRPr="00970505">
        <w:rPr>
          <w:rFonts w:ascii="Times New Roman" w:hAnsi="Times New Roman" w:cs="Times New Roman"/>
          <w:sz w:val="24"/>
          <w:szCs w:val="24"/>
          <w:lang w:eastAsia="fr-F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fr-FR"/>
        </w:rPr>
        <w:t>dan id-digriet jistabbilixxi l-m</w:t>
      </w:r>
      <w:r>
        <w:rPr>
          <w:rFonts w:ascii="Times New Roman" w:hAnsi="Times New Roman" w:cs="Times New Roman"/>
          <w:sz w:val="24"/>
          <w:szCs w:val="24"/>
          <w:lang w:val="it-IT" w:eastAsia="fr-FR"/>
        </w:rPr>
        <w:t>odi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 w:eastAsia="fr-FR"/>
        </w:rPr>
        <w:t>għall-</w:t>
      </w:r>
      <w:r>
        <w:rPr>
          <w:rFonts w:ascii="Times New Roman" w:hAnsi="Times New Roman" w:cs="Times New Roman"/>
          <w:sz w:val="24"/>
          <w:szCs w:val="24"/>
          <w:lang w:eastAsia="fr-FR"/>
        </w:rPr>
        <w:t>wiri, is-sinjalar u l-parametri ġenerali ta’ kalkolu tal-indiċi tar-riparabilit</w:t>
      </w:r>
      <w:r w:rsidRPr="005D5BFF">
        <w:rPr>
          <w:rFonts w:ascii="Times New Roman" w:hAnsi="Times New Roman" w:cs="Times New Roman"/>
          <w:sz w:val="24"/>
          <w:szCs w:val="24"/>
          <w:lang w:eastAsia="fr-FR"/>
        </w:rPr>
        <w:t>à</w:t>
      </w:r>
      <w:r w:rsidR="00ED60B5" w:rsidRPr="00970505">
        <w:rPr>
          <w:rFonts w:ascii="Times New Roman" w:hAnsi="Times New Roman" w:cs="Times New Roman"/>
          <w:sz w:val="24"/>
          <w:szCs w:val="24"/>
          <w:lang w:eastAsia="fr-FR"/>
        </w:rPr>
        <w:t xml:space="preserve">. </w:t>
      </w:r>
    </w:p>
    <w:p w14:paraId="7007A83E" w14:textId="4ABD4860" w:rsidR="00A920F2" w:rsidRDefault="007B43FE">
      <w:pPr>
        <w:autoSpaceDE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eastAsia="fr-FR"/>
        </w:rPr>
        <w:t>Referenzi</w:t>
      </w:r>
      <w:r w:rsidR="00ED60B5" w:rsidRPr="00970505">
        <w:rPr>
          <w:rFonts w:ascii="Times New Roman" w:hAnsi="Times New Roman" w:cs="Times New Roman"/>
          <w:sz w:val="24"/>
          <w:szCs w:val="24"/>
          <w:lang w:eastAsia="fr-FR"/>
        </w:rPr>
        <w:t xml:space="preserve">: </w:t>
      </w:r>
      <w:r w:rsidR="0017591D">
        <w:rPr>
          <w:rFonts w:ascii="Times New Roman" w:hAnsi="Times New Roman" w:cs="Times New Roman"/>
          <w:sz w:val="24"/>
          <w:szCs w:val="24"/>
          <w:lang w:eastAsia="fr-FR"/>
        </w:rPr>
        <w:t xml:space="preserve">dan id-digriet jista’ jiġi kkonsultat fuq </w:t>
      </w:r>
      <w:r w:rsidR="00114284">
        <w:rPr>
          <w:rFonts w:ascii="Times New Roman" w:hAnsi="Times New Roman" w:cs="Times New Roman"/>
          <w:sz w:val="24"/>
          <w:szCs w:val="24"/>
          <w:lang w:val="en-GB" w:eastAsia="fr-FR"/>
        </w:rPr>
        <w:t>is-sit</w:t>
      </w:r>
      <w:r w:rsidR="0017591D">
        <w:rPr>
          <w:rFonts w:ascii="Times New Roman" w:hAnsi="Times New Roman" w:cs="Times New Roman"/>
          <w:sz w:val="24"/>
          <w:szCs w:val="24"/>
          <w:lang w:eastAsia="fr-FR"/>
        </w:rPr>
        <w:t xml:space="preserve"> tal-</w:t>
      </w:r>
      <w:r w:rsidR="00ED60B5" w:rsidRPr="00970505">
        <w:rPr>
          <w:rFonts w:ascii="Times New Roman" w:hAnsi="Times New Roman" w:cs="Times New Roman"/>
          <w:sz w:val="24"/>
          <w:szCs w:val="24"/>
          <w:lang w:eastAsia="fr-FR"/>
        </w:rPr>
        <w:t>Légifrance (https://www.legifrance.gouv.fr).</w:t>
      </w:r>
    </w:p>
    <w:p w14:paraId="70CE580B" w14:textId="58440128" w:rsidR="00A920F2" w:rsidRDefault="00A920F2">
      <w:pPr>
        <w:autoSpaceDE w:val="0"/>
        <w:spacing w:after="0" w:line="240" w:lineRule="auto"/>
      </w:pPr>
    </w:p>
    <w:p w14:paraId="43ED4BEC" w14:textId="77777777" w:rsidR="002D5456" w:rsidRDefault="002D5456">
      <w:pPr>
        <w:autoSpaceDE w:val="0"/>
        <w:spacing w:after="0" w:line="240" w:lineRule="auto"/>
      </w:pPr>
    </w:p>
    <w:p w14:paraId="2B39F0F8" w14:textId="2563FF04" w:rsidR="00A920F2" w:rsidRDefault="00515C32" w:rsidP="005D5BFF">
      <w:pPr>
        <w:autoSpaceDE w:val="0"/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>Il-Ministru għat-Tranżizzjoni Ekoloġika u l-Ministru għall-Ekonomija</w:t>
      </w:r>
      <w:r w:rsidR="00ED60B5">
        <w:rPr>
          <w:rFonts w:ascii="Times New Roman" w:hAnsi="Times New Roman"/>
          <w:color w:val="000000"/>
          <w:sz w:val="24"/>
          <w:szCs w:val="24"/>
        </w:rPr>
        <w:t>, i</w:t>
      </w:r>
      <w:r>
        <w:rPr>
          <w:rFonts w:ascii="Times New Roman" w:hAnsi="Times New Roman"/>
          <w:color w:val="000000"/>
          <w:sz w:val="24"/>
          <w:szCs w:val="24"/>
        </w:rPr>
        <w:t>l-Finanzi</w:t>
      </w:r>
      <w:r w:rsidR="00ED60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74A5">
        <w:rPr>
          <w:rFonts w:ascii="Times New Roman" w:hAnsi="Times New Roman" w:cs="Times New Roman"/>
          <w:sz w:val="24"/>
          <w:szCs w:val="24"/>
          <w:lang w:eastAsia="fr-FR"/>
        </w:rPr>
        <w:t>u l-Irkupru</w:t>
      </w:r>
      <w:r w:rsidR="00ED60B5" w:rsidRPr="00970505">
        <w:rPr>
          <w:rFonts w:ascii="Times New Roman" w:hAnsi="Times New Roman" w:cs="Times New Roman"/>
          <w:sz w:val="24"/>
          <w:szCs w:val="24"/>
          <w:lang w:eastAsia="fr-FR"/>
        </w:rPr>
        <w:t>,</w:t>
      </w:r>
    </w:p>
    <w:p w14:paraId="2BC9740C" w14:textId="083AF361" w:rsidR="00A920F2" w:rsidRDefault="00515C32" w:rsidP="005D5BFF">
      <w:pPr>
        <w:autoSpaceDE w:val="0"/>
        <w:spacing w:after="0" w:line="240" w:lineRule="auto"/>
      </w:pPr>
      <w:r>
        <w:rPr>
          <w:rFonts w:ascii="Times New Roman" w:hAnsi="Times New Roman"/>
          <w:color w:val="000000"/>
          <w:sz w:val="24"/>
        </w:rPr>
        <w:t>Wara li kkunsidraw ir-Regolament (UE) 2019/2021 tal-Kummissjoni tal-1 ta’ Ottubru 2019 li jistabbilixxi rekwiżiti tal-ekodisinn għall-unitajiet tal-wiri elettroniċi skont id-Direttiva 2009/125/KE tal-Parlament Ewropew u tal-Kunsill, li jemenda r-Regolament tal-Kummissjoni (KE) Nru 1275/2008 u li jħassar ir-Regolament tal-Kummissjoni (KE) Nru 642/2009</w:t>
      </w:r>
    </w:p>
    <w:p w14:paraId="4000E48F" w14:textId="5897892F" w:rsidR="00A920F2" w:rsidRDefault="00515C32" w:rsidP="005D5BFF">
      <w:pPr>
        <w:autoSpaceDE w:val="0"/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>Wara li kkunsidraw il-Kodiċi tal-Ambjent, b’mod partikolari l-Artikolu L. 541-9-2 tiegħu;</w:t>
      </w:r>
    </w:p>
    <w:p w14:paraId="7D4D156A" w14:textId="4842E209" w:rsidR="00A920F2" w:rsidRDefault="00515C32" w:rsidP="005D5BFF">
      <w:pPr>
        <w:autoSpaceDE w:val="0"/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>Wara li kkunsidraw id-Digriet Nru </w:t>
      </w:r>
      <w:r w:rsidR="00ED60B5">
        <w:rPr>
          <w:rFonts w:ascii="Times New Roman" w:hAnsi="Times New Roman"/>
          <w:color w:val="000000"/>
          <w:sz w:val="24"/>
          <w:szCs w:val="24"/>
        </w:rPr>
        <w:t>2020-1757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0B5">
        <w:rPr>
          <w:rFonts w:ascii="Times New Roman" w:hAnsi="Times New Roman"/>
          <w:color w:val="000000"/>
          <w:sz w:val="24"/>
          <w:szCs w:val="24"/>
        </w:rPr>
        <w:t>tad-29 ta’ Diċembru 2020</w:t>
      </w:r>
      <w:r>
        <w:rPr>
          <w:rFonts w:ascii="Times New Roman" w:hAnsi="Times New Roman"/>
          <w:color w:val="000000"/>
          <w:sz w:val="24"/>
          <w:szCs w:val="24"/>
        </w:rPr>
        <w:t xml:space="preserve"> dwar l-indiċi tar-riparabilità </w:t>
      </w:r>
      <w:r w:rsidR="008F3089">
        <w:rPr>
          <w:rFonts w:ascii="Times New Roman" w:hAnsi="Times New Roman"/>
          <w:color w:val="000000"/>
          <w:sz w:val="24"/>
          <w:szCs w:val="24"/>
          <w:lang w:val="en-GB"/>
        </w:rPr>
        <w:t>t</w:t>
      </w:r>
      <w:r w:rsidR="007A406D">
        <w:rPr>
          <w:rFonts w:ascii="Times New Roman" w:hAnsi="Times New Roman"/>
          <w:color w:val="000000"/>
          <w:sz w:val="24"/>
          <w:szCs w:val="24"/>
        </w:rPr>
        <w:t>at-tagħmir tal-elettriku u elettroniku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24809FF" w14:textId="77777777" w:rsidR="007A406D" w:rsidRPr="005D5BFF" w:rsidRDefault="007A406D">
      <w:pPr>
        <w:keepNext/>
        <w:keepLines/>
        <w:autoSpaceDE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D5BFF">
        <w:rPr>
          <w:rFonts w:ascii="Times New Roman" w:hAnsi="Times New Roman"/>
          <w:bCs/>
          <w:color w:val="000000"/>
          <w:sz w:val="24"/>
          <w:szCs w:val="24"/>
        </w:rPr>
        <w:t>Jordnaw:</w:t>
      </w:r>
    </w:p>
    <w:p w14:paraId="2126188E" w14:textId="77777777" w:rsidR="002D5456" w:rsidRDefault="002D5456">
      <w:pPr>
        <w:keepNext/>
        <w:keepLines/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2F2F64A" w14:textId="48A16064" w:rsidR="002D5456" w:rsidRDefault="00515C32" w:rsidP="002D5456">
      <w:pPr>
        <w:keepNext/>
        <w:keepLines/>
        <w:autoSpaceDE w:val="0"/>
        <w:spacing w:after="0" w:line="240" w:lineRule="auto"/>
        <w:ind w:left="44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Artikolu 1</w:t>
      </w:r>
    </w:p>
    <w:p w14:paraId="1AD34145" w14:textId="77777777" w:rsidR="002D5456" w:rsidRPr="00591C74" w:rsidRDefault="002D5456" w:rsidP="005D5BFF">
      <w:pPr>
        <w:keepNext/>
        <w:keepLines/>
        <w:autoSpaceDE w:val="0"/>
        <w:spacing w:after="0" w:line="240" w:lineRule="auto"/>
        <w:ind w:left="44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B952C22" w14:textId="77777777" w:rsidR="00A920F2" w:rsidRDefault="00A920F2" w:rsidP="005D5BFF">
      <w:pPr>
        <w:keepNext/>
        <w:keepLines/>
        <w:autoSpaceDE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14:paraId="24CB202B" w14:textId="0E5871F7" w:rsidR="00A920F2" w:rsidRDefault="00515C32" w:rsidP="005D5BFF">
      <w:pPr>
        <w:autoSpaceDE w:val="0"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t xml:space="preserve">Din l-Ordni tapplika għat-tagħmir elettriku u elettroniku kollu li jiġi soġġett għall-kalkolu u l-wiri tal-indiċi tar-riparabilità, skont id-dispożizzjonijiet </w:t>
      </w:r>
      <w:r w:rsidR="007A406D">
        <w:rPr>
          <w:rFonts w:ascii="Times New Roman" w:hAnsi="Times New Roman"/>
          <w:color w:val="000000"/>
          <w:sz w:val="24"/>
          <w:szCs w:val="24"/>
        </w:rPr>
        <w:t>tal-Artikoli</w:t>
      </w:r>
      <w:r w:rsidR="008F3089">
        <w:rPr>
          <w:rFonts w:ascii="Times New Roman" w:hAnsi="Times New Roman"/>
          <w:color w:val="000000"/>
          <w:sz w:val="24"/>
          <w:szCs w:val="24"/>
          <w:lang w:val="en-GB"/>
        </w:rPr>
        <w:t> </w:t>
      </w:r>
      <w:r w:rsidR="007A406D">
        <w:rPr>
          <w:rFonts w:ascii="Times New Roman" w:hAnsi="Times New Roman"/>
          <w:color w:val="000000"/>
          <w:sz w:val="24"/>
          <w:szCs w:val="24"/>
        </w:rPr>
        <w:t>R.</w:t>
      </w:r>
      <w:r w:rsidR="008F3089">
        <w:rPr>
          <w:rFonts w:ascii="Times New Roman" w:hAnsi="Times New Roman"/>
          <w:color w:val="000000"/>
          <w:sz w:val="24"/>
          <w:szCs w:val="24"/>
          <w:lang w:val="en-GB"/>
        </w:rPr>
        <w:t> </w:t>
      </w:r>
      <w:r w:rsidR="007A406D">
        <w:rPr>
          <w:rFonts w:ascii="Times New Roman" w:hAnsi="Times New Roman"/>
          <w:color w:val="000000"/>
          <w:sz w:val="24"/>
          <w:szCs w:val="24"/>
        </w:rPr>
        <w:t>541-210 sa R.</w:t>
      </w:r>
      <w:r w:rsidR="008F3089">
        <w:rPr>
          <w:rFonts w:ascii="Times New Roman" w:hAnsi="Times New Roman"/>
          <w:color w:val="000000"/>
          <w:sz w:val="24"/>
          <w:szCs w:val="24"/>
          <w:lang w:val="en-GB"/>
        </w:rPr>
        <w:t> </w:t>
      </w:r>
      <w:r w:rsidR="007A406D">
        <w:rPr>
          <w:rFonts w:ascii="Times New Roman" w:hAnsi="Times New Roman"/>
          <w:color w:val="000000"/>
          <w:sz w:val="24"/>
          <w:szCs w:val="24"/>
        </w:rPr>
        <w:t>541-214 tal-Kodiċi tal-Ambjent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F9DE95D" w14:textId="77777777" w:rsidR="00A920F2" w:rsidRDefault="00A920F2" w:rsidP="005D5BFF">
      <w:pPr>
        <w:autoSpaceDE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14:paraId="080E632A" w14:textId="7218BFC8" w:rsidR="00A920F2" w:rsidRPr="00591C74" w:rsidRDefault="00515C32" w:rsidP="005D5BFF">
      <w:pPr>
        <w:keepNext/>
        <w:keepLines/>
        <w:autoSpaceDE w:val="0"/>
        <w:spacing w:after="0" w:line="240" w:lineRule="auto"/>
        <w:ind w:left="44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Artikolu 2</w:t>
      </w:r>
    </w:p>
    <w:p w14:paraId="2AFEF596" w14:textId="357BB375" w:rsidR="00A920F2" w:rsidRDefault="00A920F2" w:rsidP="002D5456">
      <w:pPr>
        <w:keepNext/>
        <w:keepLines/>
        <w:autoSpaceDE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14:paraId="65A05C9A" w14:textId="77777777" w:rsidR="002D5456" w:rsidRDefault="002D5456" w:rsidP="005D5BFF">
      <w:pPr>
        <w:keepNext/>
        <w:keepLines/>
        <w:autoSpaceDE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14:paraId="12203F3B" w14:textId="77777777" w:rsidR="00A920F2" w:rsidRDefault="00515C32" w:rsidP="005D5BFF">
      <w:pPr>
        <w:autoSpaceDE w:val="0"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t>Għall-prodotti elettriċi u elettroniċi kollha msemmijin fl-Artikolu 1, l-indiċi tar-riparabilità għandu jiġi ppreżentat fil-forma ta’ marka minn 10 li tista’ tinkludi ċifra waħda wara l-punt deċimali.</w:t>
      </w:r>
    </w:p>
    <w:p w14:paraId="7A2675B3" w14:textId="77777777" w:rsidR="00A920F2" w:rsidRDefault="00515C32" w:rsidP="005D5BFF">
      <w:pPr>
        <w:autoSpaceDE w:val="0"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t>Jekk iċ-ċifra wara l-ewwel deċimali tkun inqas minn 5, il-marka tiġi mqarrba għad-deċimali l-baxx.</w:t>
      </w:r>
    </w:p>
    <w:p w14:paraId="307E47DE" w14:textId="77777777" w:rsidR="00A920F2" w:rsidRDefault="00515C32" w:rsidP="005D5BFF">
      <w:pPr>
        <w:pStyle w:val="Paragraphedeliste"/>
        <w:suppressAutoHyphens w:val="0"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t>Jekk iċ-ċifra wara l-ewwel deċimali tkun iktar minn 5, il-marka tiġi mqarrba għad-deċimali l-għoli.</w:t>
      </w:r>
    </w:p>
    <w:p w14:paraId="7797E297" w14:textId="77777777" w:rsidR="00A920F2" w:rsidRDefault="00A920F2" w:rsidP="005D5BFF">
      <w:pPr>
        <w:pStyle w:val="Paragraphedeliste"/>
        <w:suppressAutoHyphens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14:paraId="18DCBDFC" w14:textId="3A825E8E" w:rsidR="00A920F2" w:rsidRPr="00591C74" w:rsidRDefault="00515C32" w:rsidP="005D5BFF">
      <w:pPr>
        <w:keepNext/>
        <w:keepLines/>
        <w:autoSpaceDE w:val="0"/>
        <w:spacing w:after="0" w:line="240" w:lineRule="auto"/>
        <w:ind w:left="44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Artikolu 3</w:t>
      </w:r>
    </w:p>
    <w:p w14:paraId="67711B3A" w14:textId="540D7CA0" w:rsidR="00A920F2" w:rsidRDefault="00A920F2" w:rsidP="002D5456">
      <w:pPr>
        <w:keepNext/>
        <w:keepLines/>
        <w:autoSpaceDE w:val="0"/>
        <w:spacing w:after="0" w:line="240" w:lineRule="auto"/>
        <w:ind w:left="44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72E98F" w14:textId="77777777" w:rsidR="002D5456" w:rsidRDefault="002D5456" w:rsidP="005D5BFF">
      <w:pPr>
        <w:keepNext/>
        <w:keepLines/>
        <w:autoSpaceDE w:val="0"/>
        <w:spacing w:after="0" w:line="240" w:lineRule="auto"/>
        <w:ind w:left="44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2E6020" w14:textId="77777777" w:rsidR="00A920F2" w:rsidRDefault="00515C32" w:rsidP="005D5BFF">
      <w:pPr>
        <w:pStyle w:val="Paragraphedeliste"/>
        <w:keepNext/>
        <w:keepLines/>
        <w:suppressAutoHyphens w:val="0"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t>Skont il-marka li tinkiseb b’dan il-mod, jintużaw il-kodiċijiet tal-kulur li ġejjin għall-wiri tal-indiċi:</w:t>
      </w:r>
    </w:p>
    <w:p w14:paraId="032AA696" w14:textId="21E7E4D9" w:rsidR="00A920F2" w:rsidRDefault="007A406D" w:rsidP="005D5BFF">
      <w:pPr>
        <w:pStyle w:val="Paragraphedeliste"/>
        <w:suppressAutoHyphens w:val="0"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515C32">
        <w:rPr>
          <w:rFonts w:ascii="Times New Roman" w:hAnsi="Times New Roman"/>
          <w:color w:val="000000"/>
          <w:sz w:val="24"/>
          <w:szCs w:val="24"/>
        </w:rPr>
        <w:t>Marka ta’ bejn 0 u 1.9, it-tnejn inklużi: aħmar, referenza ta’ Pantone 186 C; </w:t>
      </w:r>
    </w:p>
    <w:p w14:paraId="16457ED1" w14:textId="6DDCC8B0" w:rsidR="00A920F2" w:rsidRDefault="007A406D" w:rsidP="005D5BFF">
      <w:pPr>
        <w:pStyle w:val="Paragraphedeliste"/>
        <w:suppressAutoHyphens w:val="0"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515C32">
        <w:rPr>
          <w:rFonts w:ascii="Times New Roman" w:hAnsi="Times New Roman"/>
          <w:color w:val="000000"/>
          <w:sz w:val="24"/>
          <w:szCs w:val="24"/>
        </w:rPr>
        <w:t>Marka ta’ bejn 2 u 3.9, it-tnejn inklużi: oranġjo, referenza ta’ Pantone 1585 C;</w:t>
      </w:r>
    </w:p>
    <w:p w14:paraId="031EE5DC" w14:textId="1AAED1BC" w:rsidR="00A920F2" w:rsidRDefault="007A406D" w:rsidP="005D5BFF">
      <w:pPr>
        <w:pStyle w:val="Paragraphedeliste"/>
        <w:suppressAutoHyphens w:val="0"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515C32">
        <w:rPr>
          <w:rFonts w:ascii="Times New Roman" w:hAnsi="Times New Roman"/>
          <w:color w:val="000000"/>
          <w:sz w:val="24"/>
          <w:szCs w:val="24"/>
        </w:rPr>
        <w:t>Marka ta’ bejn 4 u 5.9, it-tnejn inklużi: isfar, referenza ta’ Pantone 7548 C;</w:t>
      </w:r>
    </w:p>
    <w:p w14:paraId="5364C971" w14:textId="5EB6FDA0" w:rsidR="00A920F2" w:rsidRDefault="007A406D" w:rsidP="005D5BFF">
      <w:pPr>
        <w:pStyle w:val="Paragraphedeliste"/>
        <w:suppressAutoHyphens w:val="0"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515C32">
        <w:rPr>
          <w:rFonts w:ascii="Times New Roman" w:hAnsi="Times New Roman"/>
          <w:color w:val="000000"/>
          <w:sz w:val="24"/>
          <w:szCs w:val="24"/>
        </w:rPr>
        <w:t>Marka ta’ bejn 6 u 7.9, it-tnejn inklużi: aħdar ċar, referenza ta’ Pantone 2291 C;</w:t>
      </w:r>
    </w:p>
    <w:p w14:paraId="5C90C772" w14:textId="36725404" w:rsidR="00A920F2" w:rsidRDefault="007A406D" w:rsidP="005D5BFF">
      <w:pPr>
        <w:pStyle w:val="Paragraphedeliste"/>
        <w:suppressAutoHyphens w:val="0"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515C32">
        <w:rPr>
          <w:rFonts w:ascii="Times New Roman" w:hAnsi="Times New Roman"/>
          <w:color w:val="000000"/>
          <w:sz w:val="24"/>
          <w:szCs w:val="24"/>
        </w:rPr>
        <w:t>Marka ta’ bejn 8 u 10, it-tnejn inklużi: aħdar skur, referenza ta’ Pantone 347 C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46E6E96" w14:textId="3DD29816" w:rsidR="00A920F2" w:rsidRDefault="00515C32" w:rsidP="005D5BFF">
      <w:pPr>
        <w:pStyle w:val="Paragraphedeliste"/>
        <w:suppressAutoHyphens w:val="0"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t>Is-sinjalar obbligatorju għall-wiri tal-indiċi tar-riparabilità huwa r-rappreżentazzjoni grafika li tikkonsisti fil-kliem “indiċi tar-riparabilità” u l-pittogramma li tindika l-klassifikazzjoni tal-indiċi taħtha</w:t>
      </w:r>
      <w:r w:rsidR="007A406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B956C0C" w14:textId="77777777" w:rsidR="00A920F2" w:rsidRDefault="00A920F2" w:rsidP="005D5BFF">
      <w:pPr>
        <w:pStyle w:val="Paragraphedeliste"/>
        <w:suppressAutoHyphens w:val="0"/>
        <w:spacing w:after="0" w:line="240" w:lineRule="auto"/>
        <w:ind w:left="0"/>
      </w:pPr>
    </w:p>
    <w:p w14:paraId="6ADB906A" w14:textId="538AE45B" w:rsidR="007A406D" w:rsidRPr="005D5BFF" w:rsidRDefault="002D5456" w:rsidP="005D5BFF">
      <w:pPr>
        <w:pStyle w:val="Paragraphedeliste"/>
        <w:suppressAutoHyphens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D5BFF">
        <w:rPr>
          <w:rFonts w:ascii="Times New Roman" w:eastAsia="Times New Roman" w:hAnsi="Times New Roman" w:cs="Times New Roman"/>
          <w:sz w:val="24"/>
          <w:szCs w:val="24"/>
          <w:lang w:eastAsia="fr-FR"/>
        </w:rPr>
        <w:t>Tista’ tikkonsulta t-test kollu bl-istampi tiegħu mill-estratt</w:t>
      </w:r>
      <w:r w:rsidR="003C0582" w:rsidRPr="005D5B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tal-Ġurnal Uffiċjali elettroniku awtentikat aċċessibbli fil-qiegħ tal-paġna</w:t>
      </w:r>
      <w:r w:rsidR="007A406D" w:rsidRPr="005D5BFF">
        <w:rPr>
          <w:rFonts w:ascii="Times New Roman" w:hAnsi="Times New Roman"/>
          <w:sz w:val="24"/>
          <w:szCs w:val="24"/>
        </w:rPr>
        <w:t xml:space="preserve"> </w:t>
      </w:r>
    </w:p>
    <w:p w14:paraId="2DFA6109" w14:textId="77777777" w:rsidR="007A406D" w:rsidRPr="005D5BFF" w:rsidRDefault="007A406D" w:rsidP="005D5BFF">
      <w:pPr>
        <w:pStyle w:val="Paragraphedeliste"/>
        <w:suppressAutoHyphens w:val="0"/>
        <w:spacing w:after="0" w:line="240" w:lineRule="auto"/>
        <w:ind w:left="0"/>
        <w:rPr>
          <w:rFonts w:ascii="Times New Roman" w:hAnsi="Times New Roman"/>
          <w:color w:val="00B050"/>
          <w:sz w:val="24"/>
          <w:szCs w:val="24"/>
        </w:rPr>
      </w:pPr>
    </w:p>
    <w:p w14:paraId="5E50A51D" w14:textId="440ACFAD" w:rsidR="00A920F2" w:rsidRDefault="00515C32" w:rsidP="005D5BFF">
      <w:pPr>
        <w:pStyle w:val="Paragraphedeliste"/>
        <w:suppressAutoHyphens w:val="0"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t>Id-daqs tat-tipa taċ-ċifri fil-marka minn 10 irid ikun mill-inqas ekwivalenti għad-daqs tat-tipa taċ-ċifri tal-prezz fuq l-ixkaffa.</w:t>
      </w:r>
      <w:r w:rsidR="007A406D">
        <w:rPr>
          <w:rFonts w:ascii="Times New Roman" w:hAnsi="Times New Roman"/>
          <w:color w:val="000000"/>
          <w:sz w:val="24"/>
          <w:szCs w:val="24"/>
        </w:rPr>
        <w:t xml:space="preserve"> Kull aġġustament fid-daqs ta’ dan is-sinjalar irid jitwettaq b’mod omotetiku.</w:t>
      </w:r>
    </w:p>
    <w:p w14:paraId="56DB22C6" w14:textId="77777777" w:rsidR="00A920F2" w:rsidRDefault="00A920F2" w:rsidP="005D5BFF">
      <w:pPr>
        <w:pStyle w:val="Paragraphedeliste"/>
        <w:suppressAutoHyphens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14:paraId="2FD1EC95" w14:textId="7D4786A8" w:rsidR="00A920F2" w:rsidRDefault="00515C32" w:rsidP="005D5BFF">
      <w:pPr>
        <w:pStyle w:val="Paragraphedeliste"/>
        <w:suppressAutoHyphens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F’każ li l-indiċi jitwaħħal ukoll direttament fuq kull unità ta’ mudell jew fuq l-imballaġġ permezz ta’ tikkettar jew immarkar, id-daqs tar-rappreżentazzjoni grafika </w:t>
      </w:r>
      <w:r w:rsidR="007A406D">
        <w:rPr>
          <w:rFonts w:ascii="Times New Roman" w:hAnsi="Times New Roman"/>
          <w:color w:val="000000"/>
          <w:sz w:val="24"/>
          <w:szCs w:val="24"/>
        </w:rPr>
        <w:t>għand</w:t>
      </w:r>
      <w:r w:rsidR="00270294">
        <w:rPr>
          <w:rFonts w:ascii="Times New Roman" w:hAnsi="Times New Roman"/>
          <w:color w:val="000000"/>
          <w:sz w:val="24"/>
          <w:szCs w:val="24"/>
          <w:lang w:val="en-GB"/>
        </w:rPr>
        <w:t>u</w:t>
      </w:r>
      <w:r w:rsidR="007A40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294">
        <w:rPr>
          <w:rFonts w:ascii="Times New Roman" w:hAnsi="Times New Roman"/>
          <w:color w:val="000000"/>
          <w:sz w:val="24"/>
          <w:szCs w:val="24"/>
          <w:lang w:val="en-GB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 xml:space="preserve">kun viżibbli u </w:t>
      </w:r>
      <w:r w:rsidR="00270294">
        <w:rPr>
          <w:rFonts w:ascii="Times New Roman" w:hAnsi="Times New Roman"/>
          <w:color w:val="000000"/>
          <w:sz w:val="24"/>
          <w:szCs w:val="24"/>
          <w:lang w:val="en-GB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 xml:space="preserve">ista’ </w:t>
      </w:r>
      <w:r w:rsidR="00270294">
        <w:rPr>
          <w:rFonts w:ascii="Times New Roman" w:hAnsi="Times New Roman"/>
          <w:color w:val="000000"/>
          <w:sz w:val="24"/>
          <w:szCs w:val="24"/>
          <w:lang w:val="en-GB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inqara.</w:t>
      </w:r>
    </w:p>
    <w:p w14:paraId="236DE420" w14:textId="77777777" w:rsidR="00591C74" w:rsidRDefault="00591C74" w:rsidP="005D5BFF">
      <w:pPr>
        <w:pStyle w:val="Paragraphedeliste"/>
        <w:suppressAutoHyphens w:val="0"/>
        <w:spacing w:after="0" w:line="240" w:lineRule="auto"/>
        <w:ind w:left="448"/>
      </w:pPr>
    </w:p>
    <w:p w14:paraId="49D56ADA" w14:textId="481A1A25" w:rsidR="00A920F2" w:rsidRPr="00591C74" w:rsidRDefault="00515C32" w:rsidP="005D5BFF">
      <w:pPr>
        <w:keepNext/>
        <w:keepLines/>
        <w:autoSpaceDE w:val="0"/>
        <w:spacing w:after="0" w:line="240" w:lineRule="auto"/>
        <w:ind w:left="44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Artikolu 4</w:t>
      </w:r>
    </w:p>
    <w:p w14:paraId="1B711520" w14:textId="23CAF6A9" w:rsidR="00A920F2" w:rsidRDefault="00A920F2" w:rsidP="002D5456">
      <w:pPr>
        <w:keepNext/>
        <w:keepLines/>
        <w:autoSpaceDE w:val="0"/>
        <w:spacing w:after="0" w:line="240" w:lineRule="auto"/>
        <w:ind w:left="44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C657CEC" w14:textId="77777777" w:rsidR="003C0582" w:rsidRDefault="003C0582" w:rsidP="005D5BFF">
      <w:pPr>
        <w:keepNext/>
        <w:keepLines/>
        <w:autoSpaceDE w:val="0"/>
        <w:spacing w:after="0" w:line="240" w:lineRule="auto"/>
        <w:ind w:left="44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C441DA0" w14:textId="77777777" w:rsidR="00A920F2" w:rsidRPr="00C1795B" w:rsidRDefault="00515C32" w:rsidP="005D5BFF">
      <w:pPr>
        <w:autoSpaceDE w:val="0"/>
        <w:spacing w:after="0" w:line="240" w:lineRule="auto"/>
        <w:ind w:left="448"/>
        <w:rPr>
          <w:spacing w:val="-4"/>
        </w:rPr>
      </w:pPr>
      <w:r w:rsidRPr="00C1795B">
        <w:rPr>
          <w:rFonts w:ascii="Times New Roman" w:hAnsi="Times New Roman"/>
          <w:color w:val="000000"/>
          <w:spacing w:val="-4"/>
          <w:sz w:val="24"/>
          <w:szCs w:val="24"/>
        </w:rPr>
        <w:t>Kull sottokriterju tal-indiċi jingħata marka minn għaxra u jingħata koeffiċjent biex tinkiseb marka minn 20 għal kull kriterju, kif muri fit-tabella t’hawn taħt. Iż-żieda ma’ xulxin, b’ponderazzjoni indaqs, tal-marki ta’ kull kriterju tirriżulta f’total ta’ mija, li jitnaqqas għal marka minn għaxra tal-indiċi.</w:t>
      </w:r>
    </w:p>
    <w:p w14:paraId="3C317B63" w14:textId="77777777" w:rsidR="00A920F2" w:rsidRDefault="00A920F2" w:rsidP="005D5BFF">
      <w:pPr>
        <w:autoSpaceDE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14:paraId="51574CE5" w14:textId="77777777" w:rsidR="00A920F2" w:rsidRDefault="00515C32" w:rsidP="005D5BFF">
      <w:pPr>
        <w:pStyle w:val="SNSignatureGauche"/>
        <w:spacing w:before="0" w:after="0" w:line="240" w:lineRule="auto"/>
        <w:ind w:left="448" w:right="0" w:firstLine="0"/>
        <w:jc w:val="left"/>
      </w:pPr>
      <w:r>
        <w:rPr>
          <w:rFonts w:ascii="Times New Roman" w:hAnsi="Times New Roman"/>
          <w:color w:val="000000"/>
        </w:rPr>
        <w:t>Il-komunikazzjoni u d-disponibilità tal-parametri li ppermettew li jiġi stabbilit l-indiċi tar-riparabilità ta’ kull tagħmir huma ppreżentati f’konformità mat-tabella t’hawn taħt, f’format diġitali li ma jistax jiġi mmodifikat, b’qisien ta’ 21 x 29.7 cm.</w:t>
      </w:r>
    </w:p>
    <w:p w14:paraId="1D2DD56B" w14:textId="77777777" w:rsidR="00A920F2" w:rsidRDefault="00A920F2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288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114"/>
        <w:gridCol w:w="3437"/>
        <w:gridCol w:w="1177"/>
        <w:gridCol w:w="1424"/>
        <w:gridCol w:w="1004"/>
        <w:gridCol w:w="31"/>
        <w:gridCol w:w="1068"/>
        <w:gridCol w:w="31"/>
      </w:tblGrid>
      <w:tr w:rsidR="00A920F2" w:rsidRPr="00C1795B" w14:paraId="6B65B86A" w14:textId="77777777" w:rsidTr="00C1795B">
        <w:trPr>
          <w:gridAfter w:val="1"/>
          <w:wAfter w:w="16" w:type="pct"/>
        </w:trPr>
        <w:tc>
          <w:tcPr>
            <w:tcW w:w="10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6136C0" w14:textId="77777777" w:rsidR="00A920F2" w:rsidRPr="00C1795B" w:rsidRDefault="00515C32">
            <w:pPr>
              <w:keepNext/>
              <w:keepLines/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Kriterju</w:t>
            </w:r>
          </w:p>
        </w:tc>
        <w:tc>
          <w:tcPr>
            <w:tcW w:w="1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7E2529" w14:textId="77777777" w:rsidR="00A920F2" w:rsidRPr="00C1795B" w:rsidRDefault="00515C32">
            <w:pPr>
              <w:keepNext/>
              <w:keepLines/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Sottokriterju</w:t>
            </w:r>
          </w:p>
        </w:tc>
        <w:tc>
          <w:tcPr>
            <w:tcW w:w="5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06485B1" w14:textId="77777777" w:rsidR="00A920F2" w:rsidRPr="00C1795B" w:rsidRDefault="00515C32" w:rsidP="005D5BFF">
            <w:pPr>
              <w:keepNext/>
              <w:keepLines/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Marka tas-sottokriterju</w:t>
            </w:r>
          </w:p>
        </w:tc>
        <w:tc>
          <w:tcPr>
            <w:tcW w:w="69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7B69A213" w14:textId="77777777" w:rsidR="00A920F2" w:rsidRPr="00C1795B" w:rsidRDefault="00515C32" w:rsidP="005D5BFF">
            <w:pPr>
              <w:keepNext/>
              <w:keepLines/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Koeffiċjent tas-sottokriterju</w:t>
            </w:r>
          </w:p>
        </w:tc>
        <w:tc>
          <w:tcPr>
            <w:tcW w:w="4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E7BBDBF" w14:textId="77777777" w:rsidR="00A920F2" w:rsidRPr="00C1795B" w:rsidRDefault="00515C32" w:rsidP="005D5BFF">
            <w:pPr>
              <w:keepNext/>
              <w:keepLines/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Marka tal-kriterju</w:t>
            </w:r>
          </w:p>
        </w:tc>
        <w:tc>
          <w:tcPr>
            <w:tcW w:w="53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C2B1232" w14:textId="77777777" w:rsidR="00A920F2" w:rsidRPr="00C1795B" w:rsidRDefault="00515C32" w:rsidP="005D5BFF">
            <w:pPr>
              <w:keepNext/>
              <w:keepLines/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Total tal-marki tal-kriterji</w:t>
            </w:r>
          </w:p>
        </w:tc>
      </w:tr>
      <w:tr w:rsidR="00A920F2" w:rsidRPr="00C1795B" w14:paraId="578D057A" w14:textId="77777777" w:rsidTr="00C1795B">
        <w:trPr>
          <w:gridAfter w:val="1"/>
          <w:wAfter w:w="16" w:type="pct"/>
        </w:trPr>
        <w:tc>
          <w:tcPr>
            <w:tcW w:w="10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60B9D0" w14:textId="77777777" w:rsidR="00A920F2" w:rsidRPr="006A7143" w:rsidRDefault="00515C32">
            <w:pPr>
              <w:suppressAutoHyphens w:val="0"/>
              <w:spacing w:after="0" w:line="240" w:lineRule="auto"/>
              <w:rPr>
                <w:bCs/>
                <w:spacing w:val="-6"/>
              </w:rPr>
            </w:pPr>
            <w:r w:rsidRPr="005D5BF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 Dokumentazzjoni</w:t>
            </w:r>
          </w:p>
        </w:tc>
        <w:tc>
          <w:tcPr>
            <w:tcW w:w="1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C52B6A" w14:textId="77777777" w:rsidR="00A920F2" w:rsidRPr="00C1795B" w:rsidRDefault="00515C32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1.1. Perjodu tad-disponibilità tad-dokumentazzjoni teknika u dik dwar il-pariri dwar l-użu u l-manutenzjoni</w:t>
            </w:r>
          </w:p>
        </w:tc>
        <w:tc>
          <w:tcPr>
            <w:tcW w:w="572" w:type="pct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341F6CF5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9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34A3B8C3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4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7F3EECE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▀▀/20</w:t>
            </w:r>
          </w:p>
        </w:tc>
        <w:tc>
          <w:tcPr>
            <w:tcW w:w="534" w:type="pct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41CFFC5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▀▀/100</w:t>
            </w:r>
          </w:p>
        </w:tc>
      </w:tr>
      <w:tr w:rsidR="00A920F2" w:rsidRPr="00C1795B" w14:paraId="6DC229C8" w14:textId="77777777" w:rsidTr="00C1795B">
        <w:trPr>
          <w:gridAfter w:val="1"/>
          <w:wAfter w:w="16" w:type="pct"/>
        </w:trPr>
        <w:tc>
          <w:tcPr>
            <w:tcW w:w="1028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17FC26" w14:textId="77777777" w:rsidR="00A920F2" w:rsidRPr="006A7143" w:rsidRDefault="00515C32">
            <w:pPr>
              <w:suppressAutoHyphens w:val="0"/>
              <w:spacing w:after="0" w:line="240" w:lineRule="auto"/>
              <w:rPr>
                <w:bCs/>
                <w:spacing w:val="-6"/>
              </w:rPr>
            </w:pPr>
            <w:r w:rsidRPr="005D5BF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 Kapaċità taż-żarmar u aċċess, għodod, irbit</w:t>
            </w:r>
          </w:p>
        </w:tc>
        <w:tc>
          <w:tcPr>
            <w:tcW w:w="1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312E0D" w14:textId="34366762" w:rsidR="00A920F2" w:rsidRPr="00C1795B" w:rsidRDefault="00515C32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2.1. Kemm hu faċli li jiżżarmaw il-parts tal-lista 2*</w:t>
            </w:r>
            <w:r w:rsidR="00A872F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r w:rsidR="00A872F8"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*</w:t>
            </w:r>
            <w:r w:rsidR="00A872F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5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8C05FF3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9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272D9BBC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488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BBC4674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▀▀/20</w:t>
            </w:r>
          </w:p>
        </w:tc>
        <w:tc>
          <w:tcPr>
            <w:tcW w:w="534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0E78ABD" w14:textId="77777777" w:rsidR="00A920F2" w:rsidRPr="00C1795B" w:rsidRDefault="00A920F2" w:rsidP="005D5BFF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C1795B" w14:paraId="6BB1C210" w14:textId="77777777" w:rsidTr="00C1795B">
        <w:trPr>
          <w:gridAfter w:val="1"/>
          <w:wAfter w:w="16" w:type="pct"/>
        </w:trPr>
        <w:tc>
          <w:tcPr>
            <w:tcW w:w="102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C9D58B" w14:textId="77777777" w:rsidR="00A920F2" w:rsidRPr="005D5BFF" w:rsidRDefault="00A920F2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1200F2" w14:textId="77777777" w:rsidR="00A920F2" w:rsidRPr="00C1795B" w:rsidRDefault="00515C32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2.2. Għodod meħtieġa (lista 2)</w:t>
            </w:r>
          </w:p>
        </w:tc>
        <w:tc>
          <w:tcPr>
            <w:tcW w:w="5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BBB40BF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9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49AFAA8A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0.5</w:t>
            </w:r>
          </w:p>
        </w:tc>
        <w:tc>
          <w:tcPr>
            <w:tcW w:w="488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32E5116" w14:textId="77777777" w:rsidR="00A920F2" w:rsidRPr="00C1795B" w:rsidRDefault="00A920F2" w:rsidP="005D5BFF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2E9BAD8" w14:textId="77777777" w:rsidR="00A920F2" w:rsidRPr="00C1795B" w:rsidRDefault="00A920F2" w:rsidP="005D5BFF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C1795B" w14:paraId="1AB7D959" w14:textId="77777777" w:rsidTr="00C1795B">
        <w:trPr>
          <w:gridAfter w:val="1"/>
          <w:wAfter w:w="16" w:type="pct"/>
        </w:trPr>
        <w:tc>
          <w:tcPr>
            <w:tcW w:w="102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6ED899" w14:textId="77777777" w:rsidR="00A920F2" w:rsidRPr="005D5BFF" w:rsidRDefault="00A920F2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7837EE" w14:textId="57D0EF94" w:rsidR="00A920F2" w:rsidRPr="00C1795B" w:rsidRDefault="00515C32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2.3. Karatteristiċi tal-irbit bejn il-parts tal-lista 1** </w:t>
            </w:r>
            <w:r w:rsidR="00A872F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(</w:t>
            </w:r>
            <w:r w:rsidR="00A872F8"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**</w:t>
            </w:r>
            <w:r w:rsidR="00A872F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) </w:t>
            </w: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u tal-lista 2</w:t>
            </w:r>
          </w:p>
        </w:tc>
        <w:tc>
          <w:tcPr>
            <w:tcW w:w="5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F0670D6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9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1523B79B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0.5</w:t>
            </w:r>
          </w:p>
        </w:tc>
        <w:tc>
          <w:tcPr>
            <w:tcW w:w="488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6478470" w14:textId="77777777" w:rsidR="00A920F2" w:rsidRPr="00C1795B" w:rsidRDefault="00A920F2" w:rsidP="005D5BFF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0B068F8" w14:textId="77777777" w:rsidR="00A920F2" w:rsidRPr="00C1795B" w:rsidRDefault="00A920F2" w:rsidP="005D5BFF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C1795B" w14:paraId="00B4E287" w14:textId="77777777" w:rsidTr="00C1795B">
        <w:trPr>
          <w:gridAfter w:val="1"/>
          <w:wAfter w:w="16" w:type="pct"/>
        </w:trPr>
        <w:tc>
          <w:tcPr>
            <w:tcW w:w="1028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19EA59" w14:textId="77777777" w:rsidR="00A920F2" w:rsidRPr="006A7143" w:rsidRDefault="00515C32">
            <w:pPr>
              <w:suppressAutoHyphens w:val="0"/>
              <w:spacing w:after="0" w:line="240" w:lineRule="auto"/>
              <w:rPr>
                <w:bCs/>
                <w:spacing w:val="-6"/>
              </w:rPr>
            </w:pPr>
            <w:r w:rsidRPr="005D5BF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3. Disponibilità tal-parts tal-bdil</w:t>
            </w:r>
          </w:p>
        </w:tc>
        <w:tc>
          <w:tcPr>
            <w:tcW w:w="1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4028F4" w14:textId="77777777" w:rsidR="00A920F2" w:rsidRPr="00C1795B" w:rsidRDefault="00515C32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3.1. Il-perjodu tad-disponibilità tal-parts tal-lista 2</w:t>
            </w:r>
          </w:p>
        </w:tc>
        <w:tc>
          <w:tcPr>
            <w:tcW w:w="5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B700391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9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63458CF1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488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E3CED63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▀▀/20</w:t>
            </w:r>
          </w:p>
        </w:tc>
        <w:tc>
          <w:tcPr>
            <w:tcW w:w="534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26BE821" w14:textId="77777777" w:rsidR="00A920F2" w:rsidRPr="00C1795B" w:rsidRDefault="00A920F2" w:rsidP="005D5BFF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C1795B" w14:paraId="305BC84A" w14:textId="77777777" w:rsidTr="00C1795B">
        <w:trPr>
          <w:gridAfter w:val="1"/>
          <w:wAfter w:w="16" w:type="pct"/>
        </w:trPr>
        <w:tc>
          <w:tcPr>
            <w:tcW w:w="102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6312CA" w14:textId="77777777" w:rsidR="00A920F2" w:rsidRPr="00C1795B" w:rsidRDefault="00A920F2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D48D45" w14:textId="77777777" w:rsidR="00A920F2" w:rsidRPr="00C1795B" w:rsidRDefault="00515C32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3.2. Il-perjodu tad-disponibilità tal-parts tal-lista 1</w:t>
            </w:r>
          </w:p>
        </w:tc>
        <w:tc>
          <w:tcPr>
            <w:tcW w:w="5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23C5826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9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000E799C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0.5</w:t>
            </w:r>
          </w:p>
        </w:tc>
        <w:tc>
          <w:tcPr>
            <w:tcW w:w="488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465BF3F1" w14:textId="77777777" w:rsidR="00A920F2" w:rsidRPr="00C1795B" w:rsidRDefault="00A920F2" w:rsidP="005D5BFF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0AA4D14" w14:textId="77777777" w:rsidR="00A920F2" w:rsidRPr="00C1795B" w:rsidRDefault="00A920F2" w:rsidP="005D5BFF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C1795B" w14:paraId="22159D67" w14:textId="77777777" w:rsidTr="00C1795B">
        <w:trPr>
          <w:gridAfter w:val="1"/>
          <w:wAfter w:w="16" w:type="pct"/>
        </w:trPr>
        <w:tc>
          <w:tcPr>
            <w:tcW w:w="102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1F986C" w14:textId="77777777" w:rsidR="00A920F2" w:rsidRPr="00C1795B" w:rsidRDefault="00A920F2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274365" w14:textId="77777777" w:rsidR="00A920F2" w:rsidRPr="00C1795B" w:rsidRDefault="00515C32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3.3. Iż-żmien tal-kunsinna tal-parts tal-lista 2</w:t>
            </w:r>
          </w:p>
        </w:tc>
        <w:tc>
          <w:tcPr>
            <w:tcW w:w="5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44516391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9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01657E7B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0.3</w:t>
            </w:r>
          </w:p>
        </w:tc>
        <w:tc>
          <w:tcPr>
            <w:tcW w:w="488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DB1EF21" w14:textId="77777777" w:rsidR="00A920F2" w:rsidRPr="00C1795B" w:rsidRDefault="00A920F2" w:rsidP="005D5BFF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E2F928B" w14:textId="77777777" w:rsidR="00A920F2" w:rsidRPr="00C1795B" w:rsidRDefault="00A920F2" w:rsidP="005D5BFF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C1795B" w14:paraId="6709F8E8" w14:textId="77777777" w:rsidTr="00C1795B">
        <w:trPr>
          <w:gridAfter w:val="1"/>
          <w:wAfter w:w="16" w:type="pct"/>
        </w:trPr>
        <w:tc>
          <w:tcPr>
            <w:tcW w:w="102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442B68" w14:textId="77777777" w:rsidR="00A920F2" w:rsidRPr="00C1795B" w:rsidRDefault="00A920F2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4212B3" w14:textId="77777777" w:rsidR="00A920F2" w:rsidRPr="00C1795B" w:rsidRDefault="00515C32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3.4. Iż-żmien tal-kunsinna tal-parts tal-lista 1</w:t>
            </w:r>
          </w:p>
        </w:tc>
        <w:tc>
          <w:tcPr>
            <w:tcW w:w="5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DD46464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9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281BF5DE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0.2</w:t>
            </w:r>
          </w:p>
        </w:tc>
        <w:tc>
          <w:tcPr>
            <w:tcW w:w="488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3B41F90" w14:textId="77777777" w:rsidR="00A920F2" w:rsidRPr="00C1795B" w:rsidRDefault="00A920F2" w:rsidP="005D5BFF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02BAFF4" w14:textId="77777777" w:rsidR="00A920F2" w:rsidRPr="00C1795B" w:rsidRDefault="00A920F2" w:rsidP="005D5BFF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C1795B" w14:paraId="70BEB92F" w14:textId="77777777" w:rsidTr="00C1795B">
        <w:trPr>
          <w:gridAfter w:val="1"/>
          <w:wAfter w:w="16" w:type="pct"/>
        </w:trPr>
        <w:tc>
          <w:tcPr>
            <w:tcW w:w="10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9ED140" w14:textId="77777777" w:rsidR="00A920F2" w:rsidRPr="006A7143" w:rsidRDefault="00515C32">
            <w:pPr>
              <w:suppressAutoHyphens w:val="0"/>
              <w:spacing w:after="0" w:line="240" w:lineRule="auto"/>
              <w:rPr>
                <w:bCs/>
                <w:spacing w:val="-6"/>
              </w:rPr>
            </w:pPr>
            <w:r w:rsidRPr="005D5BF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4. Prezz tal-parts tal-bdil</w:t>
            </w:r>
          </w:p>
        </w:tc>
        <w:tc>
          <w:tcPr>
            <w:tcW w:w="1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E261E" w14:textId="77777777" w:rsidR="00A920F2" w:rsidRPr="00C1795B" w:rsidRDefault="00515C32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4.1. Il-proporzjon tal-prezz tal-parts tal-lista 2 mal-prezz ta’ tagħmir ġdid</w:t>
            </w:r>
          </w:p>
        </w:tc>
        <w:tc>
          <w:tcPr>
            <w:tcW w:w="5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E992AA3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9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25056B9C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4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BFE0295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▀▀/20</w:t>
            </w:r>
          </w:p>
        </w:tc>
        <w:tc>
          <w:tcPr>
            <w:tcW w:w="534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AB5EFD6" w14:textId="77777777" w:rsidR="00A920F2" w:rsidRPr="00C1795B" w:rsidRDefault="00A920F2" w:rsidP="005D5BFF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C1795B" w14:paraId="2FA436FF" w14:textId="77777777" w:rsidTr="00C1795B">
        <w:trPr>
          <w:gridAfter w:val="1"/>
          <w:wAfter w:w="16" w:type="pct"/>
        </w:trPr>
        <w:tc>
          <w:tcPr>
            <w:tcW w:w="1028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D3351C" w14:textId="77777777" w:rsidR="00A920F2" w:rsidRPr="006A7143" w:rsidRDefault="00515C32">
            <w:pPr>
              <w:suppressAutoHyphens w:val="0"/>
              <w:spacing w:after="0" w:line="240" w:lineRule="auto"/>
              <w:rPr>
                <w:bCs/>
                <w:spacing w:val="-6"/>
              </w:rPr>
            </w:pPr>
            <w:r w:rsidRPr="005D5BF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5. Kriterju speċifiku</w:t>
            </w:r>
          </w:p>
          <w:p w14:paraId="44A968E2" w14:textId="77777777" w:rsidR="00A920F2" w:rsidRPr="005D5BFF" w:rsidRDefault="00515C3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5D5BF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(eżempju bi 3 sottokriterji)</w:t>
            </w:r>
          </w:p>
        </w:tc>
        <w:tc>
          <w:tcPr>
            <w:tcW w:w="1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298DA7" w14:textId="77777777" w:rsidR="00A920F2" w:rsidRPr="00C1795B" w:rsidRDefault="00515C32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5.1. </w:t>
            </w:r>
          </w:p>
        </w:tc>
        <w:tc>
          <w:tcPr>
            <w:tcW w:w="5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F2C1A8D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9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5A03A016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488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821586A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▀▀/20</w:t>
            </w:r>
          </w:p>
        </w:tc>
        <w:tc>
          <w:tcPr>
            <w:tcW w:w="534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249ADFB" w14:textId="77777777" w:rsidR="00A920F2" w:rsidRPr="00C1795B" w:rsidRDefault="00A920F2" w:rsidP="005D5BFF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C1795B" w14:paraId="08419BFE" w14:textId="77777777" w:rsidTr="00C1795B">
        <w:trPr>
          <w:gridAfter w:val="1"/>
          <w:wAfter w:w="16" w:type="pct"/>
        </w:trPr>
        <w:tc>
          <w:tcPr>
            <w:tcW w:w="102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EB30C" w14:textId="77777777" w:rsidR="00A920F2" w:rsidRPr="005D5BFF" w:rsidRDefault="00A920F2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87A81A" w14:textId="77777777" w:rsidR="00A920F2" w:rsidRPr="00C1795B" w:rsidRDefault="00515C32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5.2.</w:t>
            </w:r>
          </w:p>
        </w:tc>
        <w:tc>
          <w:tcPr>
            <w:tcW w:w="5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248D7FF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9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0F931081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0.5</w:t>
            </w:r>
          </w:p>
        </w:tc>
        <w:tc>
          <w:tcPr>
            <w:tcW w:w="488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7ECE78D" w14:textId="77777777" w:rsidR="00A920F2" w:rsidRPr="00C1795B" w:rsidRDefault="00A920F2" w:rsidP="005D5BFF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67BD905" w14:textId="77777777" w:rsidR="00A920F2" w:rsidRPr="00C1795B" w:rsidRDefault="00A920F2" w:rsidP="005D5BFF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C1795B" w14:paraId="587FC3AA" w14:textId="77777777" w:rsidTr="00C1795B">
        <w:trPr>
          <w:gridAfter w:val="1"/>
          <w:wAfter w:w="16" w:type="pct"/>
        </w:trPr>
        <w:tc>
          <w:tcPr>
            <w:tcW w:w="102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0A0676" w14:textId="77777777" w:rsidR="00A920F2" w:rsidRPr="005D5BFF" w:rsidRDefault="00A920F2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A6B6A2" w14:textId="77777777" w:rsidR="00A920F2" w:rsidRPr="00C1795B" w:rsidRDefault="00515C32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5.3.</w:t>
            </w:r>
          </w:p>
        </w:tc>
        <w:tc>
          <w:tcPr>
            <w:tcW w:w="5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DB92F8D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9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44623819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0.5</w:t>
            </w:r>
          </w:p>
        </w:tc>
        <w:tc>
          <w:tcPr>
            <w:tcW w:w="488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70EE4F0" w14:textId="77777777" w:rsidR="00A920F2" w:rsidRPr="00C1795B" w:rsidRDefault="00A920F2" w:rsidP="005D5BFF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1717419" w14:textId="77777777" w:rsidR="00A920F2" w:rsidRPr="00C1795B" w:rsidRDefault="00A920F2" w:rsidP="005D5BFF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C1795B" w14:paraId="4B9C7E75" w14:textId="77777777" w:rsidTr="00C1795B">
        <w:tc>
          <w:tcPr>
            <w:tcW w:w="4466" w:type="pct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8822FC5" w14:textId="77777777" w:rsidR="00A920F2" w:rsidRPr="006A7143" w:rsidRDefault="00515C32">
            <w:pPr>
              <w:suppressAutoHyphens w:val="0"/>
              <w:spacing w:after="0" w:line="240" w:lineRule="auto"/>
              <w:jc w:val="right"/>
              <w:rPr>
                <w:bCs/>
                <w:spacing w:val="-6"/>
              </w:rPr>
            </w:pPr>
            <w:r w:rsidRPr="005D5BF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Marka tal-indiċi </w:t>
            </w:r>
          </w:p>
        </w:tc>
        <w:tc>
          <w:tcPr>
            <w:tcW w:w="534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56F5854" w14:textId="77777777" w:rsidR="00A920F2" w:rsidRPr="00C1795B" w:rsidRDefault="00515C32" w:rsidP="005D5BFF">
            <w:pPr>
              <w:suppressAutoHyphens w:val="0"/>
              <w:spacing w:after="0" w:line="240" w:lineRule="auto"/>
              <w:rPr>
                <w:spacing w:val="-6"/>
              </w:rPr>
            </w:pPr>
            <w:r w:rsidRPr="00C1795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</w:tr>
      <w:tr w:rsidR="00A920F2" w:rsidRPr="00C1795B" w14:paraId="72409CF9" w14:textId="77777777" w:rsidTr="00C1795B">
        <w:tc>
          <w:tcPr>
            <w:tcW w:w="5000" w:type="pct"/>
            <w:gridSpan w:val="8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DAC36BB" w14:textId="2C69EB23" w:rsidR="00A920F2" w:rsidRPr="006A7143" w:rsidRDefault="00A872F8" w:rsidP="005D5BFF">
            <w:pPr>
              <w:pStyle w:val="SNSignatureGauche"/>
              <w:suppressAutoHyphens w:val="0"/>
              <w:spacing w:before="0" w:after="0" w:line="240" w:lineRule="auto"/>
              <w:ind w:left="0" w:right="0" w:firstLine="0"/>
              <w:jc w:val="left"/>
              <w:rPr>
                <w:iCs/>
                <w:spacing w:val="-6"/>
              </w:rPr>
            </w:pPr>
            <w:r w:rsidRPr="005D5BFF">
              <w:rPr>
                <w:rFonts w:ascii="Times New Roman" w:hAnsi="Times New Roman"/>
                <w:iCs/>
                <w:color w:val="000000"/>
                <w:spacing w:val="-6"/>
              </w:rPr>
              <w:t>(</w:t>
            </w:r>
            <w:r w:rsidR="00515C32" w:rsidRPr="005D5BFF">
              <w:rPr>
                <w:rFonts w:ascii="Times New Roman" w:hAnsi="Times New Roman"/>
                <w:iCs/>
                <w:color w:val="000000"/>
                <w:spacing w:val="-6"/>
              </w:rPr>
              <w:t>*</w:t>
            </w:r>
            <w:r w:rsidRPr="005D5BFF">
              <w:rPr>
                <w:rFonts w:ascii="Times New Roman" w:hAnsi="Times New Roman"/>
                <w:iCs/>
                <w:color w:val="000000"/>
                <w:spacing w:val="-6"/>
              </w:rPr>
              <w:t>) L</w:t>
            </w:r>
            <w:r w:rsidR="00515C32" w:rsidRPr="005D5BFF">
              <w:rPr>
                <w:rFonts w:ascii="Times New Roman" w:hAnsi="Times New Roman"/>
                <w:iCs/>
                <w:color w:val="000000"/>
                <w:spacing w:val="-6"/>
              </w:rPr>
              <w:t>ista 2: lista ta’ mhux aktar minn 3 sa 5 parts tal-bdil (skont il-kategorija tat-tagħmir ikkonċernat) fejn il-ksur jew il-ħsarat huma l-aktar frekwenti;</w:t>
            </w:r>
          </w:p>
          <w:p w14:paraId="62BC70CF" w14:textId="766E748E" w:rsidR="00A920F2" w:rsidRPr="00C1795B" w:rsidRDefault="00A872F8" w:rsidP="005D5BFF">
            <w:pPr>
              <w:pStyle w:val="SNSignatureGauche"/>
              <w:suppressAutoHyphens w:val="0"/>
              <w:spacing w:before="0" w:after="0" w:line="240" w:lineRule="auto"/>
              <w:ind w:left="0" w:right="0" w:firstLine="0"/>
              <w:jc w:val="left"/>
              <w:rPr>
                <w:spacing w:val="-6"/>
              </w:rPr>
            </w:pPr>
            <w:r w:rsidRPr="005D5BFF">
              <w:rPr>
                <w:rFonts w:ascii="Times New Roman" w:hAnsi="Times New Roman"/>
                <w:iCs/>
                <w:color w:val="000000"/>
                <w:spacing w:val="-6"/>
              </w:rPr>
              <w:t>(</w:t>
            </w:r>
            <w:r w:rsidR="00515C32" w:rsidRPr="005D5BFF">
              <w:rPr>
                <w:rFonts w:ascii="Times New Roman" w:hAnsi="Times New Roman"/>
                <w:iCs/>
                <w:color w:val="000000"/>
                <w:spacing w:val="-6"/>
              </w:rPr>
              <w:t>**</w:t>
            </w:r>
            <w:r w:rsidRPr="005D5BFF">
              <w:rPr>
                <w:rFonts w:ascii="Times New Roman" w:hAnsi="Times New Roman"/>
                <w:iCs/>
                <w:color w:val="000000"/>
                <w:spacing w:val="-6"/>
              </w:rPr>
              <w:t>) L</w:t>
            </w:r>
            <w:r w:rsidR="00515C32" w:rsidRPr="005D5BFF">
              <w:rPr>
                <w:rFonts w:ascii="Times New Roman" w:hAnsi="Times New Roman"/>
                <w:iCs/>
                <w:color w:val="000000"/>
                <w:spacing w:val="-6"/>
              </w:rPr>
              <w:t>ista 1: lista ta’ mhux aktar minn 10 parts tal-bdil oħrajn (skont il-kategorija tat-tagħmir ikkonċernat) fejn hu meħtieġ stat tajjeb biex jiffunzjona t-tagħmir.</w:t>
            </w:r>
          </w:p>
        </w:tc>
      </w:tr>
    </w:tbl>
    <w:p w14:paraId="3DBE2D64" w14:textId="067A596F" w:rsidR="00A920F2" w:rsidRDefault="003C0582" w:rsidP="005D5BFF">
      <w:pPr>
        <w:pageBreakBefore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G</w:t>
      </w:r>
      <w:r w:rsidR="00515C32">
        <w:rPr>
          <w:rFonts w:ascii="Times New Roman" w:hAnsi="Times New Roman"/>
          <w:color w:val="000000"/>
          <w:sz w:val="24"/>
          <w:szCs w:val="24"/>
        </w:rPr>
        <w:t>ħal kriterju wieħed, is-somma tal-koeffiċjenti tas-sottokriterji hija ugwali għal 2.</w:t>
      </w:r>
    </w:p>
    <w:p w14:paraId="43E01C83" w14:textId="77777777" w:rsidR="009451F9" w:rsidRDefault="00515C32" w:rsidP="005D5BFF">
      <w:pPr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It-tabelli tal-marki ddettaljati speċifiċi għal kull kategorija ta’ tagħmir, li jindikaw il-listi tal-parts u d-dettalji ta’ kull sottokriterju, huma ddefiniti fl-Ordni.</w:t>
      </w:r>
    </w:p>
    <w:p w14:paraId="07B29680" w14:textId="77777777" w:rsidR="00A920F2" w:rsidRDefault="00A920F2" w:rsidP="005D5BFF">
      <w:pPr>
        <w:spacing w:after="0" w:line="240" w:lineRule="auto"/>
        <w:ind w:left="448"/>
      </w:pPr>
    </w:p>
    <w:p w14:paraId="694455DC" w14:textId="1EC5B5E4" w:rsidR="00591C74" w:rsidRDefault="00515C32" w:rsidP="005D5BFF">
      <w:pPr>
        <w:pStyle w:val="SNSignatureGauche"/>
        <w:keepNext/>
        <w:keepLines/>
        <w:spacing w:before="0" w:after="0" w:line="240" w:lineRule="auto"/>
        <w:ind w:left="448" w:right="0" w:firstLine="0"/>
        <w:jc w:val="lef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Artikolu 5</w:t>
      </w:r>
    </w:p>
    <w:p w14:paraId="7D9EBCF3" w14:textId="45C0BE3F" w:rsidR="00591C74" w:rsidRDefault="00591C74" w:rsidP="002D5456">
      <w:pPr>
        <w:pStyle w:val="SNSignatureGauche"/>
        <w:keepNext/>
        <w:keepLines/>
        <w:spacing w:before="0" w:after="0" w:line="240" w:lineRule="auto"/>
        <w:ind w:left="448" w:right="0" w:firstLine="0"/>
        <w:jc w:val="left"/>
        <w:rPr>
          <w:rFonts w:ascii="Times New Roman" w:hAnsi="Times New Roman"/>
          <w:b/>
          <w:color w:val="000000"/>
        </w:rPr>
      </w:pPr>
    </w:p>
    <w:p w14:paraId="0E4F5706" w14:textId="77777777" w:rsidR="003C0582" w:rsidRDefault="003C0582" w:rsidP="005D5BFF">
      <w:pPr>
        <w:pStyle w:val="SNSignatureGauche"/>
        <w:keepNext/>
        <w:keepLines/>
        <w:spacing w:before="0" w:after="0" w:line="240" w:lineRule="auto"/>
        <w:ind w:left="448" w:right="0" w:firstLine="0"/>
        <w:jc w:val="left"/>
        <w:rPr>
          <w:rFonts w:ascii="Times New Roman" w:hAnsi="Times New Roman"/>
          <w:b/>
          <w:color w:val="000000"/>
        </w:rPr>
      </w:pPr>
    </w:p>
    <w:p w14:paraId="4DC3A2EC" w14:textId="21DFB902" w:rsidR="00591C74" w:rsidRPr="005D5BFF" w:rsidRDefault="00515C32" w:rsidP="005D5BFF">
      <w:pPr>
        <w:pStyle w:val="SNSignatureGauche"/>
        <w:keepNext/>
        <w:keepLines/>
        <w:spacing w:before="0" w:after="0" w:line="240" w:lineRule="auto"/>
        <w:ind w:left="448" w:right="0" w:firstLine="0"/>
        <w:jc w:val="left"/>
        <w:rPr>
          <w:rFonts w:ascii="Times New Roman" w:hAnsi="Times New Roman"/>
          <w:bCs/>
          <w:color w:val="000000"/>
        </w:rPr>
      </w:pPr>
      <w:r w:rsidRPr="005D5BFF">
        <w:rPr>
          <w:rFonts w:ascii="Times New Roman" w:hAnsi="Times New Roman"/>
          <w:bCs/>
          <w:color w:val="000000"/>
        </w:rPr>
        <w:t xml:space="preserve">Kriterju Nru 1 </w:t>
      </w:r>
      <w:r w:rsidR="00A872F8" w:rsidRPr="005D5BFF">
        <w:rPr>
          <w:rFonts w:ascii="Times New Roman" w:hAnsi="Times New Roman"/>
          <w:bCs/>
          <w:color w:val="000000"/>
        </w:rPr>
        <w:t xml:space="preserve">- </w:t>
      </w:r>
      <w:r w:rsidRPr="005D5BFF">
        <w:rPr>
          <w:rFonts w:ascii="Times New Roman" w:hAnsi="Times New Roman"/>
          <w:bCs/>
          <w:color w:val="000000"/>
        </w:rPr>
        <w:t>Dokumentazzjoni:</w:t>
      </w:r>
    </w:p>
    <w:p w14:paraId="01386CBB" w14:textId="77777777" w:rsidR="009451F9" w:rsidRPr="005D5BFF" w:rsidRDefault="00515C32" w:rsidP="005D5BFF">
      <w:pPr>
        <w:pStyle w:val="SNSignatureGauche"/>
        <w:keepNext/>
        <w:keepLines/>
        <w:spacing w:before="0" w:after="0" w:line="240" w:lineRule="auto"/>
        <w:ind w:left="448" w:right="0" w:firstLine="0"/>
        <w:jc w:val="left"/>
        <w:rPr>
          <w:rFonts w:ascii="Times New Roman" w:hAnsi="Times New Roman"/>
          <w:bCs/>
          <w:color w:val="000000"/>
        </w:rPr>
      </w:pPr>
      <w:r w:rsidRPr="005D5BFF">
        <w:rPr>
          <w:rFonts w:ascii="Times New Roman" w:hAnsi="Times New Roman"/>
          <w:bCs/>
          <w:color w:val="000000"/>
        </w:rPr>
        <w:t>Sottokriterju 1.1: Perjodu tad-disponibilità tad-dokumentazzjoni teknika u dik dwar il-pariri dwar l-użu u l-manutenzjoni</w:t>
      </w:r>
    </w:p>
    <w:p w14:paraId="6CAFF2DC" w14:textId="77777777" w:rsidR="00A920F2" w:rsidRPr="008F3089" w:rsidRDefault="00515C32" w:rsidP="005D5BFF">
      <w:pPr>
        <w:suppressAutoHyphens w:val="0"/>
        <w:spacing w:after="0" w:line="240" w:lineRule="auto"/>
        <w:ind w:left="448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6A7143"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Iddeterminat mill-impenn tal-produttur li jagħmel disponibbli mingħajr ħlas, għal numru ta’ snin mit-tqegħid fis-suq tal-aħħar unità, id-dokumenti tekniċi għas-sewwejja akkreditati u indipendenti, u għall-konsumaturi, kif ukoll id-dokumenti dwar il-pariri </w:t>
      </w:r>
      <w:r w:rsidRPr="008F3089">
        <w:rPr>
          <w:rFonts w:ascii="Times New Roman" w:hAnsi="Times New Roman"/>
          <w:bCs/>
          <w:color w:val="000000"/>
          <w:spacing w:val="-4"/>
          <w:sz w:val="24"/>
          <w:szCs w:val="24"/>
        </w:rPr>
        <w:t>dwar l-użu u l-manutenzjoni għall-konsumaturi.</w:t>
      </w:r>
    </w:p>
    <w:p w14:paraId="1527BC93" w14:textId="1EC938A7" w:rsidR="00A920F2" w:rsidRPr="006A7143" w:rsidRDefault="00515C32" w:rsidP="005D5BFF">
      <w:pPr>
        <w:keepNext/>
        <w:keepLines/>
        <w:suppressAutoHyphens w:val="0"/>
        <w:spacing w:after="0" w:line="240" w:lineRule="auto"/>
        <w:ind w:left="448"/>
        <w:rPr>
          <w:bCs/>
        </w:rPr>
      </w:pPr>
      <w:r w:rsidRPr="005D5BFF">
        <w:rPr>
          <w:rFonts w:ascii="Times New Roman" w:hAnsi="Times New Roman"/>
          <w:bCs/>
          <w:color w:val="000000"/>
          <w:sz w:val="24"/>
          <w:szCs w:val="24"/>
        </w:rPr>
        <w:t xml:space="preserve">Kriterju Nru 2 </w:t>
      </w:r>
      <w:r w:rsidR="00A872F8" w:rsidRPr="005D5BFF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5D5BFF">
        <w:rPr>
          <w:rFonts w:ascii="Times New Roman" w:hAnsi="Times New Roman"/>
          <w:bCs/>
          <w:color w:val="000000"/>
          <w:sz w:val="24"/>
          <w:szCs w:val="24"/>
        </w:rPr>
        <w:t>Kapaċità taż-żarmar u aċċess, għodod, irbit</w:t>
      </w:r>
    </w:p>
    <w:p w14:paraId="56580109" w14:textId="43A01C01" w:rsidR="00A920F2" w:rsidRPr="006A7143" w:rsidRDefault="00515C32" w:rsidP="005D5BFF">
      <w:pPr>
        <w:keepNext/>
        <w:keepLines/>
        <w:suppressAutoHyphens w:val="0"/>
        <w:spacing w:after="0" w:line="240" w:lineRule="auto"/>
        <w:ind w:left="448"/>
        <w:rPr>
          <w:bCs/>
        </w:rPr>
      </w:pPr>
      <w:r w:rsidRPr="005D5BFF">
        <w:rPr>
          <w:rFonts w:ascii="Times New Roman" w:hAnsi="Times New Roman"/>
          <w:bCs/>
          <w:color w:val="000000"/>
          <w:sz w:val="24"/>
          <w:szCs w:val="24"/>
        </w:rPr>
        <w:t xml:space="preserve">Sottokriterju 2.1. </w:t>
      </w:r>
      <w:r w:rsidR="00270294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- </w:t>
      </w:r>
      <w:r w:rsidRPr="005D5BFF">
        <w:rPr>
          <w:rFonts w:ascii="Times New Roman" w:hAnsi="Times New Roman"/>
          <w:bCs/>
          <w:color w:val="000000"/>
          <w:sz w:val="24"/>
          <w:szCs w:val="24"/>
        </w:rPr>
        <w:t>Kemm hu faċli li jiżżarmaw il-parts tal-lista 2:</w:t>
      </w:r>
    </w:p>
    <w:p w14:paraId="092C9F9F" w14:textId="77777777" w:rsidR="00A920F2" w:rsidRPr="005D5BFF" w:rsidRDefault="00515C32" w:rsidP="005D5BFF">
      <w:pPr>
        <w:suppressAutoHyphens w:val="0"/>
        <w:spacing w:after="0" w:line="240" w:lineRule="auto"/>
        <w:ind w:left="448"/>
        <w:rPr>
          <w:bCs/>
        </w:rPr>
      </w:pPr>
      <w:r w:rsidRPr="008F3089">
        <w:rPr>
          <w:rFonts w:ascii="Times New Roman" w:hAnsi="Times New Roman"/>
          <w:bCs/>
          <w:color w:val="000000"/>
          <w:sz w:val="24"/>
          <w:szCs w:val="24"/>
        </w:rPr>
        <w:t>Iddeterminat min-numru ta’ passi taż-żarmar li jippermettu, għal kull part tal-lista 2, li tiġi aċċessata b’mod unitarju u maqlugħa minn mat-tagħmir, bl-għan li tinbidel. Tiġi stabbilita rabta bejn il-marka ta’ dan is-sottokriterju u dik tas-sottokriterju 3.1, f’każ li part ma tkunx tista’ tiżżarma: għalhekk il-marka żero tgħaddi</w:t>
      </w:r>
      <w:r w:rsidRPr="005D5BFF">
        <w:rPr>
          <w:rFonts w:ascii="Times New Roman" w:hAnsi="Times New Roman"/>
          <w:bCs/>
          <w:color w:val="000000"/>
          <w:sz w:val="24"/>
          <w:szCs w:val="24"/>
        </w:rPr>
        <w:t xml:space="preserve"> minn sottokriterju għal ieħor.</w:t>
      </w:r>
    </w:p>
    <w:p w14:paraId="2C09FE3A" w14:textId="5A4A9423" w:rsidR="00A920F2" w:rsidRPr="006A7143" w:rsidRDefault="00515C32" w:rsidP="005D5BFF">
      <w:pPr>
        <w:keepNext/>
        <w:keepLines/>
        <w:suppressAutoHyphens w:val="0"/>
        <w:spacing w:after="0" w:line="240" w:lineRule="auto"/>
        <w:ind w:left="448"/>
        <w:rPr>
          <w:bCs/>
        </w:rPr>
      </w:pPr>
      <w:r w:rsidRPr="005D5BFF">
        <w:rPr>
          <w:rFonts w:ascii="Times New Roman" w:hAnsi="Times New Roman"/>
          <w:bCs/>
          <w:color w:val="000000"/>
          <w:sz w:val="24"/>
          <w:szCs w:val="24"/>
        </w:rPr>
        <w:t xml:space="preserve">Sottokriterju 2.2. </w:t>
      </w:r>
      <w:r w:rsidR="00A872F8" w:rsidRPr="005D5BFF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5D5BFF">
        <w:rPr>
          <w:rFonts w:ascii="Times New Roman" w:hAnsi="Times New Roman"/>
          <w:bCs/>
          <w:color w:val="000000"/>
          <w:sz w:val="24"/>
          <w:szCs w:val="24"/>
        </w:rPr>
        <w:t>Għodod meħtieġa:</w:t>
      </w:r>
    </w:p>
    <w:p w14:paraId="166AC61F" w14:textId="77777777" w:rsidR="00A920F2" w:rsidRPr="00A872F8" w:rsidRDefault="00515C32" w:rsidP="005D5BFF">
      <w:pPr>
        <w:suppressAutoHyphens w:val="0"/>
        <w:spacing w:after="0" w:line="240" w:lineRule="auto"/>
        <w:ind w:left="448"/>
      </w:pPr>
      <w:r w:rsidRPr="00A872F8">
        <w:rPr>
          <w:rFonts w:ascii="Times New Roman" w:hAnsi="Times New Roman"/>
          <w:color w:val="000000"/>
          <w:sz w:val="24"/>
          <w:szCs w:val="24"/>
        </w:rPr>
        <w:t>Iddeterminati mit-tip ta’ għodod meħtieġa biex tiżżarma kull part tal-lista 2, skont it-tipoloġija li tiddistingwi l-għodod “komuni”, “speċifiċi” jew “proprjetarji”.</w:t>
      </w:r>
    </w:p>
    <w:p w14:paraId="2F2A0890" w14:textId="040AEEBE" w:rsidR="00A920F2" w:rsidRPr="00A872F8" w:rsidRDefault="00515C32" w:rsidP="005D5BFF">
      <w:pPr>
        <w:keepNext/>
        <w:keepLines/>
        <w:suppressAutoHyphens w:val="0"/>
        <w:spacing w:after="0" w:line="240" w:lineRule="auto"/>
        <w:ind w:left="448"/>
      </w:pPr>
      <w:r w:rsidRPr="005D5BFF">
        <w:rPr>
          <w:rFonts w:ascii="Times New Roman" w:hAnsi="Times New Roman"/>
          <w:color w:val="000000"/>
          <w:sz w:val="24"/>
          <w:szCs w:val="24"/>
        </w:rPr>
        <w:t xml:space="preserve">Sottokriterju 2.3. </w:t>
      </w:r>
      <w:r w:rsidR="00A872F8" w:rsidRPr="005D5BF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D5BFF">
        <w:rPr>
          <w:rFonts w:ascii="Times New Roman" w:hAnsi="Times New Roman"/>
          <w:color w:val="000000"/>
          <w:sz w:val="24"/>
          <w:szCs w:val="24"/>
        </w:rPr>
        <w:t>Karatteristiċi tal-irbit:</w:t>
      </w:r>
    </w:p>
    <w:p w14:paraId="7A973AF3" w14:textId="77777777" w:rsidR="00A920F2" w:rsidRPr="00A872F8" w:rsidRDefault="00515C32" w:rsidP="005D5BFF">
      <w:pPr>
        <w:suppressAutoHyphens w:val="0"/>
        <w:spacing w:after="0" w:line="240" w:lineRule="auto"/>
        <w:ind w:left="448"/>
      </w:pPr>
      <w:r w:rsidRPr="00A872F8">
        <w:rPr>
          <w:rFonts w:ascii="Times New Roman" w:hAnsi="Times New Roman"/>
          <w:color w:val="000000"/>
          <w:sz w:val="24"/>
          <w:szCs w:val="24"/>
        </w:rPr>
        <w:t>Iddeterminati, għal kull part tal-listi 1 u 2, mit-tip ta’ rbit li jassigura l-armar tagħhom ma’ parts ta’ tagħmir oħra, skont it-tipoloġija li tiddistingwi rbit li “jitneħħa u jerġa’ jintuża”, “jitneħħa u ma jerġax jintuża”, jew “la jitneħħa u lanqas ma jerġa’ jintuża”.</w:t>
      </w:r>
    </w:p>
    <w:p w14:paraId="7D82D641" w14:textId="77777777" w:rsidR="00A920F2" w:rsidRPr="00A872F8" w:rsidRDefault="00515C32" w:rsidP="005D5BFF">
      <w:pPr>
        <w:keepNext/>
        <w:keepLines/>
        <w:suppressAutoHyphens w:val="0"/>
        <w:spacing w:after="0" w:line="240" w:lineRule="auto"/>
        <w:ind w:left="448"/>
      </w:pPr>
      <w:r w:rsidRPr="005D5BFF">
        <w:rPr>
          <w:rFonts w:ascii="Times New Roman" w:hAnsi="Times New Roman"/>
          <w:color w:val="000000"/>
          <w:sz w:val="24"/>
          <w:szCs w:val="24"/>
        </w:rPr>
        <w:t>Kriterju Nru 3 - Disponibilità tal-parts tal-bdil</w:t>
      </w:r>
    </w:p>
    <w:p w14:paraId="22205CA3" w14:textId="705F229C" w:rsidR="00A920F2" w:rsidRPr="005D5BFF" w:rsidRDefault="00515C32" w:rsidP="005D5BFF">
      <w:pPr>
        <w:keepNext/>
        <w:keepLines/>
        <w:suppressAutoHyphens w:val="0"/>
        <w:spacing w:after="0" w:line="240" w:lineRule="auto"/>
        <w:ind w:left="448"/>
        <w:rPr>
          <w:lang w:val="en-GB"/>
        </w:rPr>
      </w:pPr>
      <w:r w:rsidRPr="005D5BFF">
        <w:rPr>
          <w:rFonts w:ascii="Times New Roman" w:hAnsi="Times New Roman"/>
          <w:color w:val="000000"/>
          <w:sz w:val="24"/>
          <w:szCs w:val="24"/>
        </w:rPr>
        <w:t xml:space="preserve">Sottokriterju 3.1. </w:t>
      </w:r>
      <w:r w:rsidR="00A872F8" w:rsidRPr="005D5BF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D5BFF">
        <w:rPr>
          <w:rFonts w:ascii="Times New Roman" w:hAnsi="Times New Roman"/>
          <w:color w:val="000000"/>
          <w:sz w:val="24"/>
          <w:szCs w:val="24"/>
        </w:rPr>
        <w:t>Il-perjodu tad-disponibilità tal-parts tal-lista 2</w:t>
      </w:r>
      <w:r w:rsidR="00270294">
        <w:rPr>
          <w:rFonts w:ascii="Times New Roman" w:hAnsi="Times New Roman"/>
          <w:b/>
          <w:color w:val="000000"/>
          <w:sz w:val="24"/>
          <w:szCs w:val="24"/>
          <w:lang w:val="en-GB"/>
        </w:rPr>
        <w:t>:</w:t>
      </w:r>
    </w:p>
    <w:p w14:paraId="4E8E8C04" w14:textId="77777777" w:rsidR="00A920F2" w:rsidRPr="00A872F8" w:rsidRDefault="00515C32" w:rsidP="005D5BFF">
      <w:pPr>
        <w:suppressAutoHyphens w:val="0"/>
        <w:spacing w:after="0" w:line="240" w:lineRule="auto"/>
        <w:ind w:left="448"/>
      </w:pPr>
      <w:r w:rsidRPr="00A872F8">
        <w:rPr>
          <w:rFonts w:ascii="Times New Roman" w:hAnsi="Times New Roman"/>
          <w:color w:val="000000"/>
          <w:sz w:val="24"/>
          <w:szCs w:val="24"/>
        </w:rPr>
        <w:t>Iddeterminat mill-impenn tal-produttur li jagħmel disponibbli mingħajr ħlas, għal numru ta’ snin mit-tqegħid fis-suq tal-aħħar unità, il-parts tal-lista 2 għad-distributuri tal-parts tal-bdil, għas-sewwejja akkreditati u indipendenti, u għall-konsumaturi.</w:t>
      </w:r>
    </w:p>
    <w:p w14:paraId="4E34F7D4" w14:textId="288F179D" w:rsidR="00A920F2" w:rsidRPr="005D5BFF" w:rsidRDefault="00515C32" w:rsidP="005D5BFF">
      <w:pPr>
        <w:keepNext/>
        <w:keepLines/>
        <w:suppressAutoHyphens w:val="0"/>
        <w:spacing w:after="0" w:line="240" w:lineRule="auto"/>
        <w:ind w:left="448"/>
        <w:rPr>
          <w:lang w:val="en-GB"/>
        </w:rPr>
      </w:pPr>
      <w:r w:rsidRPr="005D5BFF">
        <w:rPr>
          <w:rFonts w:ascii="Times New Roman" w:hAnsi="Times New Roman"/>
          <w:color w:val="000000"/>
          <w:sz w:val="24"/>
          <w:szCs w:val="24"/>
        </w:rPr>
        <w:t xml:space="preserve">Sottokriterju 3.2. </w:t>
      </w:r>
      <w:r w:rsidR="00A872F8" w:rsidRPr="005D5BF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D5BFF">
        <w:rPr>
          <w:rFonts w:ascii="Times New Roman" w:hAnsi="Times New Roman"/>
          <w:color w:val="000000"/>
          <w:sz w:val="24"/>
          <w:szCs w:val="24"/>
        </w:rPr>
        <w:t>Il-perjodu tad-disponibilità tal-parts tal-lista 1</w:t>
      </w:r>
      <w:r w:rsidR="00270294">
        <w:rPr>
          <w:rFonts w:ascii="Times New Roman" w:hAnsi="Times New Roman"/>
          <w:b/>
          <w:color w:val="000000"/>
          <w:sz w:val="24"/>
          <w:szCs w:val="24"/>
          <w:lang w:val="en-GB"/>
        </w:rPr>
        <w:t>:</w:t>
      </w:r>
    </w:p>
    <w:p w14:paraId="6114713B" w14:textId="77777777" w:rsidR="00A920F2" w:rsidRPr="00A872F8" w:rsidRDefault="00515C32" w:rsidP="005D5BFF">
      <w:pPr>
        <w:suppressAutoHyphens w:val="0"/>
        <w:spacing w:after="0" w:line="240" w:lineRule="auto"/>
        <w:ind w:left="448"/>
      </w:pPr>
      <w:r w:rsidRPr="00A872F8">
        <w:rPr>
          <w:rFonts w:ascii="Times New Roman" w:hAnsi="Times New Roman"/>
          <w:color w:val="000000"/>
          <w:sz w:val="24"/>
          <w:szCs w:val="24"/>
        </w:rPr>
        <w:t>Iddeterminat mill-impenn tal-produttur li jagħmel disponibbli mingħajr ħlas, għal numru ta’ snin mit-tqegħid fis-suq tal-aħħar unità, il-parts tal-lista 1 għad-distributuri tal-parts tal-bdil, għas-sewwejja akkreditati u indipendenti, u għall-konsumaturi.</w:t>
      </w:r>
    </w:p>
    <w:p w14:paraId="4C5BD6B6" w14:textId="2FC7B3D9" w:rsidR="00A920F2" w:rsidRPr="005D5BFF" w:rsidRDefault="00515C32" w:rsidP="005D5BFF">
      <w:pPr>
        <w:keepNext/>
        <w:keepLines/>
        <w:suppressAutoHyphens w:val="0"/>
        <w:spacing w:after="0" w:line="240" w:lineRule="auto"/>
        <w:ind w:left="448"/>
        <w:rPr>
          <w:lang w:val="en-GB"/>
        </w:rPr>
      </w:pPr>
      <w:r w:rsidRPr="005D5BFF">
        <w:rPr>
          <w:rFonts w:ascii="Times New Roman" w:hAnsi="Times New Roman"/>
          <w:color w:val="000000"/>
          <w:sz w:val="24"/>
          <w:szCs w:val="24"/>
        </w:rPr>
        <w:t xml:space="preserve">Sottokriterju 3.3. </w:t>
      </w:r>
      <w:r w:rsidR="00A872F8" w:rsidRPr="006A714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D5BFF">
        <w:rPr>
          <w:rFonts w:ascii="Times New Roman" w:hAnsi="Times New Roman"/>
          <w:color w:val="000000"/>
          <w:sz w:val="24"/>
          <w:szCs w:val="24"/>
        </w:rPr>
        <w:t>Iż-żmien tal-kunsinna tal-parts tal-lista 2</w:t>
      </w:r>
      <w:r w:rsidR="00270294">
        <w:rPr>
          <w:rFonts w:ascii="Times New Roman" w:hAnsi="Times New Roman"/>
          <w:b/>
          <w:color w:val="000000"/>
          <w:sz w:val="24"/>
          <w:szCs w:val="24"/>
          <w:lang w:val="en-GB"/>
        </w:rPr>
        <w:t>:</w:t>
      </w:r>
    </w:p>
    <w:p w14:paraId="7A48D423" w14:textId="77777777" w:rsidR="00A920F2" w:rsidRPr="00A872F8" w:rsidRDefault="00515C32" w:rsidP="005D5BFF">
      <w:pPr>
        <w:suppressAutoHyphens w:val="0"/>
        <w:spacing w:after="0" w:line="240" w:lineRule="auto"/>
        <w:ind w:left="448"/>
      </w:pPr>
      <w:r w:rsidRPr="00A872F8">
        <w:rPr>
          <w:rFonts w:ascii="Times New Roman" w:hAnsi="Times New Roman"/>
          <w:color w:val="000000"/>
          <w:sz w:val="24"/>
          <w:szCs w:val="24"/>
        </w:rPr>
        <w:t>Iddeterminat mill-impenn tal-produttur li josserva żmien ta’ kunsinna, f’numru ta’ ġranet tax-xogħol minn dakinhar tal-ordni, tal-parts tal-lista 2, għad-distributuri tal-parts tal-bdil, għas-sewwejja akkreditati u indipendenti, u għall-konsumaturi.</w:t>
      </w:r>
    </w:p>
    <w:p w14:paraId="19AB83A3" w14:textId="1B4B5E68" w:rsidR="00A920F2" w:rsidRPr="005D5BFF" w:rsidRDefault="00515C32" w:rsidP="005D5BFF">
      <w:pPr>
        <w:keepNext/>
        <w:keepLines/>
        <w:suppressAutoHyphens w:val="0"/>
        <w:spacing w:after="0" w:line="240" w:lineRule="auto"/>
        <w:ind w:left="448"/>
        <w:rPr>
          <w:lang w:val="en-GB"/>
        </w:rPr>
      </w:pPr>
      <w:r w:rsidRPr="005D5BFF">
        <w:rPr>
          <w:rFonts w:ascii="Times New Roman" w:hAnsi="Times New Roman"/>
          <w:color w:val="000000"/>
          <w:sz w:val="24"/>
          <w:szCs w:val="24"/>
        </w:rPr>
        <w:t xml:space="preserve">Sottokriterju 3.4. </w:t>
      </w:r>
      <w:r w:rsidR="00A872F8" w:rsidRPr="005D5BF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D5BFF">
        <w:rPr>
          <w:rFonts w:ascii="Times New Roman" w:hAnsi="Times New Roman"/>
          <w:color w:val="000000"/>
          <w:sz w:val="24"/>
          <w:szCs w:val="24"/>
        </w:rPr>
        <w:t>Iż-żmien tal-kunsinna tal-parts tal-lista 1</w:t>
      </w:r>
      <w:r w:rsidR="00270294">
        <w:rPr>
          <w:rFonts w:ascii="Times New Roman" w:hAnsi="Times New Roman"/>
          <w:b/>
          <w:color w:val="000000"/>
          <w:sz w:val="24"/>
          <w:szCs w:val="24"/>
          <w:lang w:val="en-GB"/>
        </w:rPr>
        <w:t>:</w:t>
      </w:r>
    </w:p>
    <w:p w14:paraId="63E5CEB1" w14:textId="77777777" w:rsidR="00A920F2" w:rsidRPr="00A872F8" w:rsidRDefault="00515C32" w:rsidP="005D5BFF">
      <w:pPr>
        <w:suppressAutoHyphens w:val="0"/>
        <w:spacing w:after="0" w:line="240" w:lineRule="auto"/>
        <w:ind w:left="448"/>
      </w:pPr>
      <w:r w:rsidRPr="00A872F8">
        <w:rPr>
          <w:rFonts w:ascii="Times New Roman" w:hAnsi="Times New Roman"/>
          <w:color w:val="000000"/>
          <w:sz w:val="24"/>
          <w:szCs w:val="24"/>
        </w:rPr>
        <w:t>Iddeterminat mill-impenn tal-produttur li josserva żmien ta’ kunsinna, f’numru ta’ ġranet tax-xogħol minn dakinhar tal-ordni, tal-parts tal-lista 1, għad-distributuri tal-parts tal-bdil, għas-sewwejja akkreditati u indipendenti, u għall-konsumaturi.</w:t>
      </w:r>
    </w:p>
    <w:p w14:paraId="02374B46" w14:textId="77777777" w:rsidR="00A920F2" w:rsidRPr="005D5BFF" w:rsidRDefault="00A920F2" w:rsidP="005D5BFF">
      <w:pPr>
        <w:suppressAutoHyphens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1E4F7048" w14:textId="1489BDAD" w:rsidR="00A920F2" w:rsidRPr="00A872F8" w:rsidRDefault="00515C32" w:rsidP="005D5BFF">
      <w:pPr>
        <w:keepNext/>
        <w:keepLines/>
        <w:suppressAutoHyphens w:val="0"/>
        <w:spacing w:after="0" w:line="240" w:lineRule="auto"/>
        <w:ind w:left="448"/>
      </w:pPr>
      <w:r w:rsidRPr="005D5BFF">
        <w:rPr>
          <w:rFonts w:ascii="Times New Roman" w:hAnsi="Times New Roman"/>
          <w:color w:val="000000"/>
          <w:sz w:val="24"/>
          <w:szCs w:val="24"/>
        </w:rPr>
        <w:t xml:space="preserve">Kriterju Nru 4 </w:t>
      </w:r>
      <w:r w:rsidR="00A872F8" w:rsidRPr="005D5BF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D5BFF">
        <w:rPr>
          <w:rFonts w:ascii="Times New Roman" w:hAnsi="Times New Roman"/>
          <w:color w:val="000000"/>
          <w:sz w:val="24"/>
          <w:szCs w:val="24"/>
        </w:rPr>
        <w:t>Prezz tal-parts tal-bdil</w:t>
      </w:r>
    </w:p>
    <w:p w14:paraId="7549DA7C" w14:textId="006C6BD9" w:rsidR="00591C74" w:rsidRPr="005D5BFF" w:rsidRDefault="00515C32" w:rsidP="005D5BFF">
      <w:pPr>
        <w:keepNext/>
        <w:keepLines/>
        <w:suppressAutoHyphens w:val="0"/>
        <w:spacing w:after="0" w:line="240" w:lineRule="auto"/>
        <w:ind w:left="44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D5BFF">
        <w:rPr>
          <w:rFonts w:ascii="Times New Roman" w:hAnsi="Times New Roman"/>
          <w:bCs/>
          <w:color w:val="000000"/>
          <w:sz w:val="24"/>
          <w:szCs w:val="24"/>
        </w:rPr>
        <w:t>Sottokriterju 4.1.</w:t>
      </w:r>
      <w:r w:rsidR="00A872F8" w:rsidRPr="005D5BFF">
        <w:rPr>
          <w:rFonts w:ascii="Times New Roman" w:hAnsi="Times New Roman"/>
          <w:bCs/>
          <w:color w:val="000000"/>
          <w:sz w:val="24"/>
          <w:szCs w:val="24"/>
        </w:rPr>
        <w:t xml:space="preserve"> -</w:t>
      </w:r>
      <w:r w:rsidRPr="005D5BFF">
        <w:rPr>
          <w:rFonts w:ascii="Times New Roman" w:hAnsi="Times New Roman"/>
          <w:bCs/>
          <w:color w:val="000000"/>
          <w:sz w:val="24"/>
          <w:szCs w:val="24"/>
        </w:rPr>
        <w:t>Il-proporzjon bejn il-prezz tal-bejgħ tal-parts mill-</w:t>
      </w:r>
      <w:r w:rsidR="00A872F8">
        <w:rPr>
          <w:rFonts w:ascii="Times New Roman" w:hAnsi="Times New Roman"/>
          <w:bCs/>
          <w:color w:val="000000"/>
          <w:sz w:val="24"/>
          <w:szCs w:val="24"/>
        </w:rPr>
        <w:t>produttur</w:t>
      </w:r>
      <w:r w:rsidR="00A872F8" w:rsidRPr="005D5BF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D5BFF">
        <w:rPr>
          <w:rFonts w:ascii="Times New Roman" w:hAnsi="Times New Roman"/>
          <w:bCs/>
          <w:color w:val="000000"/>
          <w:sz w:val="24"/>
          <w:szCs w:val="24"/>
        </w:rPr>
        <w:t>jew l-importatur u l-prezz tal-bejgħ tat-tagħmir mill-</w:t>
      </w:r>
      <w:r w:rsidR="00A872F8">
        <w:rPr>
          <w:rFonts w:ascii="Times New Roman" w:hAnsi="Times New Roman"/>
          <w:bCs/>
          <w:color w:val="000000"/>
          <w:sz w:val="24"/>
          <w:szCs w:val="24"/>
        </w:rPr>
        <w:t>produttur</w:t>
      </w:r>
      <w:r w:rsidR="00A872F8" w:rsidRPr="005D5BF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D5BFF">
        <w:rPr>
          <w:rFonts w:ascii="Times New Roman" w:hAnsi="Times New Roman"/>
          <w:bCs/>
          <w:color w:val="000000"/>
          <w:sz w:val="24"/>
          <w:szCs w:val="24"/>
        </w:rPr>
        <w:t>jew l-importatur.</w:t>
      </w:r>
    </w:p>
    <w:p w14:paraId="2D4FB472" w14:textId="77777777" w:rsidR="00A920F2" w:rsidRDefault="00515C32" w:rsidP="005D5BFF">
      <w:pPr>
        <w:keepNext/>
        <w:keepLines/>
        <w:suppressAutoHyphens w:val="0"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t>Il-kriterju jiġi stabbilit billi jsir il-proporzjon:</w:t>
      </w:r>
    </w:p>
    <w:p w14:paraId="6A4A9F6B" w14:textId="77777777" w:rsidR="003C0582" w:rsidRDefault="00515C32" w:rsidP="002D5456">
      <w:pPr>
        <w:suppressAutoHyphens w:val="0"/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bejn, </w:t>
      </w:r>
    </w:p>
    <w:p w14:paraId="19345B6D" w14:textId="7D636C9C" w:rsidR="00A872F8" w:rsidRDefault="00515C32" w:rsidP="005D5BFF">
      <w:pPr>
        <w:suppressAutoHyphens w:val="0"/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il-prezz qabel it-taxxa tal-aktar part li tiswa flus fil-lista 2 + (il-medja tal-prezzijiet qabel it-taxxa tal-parts l-oħrajn fil-lista 2)/2 </w:t>
      </w:r>
    </w:p>
    <w:p w14:paraId="65CA3461" w14:textId="1B9E0BB8" w:rsidR="00591C74" w:rsidRDefault="00515C32" w:rsidP="005D5BFF">
      <w:pPr>
        <w:suppressAutoHyphens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u,</w:t>
      </w:r>
    </w:p>
    <w:p w14:paraId="19486B92" w14:textId="5A72186C" w:rsidR="00A920F2" w:rsidRDefault="00515C32" w:rsidP="005D5BFF">
      <w:pPr>
        <w:suppressAutoHyphens w:val="0"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t>Il-prezz qabel it-taxxa tal-mudell tat-tagħmir ikkonċernat, fejn kull prezz jiġi mifhum bħala l-prezz qabel it-taxxa tal-iskeda tal-prezzijiet fis-seħħ fil-mument li jiġi kkalkulat l-indiċi u li jidher fil-kundizzjonijiet ġenerali tal-bejgħ tal-</w:t>
      </w:r>
      <w:r w:rsidR="00A872F8">
        <w:rPr>
          <w:rFonts w:ascii="Times New Roman" w:hAnsi="Times New Roman"/>
          <w:color w:val="000000"/>
          <w:sz w:val="24"/>
          <w:szCs w:val="24"/>
        </w:rPr>
        <w:t xml:space="preserve">produttur </w:t>
      </w:r>
      <w:r>
        <w:rPr>
          <w:rFonts w:ascii="Times New Roman" w:hAnsi="Times New Roman"/>
          <w:color w:val="000000"/>
          <w:sz w:val="24"/>
          <w:szCs w:val="24"/>
        </w:rPr>
        <w:t xml:space="preserve">jew tal-importatur jew, fin-nuqqas ta’ dan, fi kwalunkwe dokument kuntrattwali rilevanti. </w:t>
      </w:r>
    </w:p>
    <w:p w14:paraId="3FED9055" w14:textId="0981B95C" w:rsidR="00A920F2" w:rsidRPr="00D27C31" w:rsidRDefault="00515C32" w:rsidP="005D5BFF">
      <w:pPr>
        <w:suppressAutoHyphens w:val="0"/>
        <w:spacing w:after="0" w:line="240" w:lineRule="auto"/>
        <w:ind w:left="448"/>
      </w:pPr>
      <w:r w:rsidRPr="005D5BFF">
        <w:rPr>
          <w:rFonts w:ascii="Times New Roman" w:hAnsi="Times New Roman"/>
          <w:sz w:val="24"/>
          <w:szCs w:val="24"/>
        </w:rPr>
        <w:t xml:space="preserve">F’każ li </w:t>
      </w:r>
      <w:r w:rsidR="00A872F8" w:rsidRPr="005D5BFF">
        <w:rPr>
          <w:rFonts w:ascii="Times New Roman" w:hAnsi="Times New Roman"/>
          <w:sz w:val="24"/>
          <w:szCs w:val="24"/>
        </w:rPr>
        <w:t xml:space="preserve">produttur </w:t>
      </w:r>
      <w:r w:rsidRPr="005D5BFF">
        <w:rPr>
          <w:rFonts w:ascii="Times New Roman" w:hAnsi="Times New Roman"/>
          <w:sz w:val="24"/>
          <w:szCs w:val="24"/>
        </w:rPr>
        <w:t xml:space="preserve">jew importatur għandu, għall-parts jew it-tagħmir ikkonċernati, diversi skedi ta’ prezzijiet, skont il-kategoriji differenti ta’ klijenti distributuri jew bejjiegħa, il-prezzijiet użati biex jiġi kkalkulat l-indiċi jkunu dawk tal-iskeda li tirrappreżenta l-ikbar proporzjon tal-fatturat </w:t>
      </w:r>
      <w:r w:rsidR="00052022" w:rsidRPr="005D5BFF">
        <w:rPr>
          <w:rFonts w:ascii="Times New Roman" w:hAnsi="Times New Roman"/>
          <w:sz w:val="24"/>
          <w:szCs w:val="24"/>
        </w:rPr>
        <w:t>tal-produt</w:t>
      </w:r>
      <w:r w:rsidR="00270294">
        <w:rPr>
          <w:rFonts w:ascii="Times New Roman" w:hAnsi="Times New Roman"/>
          <w:color w:val="00B050"/>
          <w:sz w:val="24"/>
          <w:szCs w:val="24"/>
          <w:lang w:val="en-GB"/>
        </w:rPr>
        <w:t>t</w:t>
      </w:r>
      <w:r w:rsidR="00052022" w:rsidRPr="005D5BFF">
        <w:rPr>
          <w:rFonts w:ascii="Times New Roman" w:hAnsi="Times New Roman"/>
          <w:sz w:val="24"/>
          <w:szCs w:val="24"/>
        </w:rPr>
        <w:t>ur jew tal-importatur għall-</w:t>
      </w:r>
      <w:r w:rsidRPr="005D5BFF">
        <w:rPr>
          <w:rFonts w:ascii="Times New Roman" w:hAnsi="Times New Roman"/>
          <w:sz w:val="24"/>
          <w:szCs w:val="24"/>
        </w:rPr>
        <w:t xml:space="preserve">parts jew għat-tagħmir ikkonċernat, matul is-sena finanzjarja ta’ qabel. </w:t>
      </w:r>
      <w:r w:rsidR="00052022" w:rsidRPr="005D5BFF">
        <w:rPr>
          <w:rFonts w:ascii="Times New Roman" w:hAnsi="Times New Roman"/>
          <w:sz w:val="24"/>
          <w:szCs w:val="24"/>
        </w:rPr>
        <w:t xml:space="preserve">Għat-tagħmir u l-parts </w:t>
      </w:r>
      <w:r w:rsidR="00D27C31" w:rsidRPr="005D5BFF">
        <w:rPr>
          <w:rFonts w:ascii="Times New Roman" w:hAnsi="Times New Roman" w:cs="Times New Roman"/>
          <w:sz w:val="24"/>
          <w:szCs w:val="24"/>
          <w:lang w:eastAsia="fr-FR"/>
        </w:rPr>
        <w:t>li għadhom kemm tqiegħdu fis-suq, fil-każ ta’ diversi skedi ta’ prezzijiet, il-prezzijiet magħżula jkunu dawk tal-iskedi li huma l-iktar baxxi.</w:t>
      </w:r>
    </w:p>
    <w:p w14:paraId="416916BA" w14:textId="50B0B964" w:rsidR="00A920F2" w:rsidRDefault="00515C32" w:rsidP="005D5BFF">
      <w:pPr>
        <w:suppressAutoHyphens w:val="0"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t>F’każ li wħud minn dawn il-parts ma jistgħux jitneħħew, kif ukoll f’każ li l-part imsemmija hija integrata f’modulu, li huwa l-unika wieħed disponibbli, il-prezz li għandu jiġi kkunsidrat huwa l-prezz kumulattiv talparts jew il-prezz tal-modulu.</w:t>
      </w:r>
    </w:p>
    <w:p w14:paraId="5F7FC46B" w14:textId="77777777" w:rsidR="00A920F2" w:rsidRPr="006A7143" w:rsidRDefault="00515C32" w:rsidP="005D5BFF">
      <w:pPr>
        <w:keepNext/>
        <w:keepLines/>
        <w:suppressAutoHyphens w:val="0"/>
        <w:spacing w:after="0" w:line="240" w:lineRule="auto"/>
        <w:ind w:left="448"/>
        <w:rPr>
          <w:bCs/>
        </w:rPr>
      </w:pPr>
      <w:r w:rsidRPr="005D5BFF">
        <w:rPr>
          <w:rFonts w:ascii="Times New Roman" w:hAnsi="Times New Roman"/>
          <w:bCs/>
          <w:color w:val="000000"/>
          <w:sz w:val="24"/>
          <w:szCs w:val="24"/>
        </w:rPr>
        <w:t>Kriterju Nru 5 - Kriterju speċifiku għall-kategorija tat-tagħmir ikkonċernat</w:t>
      </w:r>
    </w:p>
    <w:p w14:paraId="4B257F8B" w14:textId="77777777" w:rsidR="00A920F2" w:rsidRDefault="00515C32" w:rsidP="005D5BFF">
      <w:pPr>
        <w:suppressAutoHyphens w:val="0"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t>Dan il-kriterju jikkonsisti f’sottokriterju wieħed jew aktar, speċifiċi għall-kategorija tat-tagħmir ikkonċernat. Fejn ikun rilevanti għall-kategorija tat-tagħmir ikkonċernat, il-kriterju 5 speċifiku għall-kategorija għandu jinkludi sottokriterju dwar il-preżenza ta’ arloġġ tal-użu viżibbli għall-konsumatur, b’koeffiċjent ta’ mill-inqas 1.</w:t>
      </w:r>
    </w:p>
    <w:p w14:paraId="789AE4F7" w14:textId="77777777" w:rsidR="00A920F2" w:rsidRDefault="00A920F2" w:rsidP="005D5BFF">
      <w:pPr>
        <w:pStyle w:val="SNSignatureGauche"/>
        <w:spacing w:before="0" w:after="0" w:line="240" w:lineRule="auto"/>
        <w:ind w:left="448" w:right="0" w:firstLine="0"/>
        <w:jc w:val="left"/>
        <w:rPr>
          <w:rFonts w:ascii="Times New Roman" w:hAnsi="Times New Roman"/>
          <w:b/>
          <w:color w:val="000000"/>
        </w:rPr>
      </w:pPr>
    </w:p>
    <w:p w14:paraId="694EC007" w14:textId="26C5094C" w:rsidR="00A920F2" w:rsidRDefault="00515C32" w:rsidP="005D5BFF">
      <w:pPr>
        <w:pStyle w:val="SNSignatureGauche"/>
        <w:keepNext/>
        <w:keepLines/>
        <w:spacing w:before="0" w:after="0" w:line="240" w:lineRule="auto"/>
        <w:ind w:left="448" w:right="0" w:firstLine="0"/>
        <w:jc w:val="left"/>
      </w:pPr>
      <w:r>
        <w:rPr>
          <w:rFonts w:ascii="Times New Roman" w:hAnsi="Times New Roman"/>
          <w:b/>
          <w:color w:val="000000"/>
        </w:rPr>
        <w:t>Artikolu 6</w:t>
      </w:r>
    </w:p>
    <w:p w14:paraId="0D29C6C1" w14:textId="341C4A70" w:rsidR="00A920F2" w:rsidRDefault="00A920F2" w:rsidP="002D5456">
      <w:pPr>
        <w:pStyle w:val="SNSignatureGauche"/>
        <w:keepNext/>
        <w:keepLines/>
        <w:spacing w:before="0" w:after="0" w:line="240" w:lineRule="auto"/>
        <w:ind w:left="448" w:right="0" w:firstLine="0"/>
        <w:jc w:val="left"/>
        <w:rPr>
          <w:rFonts w:ascii="Times New Roman" w:hAnsi="Times New Roman"/>
          <w:b/>
          <w:color w:val="000000"/>
        </w:rPr>
      </w:pPr>
    </w:p>
    <w:p w14:paraId="3C608C2B" w14:textId="77777777" w:rsidR="003C0582" w:rsidRDefault="003C0582" w:rsidP="005D5BFF">
      <w:pPr>
        <w:pStyle w:val="SNSignatureGauche"/>
        <w:keepNext/>
        <w:keepLines/>
        <w:spacing w:before="0" w:after="0" w:line="240" w:lineRule="auto"/>
        <w:ind w:left="448" w:right="0" w:firstLine="0"/>
        <w:jc w:val="left"/>
        <w:rPr>
          <w:rFonts w:ascii="Times New Roman" w:hAnsi="Times New Roman"/>
          <w:b/>
          <w:color w:val="000000"/>
        </w:rPr>
      </w:pPr>
    </w:p>
    <w:p w14:paraId="16BA9768" w14:textId="1DFABD8E" w:rsidR="00591C74" w:rsidRPr="005D5BFF" w:rsidRDefault="003A56D9" w:rsidP="005D5BFF">
      <w:pPr>
        <w:pStyle w:val="SNSignatureGauche"/>
        <w:keepNext/>
        <w:keepLines/>
        <w:numPr>
          <w:ilvl w:val="0"/>
          <w:numId w:val="3"/>
        </w:numPr>
        <w:spacing w:before="0" w:after="0" w:line="240" w:lineRule="auto"/>
        <w:ind w:left="1168" w:right="0"/>
        <w:jc w:val="left"/>
        <w:rPr>
          <w:rFonts w:ascii="Times New Roman" w:hAnsi="Times New Roman"/>
          <w:bCs/>
          <w:color w:val="000000"/>
        </w:rPr>
      </w:pPr>
      <w:r w:rsidRPr="005D5BFF">
        <w:rPr>
          <w:rFonts w:ascii="Times New Roman" w:hAnsi="Times New Roman"/>
          <w:bCs/>
          <w:color w:val="000000"/>
        </w:rPr>
        <w:t xml:space="preserve">- </w:t>
      </w:r>
      <w:r w:rsidR="00515C32" w:rsidRPr="005D5BFF">
        <w:rPr>
          <w:rFonts w:ascii="Times New Roman" w:hAnsi="Times New Roman"/>
          <w:bCs/>
          <w:color w:val="000000"/>
        </w:rPr>
        <w:t>Lista tal-parts</w:t>
      </w:r>
    </w:p>
    <w:p w14:paraId="0F4F3A97" w14:textId="77777777" w:rsidR="00591C74" w:rsidRPr="008F3089" w:rsidRDefault="00515C32" w:rsidP="005D5BFF">
      <w:pPr>
        <w:pStyle w:val="SNSignatureGauche"/>
        <w:keepNext/>
        <w:keepLines/>
        <w:spacing w:before="0" w:after="0" w:line="240" w:lineRule="auto"/>
        <w:ind w:left="448" w:right="0" w:firstLine="0"/>
        <w:jc w:val="left"/>
        <w:rPr>
          <w:rFonts w:ascii="Times New Roman" w:hAnsi="Times New Roman"/>
          <w:bCs/>
          <w:color w:val="000000"/>
        </w:rPr>
      </w:pPr>
      <w:r w:rsidRPr="006A7143">
        <w:rPr>
          <w:rFonts w:ascii="Times New Roman" w:hAnsi="Times New Roman"/>
          <w:bCs/>
          <w:color w:val="000000"/>
        </w:rPr>
        <w:t>Jiġu ddefiniti żewġ listi ta’ parts għal kull kategorija ta’ tagħmir:</w:t>
      </w:r>
    </w:p>
    <w:p w14:paraId="733B76B7" w14:textId="77777777" w:rsidR="003C0582" w:rsidRDefault="003C0582" w:rsidP="002D5456">
      <w:pPr>
        <w:pStyle w:val="SNSignatureGauche"/>
        <w:spacing w:before="0" w:after="0" w:line="240" w:lineRule="auto"/>
        <w:ind w:left="448" w:right="0" w:firstLine="0"/>
        <w:jc w:val="left"/>
        <w:rPr>
          <w:rFonts w:ascii="Times New Roman" w:hAnsi="Times New Roman"/>
          <w:bCs/>
          <w:color w:val="000000"/>
        </w:rPr>
      </w:pPr>
    </w:p>
    <w:p w14:paraId="60E8A1B3" w14:textId="77777777" w:rsidR="003C0582" w:rsidRDefault="003C0582" w:rsidP="002D5456">
      <w:pPr>
        <w:pStyle w:val="SNSignatureGauche"/>
        <w:spacing w:before="0" w:after="0" w:line="240" w:lineRule="auto"/>
        <w:ind w:left="448" w:right="0" w:firstLine="0"/>
        <w:jc w:val="left"/>
        <w:rPr>
          <w:rFonts w:ascii="Times New Roman" w:hAnsi="Times New Roman"/>
          <w:bCs/>
          <w:color w:val="000000"/>
        </w:rPr>
      </w:pPr>
    </w:p>
    <w:p w14:paraId="6D87631B" w14:textId="4B463EEB" w:rsidR="00591C74" w:rsidRPr="008F3089" w:rsidRDefault="00515C32" w:rsidP="005D5BFF">
      <w:pPr>
        <w:pStyle w:val="SNSignatureGauche"/>
        <w:spacing w:before="0" w:after="0" w:line="240" w:lineRule="auto"/>
        <w:ind w:left="448" w:right="0" w:firstLine="0"/>
        <w:jc w:val="left"/>
        <w:rPr>
          <w:rFonts w:ascii="Times New Roman" w:hAnsi="Times New Roman"/>
          <w:bCs/>
          <w:color w:val="000000"/>
        </w:rPr>
      </w:pPr>
      <w:r w:rsidRPr="006A7143">
        <w:rPr>
          <w:rFonts w:ascii="Times New Roman" w:hAnsi="Times New Roman"/>
          <w:bCs/>
          <w:color w:val="000000"/>
        </w:rPr>
        <w:t xml:space="preserve">- lista 2: lista ta’ mhux aktar minn tlieta sa ħames parts tal-bdil </w:t>
      </w:r>
      <w:r w:rsidRPr="008F3089">
        <w:rPr>
          <w:rFonts w:ascii="Times New Roman" w:hAnsi="Times New Roman"/>
          <w:bCs/>
          <w:color w:val="000000"/>
        </w:rPr>
        <w:t>(skont il-kategorija tat-tagħmir ikkonċernat) fejn il-ksur jew il-ħsarat huma l-aktar frekwenti;</w:t>
      </w:r>
    </w:p>
    <w:p w14:paraId="4847DD63" w14:textId="70026586" w:rsidR="00591C74" w:rsidRPr="005D5BFF" w:rsidRDefault="00BD3BED" w:rsidP="005D5BFF">
      <w:pPr>
        <w:pStyle w:val="SNSignatureGauche"/>
        <w:spacing w:before="0" w:after="0" w:line="240" w:lineRule="auto"/>
        <w:ind w:left="448" w:right="0" w:firstLine="0"/>
        <w:jc w:val="left"/>
        <w:rPr>
          <w:bCs/>
        </w:rPr>
      </w:pPr>
      <w:r w:rsidRPr="005D5BFF">
        <w:rPr>
          <w:rFonts w:ascii="Times New Roman" w:hAnsi="Times New Roman"/>
          <w:bCs/>
          <w:color w:val="000000"/>
        </w:rPr>
        <w:t>- lista 1: lista ta’ mhux aktar minn għaxar parts tal-bdil oħrajn (skont il-kategorija tat-tagħmir ikkonċernat) fejn hu meħtieġ stat tajjeb biex jiffunzjona t-tagħmir.</w:t>
      </w:r>
    </w:p>
    <w:p w14:paraId="447029FD" w14:textId="26FDB95F" w:rsidR="00591C74" w:rsidRPr="005D5BFF" w:rsidRDefault="00515C32" w:rsidP="005D5BFF">
      <w:pPr>
        <w:pStyle w:val="SNSignatureGauche"/>
        <w:spacing w:before="0" w:after="0" w:line="240" w:lineRule="auto"/>
        <w:ind w:left="448" w:right="0" w:firstLine="0"/>
        <w:jc w:val="left"/>
        <w:rPr>
          <w:lang w:eastAsia="fr-FR"/>
        </w:rPr>
      </w:pPr>
      <w:r w:rsidRPr="005D5BFF">
        <w:rPr>
          <w:rFonts w:ascii="Times New Roman" w:hAnsi="Times New Roman"/>
          <w:bCs/>
          <w:color w:val="000000"/>
        </w:rPr>
        <w:t xml:space="preserve">Dawn il-listi mhux neċessarjament ikopru l-parts kollha li jiffurmaw it-tagħmir. </w:t>
      </w:r>
    </w:p>
    <w:p w14:paraId="1E079AD1" w14:textId="0F10627D" w:rsidR="00A920F2" w:rsidRPr="006A7143" w:rsidRDefault="003A56D9" w:rsidP="005D5BFF">
      <w:pPr>
        <w:keepNext/>
        <w:keepLines/>
        <w:numPr>
          <w:ilvl w:val="0"/>
          <w:numId w:val="3"/>
        </w:numPr>
        <w:suppressAutoHyphens w:val="0"/>
        <w:spacing w:after="0" w:line="240" w:lineRule="auto"/>
        <w:ind w:left="1168"/>
        <w:rPr>
          <w:bCs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515C32" w:rsidRPr="005D5BFF">
        <w:rPr>
          <w:rFonts w:ascii="Times New Roman" w:hAnsi="Times New Roman"/>
          <w:bCs/>
          <w:color w:val="000000"/>
          <w:sz w:val="24"/>
          <w:szCs w:val="24"/>
        </w:rPr>
        <w:t>Kunċett ta’ passi</w:t>
      </w:r>
    </w:p>
    <w:p w14:paraId="1984DBF7" w14:textId="6EBD365E" w:rsidR="00A920F2" w:rsidRDefault="00515C32" w:rsidP="005D5BFF">
      <w:pPr>
        <w:suppressAutoHyphens w:val="0"/>
        <w:spacing w:after="0" w:line="240" w:lineRule="auto"/>
        <w:ind w:left="448"/>
        <w:rPr>
          <w:rFonts w:ascii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hAnsi="Times New Roman"/>
          <w:color w:val="000000"/>
          <w:sz w:val="24"/>
          <w:szCs w:val="24"/>
        </w:rPr>
        <w:t>Pass huwa operazzjoni li tirriżulta fit-tneħħija ta’ komponent jew ta’ part jew f’tibdil ta’ għodda. Komponent jista’ jkun fih part waħda jew aktar.</w:t>
      </w:r>
    </w:p>
    <w:p w14:paraId="609DD8D0" w14:textId="6BDBB193" w:rsidR="00A920F2" w:rsidRDefault="00515C32" w:rsidP="005D5BFF">
      <w:pPr>
        <w:keepLines/>
        <w:suppressAutoHyphens w:val="0"/>
        <w:spacing w:after="0" w:line="240" w:lineRule="auto"/>
        <w:ind w:left="44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1795B">
        <w:rPr>
          <w:rFonts w:ascii="Times New Roman" w:hAnsi="Times New Roman"/>
          <w:bCs/>
          <w:color w:val="000000"/>
          <w:spacing w:val="-4"/>
          <w:sz w:val="24"/>
          <w:szCs w:val="24"/>
        </w:rPr>
        <w:t>Din id-definizzjoni ġenerali tista’ tippermetti eċċezzjonijiet ġġustifikati minn kunsiderazzjonijiet prattiċi jew tas-sigurtà. Dawn l-eċċezzjonijiet huma speċifikati b’Ordni tal-Ministru responsabbli għall-Ambjent u tal-Ministru responsabbli għall-Ekonomija u l-Finanzi għal kull kategorija tat-tagħmir.</w:t>
      </w:r>
    </w:p>
    <w:p w14:paraId="125AE645" w14:textId="6638574D" w:rsidR="00A920F2" w:rsidRDefault="00515C32" w:rsidP="005D5BFF">
      <w:pPr>
        <w:suppressAutoHyphens w:val="0"/>
        <w:spacing w:after="0" w:line="240" w:lineRule="auto"/>
        <w:ind w:left="448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L-irbit jew il-konnessjonijiet huma ddefiniti bħala tekniki ta’ assemblaġġ, irbit jew issiġġillar. L-elementi tal-irbit jew tal-konnessjoni mhumiex meqjusa bħala parts.</w:t>
      </w:r>
    </w:p>
    <w:p w14:paraId="4440A175" w14:textId="5783770E" w:rsidR="00A920F2" w:rsidRPr="006A7143" w:rsidRDefault="003C0582" w:rsidP="005D5BFF">
      <w:pPr>
        <w:keepNext/>
        <w:keepLines/>
        <w:numPr>
          <w:ilvl w:val="0"/>
          <w:numId w:val="3"/>
        </w:numPr>
        <w:suppressAutoHyphens w:val="0"/>
        <w:spacing w:after="0" w:line="240" w:lineRule="auto"/>
        <w:ind w:left="1168"/>
        <w:rPr>
          <w:bCs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515C32" w:rsidRPr="005D5BFF">
        <w:rPr>
          <w:rFonts w:ascii="Times New Roman" w:hAnsi="Times New Roman"/>
          <w:bCs/>
          <w:color w:val="000000"/>
          <w:sz w:val="24"/>
          <w:szCs w:val="24"/>
        </w:rPr>
        <w:t>Tipi ta’ rbit</w:t>
      </w:r>
    </w:p>
    <w:p w14:paraId="7E7EEEC6" w14:textId="77777777" w:rsidR="00A920F2" w:rsidRPr="005D5BFF" w:rsidRDefault="00515C32" w:rsidP="005D5BFF">
      <w:pPr>
        <w:suppressAutoHyphens w:val="0"/>
        <w:spacing w:after="0" w:line="240" w:lineRule="auto"/>
        <w:ind w:left="448"/>
        <w:rPr>
          <w:bCs/>
        </w:rPr>
      </w:pPr>
      <w:r w:rsidRPr="008F3089">
        <w:rPr>
          <w:rFonts w:ascii="Times New Roman" w:hAnsi="Times New Roman"/>
          <w:bCs/>
          <w:color w:val="000000"/>
          <w:sz w:val="24"/>
          <w:szCs w:val="24"/>
        </w:rPr>
        <w:t>Jista’ jitneħħa u jerġa’ jintuża: sistema ta’ rbit oriġinali li tista’ titneħħa kompletament mingħajr ma tikkawża ħsara lit-tagħmir jew tħalli residwi u li tista’ terġa’ tintuża.</w:t>
      </w:r>
    </w:p>
    <w:p w14:paraId="69A71671" w14:textId="77777777" w:rsidR="00A920F2" w:rsidRPr="005D5BFF" w:rsidRDefault="00515C32" w:rsidP="005D5BFF">
      <w:pPr>
        <w:suppressAutoHyphens w:val="0"/>
        <w:spacing w:after="0" w:line="240" w:lineRule="auto"/>
        <w:ind w:left="448"/>
        <w:rPr>
          <w:bCs/>
        </w:rPr>
      </w:pPr>
      <w:r w:rsidRPr="005D5BFF">
        <w:rPr>
          <w:rFonts w:ascii="Times New Roman" w:hAnsi="Times New Roman"/>
          <w:bCs/>
          <w:color w:val="000000"/>
          <w:sz w:val="24"/>
          <w:szCs w:val="24"/>
        </w:rPr>
        <w:t>Jista’ jitneħħa u ma jerġax jintuża: sistema ta’ rbit oriġinali li tista’ titneħħa kompletament mingħajr ma tikkawża ħsara lit-tagħmir jew tħalli residwi, imma li ma tistax terġa’ tintuża.</w:t>
      </w:r>
    </w:p>
    <w:p w14:paraId="4A14E217" w14:textId="77777777" w:rsidR="00A920F2" w:rsidRPr="005D5BFF" w:rsidRDefault="00A920F2" w:rsidP="005D5BFF">
      <w:pPr>
        <w:suppressAutoHyphens w:val="0"/>
        <w:spacing w:after="0" w:line="240" w:lineRule="auto"/>
        <w:ind w:left="448"/>
        <w:rPr>
          <w:rFonts w:ascii="Times New Roman" w:hAnsi="Times New Roman" w:cs="Times New Roman"/>
          <w:bCs/>
          <w:color w:val="000000"/>
          <w:sz w:val="24"/>
          <w:szCs w:val="24"/>
          <w:lang w:eastAsia="fr-FR"/>
        </w:rPr>
      </w:pPr>
    </w:p>
    <w:p w14:paraId="1E325B8F" w14:textId="77777777" w:rsidR="00A920F2" w:rsidRPr="005D5BFF" w:rsidRDefault="00515C32" w:rsidP="005D5BFF">
      <w:pPr>
        <w:suppressAutoHyphens w:val="0"/>
        <w:spacing w:after="0" w:line="240" w:lineRule="auto"/>
        <w:ind w:left="448"/>
        <w:rPr>
          <w:bCs/>
        </w:rPr>
      </w:pPr>
      <w:r w:rsidRPr="005D5BFF">
        <w:rPr>
          <w:rFonts w:ascii="Times New Roman" w:hAnsi="Times New Roman"/>
          <w:bCs/>
          <w:color w:val="000000"/>
          <w:sz w:val="24"/>
          <w:szCs w:val="24"/>
        </w:rPr>
        <w:lastRenderedPageBreak/>
        <w:t>Ma jistax jitneħħa u ma jerġax jintuża: sistema ta’ rbit oriġinali li ma tistax titneħħa kompletament mingħajr ma tikkawża ħsara lit-tagħmir jew tħalli residwi u li ma tistax terġa’ tintuża.</w:t>
      </w:r>
    </w:p>
    <w:p w14:paraId="4F18F7A8" w14:textId="46A2B1D8" w:rsidR="00A920F2" w:rsidRPr="006A7143" w:rsidRDefault="003A56D9" w:rsidP="005D5BFF">
      <w:pPr>
        <w:keepNext/>
        <w:keepLines/>
        <w:numPr>
          <w:ilvl w:val="0"/>
          <w:numId w:val="3"/>
        </w:numPr>
        <w:suppressAutoHyphens w:val="0"/>
        <w:spacing w:after="0" w:line="240" w:lineRule="auto"/>
        <w:ind w:left="1168"/>
        <w:rPr>
          <w:bCs/>
        </w:rPr>
      </w:pPr>
      <w:r w:rsidRPr="005D5BFF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515C32" w:rsidRPr="005D5BFF">
        <w:rPr>
          <w:rFonts w:ascii="Times New Roman" w:hAnsi="Times New Roman"/>
          <w:bCs/>
          <w:color w:val="000000"/>
          <w:sz w:val="24"/>
          <w:szCs w:val="24"/>
        </w:rPr>
        <w:t>Tipi ta’ għodod</w:t>
      </w:r>
    </w:p>
    <w:p w14:paraId="0BE1CDCA" w14:textId="77777777" w:rsidR="00A920F2" w:rsidRDefault="00515C32" w:rsidP="005D5BFF">
      <w:pPr>
        <w:suppressAutoHyphens w:val="0"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t>Il-lista ta’ għodod komuni tikkonsisti fil-lista t’hawn taħt li tikkorrispondi għall-istandards ta’ referenza:</w:t>
      </w:r>
    </w:p>
    <w:p w14:paraId="70A0651E" w14:textId="77777777" w:rsidR="00A920F2" w:rsidRDefault="00A920F2">
      <w:pPr>
        <w:pStyle w:val="Tabletitle"/>
        <w:keepNext w:val="0"/>
        <w:spacing w:before="0" w:after="0" w:line="240" w:lineRule="auto"/>
        <w:jc w:val="left"/>
        <w:rPr>
          <w:rFonts w:ascii="Times New Roman" w:hAnsi="Times New Roman"/>
          <w:color w:val="000000"/>
          <w:sz w:val="24"/>
          <w:lang w:val="fr-FR" w:eastAsia="fr-FR"/>
        </w:rPr>
      </w:pP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828"/>
        <w:gridCol w:w="4898"/>
      </w:tblGrid>
      <w:tr w:rsidR="00A920F2" w:rsidRPr="00C1795B" w14:paraId="59EA126D" w14:textId="77777777" w:rsidTr="00591C74">
        <w:trPr>
          <w:tblHeader/>
        </w:trPr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542C94" w14:textId="77777777" w:rsidR="00A920F2" w:rsidRPr="00C1795B" w:rsidRDefault="00515C32">
            <w:pPr>
              <w:pStyle w:val="Tableheader"/>
              <w:keepNext/>
              <w:keepLines/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Għodod komuni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3F0D32" w14:textId="77777777" w:rsidR="00A920F2" w:rsidRPr="00C1795B" w:rsidRDefault="00515C32">
            <w:pPr>
              <w:pStyle w:val="Tableheader"/>
              <w:keepNext/>
              <w:keepLines/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Referenza</w:t>
            </w:r>
          </w:p>
        </w:tc>
      </w:tr>
      <w:tr w:rsidR="00A920F2" w:rsidRPr="00C1795B" w14:paraId="43854C79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D1C295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Turnavit b’ras maqsuma, imsallab u b’sitt lobi interni.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227F95" w14:textId="77777777" w:rsidR="00A920F2" w:rsidRPr="00C1795B" w:rsidRDefault="00515C32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ISO 2380, ISO 8764, ISO 10664</w:t>
            </w:r>
          </w:p>
        </w:tc>
      </w:tr>
      <w:tr w:rsidR="00A920F2" w:rsidRPr="00C1795B" w14:paraId="658EC45A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D39386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Manilja għal viti b’forma ta’ eżagonu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CF6627" w14:textId="77777777" w:rsidR="00A920F2" w:rsidRPr="00C1795B" w:rsidRDefault="00515C32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ISO 2936</w:t>
            </w:r>
          </w:p>
        </w:tc>
      </w:tr>
      <w:tr w:rsidR="00A920F2" w:rsidRPr="00C1795B" w14:paraId="70E8B766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0F96E6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Spaner ikkombinat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1CC61A" w14:textId="77777777" w:rsidR="00A920F2" w:rsidRPr="00C1795B" w:rsidRDefault="00515C32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ISO 7738</w:t>
            </w:r>
          </w:p>
        </w:tc>
      </w:tr>
      <w:tr w:rsidR="00A920F2" w:rsidRPr="00C1795B" w14:paraId="4E85D145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D0A9BC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Tnalja universali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0C5782" w14:textId="77777777" w:rsidR="00A920F2" w:rsidRPr="00C1795B" w:rsidRDefault="00515C32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ISO 5746</w:t>
            </w:r>
          </w:p>
        </w:tc>
      </w:tr>
      <w:tr w:rsidR="00A920F2" w:rsidRPr="00C1795B" w14:paraId="60D670BE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BA22FF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Tnalja b’tarf nofsu tond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DD9629" w14:textId="77777777" w:rsidR="00A920F2" w:rsidRPr="00C1795B" w:rsidRDefault="00515C32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ISO 5745</w:t>
            </w:r>
          </w:p>
        </w:tc>
      </w:tr>
      <w:tr w:rsidR="00A920F2" w:rsidRPr="00C1795B" w14:paraId="5B126AD4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B01EAA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Tnalja għat-tqattigħ dijagonali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9519FB" w14:textId="77777777" w:rsidR="00A920F2" w:rsidRPr="00C1795B" w:rsidRDefault="00515C32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ISO 5749</w:t>
            </w:r>
          </w:p>
        </w:tc>
      </w:tr>
      <w:tr w:rsidR="00A920F2" w:rsidRPr="00C1795B" w14:paraId="16D1DE0B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992D24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Tnalja multigrip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65AE05" w14:textId="77777777" w:rsidR="00A920F2" w:rsidRPr="00C1795B" w:rsidRDefault="00515C32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ISO 8976</w:t>
            </w:r>
          </w:p>
        </w:tc>
      </w:tr>
      <w:tr w:rsidR="00A920F2" w:rsidRPr="00C1795B" w14:paraId="3335B0D0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4018E0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Tnalja li taqfel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070ACA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  <w:tr w:rsidR="00A920F2" w:rsidRPr="00C1795B" w14:paraId="70E0ED4E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CCF5B4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Tnalja universali għat-tqaxxir u l-iffurmar tat-terminali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FAC193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  <w:tr w:rsidR="00A920F2" w:rsidRPr="00C1795B" w14:paraId="5CEDD50F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FCBF6B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Lieva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487644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  <w:tr w:rsidR="00A920F2" w:rsidRPr="00C1795B" w14:paraId="598EE998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138FCB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Pinzetta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803571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  <w:tr w:rsidR="00A920F2" w:rsidRPr="00C1795B" w14:paraId="1F2385AA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A4593D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Martell (b’ras tal-metall)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005E03" w14:textId="77777777" w:rsidR="00A920F2" w:rsidRPr="00C1795B" w:rsidRDefault="00515C32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ISO 15601</w:t>
            </w:r>
          </w:p>
        </w:tc>
      </w:tr>
      <w:tr w:rsidR="00A920F2" w:rsidRPr="00C1795B" w14:paraId="2C9F26D5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CB85E1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Sikkina universali (li taqta’) b’xafra li tidħol ’il ġewwa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DBC848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  <w:tr w:rsidR="00A920F2" w:rsidRPr="00C1795B" w14:paraId="5BFA8B15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A18774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Multimetru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D65151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  <w:tr w:rsidR="00A920F2" w:rsidRPr="00C1795B" w14:paraId="1DFA11A2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B68BCE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Voltimetru (jittestja t-tensjoni)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1E3C3F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  <w:tr w:rsidR="00A920F2" w:rsidRPr="00C1795B" w14:paraId="60D9AF71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83380A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Saldatur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099659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  <w:tr w:rsidR="00A920F2" w:rsidRPr="00C1795B" w14:paraId="20D555E9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2C7D76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Pistola tal-kolla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D5D190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  <w:tr w:rsidR="00A920F2" w:rsidRPr="00C1795B" w14:paraId="37D58D2B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4D81E5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Lenti li tkabbar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7CF526" w14:textId="77777777" w:rsidR="00A920F2" w:rsidRPr="00C1795B" w:rsidRDefault="00515C32" w:rsidP="005D5BFF">
            <w:pPr>
              <w:pStyle w:val="Tablebody"/>
              <w:spacing w:before="0"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1795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</w:tbl>
    <w:p w14:paraId="169586B6" w14:textId="77777777" w:rsidR="00A920F2" w:rsidRDefault="00A920F2" w:rsidP="005D5BFF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024F143F" w14:textId="1A7A0B67" w:rsidR="00A920F2" w:rsidRDefault="00515C32" w:rsidP="005D5BFF">
      <w:pPr>
        <w:suppressAutoHyphens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hAnsi="Times New Roman"/>
          <w:color w:val="000000"/>
          <w:sz w:val="24"/>
          <w:szCs w:val="24"/>
        </w:rPr>
        <w:t>L-għodod speċifiċi huma għodod li ma jidhrux fil-lista tal-għodod komuni, mingħajr ma huma għodod proprjetarji.</w:t>
      </w:r>
    </w:p>
    <w:p w14:paraId="2EC867FE" w14:textId="77777777" w:rsidR="00A920F2" w:rsidRDefault="00515C32" w:rsidP="005D5BFF">
      <w:pPr>
        <w:suppressAutoHyphens w:val="0"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t>L-għodod proprjetarji huma għodod li l-proprjetà intellettwali tagħhom tappartjeni għall-produttur jew għal attur speċifiku.</w:t>
      </w:r>
    </w:p>
    <w:p w14:paraId="0EF73A97" w14:textId="3AA58955" w:rsidR="00A920F2" w:rsidRPr="006A7143" w:rsidRDefault="003A56D9" w:rsidP="005D5BFF">
      <w:pPr>
        <w:keepNext/>
        <w:keepLines/>
        <w:pageBreakBefore/>
        <w:numPr>
          <w:ilvl w:val="0"/>
          <w:numId w:val="3"/>
        </w:numPr>
        <w:suppressAutoHyphens w:val="0"/>
        <w:spacing w:after="0" w:line="240" w:lineRule="auto"/>
        <w:ind w:left="1168"/>
        <w:rPr>
          <w:bCs/>
        </w:rPr>
      </w:pPr>
      <w:r w:rsidRPr="005D5BFF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- </w:t>
      </w:r>
      <w:r w:rsidR="00515C32" w:rsidRPr="005D5BFF">
        <w:rPr>
          <w:rFonts w:ascii="Times New Roman" w:hAnsi="Times New Roman"/>
          <w:bCs/>
          <w:color w:val="000000"/>
          <w:sz w:val="24"/>
          <w:szCs w:val="24"/>
        </w:rPr>
        <w:t>Arloġġ tal-użu</w:t>
      </w:r>
    </w:p>
    <w:p w14:paraId="3D8F625C" w14:textId="77777777" w:rsidR="00A920F2" w:rsidRDefault="00515C32" w:rsidP="005D5BFF">
      <w:pPr>
        <w:suppressAutoHyphens w:val="0"/>
        <w:spacing w:after="0" w:line="240" w:lineRule="auto"/>
        <w:ind w:left="448"/>
      </w:pPr>
      <w:r>
        <w:rPr>
          <w:rFonts w:ascii="Times New Roman" w:hAnsi="Times New Roman"/>
          <w:color w:val="000000"/>
          <w:sz w:val="24"/>
          <w:szCs w:val="24"/>
        </w:rPr>
        <w:t>Apparat li jirreġistra b’mod kumulattiv l-użu tat-tagħmir f’numru ta’ unitajiet. L-arloġġ tal-użu jista’ jkun viżibbli b’mod dirett għall-konsumatur kull darba li jinxtegħel l-apparat jew jista’ jkun jeħtieġ operazzjoni volontarja mill-utent biex jinqara l-valur muri fuq l-arloġġ tal-użu.</w:t>
      </w:r>
    </w:p>
    <w:p w14:paraId="6FE08FE3" w14:textId="77777777" w:rsidR="005B63FC" w:rsidRDefault="005B63FC" w:rsidP="002D5456">
      <w:pPr>
        <w:keepNext/>
        <w:spacing w:after="0" w:line="240" w:lineRule="auto"/>
        <w:ind w:left="448"/>
        <w:outlineLvl w:val="3"/>
        <w:rPr>
          <w:rFonts w:ascii="Times New Roman" w:hAnsi="Times New Roman" w:cs="Times New Roman"/>
          <w:b/>
          <w:bCs/>
          <w:color w:val="00B050"/>
          <w:sz w:val="24"/>
          <w:szCs w:val="24"/>
          <w:lang w:eastAsia="fr-FR"/>
        </w:rPr>
      </w:pPr>
    </w:p>
    <w:p w14:paraId="3470D397" w14:textId="611A83E6" w:rsidR="003A56D9" w:rsidRPr="005B63FC" w:rsidRDefault="003A56D9" w:rsidP="005D5BFF">
      <w:pPr>
        <w:keepNext/>
        <w:spacing w:after="0" w:line="240" w:lineRule="auto"/>
        <w:ind w:left="448"/>
        <w:outlineLvl w:val="3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5B63F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Arti</w:t>
      </w:r>
      <w:r w:rsidR="005B63FC" w:rsidRPr="005D5BFF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kolu</w:t>
      </w:r>
      <w:r w:rsidRPr="005B63F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7</w:t>
      </w:r>
    </w:p>
    <w:p w14:paraId="67721D32" w14:textId="77777777" w:rsidR="003A56D9" w:rsidRPr="005B63FC" w:rsidRDefault="003A56D9" w:rsidP="005D5BFF">
      <w:pPr>
        <w:keepNext/>
        <w:spacing w:after="0" w:line="240" w:lineRule="auto"/>
        <w:ind w:left="448"/>
        <w:outlineLvl w:val="3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14:paraId="1FD70319" w14:textId="77777777" w:rsidR="003A56D9" w:rsidRPr="005B63FC" w:rsidRDefault="003A56D9" w:rsidP="005D5BFF">
      <w:pPr>
        <w:keepNext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169E9A32" w14:textId="4E598697" w:rsidR="003A56D9" w:rsidRPr="005B63FC" w:rsidRDefault="005B63FC" w:rsidP="005D5BFF">
      <w:pPr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eastAsia="fr-FR"/>
        </w:rPr>
      </w:pPr>
      <w:r w:rsidRPr="005D5BFF">
        <w:rPr>
          <w:rFonts w:ascii="Times New Roman" w:hAnsi="Times New Roman" w:cs="Times New Roman"/>
          <w:sz w:val="24"/>
          <w:szCs w:val="24"/>
          <w:lang w:eastAsia="fr-FR"/>
        </w:rPr>
        <w:t xml:space="preserve">Id-dispożizzjonijiet ta’ dan id-digriet jidħlu fis-seħħ mill-1 ta’ Jannar </w:t>
      </w:r>
      <w:r w:rsidR="003A56D9" w:rsidRPr="005B63FC">
        <w:rPr>
          <w:rFonts w:ascii="Times New Roman" w:hAnsi="Times New Roman" w:cs="Times New Roman"/>
          <w:sz w:val="24"/>
          <w:szCs w:val="24"/>
          <w:lang w:eastAsia="fr-FR"/>
        </w:rPr>
        <w:t>2021.</w:t>
      </w:r>
    </w:p>
    <w:p w14:paraId="5D8E27E9" w14:textId="77777777" w:rsidR="003A56D9" w:rsidRPr="005B63FC" w:rsidRDefault="003A56D9" w:rsidP="005D5BFF">
      <w:pPr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319DF4E1" w14:textId="7BD466C5" w:rsidR="003A56D9" w:rsidRPr="005B63FC" w:rsidRDefault="003A56D9" w:rsidP="005D5BFF">
      <w:pPr>
        <w:keepNext/>
        <w:spacing w:after="0" w:line="240" w:lineRule="auto"/>
        <w:ind w:left="448"/>
        <w:outlineLvl w:val="3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5B63F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Arti</w:t>
      </w:r>
      <w:r w:rsidR="005B63FC" w:rsidRPr="005D5BFF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kolu</w:t>
      </w:r>
      <w:r w:rsidRPr="005B63F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8</w:t>
      </w:r>
    </w:p>
    <w:p w14:paraId="13C83069" w14:textId="77777777" w:rsidR="003A56D9" w:rsidRPr="005B63FC" w:rsidRDefault="003A56D9" w:rsidP="005D5BFF">
      <w:pPr>
        <w:keepNext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01F5E95D" w14:textId="77777777" w:rsidR="003A56D9" w:rsidRPr="005B63FC" w:rsidRDefault="003A56D9" w:rsidP="005D5BFF">
      <w:pPr>
        <w:keepNext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677CA311" w14:textId="57142D82" w:rsidR="003A56D9" w:rsidRPr="005B63FC" w:rsidRDefault="005B63FC" w:rsidP="005D5BFF">
      <w:pPr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eastAsia="fr-FR"/>
        </w:rPr>
      </w:pPr>
      <w:r w:rsidRPr="005D5BFF">
        <w:rPr>
          <w:rFonts w:ascii="Times New Roman" w:hAnsi="Times New Roman" w:cs="Times New Roman"/>
          <w:sz w:val="24"/>
          <w:szCs w:val="24"/>
          <w:lang w:eastAsia="fr-FR"/>
        </w:rPr>
        <w:t>Dan id-digriet se jiġi ppubblikat fil-Ġurnal Uffiċjali tar-Repubblika Franċiża.</w:t>
      </w:r>
    </w:p>
    <w:p w14:paraId="3388AEC6" w14:textId="77777777" w:rsidR="003A56D9" w:rsidRPr="005B63FC" w:rsidRDefault="003A56D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1DA5B57A" w14:textId="77777777" w:rsidR="003A56D9" w:rsidRPr="005B63FC" w:rsidRDefault="003A56D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792FD119" w14:textId="6F005C80" w:rsidR="003A56D9" w:rsidRPr="005B63FC" w:rsidRDefault="005B63F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5D5BFF">
        <w:rPr>
          <w:rFonts w:ascii="Times New Roman" w:hAnsi="Times New Roman" w:cs="Times New Roman"/>
          <w:sz w:val="24"/>
          <w:szCs w:val="24"/>
          <w:lang w:eastAsia="fr-FR"/>
        </w:rPr>
        <w:t>Magħmul fid-29</w:t>
      </w:r>
      <w:r w:rsidR="00270294">
        <w:rPr>
          <w:rFonts w:ascii="Times New Roman" w:hAnsi="Times New Roman" w:cs="Times New Roman"/>
          <w:color w:val="00B050"/>
          <w:sz w:val="24"/>
          <w:szCs w:val="24"/>
          <w:lang w:val="en-GB" w:eastAsia="fr-FR"/>
        </w:rPr>
        <w:t> </w:t>
      </w:r>
      <w:r w:rsidRPr="005D5BFF">
        <w:rPr>
          <w:rFonts w:ascii="Times New Roman" w:hAnsi="Times New Roman" w:cs="Times New Roman"/>
          <w:sz w:val="24"/>
          <w:szCs w:val="24"/>
          <w:lang w:eastAsia="fr-FR"/>
        </w:rPr>
        <w:t>ta’</w:t>
      </w:r>
      <w:r w:rsidR="00270294">
        <w:rPr>
          <w:rFonts w:ascii="Times New Roman" w:hAnsi="Times New Roman" w:cs="Times New Roman"/>
          <w:color w:val="00B050"/>
          <w:sz w:val="24"/>
          <w:szCs w:val="24"/>
          <w:lang w:val="en-GB" w:eastAsia="fr-FR"/>
        </w:rPr>
        <w:t> </w:t>
      </w:r>
      <w:r w:rsidRPr="005D5BFF">
        <w:rPr>
          <w:rFonts w:ascii="Times New Roman" w:hAnsi="Times New Roman" w:cs="Times New Roman"/>
          <w:sz w:val="24"/>
          <w:szCs w:val="24"/>
          <w:lang w:eastAsia="fr-FR"/>
        </w:rPr>
        <w:t>Diċembru</w:t>
      </w:r>
      <w:r w:rsidR="00270294">
        <w:rPr>
          <w:rFonts w:ascii="Times New Roman" w:hAnsi="Times New Roman" w:cs="Times New Roman"/>
          <w:sz w:val="24"/>
          <w:szCs w:val="24"/>
          <w:lang w:val="en-GB" w:eastAsia="fr-FR"/>
        </w:rPr>
        <w:t> </w:t>
      </w:r>
      <w:r w:rsidR="003A56D9" w:rsidRPr="005B63FC">
        <w:rPr>
          <w:rFonts w:ascii="Times New Roman" w:hAnsi="Times New Roman" w:cs="Times New Roman"/>
          <w:sz w:val="24"/>
          <w:szCs w:val="24"/>
          <w:lang w:eastAsia="fr-FR"/>
        </w:rPr>
        <w:t>2020.</w:t>
      </w:r>
    </w:p>
    <w:p w14:paraId="40BD4368" w14:textId="77777777" w:rsidR="00A920F2" w:rsidRPr="005D5BFF" w:rsidRDefault="00A920F2" w:rsidP="005D5BFF">
      <w:pPr>
        <w:suppressAutoHyphens w:val="0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eastAsia="fr-FR"/>
        </w:rPr>
      </w:pPr>
    </w:p>
    <w:p w14:paraId="37CFBA68" w14:textId="77777777" w:rsidR="00A920F2" w:rsidRDefault="00A920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2266768A" w14:textId="7BE983D9" w:rsidR="00A920F2" w:rsidRPr="00247F97" w:rsidRDefault="00515C32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Il-Ministru għat-Tranżizzjoni Ekoloġika</w:t>
      </w:r>
      <w:r w:rsidR="003A56D9">
        <w:rPr>
          <w:rFonts w:ascii="Times New Roman" w:hAnsi="Times New Roman"/>
          <w:color w:val="000000"/>
          <w:sz w:val="24"/>
          <w:szCs w:val="24"/>
        </w:rPr>
        <w:t>;</w:t>
      </w:r>
    </w:p>
    <w:p w14:paraId="7EDE04F1" w14:textId="487404A8" w:rsidR="003A56D9" w:rsidRDefault="00515C32">
      <w:pPr>
        <w:keepNext/>
        <w:keepLine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Għall-Ministru u b’delega</w:t>
      </w:r>
      <w:r w:rsidR="003A56D9">
        <w:rPr>
          <w:rFonts w:ascii="Times New Roman" w:hAnsi="Times New Roman"/>
          <w:color w:val="000000"/>
          <w:sz w:val="24"/>
          <w:szCs w:val="24"/>
        </w:rPr>
        <w:t>:</w:t>
      </w:r>
    </w:p>
    <w:p w14:paraId="1CD64E5D" w14:textId="25E37F5E" w:rsidR="00A920F2" w:rsidRPr="00247F97" w:rsidRDefault="003A56D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="00515C32">
        <w:rPr>
          <w:rFonts w:ascii="Times New Roman" w:hAnsi="Times New Roman"/>
          <w:color w:val="000000"/>
          <w:sz w:val="24"/>
          <w:szCs w:val="24"/>
        </w:rPr>
        <w:t>l-Kummissarju Ġenerali għall-Iżvilupp Sostenibbli,</w:t>
      </w:r>
    </w:p>
    <w:p w14:paraId="76E34498" w14:textId="77777777" w:rsidR="00A920F2" w:rsidRPr="00247F97" w:rsidRDefault="00515C32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T. Lesueur</w:t>
      </w:r>
    </w:p>
    <w:p w14:paraId="07CB6EFD" w14:textId="77777777" w:rsidR="00BD3BED" w:rsidRDefault="00BD3BED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226D8574" w14:textId="77777777" w:rsidR="00BD3BED" w:rsidRDefault="00BD3BED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A566B1" w14:textId="77777777" w:rsidR="00BD3BED" w:rsidRDefault="00BD3BED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616CF2" w14:textId="67087A67" w:rsidR="00A920F2" w:rsidRPr="00247F97" w:rsidRDefault="00515C32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Il-Ministru għall-Ekonomija</w:t>
      </w:r>
      <w:r w:rsidR="003A56D9">
        <w:rPr>
          <w:rFonts w:ascii="Times New Roman" w:hAnsi="Times New Roman"/>
          <w:color w:val="000000"/>
          <w:sz w:val="24"/>
          <w:szCs w:val="24"/>
        </w:rPr>
        <w:t>, i</w:t>
      </w:r>
      <w:r>
        <w:rPr>
          <w:rFonts w:ascii="Times New Roman" w:hAnsi="Times New Roman"/>
          <w:color w:val="000000"/>
          <w:sz w:val="24"/>
          <w:szCs w:val="24"/>
        </w:rPr>
        <w:t>l-Finanzi</w:t>
      </w:r>
      <w:r w:rsidR="003A56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74A5">
        <w:rPr>
          <w:rFonts w:ascii="Times New Roman" w:hAnsi="Times New Roman"/>
          <w:color w:val="000000"/>
          <w:sz w:val="24"/>
          <w:szCs w:val="24"/>
        </w:rPr>
        <w:t>u l-Irkupru</w:t>
      </w:r>
    </w:p>
    <w:p w14:paraId="016DDF5F" w14:textId="4B4CA61F" w:rsidR="003A56D9" w:rsidRDefault="00515C32">
      <w:pPr>
        <w:keepNext/>
        <w:keepLine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Għall-Ministru u b’delega</w:t>
      </w:r>
      <w:r w:rsidR="003A56D9">
        <w:rPr>
          <w:rFonts w:ascii="Times New Roman" w:hAnsi="Times New Roman"/>
          <w:color w:val="000000"/>
          <w:sz w:val="24"/>
          <w:szCs w:val="24"/>
        </w:rPr>
        <w:t>:</w:t>
      </w:r>
    </w:p>
    <w:p w14:paraId="6719FCE3" w14:textId="568DD1E5" w:rsidR="00A920F2" w:rsidRPr="00247F97" w:rsidRDefault="003A56D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="00515C32">
        <w:rPr>
          <w:rFonts w:ascii="Times New Roman" w:hAnsi="Times New Roman"/>
          <w:color w:val="000000"/>
          <w:sz w:val="24"/>
          <w:szCs w:val="24"/>
        </w:rPr>
        <w:t>d-Direttriċi Ġenerali għall-Kompetizzjoni</w:t>
      </w:r>
      <w:r w:rsidR="007574A5">
        <w:rPr>
          <w:rFonts w:ascii="Times New Roman" w:hAnsi="Times New Roman"/>
          <w:color w:val="000000"/>
          <w:sz w:val="24"/>
          <w:szCs w:val="24"/>
        </w:rPr>
        <w:t xml:space="preserve"> ta</w:t>
      </w:r>
      <w:r w:rsidR="00515C32">
        <w:rPr>
          <w:rFonts w:ascii="Times New Roman" w:hAnsi="Times New Roman"/>
          <w:color w:val="000000"/>
          <w:sz w:val="24"/>
          <w:szCs w:val="24"/>
        </w:rPr>
        <w:t>l-Konsum u l-Prevenzjoni tal-Frodi</w:t>
      </w:r>
      <w:r w:rsidR="007574A5">
        <w:rPr>
          <w:rFonts w:ascii="Times New Roman" w:hAnsi="Times New Roman"/>
          <w:color w:val="000000"/>
          <w:sz w:val="24"/>
          <w:szCs w:val="24"/>
        </w:rPr>
        <w:t>.</w:t>
      </w:r>
    </w:p>
    <w:p w14:paraId="19A24030" w14:textId="77777777" w:rsidR="00A920F2" w:rsidRPr="00247F97" w:rsidRDefault="00515C32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V. Beaumeunier</w:t>
      </w:r>
    </w:p>
    <w:sectPr w:rsidR="00A920F2" w:rsidRPr="00247F97">
      <w:pgSz w:w="11906" w:h="16838"/>
      <w:pgMar w:top="1416" w:right="1133" w:bottom="1133" w:left="1133" w:header="11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4756C" w14:textId="77777777" w:rsidR="00846B4C" w:rsidRDefault="00846B4C">
      <w:pPr>
        <w:spacing w:after="0" w:line="240" w:lineRule="auto"/>
      </w:pPr>
      <w:r>
        <w:separator/>
      </w:r>
    </w:p>
  </w:endnote>
  <w:endnote w:type="continuationSeparator" w:id="0">
    <w:p w14:paraId="6947025F" w14:textId="77777777" w:rsidR="00846B4C" w:rsidRDefault="00846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DF348" w14:textId="77777777" w:rsidR="00846B4C" w:rsidRDefault="00846B4C">
      <w:pPr>
        <w:spacing w:after="0" w:line="240" w:lineRule="auto"/>
      </w:pPr>
      <w:r>
        <w:separator/>
      </w:r>
    </w:p>
  </w:footnote>
  <w:footnote w:type="continuationSeparator" w:id="0">
    <w:p w14:paraId="16DEC0A1" w14:textId="77777777" w:rsidR="00846B4C" w:rsidRDefault="00846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D9749B"/>
    <w:multiLevelType w:val="hybridMultilevel"/>
    <w:tmpl w:val="1BF8843C"/>
    <w:lvl w:ilvl="0" w:tplc="79D6717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TONINO LITRICO">
    <w15:presenceInfo w15:providerId="None" w15:userId="ANTONINO LITRICO"/>
  </w15:person>
  <w15:person w15:author="Liu, Lei">
    <w15:presenceInfo w15:providerId="AD" w15:userId="S-1-5-21-88749695-1565403352-1427260136-167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32"/>
    <w:rsid w:val="00052022"/>
    <w:rsid w:val="000C5560"/>
    <w:rsid w:val="00114284"/>
    <w:rsid w:val="0017591D"/>
    <w:rsid w:val="00247F97"/>
    <w:rsid w:val="00270294"/>
    <w:rsid w:val="002A489A"/>
    <w:rsid w:val="002D5456"/>
    <w:rsid w:val="002E0B39"/>
    <w:rsid w:val="003A56D9"/>
    <w:rsid w:val="003C0582"/>
    <w:rsid w:val="00515C32"/>
    <w:rsid w:val="00591C74"/>
    <w:rsid w:val="00596751"/>
    <w:rsid w:val="005B63FC"/>
    <w:rsid w:val="005D5BFF"/>
    <w:rsid w:val="006039E8"/>
    <w:rsid w:val="006A7143"/>
    <w:rsid w:val="007574A5"/>
    <w:rsid w:val="00781708"/>
    <w:rsid w:val="007A406D"/>
    <w:rsid w:val="007B43FE"/>
    <w:rsid w:val="007F4461"/>
    <w:rsid w:val="00801F0A"/>
    <w:rsid w:val="00845239"/>
    <w:rsid w:val="00846B4C"/>
    <w:rsid w:val="00882C27"/>
    <w:rsid w:val="008F3089"/>
    <w:rsid w:val="00924F06"/>
    <w:rsid w:val="009451F9"/>
    <w:rsid w:val="009A4053"/>
    <w:rsid w:val="009A7F5C"/>
    <w:rsid w:val="00A872F8"/>
    <w:rsid w:val="00A920F2"/>
    <w:rsid w:val="00BD3BED"/>
    <w:rsid w:val="00C1795B"/>
    <w:rsid w:val="00C93306"/>
    <w:rsid w:val="00C97B8B"/>
    <w:rsid w:val="00D27C31"/>
    <w:rsid w:val="00D62C38"/>
    <w:rsid w:val="00ED60B5"/>
    <w:rsid w:val="00F7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AA715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t-MT" w:eastAsia="mt-M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sz w:val="20"/>
      <w:szCs w:val="20"/>
      <w:lang w:eastAsia="fr-FR"/>
    </w:rPr>
  </w:style>
  <w:style w:type="character" w:customStyle="1" w:styleId="WW8Num4z0">
    <w:name w:val="WW8Num4z0"/>
    <w:rPr>
      <w:rFonts w:ascii="Times New Roman" w:hAnsi="Times New Roman" w:cs="Times New Roman" w:hint="default"/>
      <w:sz w:val="20"/>
      <w:szCs w:val="20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sz w:val="24"/>
      <w:szCs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Policepardfaut">
    <w:name w:val="Police par défaut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olicepardfaut3">
    <w:name w:val="Police par défaut3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rFonts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</w:rPr>
  </w:style>
  <w:style w:type="character" w:customStyle="1" w:styleId="CarCar">
    <w:name w:val="Car Car"/>
    <w:rPr>
      <w:sz w:val="24"/>
      <w:szCs w:val="24"/>
    </w:rPr>
  </w:style>
  <w:style w:type="character" w:customStyle="1" w:styleId="TabletitleChar">
    <w:name w:val="Table title Char"/>
    <w:rPr>
      <w:rFonts w:ascii="Arial" w:eastAsia="Calibri" w:hAnsi="Arial" w:cs="Arial"/>
      <w:b/>
      <w:szCs w:val="24"/>
      <w:lang w:val="mt-MT"/>
    </w:rPr>
  </w:style>
  <w:style w:type="character" w:customStyle="1" w:styleId="TablebodyChar">
    <w:name w:val="Table body Char"/>
    <w:rPr>
      <w:rFonts w:ascii="Arial" w:eastAsia="Calibri" w:hAnsi="Arial" w:cs="Arial"/>
      <w:szCs w:val="22"/>
      <w:lang w:val="mt-MT"/>
    </w:rPr>
  </w:style>
  <w:style w:type="character" w:customStyle="1" w:styleId="TableheaderChar">
    <w:name w:val="Table header Char"/>
    <w:rPr>
      <w:rFonts w:ascii="Arial" w:eastAsia="Calibri" w:hAnsi="Arial" w:cs="Arial"/>
      <w:szCs w:val="22"/>
      <w:lang w:val="mt-MT"/>
    </w:r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3">
    <w:name w:val="Titre3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kern w:val="2"/>
      <w:sz w:val="24"/>
      <w:szCs w:val="24"/>
      <w:lang w:eastAsia="zh-CN" w:bidi="hi-IN"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eastAsia="Segoe UI" w:hAnsi="Calibri" w:cs="Calibri"/>
      <w:kern w:val="2"/>
      <w:sz w:val="22"/>
      <w:szCs w:val="22"/>
      <w:lang w:eastAsia="zh-CN"/>
    </w:rPr>
  </w:style>
  <w:style w:type="paragraph" w:customStyle="1" w:styleId="TableGrid1">
    <w:name w:val="Table Grid1"/>
    <w:basedOn w:val="DocumentMap"/>
    <w:rPr>
      <w:rFonts w:cs="Times New Roman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NSignatureprnomnomDroite">
    <w:name w:val="SNSignature prénom+nom Droite"/>
    <w:basedOn w:val="Normal"/>
    <w:pPr>
      <w:spacing w:before="120" w:after="120" w:line="240" w:lineRule="auto"/>
      <w:ind w:left="5041"/>
      <w:jc w:val="right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abletitle">
    <w:name w:val="Table title"/>
    <w:basedOn w:val="Normal"/>
    <w:pPr>
      <w:keepNext/>
      <w:spacing w:before="120" w:after="120" w:line="240" w:lineRule="atLeast"/>
      <w:jc w:val="center"/>
    </w:pPr>
    <w:rPr>
      <w:rFonts w:ascii="Arial" w:eastAsia="Calibri" w:hAnsi="Arial" w:cs="Times New Roman"/>
      <w:b/>
      <w:kern w:val="0"/>
      <w:sz w:val="20"/>
      <w:szCs w:val="24"/>
    </w:rPr>
  </w:style>
  <w:style w:type="paragraph" w:customStyle="1" w:styleId="Tablebody">
    <w:name w:val="Table body"/>
    <w:basedOn w:val="Normal"/>
    <w:pPr>
      <w:suppressAutoHyphens w:val="0"/>
      <w:spacing w:before="60" w:after="60" w:line="210" w:lineRule="atLeast"/>
    </w:pPr>
    <w:rPr>
      <w:rFonts w:ascii="Arial" w:eastAsia="Calibri" w:hAnsi="Arial" w:cs="Times New Roman"/>
      <w:kern w:val="0"/>
      <w:sz w:val="20"/>
    </w:rPr>
  </w:style>
  <w:style w:type="paragraph" w:customStyle="1" w:styleId="Tableheader">
    <w:name w:val="Table header"/>
    <w:basedOn w:val="Tablebody"/>
  </w:style>
  <w:style w:type="table" w:styleId="TableGrid">
    <w:name w:val="Table Grid"/>
    <w:basedOn w:val="TableNormal"/>
    <w:uiPriority w:val="39"/>
    <w:rsid w:val="00591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t-MT" w:eastAsia="mt-M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sz w:val="20"/>
      <w:szCs w:val="20"/>
      <w:lang w:eastAsia="fr-FR"/>
    </w:rPr>
  </w:style>
  <w:style w:type="character" w:customStyle="1" w:styleId="WW8Num4z0">
    <w:name w:val="WW8Num4z0"/>
    <w:rPr>
      <w:rFonts w:ascii="Times New Roman" w:hAnsi="Times New Roman" w:cs="Times New Roman" w:hint="default"/>
      <w:sz w:val="20"/>
      <w:szCs w:val="20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sz w:val="24"/>
      <w:szCs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Policepardfaut">
    <w:name w:val="Police par défaut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olicepardfaut3">
    <w:name w:val="Police par défaut3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rFonts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</w:rPr>
  </w:style>
  <w:style w:type="character" w:customStyle="1" w:styleId="CarCar">
    <w:name w:val="Car Car"/>
    <w:rPr>
      <w:sz w:val="24"/>
      <w:szCs w:val="24"/>
    </w:rPr>
  </w:style>
  <w:style w:type="character" w:customStyle="1" w:styleId="TabletitleChar">
    <w:name w:val="Table title Char"/>
    <w:rPr>
      <w:rFonts w:ascii="Arial" w:eastAsia="Calibri" w:hAnsi="Arial" w:cs="Arial"/>
      <w:b/>
      <w:szCs w:val="24"/>
      <w:lang w:val="mt-MT"/>
    </w:rPr>
  </w:style>
  <w:style w:type="character" w:customStyle="1" w:styleId="TablebodyChar">
    <w:name w:val="Table body Char"/>
    <w:rPr>
      <w:rFonts w:ascii="Arial" w:eastAsia="Calibri" w:hAnsi="Arial" w:cs="Arial"/>
      <w:szCs w:val="22"/>
      <w:lang w:val="mt-MT"/>
    </w:rPr>
  </w:style>
  <w:style w:type="character" w:customStyle="1" w:styleId="TableheaderChar">
    <w:name w:val="Table header Char"/>
    <w:rPr>
      <w:rFonts w:ascii="Arial" w:eastAsia="Calibri" w:hAnsi="Arial" w:cs="Arial"/>
      <w:szCs w:val="22"/>
      <w:lang w:val="mt-MT"/>
    </w:r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3">
    <w:name w:val="Titre3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kern w:val="2"/>
      <w:sz w:val="24"/>
      <w:szCs w:val="24"/>
      <w:lang w:eastAsia="zh-CN" w:bidi="hi-IN"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eastAsia="Segoe UI" w:hAnsi="Calibri" w:cs="Calibri"/>
      <w:kern w:val="2"/>
      <w:sz w:val="22"/>
      <w:szCs w:val="22"/>
      <w:lang w:eastAsia="zh-CN"/>
    </w:rPr>
  </w:style>
  <w:style w:type="paragraph" w:customStyle="1" w:styleId="TableGrid1">
    <w:name w:val="Table Grid1"/>
    <w:basedOn w:val="DocumentMap"/>
    <w:rPr>
      <w:rFonts w:cs="Times New Roman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NSignatureprnomnomDroite">
    <w:name w:val="SNSignature prénom+nom Droite"/>
    <w:basedOn w:val="Normal"/>
    <w:pPr>
      <w:spacing w:before="120" w:after="120" w:line="240" w:lineRule="auto"/>
      <w:ind w:left="5041"/>
      <w:jc w:val="right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abletitle">
    <w:name w:val="Table title"/>
    <w:basedOn w:val="Normal"/>
    <w:pPr>
      <w:keepNext/>
      <w:spacing w:before="120" w:after="120" w:line="240" w:lineRule="atLeast"/>
      <w:jc w:val="center"/>
    </w:pPr>
    <w:rPr>
      <w:rFonts w:ascii="Arial" w:eastAsia="Calibri" w:hAnsi="Arial" w:cs="Times New Roman"/>
      <w:b/>
      <w:kern w:val="0"/>
      <w:sz w:val="20"/>
      <w:szCs w:val="24"/>
    </w:rPr>
  </w:style>
  <w:style w:type="paragraph" w:customStyle="1" w:styleId="Tablebody">
    <w:name w:val="Table body"/>
    <w:basedOn w:val="Normal"/>
    <w:pPr>
      <w:suppressAutoHyphens w:val="0"/>
      <w:spacing w:before="60" w:after="60" w:line="210" w:lineRule="atLeast"/>
    </w:pPr>
    <w:rPr>
      <w:rFonts w:ascii="Arial" w:eastAsia="Calibri" w:hAnsi="Arial" w:cs="Times New Roman"/>
      <w:kern w:val="0"/>
      <w:sz w:val="20"/>
    </w:rPr>
  </w:style>
  <w:style w:type="paragraph" w:customStyle="1" w:styleId="Tableheader">
    <w:name w:val="Table header"/>
    <w:basedOn w:val="Tablebody"/>
  </w:style>
  <w:style w:type="table" w:styleId="TableGrid">
    <w:name w:val="Table Grid"/>
    <w:basedOn w:val="TableNormal"/>
    <w:uiPriority w:val="39"/>
    <w:rsid w:val="00591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2131</Words>
  <Characters>12149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Journal officiel de la République française - N° 35 du 11 février 2020</vt:lpstr>
      <vt:lpstr>Journal officiel de la République française - N° 35 du 11 février 2020</vt:lpstr>
    </vt:vector>
  </TitlesOfParts>
  <Company>Microsoft</Company>
  <LinksUpToDate>false</LinksUpToDate>
  <CharactersWithSpaces>14252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officiel de la République française - N° 35 du 11 février 2020</dc:title>
  <dc:subject>Lois et décrets</dc:subject>
  <dc:creator>BARRAUD Flavien</dc:creator>
  <cp:keywords>ISSN:0373-0425</cp:keywords>
  <cp:lastModifiedBy>TRA</cp:lastModifiedBy>
  <cp:revision>3</cp:revision>
  <cp:lastPrinted>1900-12-31T23:00:00Z</cp:lastPrinted>
  <dcterms:created xsi:type="dcterms:W3CDTF">2021-02-11T20:52:00Z</dcterms:created>
  <dcterms:modified xsi:type="dcterms:W3CDTF">2021-02-11T20:54:00Z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Mar 20 10:24:27 CET 2020</vt:lpwstr>
  </property>
  <property fmtid="{D5CDD505-2E9C-101B-9397-08002B2CF9AE}" pid="3" name="jforVersion">
    <vt:lpwstr>jfor V0.7.2rc1 - see http://www.jfor.org</vt:lpwstr>
  </property>
</Properties>
</file>