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18" w:rsidRDefault="00000018" w:rsidP="00000018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0469 F-- PL- ------ 20210228 --- --- FINAL</w:t>
      </w:r>
    </w:p>
    <w:p w:rsidR="00E53DB4" w:rsidRPr="00970505" w:rsidRDefault="00E53DB4" w:rsidP="00ED3F8B">
      <w:pPr>
        <w:spacing w:after="0" w:line="240" w:lineRule="auto"/>
      </w:pPr>
    </w:p>
    <w:p w:rsidR="004C4E44" w:rsidRDefault="004C4E44" w:rsidP="00ED3F8B">
      <w:pPr>
        <w:spacing w:after="0" w:line="240" w:lineRule="auto"/>
        <w:outlineLvl w:val="1"/>
        <w:rPr>
          <w:b/>
          <w:bCs/>
          <w:sz w:val="36"/>
          <w:szCs w:val="36"/>
          <w:rFonts w:ascii="Times New Roman" w:eastAsia="Times New Roman" w:hAnsi="Times New Roman" w:cs="Times New Roman"/>
        </w:rPr>
      </w:pPr>
      <w:r>
        <w:rPr>
          <w:b/>
          <w:bCs/>
          <w:sz w:val="36"/>
          <w:szCs w:val="36"/>
          <w:rFonts w:ascii="Times New Roman" w:hAnsi="Times New Roman"/>
        </w:rPr>
        <w:t xml:space="preserve">Rozporządzenie z dnia 29 grudnia 2020 r. w sprawie zasad umieszczania, oznaczania i ogólnych parametrów obliczania wskaźnika możliwości naprawy</w:t>
      </w:r>
    </w:p>
    <w:p w:rsidR="00ED3F8B" w:rsidRPr="00970505" w:rsidRDefault="00ED3F8B" w:rsidP="00ED3F8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</w:p>
    <w:p w:rsidR="004C4E44" w:rsidRPr="00970505" w:rsidRDefault="004C4E44" w:rsidP="00ED3F8B">
      <w:pPr>
        <w:spacing w:after="0" w:line="240" w:lineRule="auto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Wersja wstępna</w:t>
      </w:r>
      <w:r>
        <w:rPr>
          <w:b/>
          <w:bCs/>
          <w:sz w:val="24"/>
          <w:szCs w:val="24"/>
          <w:rFonts w:ascii="Times New Roman" w:hAnsi="Times New Roman"/>
        </w:rPr>
        <w:t xml:space="preserve"> 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Zainteresowane społeczności: </w:t>
      </w:r>
      <w:r>
        <w:rPr>
          <w:sz w:val="24"/>
          <w:szCs w:val="24"/>
          <w:rFonts w:ascii="Times New Roman" w:hAnsi="Times New Roman"/>
        </w:rPr>
        <w:t xml:space="preserve">producenci, importerzy, dystrybutorzy lub inne podmiotu wprowadzające do obrotu urządzenia elektryczne i elektroniczne, sprzedawcy tych urządzeń oraz podmioty wykorzystujące witrynę internetową, platformę lub inny kanał dystrybucji online w ramach swojej działalności handlowej we Francji.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Przedmiot: zasady umieszczania, oznaczania i ogólnych parametrów obliczania wskaźnika możliwości naprawy.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Wejście w życie: niniejszy akt wchodzi w życie z dniem 1 stycznia 2021 r.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Uwaga: w niniejszym rozporządzeniu ustanawia się zasady umieszczania, oznaczania i ogólnych parametrów obliczania wskaźnika możliwości naprawy.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4C4E44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Teksty podstawowe: niniejsze rozporządzenie jest dostępne w serwisie internetowym Légifrance (https://www.legifrance.gouv.fr).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Transformacji Ekologicznej i Minister Gospodarki, Finansów i Odbudowy,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rozporządzenie Komisji (UE) 2019/2021 z dnia 1 października 2019 r. ustanawiające wymogi dotyczące ekoprojektu dla wyświetlaczy elektronicznych zgodnie z dyrektywą Parlamentu Europejskiego i Rady 2009/125/WE, zmieniające rozporządzenie Komisji (WE) nr 1275/2008 i uchylające rozporządzenie Komisji (WE) nr 642/2009,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kodeks środowiska, w szczególności jego art. L. 541-9-2,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uwzględniając dekret nr 2020-1757 z dnia 29 grudnia 2020 r. w sprawie wskaźnika możliwości naprawy urządzeń elektrycznych i elektronicznych,</w:t>
      </w:r>
    </w:p>
    <w:p w:rsidR="004C4E44" w:rsidRDefault="004C4E44" w:rsidP="00ED3F8B">
      <w:pPr>
        <w:keepNext/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przyjmują następujące rozporządzenie:</w:t>
      </w:r>
    </w:p>
    <w:p w:rsidR="00ED3F8B" w:rsidRPr="00970505" w:rsidRDefault="00ED3F8B" w:rsidP="00ED3F8B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1</w:t>
      </w:r>
    </w:p>
    <w:p w:rsidR="00ED3F8B" w:rsidRPr="00970505" w:rsidRDefault="00ED3F8B" w:rsidP="00ED3F8B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Niniejsze rozporządzenie ma zastosowanie do wszystkich urządzeń elektrycznych i elektronicznych, których dotyczy wymóg obliczania i umieszczania wskaźnika możliwości naprawy zgodnie z przepisami art. R. 541-210 do R. 541-214 kodeksu środowiska.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2</w:t>
      </w:r>
    </w:p>
    <w:p w:rsidR="00FB0990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przypadku wszystkich produktów elektrycznych i elektronicznych, o których mowa w art. 1, wskaźnik możliwości naprawy prezentuje się w postaci oceny w dziesięciopunktowej skali, z możliwością dokładności do dwóch miejsc po przecinku.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Jeżeli druga cyfra po przecinku jest mniejsza niż 5, ocenę zaokrągla się do części dziesiętnej w dół.</w:t>
      </w:r>
    </w:p>
    <w:p w:rsidR="004C4E44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Jeżeli druga cyfra po przecinku jest większa lub równa 5, ocenę zaokrągla się do części dziesiętnej w górę.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3</w:t>
      </w:r>
    </w:p>
    <w:p w:rsidR="00FB0990" w:rsidRDefault="00FB0990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zależności od otrzymanej w ten sposób oceny do umieszczania wskaźnika stosuje się następujące kody kolorystyczne: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równa lub wyższa od 0 i nieprzekraczająca 1,9: czerwony, nr referencyjny Pantone 186 C;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równa lub wyższa od 2 i nieprzekraczająca 3,9: pomarańczowy, nr referencyjny Pantone 1585 C;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równa lub wyższa od 4 i nieprzekraczająca 5,9: żółty, nr referencyjny Pantone 7548 C;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4.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równa lub wyższa od 6 i nieprzekraczająca 7,9: jasnozielony, nr referencyjny Pantone 2291 C;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ocena równa lub wyższa od 8 i nieprzekraczająca 10: ciemnozielony, nr referencyjny Pantone 347 C.</w:t>
      </w:r>
    </w:p>
    <w:p w:rsidR="004C4E44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Obowiązkowym oznaczeniem dla informacji o wskaźniku możliwości naprawy jest przedstawienie graficzne składające się z wyrażenia „wskaźnik możliwości naprawy” i poniższego piktogramu wskazującego wartość wskaźnika.</w:t>
      </w: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Cały tekst z obrazami na podstawie wyciągu z uwierzytelnionego Elektronicznego Dziennika Urzędowego jest dostępny na dole strony.</w:t>
      </w:r>
    </w:p>
    <w:p w:rsidR="00FB0990" w:rsidRDefault="00FB0990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645A" w:rsidRPr="00970505" w:rsidRDefault="003D645A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Wielkość czcionki cyfr oceny w dziesięciopunktowej skali powinna być co najmniej równoważna wielkości czcionki cyfr ceny na półce.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Wszelkie dostosowania wielkości tego oznaczenia należy przeprowadzać w sposób jednolity.</w:t>
      </w:r>
    </w:p>
    <w:p w:rsidR="004C4E44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przypadku gdy wskaźnik umieszcza się również na każdej sztuce modelu lub na opakowaniu poprzez etykietowanie lub oznakowanie, rozmiary przedstawienia graficznego dobiera się tak, by było ono widoczne i czytelne.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4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Każde kryterium cząstkowe wskaźnika ocenia się w skali od jednego do dziesięciu, z zastosowaniem współczynnika umożliwiającego uzyskanie oceny dla danego kryterium w skali od jednego do dwudziestu, jak podano w tabeli poniżej.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Suma ważonych jednakowo ocen dla poszczególnych kryteriów daje łączną ocenę na sto punktów, którą przelicza się na ocenę w dziesięciopunktowej skali wskaźnika.</w:t>
      </w:r>
    </w:p>
    <w:p w:rsidR="004C4E44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Przekazywanie informacji i udostępnianie parametrów umożliwiających ustalenie wskaźnika możliwości naprawy każdego urządzenia odbywa się zgodnie z poniższą tabelą, w formacie cyfrowym niemożliwym do modyfikacji, o wymiarach 21 x 29,7 cm.</w:t>
      </w: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763"/>
        <w:gridCol w:w="949"/>
        <w:gridCol w:w="1414"/>
        <w:gridCol w:w="882"/>
        <w:gridCol w:w="1134"/>
      </w:tblGrid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Kryterium cząstkowe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Ocena 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Współczynnik kryterium cząstkowego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Ocena kryterium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Suma ocen kryteriów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Dokumentacja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1,1.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Okres dostępności dokumentacji technicznej i dokumentów dotyczących użytkowania i konserwacji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▀▀/100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Możliwości demontażu i dostępu, narzędzia, mocowania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2.1. Łatwość demontażu części z wykazu 2 (*)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2,2.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Konieczne narzędzia (wykaz 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2,3.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Cechy mocowania między częściami z wykazu 1 (**) i wykazu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Dostępność części zamiennych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3.1.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Okres dostępności części z wykazu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3,2.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Okres dostępności części z wykazu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3,3.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Czas dostawy części z wykazu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3,4.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Czas dostawy części z wykazu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Cena części zamiennych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4,1.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Stosunek ceny części z wykazu 2 do ceny nowego urządzenia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B0990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5.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 </w:t>
            </w:r>
            <w:r>
              <w:rPr>
                <w:sz w:val="24"/>
                <w:szCs w:val="24"/>
                <w:rFonts w:ascii="Times New Roman" w:hAnsi="Times New Roman"/>
              </w:rPr>
              <w:t xml:space="preserve">Kryterium szczegółowe</w:t>
            </w: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(przykład z 3 kryteriami cząstkowymi)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5,1.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▀▀/20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5,2.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5,3.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0,5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4E44" w:rsidRPr="00970505" w:rsidRDefault="004C4E44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right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Ocena stanowiąca wskaźnik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jc w:val="center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▀▀/10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FB0990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(*) wykaz 2: wykaz maksymalnie 3 do 5 części zamiennych (w zależności od danej kategorii urządzeń), które najczęściej ulegają uszkodzeniu lub awarii.</w:t>
            </w: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(**) wykaz 1: wykaz maksymalnie 10 innych części zamiennych (w zależności od danej kategorii urządzeń), których dobry stan jest konieczny do działania urządzenia.</w:t>
            </w:r>
          </w:p>
        </w:tc>
      </w:tr>
    </w:tbl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Dla jednego kryterium suma współczynników kryteriów cząstkowych wynosi 2.</w:t>
      </w:r>
    </w:p>
    <w:p w:rsidR="004C4E44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Szczegółowe tabele oceny dla poszczególnych kategorii urządzeń, z podaniem wykazów części i szczegółowych informacji na temat każdego kryterium określa się w drodze rozporządzenia.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5</w:t>
      </w:r>
    </w:p>
    <w:p w:rsidR="00FB0990" w:rsidRDefault="00FB0990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1 – dokumentacja: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1.1.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Okres dostępności dokumentacji technicznej i dokumentów dotyczących użytkowania i konserwacji: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zobowiązania producenta do nieodpłatnego udostępniania przez określoną liczbę lat dokumentów technicznych dla zatwierdzonych i niezależnych serwisantów oraz dla konsumentów, a także dokumentów dotyczących zaleceń użytkowania i konserwacji dla konsumentów, od momentu wprowadzenia do obrotu ostatniej sztuki.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2 – możliwości demontażu i dostępu, narzędzia, mocowania: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Łatwość demontażu części z wykazu 2: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liczby etapów demontażu umożliwiających, w przypadku każdej części z wykazu 2, uzyskanie jednostkowego dostępu do danej części i oddzielenie jej od urządzenia w celu jej wymiany.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Ustala się połączenie między oceną tego kryterium cząstkowego a oceną kryterium cząstkowego 3.1, w przypadku gdy danej części nie można zdemontować: ocena zerowa przenosi się w takim wypadku z jednego kryterium cząstkowego na drugie.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Konieczne narzędzia: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rodzaju narzędzi koniecznych do zdemontowania każdej części z wykazu 2, według klasyfikacji wprowadzającej rozróżnienie między „zwykłymi”, „specjalnymi” lub „zastrzeżonymi” narzędziami.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2.3.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Cechy mocowań: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Określane, dla każdej części z wykazów 1 i 2, na podstawie typu mocowań łączących je z innymi częściami urządzenia, według klasyfikacji wprowadzającej rozróżnienie między mocowaniami „usuwalnymi i możliwymi do ponownego wykorzystania”, „usuwalnymi i niemożliwymi do ponownego wykorzystania” oraz „nieusuwalnymi i niemożliwymi do ponownego wykorzystania”.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3 – dostępność części zamiennych: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Okres dostępności części z wykazu 2: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zobowiązania producenta do udostępniania przez określoną liczbę lat części z wykazu 2 dla dystrybutorów części zamiennych, zatwierdzonych i niezależnych serwisantów oraz dla konsumentów, od momentu wprowadzenia do obrotu ostatniej sztuki.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Okres dostępności części z wykazu 1: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zobowiązania producenta do udostępniania przez określoną liczbę lat części z wykazu 1 dla dystrybutorów części zamiennych, zatwierdzonych i niezależnych serwisantów oraz dla konsumentów, od momentu wprowadzenia do obrotu ostatniej sztuki.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Czas dostawy części z wykazu 2: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zobowiązania producenta do przestrzegania terminu dostawy w liczbie dni roboczych od dnia zamówienia części z wykazu 2 do dystrybutorów części zamiennych, zatwierdzonych i niezależnych serwisantów oraz konsumentów.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3.4.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Czas dostawy części z wykazu 1: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Określane na podstawie zobowiązania producenta do przestrzegania terminu dostawy w liczbie dni roboczych od dnia zamówienia części z wykazu 1 do dystrybutorów części zamiennych, zatwierdzonych i niezależnych serwisantów oraz konsumentów.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4 – cena części zamiennych: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cząstkowe 4.1.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Stosunek między ceną sprzedaży części przez producenta lub importera a ceną sprzedaży urządzeń przez producenta lub importera:</w:t>
      </w:r>
      <w:r>
        <w:rPr>
          <w:sz w:val="24"/>
          <w:szCs w:val="24"/>
          <w:rFonts w:ascii="Times New Roman" w:hAnsi="Times New Roman"/>
        </w:rPr>
        <w:t xml:space="preserve"> 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ocenia się poprzez porównanie: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pomiędzy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ceną netto najdroższej części z wykazu 2 + (średnia cen netto pozostałych części z wykazu 2)/2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ceną netto modelu danego urządzenia,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gdzie każdą cenę rozumie się jako cenę netto z cennika obowiązującego w momencie obliczania wskaźnika, podaną w ogólnych warunkach sprzedaży producenta lub importera, lub w przypadku ich braku, w innym obowiązującym dokumencie umownym.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przypadku gdy producent lub importer dysponuje w odniesieniu do rozpatrywanych części lub urządzeń kilkoma cennikami w zależności od różnych kategorii klientów będących dystrybutorami lub sprzedawcami, do obliczania wskaźnika wybiera się ceny z cennika, który dotyczy największej części obrotów producenta lub importera w odniesieniu do danego typu części lub urządzenia w ciągu ostatniego roku obrotowego, za który zamknięto księgi rachunkowe.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W przypadku nowych urządzeń i części wprowadzanych do obrotu, w przypadku istnienia kilku cenników, uwzględnia się ceny z cennika, w którym są one najniższe.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przypadku gdy niektóre z tych części są nierozdzielne lub gdy dana część jest wbudowana w moduł i tylko on jest dostępny, uwzględnia się łączną cenę części lub cenę modułu.</w:t>
      </w: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nr 5 – kryterium szczegółowe dla danej kategorii urządzeń:</w:t>
      </w:r>
    </w:p>
    <w:p w:rsidR="004C4E44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Kryterium to składa się z jednego lub kilku kryteriów cząstkowych, specyficznych dla danej kategorii urządzeń.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Jeśli jest to istotne dla danej kategorii urządzeń, kryterium 5 szczegółowe dla kategorii obejmuje kryterium cząstkowe dotyczące wyposażenia w licznik zużycia widoczny dla konsumenta, dla którego współczynnik wynosi co najmniej 1.</w:t>
      </w:r>
    </w:p>
    <w:p w:rsidR="00ED3F8B" w:rsidRPr="00970505" w:rsidRDefault="00ED3F8B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A74E8F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6</w:t>
      </w:r>
    </w:p>
    <w:p w:rsidR="00234310" w:rsidRDefault="00234310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4C4E44" w:rsidP="00A74E8F">
      <w:pPr>
        <w:keepNext/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I. Wykaz części</w:t>
      </w:r>
    </w:p>
    <w:p w:rsidR="004C4E44" w:rsidRPr="00970505" w:rsidRDefault="004C4E44" w:rsidP="00A74E8F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Definiuje się dwa wykazy części dla każdej kategorii urządzeń: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wykaz 2: wykaz maksymalnie trzech do pięciu części zamiennych (w zależności od danej kategorii urządzeń), które najczęściej ulegają uszkodzeniu lub awarii;</w:t>
      </w:r>
    </w:p>
    <w:p w:rsidR="004C4E44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– wykaz 1: wykaz maksymalnie dziesięciu innych części zamiennych (w zależności od danej kategorii urządzeń), których dobry stan jest konieczny do działania urządzenia.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Wykazy te nie muszą obejmować wszystkich części składowych urządzenia.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II.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Pojęcie etapu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Etap to operacja, która kończy się demontażem elementu lub części lub zmianą narzędzia.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Element może obejmować jedną lub kilka części.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Od tej ogólnej definicji dopuszcza się wyjątki uzasadnione względami praktycznymi lub bezpieczeństwem.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Wyjątki określa się w drodze rozporządzenia ministra właściwego do spraw środowiska i ministra właściwego do spraw gospodarki i finansów dla każdej kategorii urządzeń.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Mocowania lub łączenia definiuje się jako techniki montażu, mocowania lub uszczelniania.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Elementów mocowania lub łączenia nie uważa się za części.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III.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Typy mocowań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Usuwalne i możliwe do ponownego wykorzystania: oryginalny system mocowań, który można w pełni usunąć, nie powodując uszkodzeń urządzenia i nie pozostawiając śladów, i można go ponownie wykorzystać.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Usuwalne i niemożliwe do ponownego wykorzystania: oryginalny system mocowań, który można w pełni usunąć, nie powodując uszkodzeń urządzenia i nie pozostawiając śladów, lecz nie można go ponownie wykorzystać.</w:t>
      </w:r>
    </w:p>
    <w:p w:rsidR="00FB0990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Nieusuwalne i niemożliwe do ponownego wykorzystania: oryginalny system mocowań, którego nie można w pełni usunąć, nie powodując uszkodzeń urządzenia i nie pozostawiając śladów, i nie można go ponownie wykorzystać.</w:t>
      </w:r>
    </w:p>
    <w:p w:rsidR="00FB0990" w:rsidRPr="00970505" w:rsidRDefault="004C4E44" w:rsidP="00A74E8F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IV.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Typy narzędzi</w:t>
      </w:r>
    </w:p>
    <w:p w:rsidR="004C4E44" w:rsidRPr="00970505" w:rsidRDefault="004C4E44" w:rsidP="00A74E8F">
      <w:pPr>
        <w:keepNext/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Wykaz zwykłych narzędzi przedstawiono poniżej z podaniem norm referencyjnych:</w:t>
      </w:r>
    </w:p>
    <w:p w:rsidR="004C4E44" w:rsidRDefault="004C4E44" w:rsidP="00A74E8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0"/>
        <w:gridCol w:w="2726"/>
      </w:tblGrid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Zwykłe narzędzia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A74E8F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  <w:p w:rsidR="004C4E44" w:rsidRPr="00970505" w:rsidRDefault="004C4E44" w:rsidP="00A74E8F">
            <w:pPr>
              <w:keepNext/>
              <w:spacing w:after="0" w:line="240" w:lineRule="auto"/>
              <w:jc w:val="center"/>
              <w:rPr>
                <w:b/>
                <w:bCs/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b/>
                <w:bCs/>
                <w:sz w:val="24"/>
                <w:szCs w:val="24"/>
                <w:rFonts w:ascii="Times New Roman" w:hAnsi="Times New Roman"/>
              </w:rPr>
              <w:t xml:space="preserve">Oznaczenie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Wkrętak do śrub rowkowych, wkrętak krzyżakowy i wkrętak do śrub z gniazdem sześciokarbowym.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2380, ISO 8764, ISO 10664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Klucz do śrub z gniazdem sześciokarbowym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2936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Klucz kombinowany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7738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uniwersalne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5746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półokrągłe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5745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do cięcia boczne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5749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nastawne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8976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zaciskowe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Szczypce uniwersalne do usuwania izolacji i zaciskania końcówek kablowych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Dźwignia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Pęseta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Młotek (z główką metalową)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ISO 15601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Nóż uniwersalny (obcinak) ze składanym ostrzem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Miernik uniwersalny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Woltomierz (miernik napięcia)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Lutownica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Pistolet do klejenia na gorąco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  <w:tr w:rsidR="004C4E44" w:rsidRPr="00970505" w:rsidTr="004C4E44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Szkło powiększające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B0990" w:rsidRPr="00970505" w:rsidRDefault="00FB0990" w:rsidP="00ED3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4C4E44" w:rsidRPr="00970505" w:rsidRDefault="004C4E44" w:rsidP="00ED3F8B">
            <w:pPr>
              <w:spacing w:after="0" w:line="240" w:lineRule="auto"/>
              <w:rPr>
                <w:sz w:val="24"/>
                <w:szCs w:val="24"/>
                <w:rFonts w:ascii="Times New Roman" w:eastAsia="Times New Roman" w:hAnsi="Times New Roman" w:cs="Times New Roman"/>
              </w:rPr>
            </w:pPr>
            <w:r>
              <w:rPr>
                <w:sz w:val="24"/>
                <w:szCs w:val="24"/>
                <w:rFonts w:ascii="Times New Roman" w:hAnsi="Times New Roman"/>
              </w:rPr>
              <w:t xml:space="preserve">/</w:t>
            </w:r>
          </w:p>
        </w:tc>
      </w:tr>
    </w:tbl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Narzędzia specjalne to narzędzia, które nie figurują w wykazie zwykłych narzędzi i nie są narzędziami zastrzeżonymi.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Narzędzia zastrzeżone to narzędzia, których własność intelektualna należy do producenta lub określonego podmiotu.</w:t>
      </w:r>
    </w:p>
    <w:p w:rsidR="00FB0990" w:rsidRPr="00970505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V. Licznik zużycia</w:t>
      </w:r>
    </w:p>
    <w:p w:rsidR="004C4E44" w:rsidRDefault="004C4E44" w:rsidP="00ED3F8B">
      <w:pPr>
        <w:spacing w:after="0" w:line="240" w:lineRule="auto"/>
        <w:ind w:left="446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Urządzenie, które rejestruje w sposób łączny zużycie urządzenia, podając liczbę jednostek.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Licznik zużycia może być bezpośrednio widoczny dla konsumenta przy każdym uruchomieniu urządzenia lub wymagać dobrowolnego działania użytkownika w celu sprawdzenia wartości wyświetlanej przez licznik zużycia.</w:t>
      </w:r>
    </w:p>
    <w:p w:rsidR="00ED3F8B" w:rsidRPr="00970505" w:rsidRDefault="00ED3F8B" w:rsidP="00ED3F8B">
      <w:pPr>
        <w:spacing w:after="0" w:line="240" w:lineRule="auto"/>
        <w:ind w:left="44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A74E8F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7</w:t>
      </w:r>
    </w:p>
    <w:p w:rsidR="00ED3F8B" w:rsidRPr="00970505" w:rsidRDefault="00ED3F8B" w:rsidP="00A74E8F">
      <w:pPr>
        <w:keepNext/>
        <w:spacing w:after="0" w:line="240" w:lineRule="auto"/>
        <w:ind w:left="446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FB0990" w:rsidRPr="00970505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Przepisy niniejszego rozporządzenia wchodzą w życie z dniem 1 stycznia 2021 r.</w:t>
      </w:r>
    </w:p>
    <w:p w:rsidR="00ED3F8B" w:rsidRPr="00970505" w:rsidRDefault="00ED3F8B" w:rsidP="00ED3F8B">
      <w:pPr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A74E8F">
      <w:pPr>
        <w:keepNext/>
        <w:spacing w:after="0" w:line="240" w:lineRule="auto"/>
        <w:ind w:left="446"/>
        <w:outlineLvl w:val="3"/>
        <w:rPr>
          <w:b/>
          <w:bCs/>
          <w:sz w:val="24"/>
          <w:szCs w:val="24"/>
          <w:rFonts w:ascii="Times New Roman" w:eastAsia="Times New Roman" w:hAnsi="Times New Roman" w:cs="Times New Roman"/>
        </w:rPr>
      </w:pPr>
      <w:r>
        <w:rPr>
          <w:b/>
          <w:bCs/>
          <w:sz w:val="24"/>
          <w:szCs w:val="24"/>
          <w:rFonts w:ascii="Times New Roman" w:hAnsi="Times New Roman"/>
        </w:rPr>
        <w:t xml:space="preserve">Artykuł 8</w:t>
      </w:r>
    </w:p>
    <w:p w:rsidR="00FB0990" w:rsidRDefault="00FB0990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A74E8F">
      <w:pPr>
        <w:keepNext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ind w:left="450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Niniejsze rozporządzenie zostanie opublikowane w Dzienniku Urzędowym Republiki Francuskiej.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23DB7" w:rsidRPr="00970505" w:rsidRDefault="00F23DB7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4C4E44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Sporządzono dnia 29 grudnia 2020 r.</w:t>
      </w:r>
    </w:p>
    <w:p w:rsidR="00FB0990" w:rsidRPr="00970505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Transformacji Ekologicznej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imieniu i z upoważnienia Minister: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Komisarz Generalny ds. Zrównoważonego Rozwoju</w:t>
      </w:r>
    </w:p>
    <w:p w:rsidR="004C4E44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T. Lesueur</w:t>
      </w:r>
    </w:p>
    <w:p w:rsidR="00FB0990" w:rsidRDefault="00FB0990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3F8B" w:rsidRPr="00970505" w:rsidRDefault="00ED3F8B" w:rsidP="00ED3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Minister Gospodarki, Finansów i Odbudowy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W imieniu Ministra i z jego upoważnienia:</w:t>
      </w:r>
    </w:p>
    <w:p w:rsidR="00FB0990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Dyrektor Generalna ds. Konkurencji Konsumentów i Zwalczania Oszustw</w:t>
      </w:r>
    </w:p>
    <w:p w:rsidR="004C4E44" w:rsidRPr="00970505" w:rsidRDefault="004C4E44" w:rsidP="00ED3F8B">
      <w:pPr>
        <w:spacing w:after="0" w:line="240" w:lineRule="auto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V. Beaumeunier</w:t>
      </w:r>
    </w:p>
    <w:sectPr w:rsidR="004C4E44" w:rsidRPr="00970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395" w:rsidRDefault="00AD2395" w:rsidP="00573A33">
      <w:pPr>
        <w:spacing w:after="0" w:line="240" w:lineRule="auto"/>
      </w:pPr>
      <w:r>
        <w:separator/>
      </w:r>
    </w:p>
  </w:endnote>
  <w:endnote w:type="continuationSeparator" w:id="0">
    <w:p w:rsidR="00AD2395" w:rsidRDefault="00AD2395" w:rsidP="0057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395" w:rsidRDefault="00AD2395" w:rsidP="00573A33">
      <w:pPr>
        <w:spacing w:after="0" w:line="240" w:lineRule="auto"/>
      </w:pPr>
      <w:r>
        <w:separator/>
      </w:r>
    </w:p>
  </w:footnote>
  <w:footnote w:type="continuationSeparator" w:id="0">
    <w:p w:rsidR="00AD2395" w:rsidRDefault="00AD2395" w:rsidP="0057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dirty" w:grammar="dirty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E44"/>
    <w:rsid w:val="00000018"/>
    <w:rsid w:val="000B7DA7"/>
    <w:rsid w:val="000F132F"/>
    <w:rsid w:val="00192BA8"/>
    <w:rsid w:val="00234310"/>
    <w:rsid w:val="003D645A"/>
    <w:rsid w:val="004C4E44"/>
    <w:rsid w:val="004D0FF9"/>
    <w:rsid w:val="00573A33"/>
    <w:rsid w:val="009318CB"/>
    <w:rsid w:val="00970505"/>
    <w:rsid w:val="00A74E8F"/>
    <w:rsid w:val="00AD2395"/>
    <w:rsid w:val="00E53DB4"/>
    <w:rsid w:val="00ED3F8B"/>
    <w:rsid w:val="00F23DB7"/>
    <w:rsid w:val="00FB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EA1E0"/>
  <w15:chartTrackingRefBased/>
  <w15:docId w15:val="{AA3F75DC-D5BD-40CC-AF8C-05B6F9D8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3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A33"/>
  </w:style>
  <w:style w:type="paragraph" w:styleId="Footer">
    <w:name w:val="footer"/>
    <w:basedOn w:val="Normal"/>
    <w:link w:val="FooterChar"/>
    <w:uiPriority w:val="99"/>
    <w:unhideWhenUsed/>
    <w:rsid w:val="00573A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10</cp:revision>
  <dcterms:created xsi:type="dcterms:W3CDTF">2021-01-04T15:30:00Z</dcterms:created>
  <dcterms:modified xsi:type="dcterms:W3CDTF">2021-01-18T17:05:00Z</dcterms:modified>
</cp:coreProperties>
</file>