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F46E76" w14:textId="77777777" w:rsidR="00000018" w:rsidRDefault="00000018" w:rsidP="00000018">
      <w:pPr>
        <w:jc w:val="center"/>
        <w:rPr>
          <w:rFonts w:ascii="Courier New" w:hAnsi="Courier New"/>
          <w:sz w:val="20"/>
        </w:rPr>
      </w:pPr>
      <w:r>
        <w:rPr>
          <w:rFonts w:ascii="Courier New" w:hAnsi="Courier New"/>
          <w:sz w:val="20"/>
        </w:rPr>
        <w:t>1. ------IND- 2020 0469 F-- SV- ------ 20210228 --- --- FINAL</w:t>
      </w:r>
    </w:p>
    <w:p w14:paraId="673E744A" w14:textId="77777777" w:rsidR="00E53DB4" w:rsidRPr="00970505" w:rsidRDefault="00E53DB4" w:rsidP="00ED3F8B">
      <w:pPr>
        <w:spacing w:after="0" w:line="240" w:lineRule="auto"/>
      </w:pPr>
    </w:p>
    <w:p w14:paraId="62002966" w14:textId="77777777" w:rsidR="004C4E44" w:rsidRDefault="004C4E44" w:rsidP="00ED3F8B">
      <w:pPr>
        <w:spacing w:after="0" w:line="240" w:lineRule="auto"/>
        <w:outlineLvl w:val="1"/>
        <w:rPr>
          <w:rFonts w:ascii="Times New Roman" w:eastAsia="Times New Roman" w:hAnsi="Times New Roman" w:cs="Times New Roman"/>
          <w:b/>
          <w:bCs/>
          <w:sz w:val="36"/>
          <w:szCs w:val="36"/>
        </w:rPr>
      </w:pPr>
      <w:r>
        <w:rPr>
          <w:rFonts w:ascii="Times New Roman" w:hAnsi="Times New Roman"/>
          <w:b/>
          <w:sz w:val="36"/>
        </w:rPr>
        <w:t>Förordning av den 29 december 2020 om visning, märkning och allmänna parametrar för beräkning av reparerbarhetsindexet</w:t>
      </w:r>
    </w:p>
    <w:p w14:paraId="3B412B2F" w14:textId="77777777" w:rsidR="00ED3F8B" w:rsidRPr="00970505" w:rsidRDefault="00ED3F8B" w:rsidP="00ED3F8B">
      <w:pPr>
        <w:spacing w:after="0" w:line="240" w:lineRule="auto"/>
        <w:outlineLvl w:val="1"/>
        <w:rPr>
          <w:rFonts w:ascii="Times New Roman" w:eastAsia="Times New Roman" w:hAnsi="Times New Roman" w:cs="Times New Roman"/>
          <w:b/>
          <w:bCs/>
          <w:sz w:val="36"/>
          <w:szCs w:val="36"/>
          <w:lang w:eastAsia="fr-FR"/>
        </w:rPr>
      </w:pPr>
    </w:p>
    <w:p w14:paraId="4E2290F3" w14:textId="77777777" w:rsidR="004C4E44" w:rsidRPr="00970505" w:rsidRDefault="004C4E44" w:rsidP="00ED3F8B">
      <w:pPr>
        <w:spacing w:after="0" w:line="240" w:lineRule="auto"/>
        <w:outlineLvl w:val="3"/>
        <w:rPr>
          <w:rFonts w:ascii="Times New Roman" w:eastAsia="Times New Roman" w:hAnsi="Times New Roman" w:cs="Times New Roman"/>
          <w:b/>
          <w:bCs/>
          <w:sz w:val="24"/>
          <w:szCs w:val="24"/>
        </w:rPr>
      </w:pPr>
      <w:r>
        <w:rPr>
          <w:rFonts w:ascii="Times New Roman" w:hAnsi="Times New Roman"/>
          <w:b/>
          <w:sz w:val="24"/>
        </w:rPr>
        <w:t xml:space="preserve">Första versionen </w:t>
      </w:r>
    </w:p>
    <w:p w14:paraId="1F1FA32E" w14:textId="77777777" w:rsidR="00FB0990" w:rsidRDefault="00FB0990" w:rsidP="00ED3F8B">
      <w:pPr>
        <w:spacing w:after="0" w:line="240" w:lineRule="auto"/>
        <w:rPr>
          <w:rFonts w:ascii="Times New Roman" w:eastAsia="Times New Roman" w:hAnsi="Times New Roman" w:cs="Times New Roman"/>
          <w:sz w:val="24"/>
          <w:szCs w:val="24"/>
          <w:lang w:eastAsia="fr-FR"/>
        </w:rPr>
      </w:pPr>
    </w:p>
    <w:p w14:paraId="1BC3DA94" w14:textId="77777777" w:rsidR="00ED3F8B" w:rsidRPr="00970505" w:rsidRDefault="00ED3F8B" w:rsidP="00ED3F8B">
      <w:pPr>
        <w:spacing w:after="0" w:line="240" w:lineRule="auto"/>
        <w:rPr>
          <w:rFonts w:ascii="Times New Roman" w:eastAsia="Times New Roman" w:hAnsi="Times New Roman" w:cs="Times New Roman"/>
          <w:sz w:val="24"/>
          <w:szCs w:val="24"/>
          <w:lang w:eastAsia="fr-FR"/>
        </w:rPr>
      </w:pPr>
    </w:p>
    <w:p w14:paraId="43A52274" w14:textId="77777777" w:rsidR="00FB0990"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 xml:space="preserve">Berörda grupper: Tillverkare, importörer, distributörer eller andra som släpper ut elektrisk och elektronisk utrustning på marknaden och säljare av denna utrustning samt de som använder en webbplats, en plattform eller andra nätbaserade distributionssätt inom ramen för sin kommersiella verksamhet i Frankrike. </w:t>
      </w:r>
    </w:p>
    <w:p w14:paraId="312788F1" w14:textId="77777777" w:rsidR="00FB0990"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 xml:space="preserve">Syfte: Fastställande av bestämmelser avseende visning, märkning och allmänna parametrar för beräkning av reparerbarhetsindexet. </w:t>
      </w:r>
    </w:p>
    <w:p w14:paraId="54BD665B" w14:textId="77777777" w:rsidR="00FB0990"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 xml:space="preserve">Ikraftträdande: Texten träder i kraft den 1 januari 2021. </w:t>
      </w:r>
    </w:p>
    <w:p w14:paraId="010CA4FA" w14:textId="77777777" w:rsidR="00FB0990"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 xml:space="preserve">Anmärkning: I denna förordning fastställs bestämmelser avseende visning, märkning och allmänna parametrar för beräkning av reparerbarhetsindexet. </w:t>
      </w:r>
    </w:p>
    <w:p w14:paraId="5D21BE38"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 xml:space="preserve">Hänvisningar: Denna förordning kommer att finnas tillgänglig på webbplatsen Légifrance (https://www.legifrance.gouv.fr). </w:t>
      </w:r>
    </w:p>
    <w:p w14:paraId="728B5B69" w14:textId="77777777" w:rsidR="00FB0990" w:rsidRDefault="00FB0990" w:rsidP="00ED3F8B">
      <w:pPr>
        <w:spacing w:after="0" w:line="240" w:lineRule="auto"/>
        <w:rPr>
          <w:rFonts w:ascii="Times New Roman" w:eastAsia="Times New Roman" w:hAnsi="Times New Roman" w:cs="Times New Roman"/>
          <w:sz w:val="24"/>
          <w:szCs w:val="24"/>
          <w:lang w:eastAsia="fr-FR"/>
        </w:rPr>
      </w:pPr>
    </w:p>
    <w:p w14:paraId="673EB41E" w14:textId="77777777" w:rsidR="00ED3F8B" w:rsidRPr="00970505" w:rsidRDefault="00ED3F8B" w:rsidP="00ED3F8B">
      <w:pPr>
        <w:spacing w:after="0" w:line="240" w:lineRule="auto"/>
        <w:rPr>
          <w:rFonts w:ascii="Times New Roman" w:eastAsia="Times New Roman" w:hAnsi="Times New Roman" w:cs="Times New Roman"/>
          <w:sz w:val="24"/>
          <w:szCs w:val="24"/>
          <w:lang w:eastAsia="fr-FR"/>
        </w:rPr>
      </w:pPr>
    </w:p>
    <w:p w14:paraId="6B90CF2B" w14:textId="53789672" w:rsidR="00FB0990"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 xml:space="preserve">Ministern för grön omställning samt </w:t>
      </w:r>
      <w:r w:rsidR="00AB05FC">
        <w:rPr>
          <w:rFonts w:ascii="Times New Roman" w:hAnsi="Times New Roman"/>
          <w:sz w:val="24"/>
        </w:rPr>
        <w:t xml:space="preserve">ministern för </w:t>
      </w:r>
      <w:r>
        <w:rPr>
          <w:rFonts w:ascii="Times New Roman" w:hAnsi="Times New Roman"/>
          <w:sz w:val="24"/>
        </w:rPr>
        <w:t>ekonomi</w:t>
      </w:r>
      <w:r w:rsidR="00AB05FC">
        <w:rPr>
          <w:rFonts w:ascii="Times New Roman" w:hAnsi="Times New Roman"/>
          <w:sz w:val="24"/>
        </w:rPr>
        <w:t>,</w:t>
      </w:r>
      <w:r>
        <w:rPr>
          <w:rFonts w:ascii="Times New Roman" w:hAnsi="Times New Roman"/>
          <w:sz w:val="24"/>
        </w:rPr>
        <w:t xml:space="preserve"> finans</w:t>
      </w:r>
      <w:r w:rsidR="00AB05FC">
        <w:rPr>
          <w:rFonts w:ascii="Times New Roman" w:hAnsi="Times New Roman"/>
          <w:sz w:val="24"/>
        </w:rPr>
        <w:t>er och återhämtning</w:t>
      </w:r>
      <w:r>
        <w:rPr>
          <w:rFonts w:ascii="Times New Roman" w:hAnsi="Times New Roman"/>
          <w:sz w:val="24"/>
        </w:rPr>
        <w:t xml:space="preserve"> har antagit denna förordning</w:t>
      </w:r>
    </w:p>
    <w:p w14:paraId="2D689085" w14:textId="77777777" w:rsidR="00FB0990"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med beaktande av kommissionens förordning (EU) 2019/2021 av den 1 oktober 2019 om fastställande av ekodesignkrav för elektroniska bildskärmar i enlighet med Europaparlamentets och rådets direktiv 2009/125/EG, om ändring av kommissionens förordning (EG) nr 1275/2008 och om upphävande av kommissionens förordning (EG) nr 642/2009,</w:t>
      </w:r>
    </w:p>
    <w:p w14:paraId="1F7D0760" w14:textId="77777777" w:rsidR="00FB0990"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med beaktande av miljölagen, särskilt artikel L. 541-9-2, och</w:t>
      </w:r>
    </w:p>
    <w:p w14:paraId="1A90A52D" w14:textId="77777777" w:rsidR="00FB0990"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med beaktande av dekret nr 2020-1757 av den 29 december 2020 om reparerbarhetsindexet för elektrisk och elektronisk utrustning.</w:t>
      </w:r>
    </w:p>
    <w:p w14:paraId="3A1D64C6" w14:textId="77777777" w:rsidR="004C4E44" w:rsidRDefault="004C4E44" w:rsidP="00ED3F8B">
      <w:pPr>
        <w:keepNext/>
        <w:spacing w:after="0" w:line="240" w:lineRule="auto"/>
        <w:rPr>
          <w:rFonts w:ascii="Times New Roman" w:eastAsia="Times New Roman" w:hAnsi="Times New Roman" w:cs="Times New Roman"/>
          <w:sz w:val="24"/>
          <w:szCs w:val="24"/>
        </w:rPr>
      </w:pPr>
      <w:r>
        <w:rPr>
          <w:rFonts w:ascii="Times New Roman" w:hAnsi="Times New Roman"/>
          <w:sz w:val="24"/>
        </w:rPr>
        <w:t>Härigenom föreskrivs följande.</w:t>
      </w:r>
    </w:p>
    <w:p w14:paraId="14AFC6F7" w14:textId="77777777" w:rsidR="00ED3F8B" w:rsidRPr="00970505" w:rsidRDefault="00ED3F8B" w:rsidP="00ED3F8B">
      <w:pPr>
        <w:keepNext/>
        <w:spacing w:after="0" w:line="240" w:lineRule="auto"/>
        <w:rPr>
          <w:rFonts w:ascii="Times New Roman" w:eastAsia="Times New Roman" w:hAnsi="Times New Roman" w:cs="Times New Roman"/>
          <w:sz w:val="24"/>
          <w:szCs w:val="24"/>
          <w:lang w:eastAsia="fr-FR"/>
        </w:rPr>
      </w:pPr>
    </w:p>
    <w:p w14:paraId="3670ACB3" w14:textId="77777777" w:rsidR="004C4E44" w:rsidRDefault="004C4E44" w:rsidP="00ED3F8B">
      <w:pPr>
        <w:keepNext/>
        <w:spacing w:after="0" w:line="240" w:lineRule="auto"/>
        <w:ind w:left="446"/>
        <w:outlineLvl w:val="3"/>
        <w:rPr>
          <w:rFonts w:ascii="Times New Roman" w:eastAsia="Times New Roman" w:hAnsi="Times New Roman" w:cs="Times New Roman"/>
          <w:b/>
          <w:bCs/>
          <w:sz w:val="24"/>
          <w:szCs w:val="24"/>
        </w:rPr>
      </w:pPr>
      <w:r>
        <w:rPr>
          <w:rFonts w:ascii="Times New Roman" w:hAnsi="Times New Roman"/>
          <w:b/>
          <w:sz w:val="24"/>
        </w:rPr>
        <w:t>Artikel 1</w:t>
      </w:r>
    </w:p>
    <w:p w14:paraId="1B9E26FF" w14:textId="77777777" w:rsidR="00ED3F8B" w:rsidRPr="00970505" w:rsidRDefault="00ED3F8B" w:rsidP="00ED3F8B">
      <w:pPr>
        <w:keepNext/>
        <w:spacing w:after="0" w:line="240" w:lineRule="auto"/>
        <w:ind w:left="446"/>
        <w:outlineLvl w:val="3"/>
        <w:rPr>
          <w:rFonts w:ascii="Times New Roman" w:eastAsia="Times New Roman" w:hAnsi="Times New Roman" w:cs="Times New Roman"/>
          <w:b/>
          <w:bCs/>
          <w:sz w:val="24"/>
          <w:szCs w:val="24"/>
          <w:lang w:eastAsia="fr-FR"/>
        </w:rPr>
      </w:pPr>
    </w:p>
    <w:p w14:paraId="1D4AC18E" w14:textId="77777777" w:rsidR="00FB0990" w:rsidRPr="00970505" w:rsidRDefault="00FB0990" w:rsidP="00ED3F8B">
      <w:pPr>
        <w:keepNext/>
        <w:spacing w:after="0" w:line="240" w:lineRule="auto"/>
        <w:ind w:left="450"/>
        <w:rPr>
          <w:rFonts w:ascii="Times New Roman" w:eastAsia="Times New Roman" w:hAnsi="Times New Roman" w:cs="Times New Roman"/>
          <w:sz w:val="24"/>
          <w:szCs w:val="24"/>
          <w:lang w:eastAsia="fr-FR"/>
        </w:rPr>
      </w:pPr>
    </w:p>
    <w:p w14:paraId="57F031E9" w14:textId="77777777" w:rsidR="004C4E44"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rPr>
        <w:t>Denna artikel ska tillämpas på all elektrisk och elektronisk utrustning som är föremål för beräkning och visning av reparerbarhetsindexet i enlighet med bestämmelserna i artiklarna R. 541-210 till R. 541-214 i miljölagen.</w:t>
      </w:r>
    </w:p>
    <w:p w14:paraId="34B7A2DE" w14:textId="77777777" w:rsidR="00ED3F8B" w:rsidRPr="00970505" w:rsidRDefault="00ED3F8B" w:rsidP="00ED3F8B">
      <w:pPr>
        <w:spacing w:after="0" w:line="240" w:lineRule="auto"/>
        <w:ind w:left="450"/>
        <w:rPr>
          <w:rFonts w:ascii="Times New Roman" w:eastAsia="Times New Roman" w:hAnsi="Times New Roman" w:cs="Times New Roman"/>
          <w:sz w:val="24"/>
          <w:szCs w:val="24"/>
          <w:lang w:eastAsia="fr-FR"/>
        </w:rPr>
      </w:pPr>
    </w:p>
    <w:p w14:paraId="03EFF5B8" w14:textId="77777777" w:rsidR="004C4E44" w:rsidRPr="00970505" w:rsidRDefault="004C4E44" w:rsidP="00ED3F8B">
      <w:pPr>
        <w:keepNext/>
        <w:spacing w:after="0" w:line="240" w:lineRule="auto"/>
        <w:ind w:left="446"/>
        <w:outlineLvl w:val="3"/>
        <w:rPr>
          <w:rFonts w:ascii="Times New Roman" w:eastAsia="Times New Roman" w:hAnsi="Times New Roman" w:cs="Times New Roman"/>
          <w:b/>
          <w:bCs/>
          <w:sz w:val="24"/>
          <w:szCs w:val="24"/>
        </w:rPr>
      </w:pPr>
      <w:r>
        <w:rPr>
          <w:rFonts w:ascii="Times New Roman" w:hAnsi="Times New Roman"/>
          <w:b/>
          <w:sz w:val="24"/>
        </w:rPr>
        <w:t>Artikel 2</w:t>
      </w:r>
    </w:p>
    <w:p w14:paraId="27B249DE" w14:textId="77777777" w:rsidR="00FB0990" w:rsidRDefault="00FB0990" w:rsidP="00ED3F8B">
      <w:pPr>
        <w:keepNext/>
        <w:spacing w:after="0" w:line="240" w:lineRule="auto"/>
        <w:ind w:left="450"/>
        <w:rPr>
          <w:rFonts w:ascii="Times New Roman" w:eastAsia="Times New Roman" w:hAnsi="Times New Roman" w:cs="Times New Roman"/>
          <w:sz w:val="24"/>
          <w:szCs w:val="24"/>
          <w:lang w:eastAsia="fr-FR"/>
        </w:rPr>
      </w:pPr>
    </w:p>
    <w:p w14:paraId="7DC8A20F" w14:textId="77777777" w:rsidR="00ED3F8B" w:rsidRPr="00970505" w:rsidRDefault="00ED3F8B" w:rsidP="00ED3F8B">
      <w:pPr>
        <w:keepNext/>
        <w:spacing w:after="0" w:line="240" w:lineRule="auto"/>
        <w:ind w:left="450"/>
        <w:rPr>
          <w:rFonts w:ascii="Times New Roman" w:eastAsia="Times New Roman" w:hAnsi="Times New Roman" w:cs="Times New Roman"/>
          <w:sz w:val="24"/>
          <w:szCs w:val="24"/>
          <w:lang w:eastAsia="fr-FR"/>
        </w:rPr>
      </w:pPr>
    </w:p>
    <w:p w14:paraId="14FE268B" w14:textId="77777777" w:rsidR="00FB0990"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rPr>
        <w:t>Reparerbarhetsindexet för alla de elektriska och elektroniska produkter som anges i artikel 1 återges i form av ett poängtal av 10 möjliga, eventuellt åtföljd av ett kommatecken och en decimal.</w:t>
      </w:r>
    </w:p>
    <w:p w14:paraId="7519572B" w14:textId="77777777" w:rsidR="00FB0990"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rPr>
        <w:t>Om siffran efter den första decimalen är mindre än 5 ska indexet avrundas nedåt.</w:t>
      </w:r>
    </w:p>
    <w:p w14:paraId="6832010F" w14:textId="77777777" w:rsidR="004C4E44"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rPr>
        <w:lastRenderedPageBreak/>
        <w:t>Om siffran efter den första decimalen är lika med eller större än 5 ska indexet avrundas uppåt.</w:t>
      </w:r>
    </w:p>
    <w:p w14:paraId="615F80C7" w14:textId="77777777" w:rsidR="00ED3F8B" w:rsidRPr="00970505" w:rsidRDefault="00ED3F8B" w:rsidP="00ED3F8B">
      <w:pPr>
        <w:spacing w:after="0" w:line="240" w:lineRule="auto"/>
        <w:ind w:left="450"/>
        <w:rPr>
          <w:rFonts w:ascii="Times New Roman" w:eastAsia="Times New Roman" w:hAnsi="Times New Roman" w:cs="Times New Roman"/>
          <w:sz w:val="24"/>
          <w:szCs w:val="24"/>
          <w:lang w:eastAsia="fr-FR"/>
        </w:rPr>
      </w:pPr>
    </w:p>
    <w:p w14:paraId="27DC3473" w14:textId="77777777" w:rsidR="004C4E44" w:rsidRPr="00970505" w:rsidRDefault="004C4E44" w:rsidP="00ED3F8B">
      <w:pPr>
        <w:keepNext/>
        <w:spacing w:after="0" w:line="240" w:lineRule="auto"/>
        <w:ind w:left="446"/>
        <w:outlineLvl w:val="3"/>
        <w:rPr>
          <w:rFonts w:ascii="Times New Roman" w:eastAsia="Times New Roman" w:hAnsi="Times New Roman" w:cs="Times New Roman"/>
          <w:b/>
          <w:bCs/>
          <w:sz w:val="24"/>
          <w:szCs w:val="24"/>
        </w:rPr>
      </w:pPr>
      <w:r>
        <w:rPr>
          <w:rFonts w:ascii="Times New Roman" w:hAnsi="Times New Roman"/>
          <w:b/>
          <w:sz w:val="24"/>
        </w:rPr>
        <w:t>Artikel 3</w:t>
      </w:r>
    </w:p>
    <w:p w14:paraId="45D4F7AB" w14:textId="77777777" w:rsidR="00FB0990" w:rsidRDefault="00FB0990" w:rsidP="00ED3F8B">
      <w:pPr>
        <w:keepNext/>
        <w:spacing w:after="0" w:line="240" w:lineRule="auto"/>
        <w:ind w:left="450"/>
        <w:rPr>
          <w:rFonts w:ascii="Times New Roman" w:eastAsia="Times New Roman" w:hAnsi="Times New Roman" w:cs="Times New Roman"/>
          <w:sz w:val="24"/>
          <w:szCs w:val="24"/>
          <w:lang w:eastAsia="fr-FR"/>
        </w:rPr>
      </w:pPr>
    </w:p>
    <w:p w14:paraId="162E3770" w14:textId="77777777" w:rsidR="00ED3F8B" w:rsidRPr="00970505" w:rsidRDefault="00ED3F8B" w:rsidP="00ED3F8B">
      <w:pPr>
        <w:keepNext/>
        <w:spacing w:after="0" w:line="240" w:lineRule="auto"/>
        <w:ind w:left="450"/>
        <w:rPr>
          <w:rFonts w:ascii="Times New Roman" w:eastAsia="Times New Roman" w:hAnsi="Times New Roman" w:cs="Times New Roman"/>
          <w:sz w:val="24"/>
          <w:szCs w:val="24"/>
          <w:lang w:eastAsia="fr-FR"/>
        </w:rPr>
      </w:pPr>
    </w:p>
    <w:p w14:paraId="06116EC6" w14:textId="77777777" w:rsidR="00FB0990" w:rsidRPr="00970505" w:rsidRDefault="004C4E44" w:rsidP="00ED3F8B">
      <w:pPr>
        <w:keepNext/>
        <w:spacing w:after="0" w:line="240" w:lineRule="auto"/>
        <w:ind w:left="450"/>
        <w:rPr>
          <w:rFonts w:ascii="Times New Roman" w:eastAsia="Times New Roman" w:hAnsi="Times New Roman" w:cs="Times New Roman"/>
          <w:sz w:val="24"/>
          <w:szCs w:val="24"/>
        </w:rPr>
      </w:pPr>
      <w:r>
        <w:rPr>
          <w:rFonts w:ascii="Times New Roman" w:hAnsi="Times New Roman"/>
          <w:sz w:val="24"/>
        </w:rPr>
        <w:t>Utifrån det poängtal som erhållits enligt ovan ska följande färgkoder användas för visning av indexet:</w:t>
      </w:r>
    </w:p>
    <w:p w14:paraId="65D3666A" w14:textId="77777777" w:rsidR="00FB0990"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rPr>
        <w:t xml:space="preserve">1. Poängtal större än eller lika med 0 men högst 1,9: röd, referens </w:t>
      </w:r>
      <w:proofErr w:type="spellStart"/>
      <w:r>
        <w:rPr>
          <w:rFonts w:ascii="Times New Roman" w:hAnsi="Times New Roman"/>
          <w:sz w:val="24"/>
        </w:rPr>
        <w:t>Pantone</w:t>
      </w:r>
      <w:proofErr w:type="spellEnd"/>
      <w:r>
        <w:rPr>
          <w:rFonts w:ascii="Times New Roman" w:hAnsi="Times New Roman"/>
          <w:sz w:val="24"/>
        </w:rPr>
        <w:t> 186 C.</w:t>
      </w:r>
    </w:p>
    <w:p w14:paraId="7A0CCB18" w14:textId="77777777" w:rsidR="00FB0990"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rPr>
        <w:t xml:space="preserve">2. Poängtal större än eller lika med 2 men högst 3,9: orange, referens </w:t>
      </w:r>
      <w:proofErr w:type="spellStart"/>
      <w:r>
        <w:rPr>
          <w:rFonts w:ascii="Times New Roman" w:hAnsi="Times New Roman"/>
          <w:sz w:val="24"/>
        </w:rPr>
        <w:t>Pantone</w:t>
      </w:r>
      <w:proofErr w:type="spellEnd"/>
      <w:r>
        <w:rPr>
          <w:rFonts w:ascii="Times New Roman" w:hAnsi="Times New Roman"/>
          <w:sz w:val="24"/>
        </w:rPr>
        <w:t> 1 585 C.</w:t>
      </w:r>
    </w:p>
    <w:p w14:paraId="57D848B6" w14:textId="77777777" w:rsidR="00FB0990"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rPr>
        <w:t xml:space="preserve">3. Poängtal större än eller lika med 4 men högst 5,9: gul, referens </w:t>
      </w:r>
      <w:proofErr w:type="spellStart"/>
      <w:r>
        <w:rPr>
          <w:rFonts w:ascii="Times New Roman" w:hAnsi="Times New Roman"/>
          <w:sz w:val="24"/>
        </w:rPr>
        <w:t>Pantone</w:t>
      </w:r>
      <w:proofErr w:type="spellEnd"/>
      <w:r>
        <w:rPr>
          <w:rFonts w:ascii="Times New Roman" w:hAnsi="Times New Roman"/>
          <w:sz w:val="24"/>
        </w:rPr>
        <w:t> 7 548 C.</w:t>
      </w:r>
    </w:p>
    <w:p w14:paraId="1F6A44A9" w14:textId="77777777" w:rsidR="00FB0990"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rPr>
        <w:t xml:space="preserve">4. Poängtal större än eller lika med 6 men högst 7,9: ljusgrön, referens </w:t>
      </w:r>
      <w:proofErr w:type="spellStart"/>
      <w:r>
        <w:rPr>
          <w:rFonts w:ascii="Times New Roman" w:hAnsi="Times New Roman"/>
          <w:sz w:val="24"/>
        </w:rPr>
        <w:t>Pantone</w:t>
      </w:r>
      <w:proofErr w:type="spellEnd"/>
      <w:r>
        <w:rPr>
          <w:rFonts w:ascii="Times New Roman" w:hAnsi="Times New Roman"/>
          <w:sz w:val="24"/>
        </w:rPr>
        <w:t> 2 291 C.</w:t>
      </w:r>
    </w:p>
    <w:p w14:paraId="4AD8D95E" w14:textId="77777777" w:rsidR="00FB0990"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rPr>
        <w:t xml:space="preserve">5. Poängtal större än eller lika med 8 men högst 10: mörkgrön, referens </w:t>
      </w:r>
      <w:proofErr w:type="spellStart"/>
      <w:r>
        <w:rPr>
          <w:rFonts w:ascii="Times New Roman" w:hAnsi="Times New Roman"/>
          <w:sz w:val="24"/>
        </w:rPr>
        <w:t>Pantone</w:t>
      </w:r>
      <w:proofErr w:type="spellEnd"/>
      <w:r>
        <w:rPr>
          <w:rFonts w:ascii="Times New Roman" w:hAnsi="Times New Roman"/>
          <w:sz w:val="24"/>
        </w:rPr>
        <w:t> 347 C.</w:t>
      </w:r>
    </w:p>
    <w:p w14:paraId="7C17BA0B" w14:textId="77777777" w:rsidR="004C4E44"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rPr>
        <w:t>Den märkning som är obligatorisk för visning av reparerbarhetsindexet utgörs av en grafisk återgivning som består av texten ”reparerbarhetsindex” och ett piktogram som anger indexets poängtal enligt nedan.</w:t>
      </w:r>
    </w:p>
    <w:p w14:paraId="35494277"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56879C7B"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2B8AFEF0"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Ni kan se hur texten och bilderna ska kombineras i det bestyrkta elektroniska utdrag från Republiken Frankrikes officiella tidning som finns tillgängligt längst ner på sidan.</w:t>
      </w:r>
    </w:p>
    <w:p w14:paraId="0E631861" w14:textId="77777777" w:rsidR="00FB0990" w:rsidRDefault="00FB0990" w:rsidP="00ED3F8B">
      <w:pPr>
        <w:spacing w:after="0" w:line="240" w:lineRule="auto"/>
        <w:ind w:left="450"/>
        <w:rPr>
          <w:rFonts w:ascii="Times New Roman" w:eastAsia="Times New Roman" w:hAnsi="Times New Roman" w:cs="Times New Roman"/>
          <w:sz w:val="24"/>
          <w:szCs w:val="24"/>
          <w:lang w:eastAsia="fr-FR"/>
        </w:rPr>
      </w:pPr>
    </w:p>
    <w:p w14:paraId="0AAAF6E4" w14:textId="77777777" w:rsidR="003D645A" w:rsidRPr="00970505" w:rsidRDefault="003D645A" w:rsidP="00ED3F8B">
      <w:pPr>
        <w:spacing w:after="0" w:line="240" w:lineRule="auto"/>
        <w:ind w:left="450"/>
        <w:rPr>
          <w:rFonts w:ascii="Times New Roman" w:eastAsia="Times New Roman" w:hAnsi="Times New Roman" w:cs="Times New Roman"/>
          <w:sz w:val="24"/>
          <w:szCs w:val="24"/>
          <w:lang w:eastAsia="fr-FR"/>
        </w:rPr>
      </w:pPr>
    </w:p>
    <w:p w14:paraId="5BCE3E67" w14:textId="77777777" w:rsidR="00FB0990"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rPr>
        <w:t xml:space="preserve">Typsnittsstorleken för poängtalet av 10 ska som ett minimum motsvara typsnittsstorleken hos de siffror som anger försäljningspriset. All justering av storleken på detta märke ska utföras på ett </w:t>
      </w:r>
      <w:proofErr w:type="spellStart"/>
      <w:r>
        <w:rPr>
          <w:rFonts w:ascii="Times New Roman" w:hAnsi="Times New Roman"/>
          <w:sz w:val="24"/>
        </w:rPr>
        <w:t>homotetiskt</w:t>
      </w:r>
      <w:proofErr w:type="spellEnd"/>
      <w:r>
        <w:rPr>
          <w:rFonts w:ascii="Times New Roman" w:hAnsi="Times New Roman"/>
          <w:sz w:val="24"/>
        </w:rPr>
        <w:t xml:space="preserve"> sätt.</w:t>
      </w:r>
    </w:p>
    <w:p w14:paraId="123CCA64" w14:textId="77777777" w:rsidR="004C4E44"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rPr>
        <w:t>När indexet appliceras direkt på varje modellenhet eller på förpackningen genom etikettering eller märkning ska storleken på den grafiska återgivningen göra märket synligt och läsbart.</w:t>
      </w:r>
    </w:p>
    <w:p w14:paraId="412D110E" w14:textId="77777777" w:rsidR="00ED3F8B" w:rsidRPr="00970505" w:rsidRDefault="00ED3F8B" w:rsidP="00ED3F8B">
      <w:pPr>
        <w:spacing w:after="0" w:line="240" w:lineRule="auto"/>
        <w:ind w:left="450"/>
        <w:rPr>
          <w:rFonts w:ascii="Times New Roman" w:eastAsia="Times New Roman" w:hAnsi="Times New Roman" w:cs="Times New Roman"/>
          <w:sz w:val="24"/>
          <w:szCs w:val="24"/>
          <w:lang w:eastAsia="fr-FR"/>
        </w:rPr>
      </w:pPr>
    </w:p>
    <w:p w14:paraId="78F41ECC" w14:textId="77777777" w:rsidR="004C4E44" w:rsidRPr="00970505" w:rsidRDefault="004C4E44" w:rsidP="00A74E8F">
      <w:pPr>
        <w:keepNext/>
        <w:spacing w:after="0" w:line="240" w:lineRule="auto"/>
        <w:ind w:left="446"/>
        <w:outlineLvl w:val="3"/>
        <w:rPr>
          <w:rFonts w:ascii="Times New Roman" w:eastAsia="Times New Roman" w:hAnsi="Times New Roman" w:cs="Times New Roman"/>
          <w:b/>
          <w:bCs/>
          <w:sz w:val="24"/>
          <w:szCs w:val="24"/>
        </w:rPr>
      </w:pPr>
      <w:r>
        <w:rPr>
          <w:rFonts w:ascii="Times New Roman" w:hAnsi="Times New Roman"/>
          <w:b/>
          <w:sz w:val="24"/>
        </w:rPr>
        <w:t>Artikel 4</w:t>
      </w:r>
    </w:p>
    <w:p w14:paraId="484E7AB6" w14:textId="77777777" w:rsidR="00FB0990" w:rsidRDefault="00FB0990" w:rsidP="00A74E8F">
      <w:pPr>
        <w:keepNext/>
        <w:spacing w:after="0" w:line="240" w:lineRule="auto"/>
        <w:ind w:left="450"/>
        <w:rPr>
          <w:rFonts w:ascii="Times New Roman" w:eastAsia="Times New Roman" w:hAnsi="Times New Roman" w:cs="Times New Roman"/>
          <w:sz w:val="24"/>
          <w:szCs w:val="24"/>
          <w:lang w:eastAsia="fr-FR"/>
        </w:rPr>
      </w:pPr>
    </w:p>
    <w:p w14:paraId="05C662AD" w14:textId="77777777" w:rsidR="00ED3F8B" w:rsidRPr="00970505" w:rsidRDefault="00ED3F8B" w:rsidP="00A74E8F">
      <w:pPr>
        <w:keepNext/>
        <w:spacing w:after="0" w:line="240" w:lineRule="auto"/>
        <w:ind w:left="450"/>
        <w:rPr>
          <w:rFonts w:ascii="Times New Roman" w:eastAsia="Times New Roman" w:hAnsi="Times New Roman" w:cs="Times New Roman"/>
          <w:sz w:val="24"/>
          <w:szCs w:val="24"/>
          <w:lang w:eastAsia="fr-FR"/>
        </w:rPr>
      </w:pPr>
    </w:p>
    <w:p w14:paraId="26C4300F" w14:textId="77777777" w:rsidR="00FB0990"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rPr>
        <w:t>Varje underkriterium för indexet får ett poängtal mellan 1 och 10 och justeras av en koefficient för att komma fram till ett poängtal mellan 1 och 20 för varje kriterium, enligt tabellen nedan. Genom att addera, med lika viktning, poängtalen för varje kriterium kommer man fram till ett totalt antal poäng av hundra möjliga, vilket omräknas till ett poängtal av 10 möjliga, som utgör indexet.</w:t>
      </w:r>
    </w:p>
    <w:p w14:paraId="4F74858B" w14:textId="77777777" w:rsidR="004C4E44"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rPr>
        <w:t>Meddelandet och tillhandahållandet av de parametrar som har använts för att fastställa reparerbarhetsindexet för varje utrustning ska presenteras i enlighet med tabellen nedan, i ett numeriskt, icke föränderligt format, med dimensionerna 21 x 29,7 cm.</w:t>
      </w:r>
    </w:p>
    <w:p w14:paraId="4433F405"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09"/>
        <w:gridCol w:w="2134"/>
        <w:gridCol w:w="1646"/>
        <w:gridCol w:w="1646"/>
        <w:gridCol w:w="1054"/>
        <w:gridCol w:w="967"/>
      </w:tblGrid>
      <w:tr w:rsidR="004C4E44" w:rsidRPr="00970505" w14:paraId="1E430D2D" w14:textId="77777777"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8254B72" w14:textId="77777777" w:rsidR="00FB0990" w:rsidRPr="00970505" w:rsidRDefault="00FB0990" w:rsidP="00A74E8F">
            <w:pPr>
              <w:keepNext/>
              <w:spacing w:after="0" w:line="240" w:lineRule="auto"/>
              <w:jc w:val="center"/>
              <w:rPr>
                <w:rFonts w:ascii="Times New Roman" w:eastAsia="Times New Roman" w:hAnsi="Times New Roman" w:cs="Times New Roman"/>
                <w:b/>
                <w:bCs/>
                <w:sz w:val="24"/>
                <w:szCs w:val="24"/>
                <w:lang w:eastAsia="fr-FR"/>
              </w:rPr>
            </w:pPr>
          </w:p>
          <w:p w14:paraId="69CC0FE8" w14:textId="77777777" w:rsidR="004C4E44" w:rsidRPr="00970505" w:rsidRDefault="004C4E44" w:rsidP="00A74E8F">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Kriterium</w:t>
            </w:r>
          </w:p>
        </w:tc>
        <w:tc>
          <w:tcPr>
            <w:tcW w:w="0" w:type="auto"/>
            <w:tcBorders>
              <w:top w:val="outset" w:sz="6" w:space="0" w:color="auto"/>
              <w:left w:val="outset" w:sz="6" w:space="0" w:color="auto"/>
              <w:bottom w:val="outset" w:sz="6" w:space="0" w:color="auto"/>
              <w:right w:val="outset" w:sz="6" w:space="0" w:color="auto"/>
            </w:tcBorders>
            <w:vAlign w:val="center"/>
            <w:hideMark/>
          </w:tcPr>
          <w:p w14:paraId="548B19A9" w14:textId="77777777" w:rsidR="00FB0990" w:rsidRPr="00970505" w:rsidRDefault="00FB0990" w:rsidP="00A74E8F">
            <w:pPr>
              <w:keepNext/>
              <w:spacing w:after="0" w:line="240" w:lineRule="auto"/>
              <w:jc w:val="center"/>
              <w:rPr>
                <w:rFonts w:ascii="Times New Roman" w:eastAsia="Times New Roman" w:hAnsi="Times New Roman" w:cs="Times New Roman"/>
                <w:b/>
                <w:bCs/>
                <w:sz w:val="24"/>
                <w:szCs w:val="24"/>
                <w:lang w:eastAsia="fr-FR"/>
              </w:rPr>
            </w:pPr>
          </w:p>
          <w:p w14:paraId="77645530" w14:textId="77777777" w:rsidR="004C4E44" w:rsidRPr="00970505" w:rsidRDefault="004C4E44" w:rsidP="00A74E8F">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Underkriterium</w:t>
            </w:r>
          </w:p>
        </w:tc>
        <w:tc>
          <w:tcPr>
            <w:tcW w:w="0" w:type="auto"/>
            <w:tcBorders>
              <w:top w:val="outset" w:sz="6" w:space="0" w:color="auto"/>
              <w:left w:val="outset" w:sz="6" w:space="0" w:color="auto"/>
              <w:bottom w:val="outset" w:sz="6" w:space="0" w:color="auto"/>
              <w:right w:val="outset" w:sz="6" w:space="0" w:color="auto"/>
            </w:tcBorders>
            <w:vAlign w:val="center"/>
            <w:hideMark/>
          </w:tcPr>
          <w:p w14:paraId="5F2508BF" w14:textId="77777777" w:rsidR="00FB0990" w:rsidRPr="00970505" w:rsidRDefault="00FB0990" w:rsidP="00A74E8F">
            <w:pPr>
              <w:keepNext/>
              <w:spacing w:after="0" w:line="240" w:lineRule="auto"/>
              <w:jc w:val="center"/>
              <w:rPr>
                <w:rFonts w:ascii="Times New Roman" w:eastAsia="Times New Roman" w:hAnsi="Times New Roman" w:cs="Times New Roman"/>
                <w:b/>
                <w:bCs/>
                <w:sz w:val="24"/>
                <w:szCs w:val="24"/>
                <w:lang w:eastAsia="fr-FR"/>
              </w:rPr>
            </w:pPr>
          </w:p>
          <w:p w14:paraId="2ACD8066" w14:textId="77777777" w:rsidR="004C4E44" w:rsidRPr="00970505" w:rsidRDefault="004C4E44" w:rsidP="00A74E8F">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Poängtal för underkriterium</w:t>
            </w:r>
          </w:p>
        </w:tc>
        <w:tc>
          <w:tcPr>
            <w:tcW w:w="0" w:type="auto"/>
            <w:tcBorders>
              <w:top w:val="outset" w:sz="6" w:space="0" w:color="auto"/>
              <w:left w:val="outset" w:sz="6" w:space="0" w:color="auto"/>
              <w:bottom w:val="outset" w:sz="6" w:space="0" w:color="auto"/>
              <w:right w:val="outset" w:sz="6" w:space="0" w:color="auto"/>
            </w:tcBorders>
            <w:vAlign w:val="center"/>
            <w:hideMark/>
          </w:tcPr>
          <w:p w14:paraId="28C389F2" w14:textId="77777777" w:rsidR="00FB0990" w:rsidRPr="00970505" w:rsidRDefault="00FB0990" w:rsidP="00A74E8F">
            <w:pPr>
              <w:keepNext/>
              <w:spacing w:after="0" w:line="240" w:lineRule="auto"/>
              <w:jc w:val="center"/>
              <w:rPr>
                <w:rFonts w:ascii="Times New Roman" w:eastAsia="Times New Roman" w:hAnsi="Times New Roman" w:cs="Times New Roman"/>
                <w:b/>
                <w:bCs/>
                <w:sz w:val="24"/>
                <w:szCs w:val="24"/>
                <w:lang w:eastAsia="fr-FR"/>
              </w:rPr>
            </w:pPr>
          </w:p>
          <w:p w14:paraId="708FC7ED" w14:textId="77777777" w:rsidR="004C4E44" w:rsidRPr="00970505" w:rsidRDefault="004C4E44" w:rsidP="00A74E8F">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Koefficient för underkriterium</w:t>
            </w:r>
          </w:p>
        </w:tc>
        <w:tc>
          <w:tcPr>
            <w:tcW w:w="0" w:type="auto"/>
            <w:tcBorders>
              <w:top w:val="outset" w:sz="6" w:space="0" w:color="auto"/>
              <w:left w:val="outset" w:sz="6" w:space="0" w:color="auto"/>
              <w:bottom w:val="outset" w:sz="6" w:space="0" w:color="auto"/>
              <w:right w:val="outset" w:sz="6" w:space="0" w:color="auto"/>
            </w:tcBorders>
            <w:vAlign w:val="center"/>
            <w:hideMark/>
          </w:tcPr>
          <w:p w14:paraId="56F5C615" w14:textId="77777777" w:rsidR="00FB0990" w:rsidRPr="00970505" w:rsidRDefault="00FB0990" w:rsidP="00A74E8F">
            <w:pPr>
              <w:keepNext/>
              <w:spacing w:after="0" w:line="240" w:lineRule="auto"/>
              <w:jc w:val="center"/>
              <w:rPr>
                <w:rFonts w:ascii="Times New Roman" w:eastAsia="Times New Roman" w:hAnsi="Times New Roman" w:cs="Times New Roman"/>
                <w:b/>
                <w:bCs/>
                <w:sz w:val="24"/>
                <w:szCs w:val="24"/>
                <w:lang w:eastAsia="fr-FR"/>
              </w:rPr>
            </w:pPr>
          </w:p>
          <w:p w14:paraId="2DBCFE8E" w14:textId="77777777" w:rsidR="004C4E44" w:rsidRPr="00970505" w:rsidRDefault="004C4E44" w:rsidP="00A74E8F">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Poängtal för kriterium</w:t>
            </w:r>
          </w:p>
        </w:tc>
        <w:tc>
          <w:tcPr>
            <w:tcW w:w="0" w:type="auto"/>
            <w:tcBorders>
              <w:top w:val="outset" w:sz="6" w:space="0" w:color="auto"/>
              <w:left w:val="outset" w:sz="6" w:space="0" w:color="auto"/>
              <w:bottom w:val="outset" w:sz="6" w:space="0" w:color="auto"/>
              <w:right w:val="outset" w:sz="6" w:space="0" w:color="auto"/>
            </w:tcBorders>
            <w:vAlign w:val="center"/>
            <w:hideMark/>
          </w:tcPr>
          <w:p w14:paraId="467E48C7" w14:textId="77777777" w:rsidR="00FB0990" w:rsidRPr="00970505" w:rsidRDefault="00FB0990" w:rsidP="00A74E8F">
            <w:pPr>
              <w:keepNext/>
              <w:spacing w:after="0" w:line="240" w:lineRule="auto"/>
              <w:jc w:val="center"/>
              <w:rPr>
                <w:rFonts w:ascii="Times New Roman" w:eastAsia="Times New Roman" w:hAnsi="Times New Roman" w:cs="Times New Roman"/>
                <w:b/>
                <w:bCs/>
                <w:sz w:val="24"/>
                <w:szCs w:val="24"/>
                <w:lang w:eastAsia="fr-FR"/>
              </w:rPr>
            </w:pPr>
          </w:p>
          <w:p w14:paraId="75BAE729" w14:textId="77777777" w:rsidR="004C4E44" w:rsidRPr="00970505" w:rsidRDefault="004C4E44" w:rsidP="00A74E8F">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Totalt poängtal för kriterier</w:t>
            </w:r>
          </w:p>
        </w:tc>
      </w:tr>
      <w:tr w:rsidR="004C4E44" w:rsidRPr="00970505" w14:paraId="6BDFB38B" w14:textId="77777777"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D5D45CD"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4E4B83C4"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t>1. Dokumentation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20ADC2E"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35ADB2B8"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t>1.1. Tillgänglighetstid för teknisk dokumentation och användnings- och underhållsanvisningar</w:t>
            </w:r>
          </w:p>
        </w:tc>
        <w:tc>
          <w:tcPr>
            <w:tcW w:w="0" w:type="auto"/>
            <w:tcBorders>
              <w:top w:val="outset" w:sz="6" w:space="0" w:color="auto"/>
              <w:left w:val="outset" w:sz="6" w:space="0" w:color="auto"/>
              <w:bottom w:val="outset" w:sz="6" w:space="0" w:color="auto"/>
              <w:right w:val="outset" w:sz="6" w:space="0" w:color="auto"/>
            </w:tcBorders>
            <w:vAlign w:val="center"/>
            <w:hideMark/>
          </w:tcPr>
          <w:p w14:paraId="63AE06CC"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2647A4AA"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584DE75"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7556FA07"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24C2E258"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637210ED"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rPr>
              <w:t>▀▀/20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A002E76"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640340F4"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rPr>
              <w:t>▀▀/100</w:t>
            </w:r>
          </w:p>
        </w:tc>
      </w:tr>
      <w:tr w:rsidR="004C4E44" w:rsidRPr="00970505" w14:paraId="326B9EE0" w14:textId="77777777" w:rsidTr="004C4E44">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FF7D2B4"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615B434B"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2. Demonterbarhet och åtkomst, verktyg, fästanordningar</w:t>
            </w:r>
          </w:p>
        </w:tc>
        <w:tc>
          <w:tcPr>
            <w:tcW w:w="0" w:type="auto"/>
            <w:tcBorders>
              <w:top w:val="outset" w:sz="6" w:space="0" w:color="auto"/>
              <w:left w:val="outset" w:sz="6" w:space="0" w:color="auto"/>
              <w:bottom w:val="outset" w:sz="6" w:space="0" w:color="auto"/>
              <w:right w:val="outset" w:sz="6" w:space="0" w:color="auto"/>
            </w:tcBorders>
            <w:vAlign w:val="center"/>
            <w:hideMark/>
          </w:tcPr>
          <w:p w14:paraId="0531707D"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54B50F86"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2.1 Lätthet att demontera de delar som anges i lista 2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2176A6"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3BD19885"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2D4F477"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6EB36460"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rPr>
              <w:t>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31EAD7C"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7AF25C90"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rPr>
              <w:t>▀▀/20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D5FD85"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tc>
      </w:tr>
      <w:tr w:rsidR="004C4E44" w:rsidRPr="00970505" w14:paraId="2EC716BF" w14:textId="77777777" w:rsidTr="004C4E4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5BABCC2"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7E83FF5"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33EA7FE8"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2.2. Nödvändiga verktyg (lista 2)</w:t>
            </w:r>
          </w:p>
        </w:tc>
        <w:tc>
          <w:tcPr>
            <w:tcW w:w="0" w:type="auto"/>
            <w:tcBorders>
              <w:top w:val="outset" w:sz="6" w:space="0" w:color="auto"/>
              <w:left w:val="outset" w:sz="6" w:space="0" w:color="auto"/>
              <w:bottom w:val="outset" w:sz="6" w:space="0" w:color="auto"/>
              <w:right w:val="outset" w:sz="6" w:space="0" w:color="auto"/>
            </w:tcBorders>
            <w:vAlign w:val="center"/>
            <w:hideMark/>
          </w:tcPr>
          <w:p w14:paraId="4639C252"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30E091DE"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248AF77"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29803C74"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rPr>
              <w:t>0,5</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9BE7E9"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1CB134"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tc>
      </w:tr>
      <w:tr w:rsidR="004C4E44" w:rsidRPr="00970505" w14:paraId="717704DB" w14:textId="77777777" w:rsidTr="004C4E4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6C064CC"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DE79D8F"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79943A4E"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2.3. Egenskaper hos fästanordningar mellan delarna i lista 1 (**) och delarna i lista 2</w:t>
            </w:r>
          </w:p>
        </w:tc>
        <w:tc>
          <w:tcPr>
            <w:tcW w:w="0" w:type="auto"/>
            <w:tcBorders>
              <w:top w:val="outset" w:sz="6" w:space="0" w:color="auto"/>
              <w:left w:val="outset" w:sz="6" w:space="0" w:color="auto"/>
              <w:bottom w:val="outset" w:sz="6" w:space="0" w:color="auto"/>
              <w:right w:val="outset" w:sz="6" w:space="0" w:color="auto"/>
            </w:tcBorders>
            <w:vAlign w:val="center"/>
            <w:hideMark/>
          </w:tcPr>
          <w:p w14:paraId="468DCDDA"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491F066D"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6466275"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153BFAB3"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rPr>
              <w:t>0,5</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90D507D"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D58C5F"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tc>
      </w:tr>
      <w:tr w:rsidR="004C4E44" w:rsidRPr="00970505" w14:paraId="29364C8B" w14:textId="77777777" w:rsidTr="004C4E44">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E02386C"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363B729C"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3. Tillgänglighet för reservdelar</w:t>
            </w:r>
          </w:p>
        </w:tc>
        <w:tc>
          <w:tcPr>
            <w:tcW w:w="0" w:type="auto"/>
            <w:tcBorders>
              <w:top w:val="outset" w:sz="6" w:space="0" w:color="auto"/>
              <w:left w:val="outset" w:sz="6" w:space="0" w:color="auto"/>
              <w:bottom w:val="outset" w:sz="6" w:space="0" w:color="auto"/>
              <w:right w:val="outset" w:sz="6" w:space="0" w:color="auto"/>
            </w:tcBorders>
            <w:vAlign w:val="center"/>
            <w:hideMark/>
          </w:tcPr>
          <w:p w14:paraId="21A88964"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59AB7614"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3.1. Tillgänglighetstid för de delar som anges i lista 2</w:t>
            </w:r>
          </w:p>
        </w:tc>
        <w:tc>
          <w:tcPr>
            <w:tcW w:w="0" w:type="auto"/>
            <w:tcBorders>
              <w:top w:val="outset" w:sz="6" w:space="0" w:color="auto"/>
              <w:left w:val="outset" w:sz="6" w:space="0" w:color="auto"/>
              <w:bottom w:val="outset" w:sz="6" w:space="0" w:color="auto"/>
              <w:right w:val="outset" w:sz="6" w:space="0" w:color="auto"/>
            </w:tcBorders>
            <w:vAlign w:val="center"/>
            <w:hideMark/>
          </w:tcPr>
          <w:p w14:paraId="21DDB250"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510E60C2"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FA2C712"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12BBDA27"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rPr>
              <w:t>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BACD120"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3FDF92FD"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rPr>
              <w:t>▀▀/20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16CFFE"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tc>
      </w:tr>
      <w:tr w:rsidR="004C4E44" w:rsidRPr="00970505" w14:paraId="1A3F7807" w14:textId="77777777" w:rsidTr="004C4E4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234159"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A8EA670"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6D93C584"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3.2. Tillgänglighetstid för de delar som anges i lista 1</w:t>
            </w:r>
          </w:p>
        </w:tc>
        <w:tc>
          <w:tcPr>
            <w:tcW w:w="0" w:type="auto"/>
            <w:tcBorders>
              <w:top w:val="outset" w:sz="6" w:space="0" w:color="auto"/>
              <w:left w:val="outset" w:sz="6" w:space="0" w:color="auto"/>
              <w:bottom w:val="outset" w:sz="6" w:space="0" w:color="auto"/>
              <w:right w:val="outset" w:sz="6" w:space="0" w:color="auto"/>
            </w:tcBorders>
            <w:vAlign w:val="center"/>
            <w:hideMark/>
          </w:tcPr>
          <w:p w14:paraId="590D46F2"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6D67A4A0"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C2391D9"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3B9F1842"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rPr>
              <w:t>0,5</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72816E"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DC308E"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tc>
      </w:tr>
      <w:tr w:rsidR="004C4E44" w:rsidRPr="00970505" w14:paraId="26CC74A9" w14:textId="77777777" w:rsidTr="004C4E4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FEC601E"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A300705"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1F8A4224"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3.3. Leveranstid för de delar som anges i lista 2</w:t>
            </w:r>
          </w:p>
        </w:tc>
        <w:tc>
          <w:tcPr>
            <w:tcW w:w="0" w:type="auto"/>
            <w:tcBorders>
              <w:top w:val="outset" w:sz="6" w:space="0" w:color="auto"/>
              <w:left w:val="outset" w:sz="6" w:space="0" w:color="auto"/>
              <w:bottom w:val="outset" w:sz="6" w:space="0" w:color="auto"/>
              <w:right w:val="outset" w:sz="6" w:space="0" w:color="auto"/>
            </w:tcBorders>
            <w:vAlign w:val="center"/>
            <w:hideMark/>
          </w:tcPr>
          <w:p w14:paraId="16182FEE"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38F37090"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6E321981"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130957DC"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rPr>
              <w:t>0,3</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7C5F46"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5FDDCB"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tc>
      </w:tr>
      <w:tr w:rsidR="004C4E44" w:rsidRPr="00970505" w14:paraId="0FE4F965" w14:textId="77777777" w:rsidTr="004C4E4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CA44EEA"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674207B"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000ECE60"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3.4. Leveranstid för de delar som anges i lista 1</w:t>
            </w:r>
          </w:p>
        </w:tc>
        <w:tc>
          <w:tcPr>
            <w:tcW w:w="0" w:type="auto"/>
            <w:tcBorders>
              <w:top w:val="outset" w:sz="6" w:space="0" w:color="auto"/>
              <w:left w:val="outset" w:sz="6" w:space="0" w:color="auto"/>
              <w:bottom w:val="outset" w:sz="6" w:space="0" w:color="auto"/>
              <w:right w:val="outset" w:sz="6" w:space="0" w:color="auto"/>
            </w:tcBorders>
            <w:vAlign w:val="center"/>
            <w:hideMark/>
          </w:tcPr>
          <w:p w14:paraId="530FFB7C"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272FB03F"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6B892D16"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08939AC8"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rPr>
              <w:t>0,2</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A5B2D0"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C9AC54"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tc>
      </w:tr>
      <w:tr w:rsidR="004C4E44" w:rsidRPr="00970505" w14:paraId="07769BD0" w14:textId="77777777"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E405A4D"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65D5282B"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4. Priset på reservdelar</w:t>
            </w:r>
          </w:p>
        </w:tc>
        <w:tc>
          <w:tcPr>
            <w:tcW w:w="0" w:type="auto"/>
            <w:tcBorders>
              <w:top w:val="outset" w:sz="6" w:space="0" w:color="auto"/>
              <w:left w:val="outset" w:sz="6" w:space="0" w:color="auto"/>
              <w:bottom w:val="outset" w:sz="6" w:space="0" w:color="auto"/>
              <w:right w:val="outset" w:sz="6" w:space="0" w:color="auto"/>
            </w:tcBorders>
            <w:vAlign w:val="center"/>
            <w:hideMark/>
          </w:tcPr>
          <w:p w14:paraId="3D72DE8D"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7AD09465"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4.1. Förhållandet mellan priset på delarna i lista 2 och priset på en ny utrustning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2ED9EA57"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78FFEAFC"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0CE6CE85"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0D8D794B"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0772F5D6"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604DC012"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rPr>
              <w:t>▀▀/20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CE6E9F"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tc>
      </w:tr>
      <w:tr w:rsidR="004C4E44" w:rsidRPr="00970505" w14:paraId="4F94B9E0" w14:textId="77777777" w:rsidTr="004C4E44">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C442A11"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0E0EAE2A" w14:textId="77777777" w:rsidR="00FB0990"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t>5. Specifikt kriterium</w:t>
            </w:r>
          </w:p>
          <w:p w14:paraId="643C2898"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(exempel med tre underkriterier)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2EE36EB"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37BDBE32"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5.1.</w:t>
            </w:r>
          </w:p>
        </w:tc>
        <w:tc>
          <w:tcPr>
            <w:tcW w:w="0" w:type="auto"/>
            <w:tcBorders>
              <w:top w:val="outset" w:sz="6" w:space="0" w:color="auto"/>
              <w:left w:val="outset" w:sz="6" w:space="0" w:color="auto"/>
              <w:bottom w:val="outset" w:sz="6" w:space="0" w:color="auto"/>
              <w:right w:val="outset" w:sz="6" w:space="0" w:color="auto"/>
            </w:tcBorders>
            <w:vAlign w:val="center"/>
            <w:hideMark/>
          </w:tcPr>
          <w:p w14:paraId="05366281"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126D9647"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112AEA1A"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3663A5C9"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rPr>
              <w:t>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7DBEEA8"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3B5F6651"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rPr>
              <w:t>▀▀/20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E50F9C"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tc>
      </w:tr>
      <w:tr w:rsidR="004C4E44" w:rsidRPr="00970505" w14:paraId="10322C95" w14:textId="77777777" w:rsidTr="004C4E4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7AB96ED"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CC9BFB1"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52CBA89D"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5.2.</w:t>
            </w:r>
          </w:p>
        </w:tc>
        <w:tc>
          <w:tcPr>
            <w:tcW w:w="0" w:type="auto"/>
            <w:tcBorders>
              <w:top w:val="outset" w:sz="6" w:space="0" w:color="auto"/>
              <w:left w:val="outset" w:sz="6" w:space="0" w:color="auto"/>
              <w:bottom w:val="outset" w:sz="6" w:space="0" w:color="auto"/>
              <w:right w:val="outset" w:sz="6" w:space="0" w:color="auto"/>
            </w:tcBorders>
            <w:vAlign w:val="center"/>
            <w:hideMark/>
          </w:tcPr>
          <w:p w14:paraId="6A107B87"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155FEAD9"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1BC14387"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60484A76"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rPr>
              <w:t>0,5</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5D8874"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48A016"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tc>
      </w:tr>
      <w:tr w:rsidR="004C4E44" w:rsidRPr="00970505" w14:paraId="5F0BCAA6" w14:textId="77777777" w:rsidTr="004C4E4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FE519A2"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3153CF5"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20D06C6E"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5.3.</w:t>
            </w:r>
          </w:p>
        </w:tc>
        <w:tc>
          <w:tcPr>
            <w:tcW w:w="0" w:type="auto"/>
            <w:tcBorders>
              <w:top w:val="outset" w:sz="6" w:space="0" w:color="auto"/>
              <w:left w:val="outset" w:sz="6" w:space="0" w:color="auto"/>
              <w:bottom w:val="outset" w:sz="6" w:space="0" w:color="auto"/>
              <w:right w:val="outset" w:sz="6" w:space="0" w:color="auto"/>
            </w:tcBorders>
            <w:vAlign w:val="center"/>
            <w:hideMark/>
          </w:tcPr>
          <w:p w14:paraId="76DC813D"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0456F3BB"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16D0F612"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697CDFA9"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rPr>
              <w:t>0,5</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9D4F67"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FC09AC"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tc>
      </w:tr>
      <w:tr w:rsidR="004C4E44" w:rsidRPr="00970505" w14:paraId="5AFD2C26" w14:textId="77777777" w:rsidTr="004C4E44">
        <w:trPr>
          <w:tblCellSpacing w:w="15" w:type="dxa"/>
          <w:jc w:val="center"/>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626A20DD" w14:textId="77777777" w:rsidR="00FB0990" w:rsidRPr="00970505" w:rsidRDefault="00FB0990" w:rsidP="00ED3F8B">
            <w:pPr>
              <w:spacing w:after="0" w:line="240" w:lineRule="auto"/>
              <w:jc w:val="right"/>
              <w:rPr>
                <w:rFonts w:ascii="Times New Roman" w:eastAsia="Times New Roman" w:hAnsi="Times New Roman" w:cs="Times New Roman"/>
                <w:sz w:val="24"/>
                <w:szCs w:val="24"/>
                <w:lang w:eastAsia="fr-FR"/>
              </w:rPr>
            </w:pPr>
          </w:p>
          <w:p w14:paraId="1C7BA0F8" w14:textId="77777777" w:rsidR="004C4E44" w:rsidRPr="00970505" w:rsidRDefault="004C4E44" w:rsidP="00ED3F8B">
            <w:pPr>
              <w:spacing w:after="0" w:line="240" w:lineRule="auto"/>
              <w:jc w:val="right"/>
              <w:rPr>
                <w:rFonts w:ascii="Times New Roman" w:eastAsia="Times New Roman" w:hAnsi="Times New Roman" w:cs="Times New Roman"/>
                <w:sz w:val="24"/>
                <w:szCs w:val="24"/>
              </w:rPr>
            </w:pPr>
            <w:r>
              <w:rPr>
                <w:rFonts w:ascii="Times New Roman" w:hAnsi="Times New Roman"/>
                <w:sz w:val="24"/>
              </w:rPr>
              <w:t>Poängtal för indexet</w:t>
            </w:r>
          </w:p>
        </w:tc>
        <w:tc>
          <w:tcPr>
            <w:tcW w:w="0" w:type="auto"/>
            <w:tcBorders>
              <w:top w:val="outset" w:sz="6" w:space="0" w:color="auto"/>
              <w:left w:val="outset" w:sz="6" w:space="0" w:color="auto"/>
              <w:bottom w:val="outset" w:sz="6" w:space="0" w:color="auto"/>
              <w:right w:val="outset" w:sz="6" w:space="0" w:color="auto"/>
            </w:tcBorders>
            <w:vAlign w:val="center"/>
            <w:hideMark/>
          </w:tcPr>
          <w:p w14:paraId="4DDB0609"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66836D18"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rPr>
              <w:t>▀▀/10</w:t>
            </w:r>
          </w:p>
        </w:tc>
      </w:tr>
      <w:tr w:rsidR="004C4E44" w:rsidRPr="00970505" w14:paraId="1D3F3CF6" w14:textId="77777777" w:rsidTr="004C4E44">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14:paraId="3D93A65D"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64622196" w14:textId="77777777" w:rsidR="00FB0990"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 Lista 2: lista med högst 3–5 reservdelar (utifrån den kategori av utrustning som berörs) för de delar som oftast går sönder eller inte fungerar.</w:t>
            </w:r>
          </w:p>
          <w:p w14:paraId="23AF7599"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 Lista 1: lista med högst 10 andra reservdelar (utifrån den utrustningskategori som berörs) som måste vara i gott skick för att utrustningen ska fungera.</w:t>
            </w:r>
          </w:p>
        </w:tc>
      </w:tr>
    </w:tbl>
    <w:p w14:paraId="1E125CB2"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417ADC66"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p w14:paraId="216616B0" w14:textId="77777777" w:rsidR="00FB0990"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rPr>
        <w:t>Summan av koefficienterna för underkriterierna ska vara lika med 2 för varje kriterium.</w:t>
      </w:r>
    </w:p>
    <w:p w14:paraId="64812B69" w14:textId="77777777" w:rsidR="004C4E44"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rPr>
        <w:t>Detaljerade poängsystem för varje utrustningskategori, där listan över delar samt detaljer om varje underkriterium ska anges, ska fastställas genom förordning.</w:t>
      </w:r>
    </w:p>
    <w:p w14:paraId="4A6B544E" w14:textId="77777777" w:rsidR="00ED3F8B" w:rsidRPr="00970505" w:rsidRDefault="00ED3F8B" w:rsidP="00ED3F8B">
      <w:pPr>
        <w:spacing w:after="0" w:line="240" w:lineRule="auto"/>
        <w:ind w:left="450"/>
        <w:rPr>
          <w:rFonts w:ascii="Times New Roman" w:eastAsia="Times New Roman" w:hAnsi="Times New Roman" w:cs="Times New Roman"/>
          <w:sz w:val="24"/>
          <w:szCs w:val="24"/>
          <w:lang w:eastAsia="fr-FR"/>
        </w:rPr>
      </w:pPr>
    </w:p>
    <w:p w14:paraId="128E032A" w14:textId="77777777" w:rsidR="004C4E44" w:rsidRPr="00970505" w:rsidRDefault="004C4E44" w:rsidP="00A74E8F">
      <w:pPr>
        <w:keepNext/>
        <w:spacing w:after="0" w:line="240" w:lineRule="auto"/>
        <w:ind w:left="446"/>
        <w:outlineLvl w:val="3"/>
        <w:rPr>
          <w:rFonts w:ascii="Times New Roman" w:eastAsia="Times New Roman" w:hAnsi="Times New Roman" w:cs="Times New Roman"/>
          <w:b/>
          <w:bCs/>
          <w:sz w:val="24"/>
          <w:szCs w:val="24"/>
        </w:rPr>
      </w:pPr>
      <w:r>
        <w:rPr>
          <w:rFonts w:ascii="Times New Roman" w:hAnsi="Times New Roman"/>
          <w:b/>
          <w:sz w:val="24"/>
        </w:rPr>
        <w:t>Artikel 5</w:t>
      </w:r>
    </w:p>
    <w:p w14:paraId="6D1C1907" w14:textId="77777777" w:rsidR="00FB0990" w:rsidRDefault="00FB0990" w:rsidP="00A74E8F">
      <w:pPr>
        <w:keepNext/>
        <w:spacing w:after="0" w:line="240" w:lineRule="auto"/>
        <w:ind w:left="446"/>
        <w:rPr>
          <w:rFonts w:ascii="Times New Roman" w:eastAsia="Times New Roman" w:hAnsi="Times New Roman" w:cs="Times New Roman"/>
          <w:sz w:val="24"/>
          <w:szCs w:val="24"/>
          <w:lang w:eastAsia="fr-FR"/>
        </w:rPr>
      </w:pPr>
    </w:p>
    <w:p w14:paraId="69F91947" w14:textId="77777777" w:rsidR="00ED3F8B" w:rsidRPr="00970505" w:rsidRDefault="00ED3F8B" w:rsidP="00A74E8F">
      <w:pPr>
        <w:keepNext/>
        <w:spacing w:after="0" w:line="240" w:lineRule="auto"/>
        <w:ind w:left="446"/>
        <w:rPr>
          <w:rFonts w:ascii="Times New Roman" w:eastAsia="Times New Roman" w:hAnsi="Times New Roman" w:cs="Times New Roman"/>
          <w:sz w:val="24"/>
          <w:szCs w:val="24"/>
          <w:lang w:eastAsia="fr-FR"/>
        </w:rPr>
      </w:pPr>
    </w:p>
    <w:p w14:paraId="144B9CD3" w14:textId="77777777" w:rsidR="00FB0990" w:rsidRPr="00970505" w:rsidRDefault="004C4E44" w:rsidP="00A74E8F">
      <w:pPr>
        <w:keepNext/>
        <w:spacing w:after="0" w:line="240" w:lineRule="auto"/>
        <w:ind w:left="446"/>
        <w:rPr>
          <w:rFonts w:ascii="Times New Roman" w:eastAsia="Times New Roman" w:hAnsi="Times New Roman" w:cs="Times New Roman"/>
          <w:sz w:val="24"/>
          <w:szCs w:val="24"/>
        </w:rPr>
      </w:pPr>
      <w:r>
        <w:rPr>
          <w:rFonts w:ascii="Times New Roman" w:hAnsi="Times New Roman"/>
          <w:sz w:val="24"/>
        </w:rPr>
        <w:t>Kriterium nr 1 – Dokumentation:</w:t>
      </w:r>
    </w:p>
    <w:p w14:paraId="33CC10F0" w14:textId="77777777" w:rsidR="00FB0990" w:rsidRPr="00970505"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rPr>
        <w:t>Underkriterium 1.1 – Tillgänglighetstid för teknisk dokumentation och användnings- och underhållsanvisningar:</w:t>
      </w:r>
    </w:p>
    <w:p w14:paraId="36B28933" w14:textId="77777777" w:rsidR="00FB0990" w:rsidRPr="00970505"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rPr>
        <w:t>Fastställs utifrån tillverkarens åtagande att under ett antal år, som börjar löpa i samband med utsläppandet av den sista enheten på marknaden, kostnadsfritt tillhandahålla teknisk dokumentation till godkända och oberoende reparatörer och till konsumenterna samt användnings- och underhållsanvisningar till konsumenterna.</w:t>
      </w:r>
    </w:p>
    <w:p w14:paraId="7A464456" w14:textId="77777777" w:rsidR="00FB0990" w:rsidRPr="00970505" w:rsidRDefault="004C4E44" w:rsidP="00A74E8F">
      <w:pPr>
        <w:keepNext/>
        <w:spacing w:after="0" w:line="240" w:lineRule="auto"/>
        <w:ind w:left="446"/>
        <w:rPr>
          <w:rFonts w:ascii="Times New Roman" w:eastAsia="Times New Roman" w:hAnsi="Times New Roman" w:cs="Times New Roman"/>
          <w:sz w:val="24"/>
          <w:szCs w:val="24"/>
        </w:rPr>
      </w:pPr>
      <w:r>
        <w:rPr>
          <w:rFonts w:ascii="Times New Roman" w:hAnsi="Times New Roman"/>
          <w:sz w:val="24"/>
        </w:rPr>
        <w:t>Kriterium nr 2 – Demonterbarhet och åtkomst, verktyg, fästanordningar:</w:t>
      </w:r>
    </w:p>
    <w:p w14:paraId="74B89D23" w14:textId="77777777" w:rsidR="00FB0990" w:rsidRPr="00970505" w:rsidRDefault="004C4E44" w:rsidP="00A74E8F">
      <w:pPr>
        <w:keepNext/>
        <w:spacing w:after="0" w:line="240" w:lineRule="auto"/>
        <w:ind w:left="446"/>
        <w:rPr>
          <w:rFonts w:ascii="Times New Roman" w:eastAsia="Times New Roman" w:hAnsi="Times New Roman" w:cs="Times New Roman"/>
          <w:sz w:val="24"/>
          <w:szCs w:val="24"/>
        </w:rPr>
      </w:pPr>
      <w:r>
        <w:rPr>
          <w:rFonts w:ascii="Times New Roman" w:hAnsi="Times New Roman"/>
          <w:sz w:val="24"/>
        </w:rPr>
        <w:t>Underkriterium 2.1 – Lätthet att demontera de delar som anges i lista 2:</w:t>
      </w:r>
    </w:p>
    <w:p w14:paraId="69713854" w14:textId="77777777" w:rsidR="00FB0990" w:rsidRPr="00970505"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rPr>
        <w:t>Fastställs utifrån antalet demonteringsmoment som är nödvändigt för att komma åt den i lista 2 angivna del som ska demonteras och avlägsna den från utrustningen i syfte att ersätta den. I de fall då delen inte är demonterbar kopplas poängtalet för detta underkriterium är till poängtalet för kriterium 3.1: poängtalet noll överförs då från det ena underkriteriet till det andra.</w:t>
      </w:r>
    </w:p>
    <w:p w14:paraId="378AEF05" w14:textId="77777777" w:rsidR="00FB0990" w:rsidRPr="00970505" w:rsidRDefault="004C4E44" w:rsidP="00A74E8F">
      <w:pPr>
        <w:keepNext/>
        <w:spacing w:after="0" w:line="240" w:lineRule="auto"/>
        <w:ind w:left="446"/>
        <w:rPr>
          <w:rFonts w:ascii="Times New Roman" w:eastAsia="Times New Roman" w:hAnsi="Times New Roman" w:cs="Times New Roman"/>
          <w:sz w:val="24"/>
          <w:szCs w:val="24"/>
        </w:rPr>
      </w:pPr>
      <w:r>
        <w:rPr>
          <w:rFonts w:ascii="Times New Roman" w:hAnsi="Times New Roman"/>
          <w:sz w:val="24"/>
        </w:rPr>
        <w:t>Underkriterium 2.2 – Nödvändiga verktyg:</w:t>
      </w:r>
    </w:p>
    <w:p w14:paraId="680059FF" w14:textId="77777777" w:rsidR="00FB0990" w:rsidRPr="00970505"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rPr>
        <w:t>Fastställs utifrån de typer av verktyg som är nödvändiga för att demontera var och en av de i lista 2 angivna delarna. Verktygen är indelade i ”vanliga”, ”specifika” och ”företagsspecifika verktyg”.</w:t>
      </w:r>
    </w:p>
    <w:p w14:paraId="70897AE7" w14:textId="77777777" w:rsidR="00FB0990" w:rsidRPr="00970505" w:rsidRDefault="004C4E44" w:rsidP="00A74E8F">
      <w:pPr>
        <w:keepNext/>
        <w:spacing w:after="0" w:line="240" w:lineRule="auto"/>
        <w:ind w:left="446"/>
        <w:rPr>
          <w:rFonts w:ascii="Times New Roman" w:eastAsia="Times New Roman" w:hAnsi="Times New Roman" w:cs="Times New Roman"/>
          <w:sz w:val="24"/>
          <w:szCs w:val="24"/>
        </w:rPr>
      </w:pPr>
      <w:r>
        <w:rPr>
          <w:rFonts w:ascii="Times New Roman" w:hAnsi="Times New Roman"/>
          <w:sz w:val="24"/>
        </w:rPr>
        <w:t>Underkriterium 2.3 – Fästanordningarnas egenskaper:</w:t>
      </w:r>
    </w:p>
    <w:p w14:paraId="653CE601" w14:textId="77777777" w:rsidR="00FB0990" w:rsidRPr="00970505"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rPr>
        <w:t>Fastställs för var och en av de i lista 1 och lista 2 angivna delarna utifrån typen av fästanordning som kopplar ihop dem med andra delar av utrustningen. Fästanordningarna är indelade i ”avtagbara och återanvändbara”, ”avtagbara och icke återanvändbara” eller ”varken avtagbara eller återanvändbara” fästanordningar.</w:t>
      </w:r>
    </w:p>
    <w:p w14:paraId="6C509864" w14:textId="77777777" w:rsidR="00FB0990" w:rsidRPr="00970505" w:rsidRDefault="004C4E44" w:rsidP="00A74E8F">
      <w:pPr>
        <w:keepNext/>
        <w:spacing w:after="0" w:line="240" w:lineRule="auto"/>
        <w:ind w:left="446"/>
        <w:rPr>
          <w:rFonts w:ascii="Times New Roman" w:eastAsia="Times New Roman" w:hAnsi="Times New Roman" w:cs="Times New Roman"/>
          <w:sz w:val="24"/>
          <w:szCs w:val="24"/>
        </w:rPr>
      </w:pPr>
      <w:r>
        <w:rPr>
          <w:rFonts w:ascii="Times New Roman" w:hAnsi="Times New Roman"/>
          <w:sz w:val="24"/>
        </w:rPr>
        <w:t>Kriterium nr 3 – Tillgänglighet med avseende på reservdelar:</w:t>
      </w:r>
    </w:p>
    <w:p w14:paraId="6AF320F9" w14:textId="77777777" w:rsidR="00FB0990" w:rsidRPr="00970505" w:rsidRDefault="004C4E44" w:rsidP="00A74E8F">
      <w:pPr>
        <w:keepNext/>
        <w:spacing w:after="0" w:line="240" w:lineRule="auto"/>
        <w:ind w:left="446"/>
        <w:rPr>
          <w:rFonts w:ascii="Times New Roman" w:eastAsia="Times New Roman" w:hAnsi="Times New Roman" w:cs="Times New Roman"/>
          <w:sz w:val="24"/>
          <w:szCs w:val="24"/>
        </w:rPr>
      </w:pPr>
      <w:r>
        <w:rPr>
          <w:rFonts w:ascii="Times New Roman" w:hAnsi="Times New Roman"/>
          <w:sz w:val="24"/>
        </w:rPr>
        <w:t>Underkriterium 3.1 – Tillgänglighetstid för de delar som anges i lista 2:</w:t>
      </w:r>
    </w:p>
    <w:p w14:paraId="0C44D8FC" w14:textId="77777777" w:rsidR="00FB0990" w:rsidRPr="00970505"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rPr>
        <w:t xml:space="preserve">Fastställs utifrån tillverkarens åtagande att under ett antal år med början vid utsläppandet av den sista enheten på marknaden tillhandahålla de delar som anges i lista 2 till </w:t>
      </w:r>
      <w:r>
        <w:rPr>
          <w:rFonts w:ascii="Times New Roman" w:hAnsi="Times New Roman"/>
          <w:sz w:val="24"/>
        </w:rPr>
        <w:lastRenderedPageBreak/>
        <w:t>distributörer av reservdelar, godkända och oberoende reparatörer samt till konsumenterna.</w:t>
      </w:r>
    </w:p>
    <w:p w14:paraId="4844FE02" w14:textId="77777777" w:rsidR="00FB0990" w:rsidRPr="00970505" w:rsidRDefault="004C4E44" w:rsidP="00A74E8F">
      <w:pPr>
        <w:keepNext/>
        <w:spacing w:after="0" w:line="240" w:lineRule="auto"/>
        <w:ind w:left="446"/>
        <w:rPr>
          <w:rFonts w:ascii="Times New Roman" w:eastAsia="Times New Roman" w:hAnsi="Times New Roman" w:cs="Times New Roman"/>
          <w:sz w:val="24"/>
          <w:szCs w:val="24"/>
        </w:rPr>
      </w:pPr>
      <w:r>
        <w:rPr>
          <w:rFonts w:ascii="Times New Roman" w:hAnsi="Times New Roman"/>
          <w:sz w:val="24"/>
        </w:rPr>
        <w:t>Underkriterium 3.2 – Tillgänglighetstid för de delar som anges i lista 1:</w:t>
      </w:r>
    </w:p>
    <w:p w14:paraId="19D170FD" w14:textId="77777777" w:rsidR="00FB0990" w:rsidRPr="00970505"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rPr>
        <w:t>Fastställs utifrån tillverkarens åtagande att under ett antal år med början vid utsläppandet av den sista enheten på marknaden tillhandahålla de delar som anges i lista 1 till distributörer av reservdelar, godkända och oberoende reparatörer samt till konsumenterna.</w:t>
      </w:r>
    </w:p>
    <w:p w14:paraId="12E860B8" w14:textId="77777777" w:rsidR="00FB0990" w:rsidRPr="00970505" w:rsidRDefault="004C4E44" w:rsidP="00A74E8F">
      <w:pPr>
        <w:keepNext/>
        <w:spacing w:after="0" w:line="240" w:lineRule="auto"/>
        <w:ind w:left="446"/>
        <w:rPr>
          <w:rFonts w:ascii="Times New Roman" w:eastAsia="Times New Roman" w:hAnsi="Times New Roman" w:cs="Times New Roman"/>
          <w:sz w:val="24"/>
          <w:szCs w:val="24"/>
        </w:rPr>
      </w:pPr>
      <w:r>
        <w:rPr>
          <w:rFonts w:ascii="Times New Roman" w:hAnsi="Times New Roman"/>
          <w:sz w:val="24"/>
        </w:rPr>
        <w:t>Underkriterium 3.3 – Leveranstid för de delar som anges i lista 2:</w:t>
      </w:r>
    </w:p>
    <w:p w14:paraId="77D33F44" w14:textId="17B77353" w:rsidR="00FB0990" w:rsidRPr="00970505"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rPr>
        <w:t>Fastställs utifrån tillverkarens åtagande att inom e</w:t>
      </w:r>
      <w:r w:rsidR="00AB05FC">
        <w:rPr>
          <w:rFonts w:ascii="Times New Roman" w:hAnsi="Times New Roman"/>
          <w:sz w:val="24"/>
        </w:rPr>
        <w:t>tt</w:t>
      </w:r>
      <w:r>
        <w:rPr>
          <w:rFonts w:ascii="Times New Roman" w:hAnsi="Times New Roman"/>
          <w:sz w:val="24"/>
        </w:rPr>
        <w:t xml:space="preserve"> viss</w:t>
      </w:r>
      <w:r w:rsidR="00AB05FC">
        <w:rPr>
          <w:rFonts w:ascii="Times New Roman" w:hAnsi="Times New Roman"/>
          <w:sz w:val="24"/>
        </w:rPr>
        <w:t>t</w:t>
      </w:r>
      <w:r>
        <w:rPr>
          <w:rFonts w:ascii="Times New Roman" w:hAnsi="Times New Roman"/>
          <w:sz w:val="24"/>
        </w:rPr>
        <w:t xml:space="preserve"> tidsintervall, uttryckt i ett antal arbetsdagar med början den dag då beställningen gjorts, leverera de delar som anges i lista 2 till distributörer av reservdelar, godkända och oberoende reparatörer samt till konsumenterna.</w:t>
      </w:r>
    </w:p>
    <w:p w14:paraId="7E2F1E64" w14:textId="77777777" w:rsidR="00FB0990" w:rsidRPr="00970505" w:rsidRDefault="004C4E44" w:rsidP="00A74E8F">
      <w:pPr>
        <w:keepNext/>
        <w:spacing w:after="0" w:line="240" w:lineRule="auto"/>
        <w:ind w:left="446"/>
        <w:rPr>
          <w:rFonts w:ascii="Times New Roman" w:eastAsia="Times New Roman" w:hAnsi="Times New Roman" w:cs="Times New Roman"/>
          <w:sz w:val="24"/>
          <w:szCs w:val="24"/>
        </w:rPr>
      </w:pPr>
      <w:r>
        <w:rPr>
          <w:rFonts w:ascii="Times New Roman" w:hAnsi="Times New Roman"/>
          <w:sz w:val="24"/>
        </w:rPr>
        <w:t>Underkriterium 3.4 – Leveranstid för de delar som anges i lista 1:</w:t>
      </w:r>
    </w:p>
    <w:p w14:paraId="70ADEAEB" w14:textId="260D135D" w:rsidR="00FB0990" w:rsidRPr="00970505"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rPr>
        <w:t>Fastställs utifrån tillverkarens åtagande att inom e</w:t>
      </w:r>
      <w:r w:rsidR="00AB05FC">
        <w:rPr>
          <w:rFonts w:ascii="Times New Roman" w:hAnsi="Times New Roman"/>
          <w:sz w:val="24"/>
        </w:rPr>
        <w:t>tt</w:t>
      </w:r>
      <w:r>
        <w:rPr>
          <w:rFonts w:ascii="Times New Roman" w:hAnsi="Times New Roman"/>
          <w:sz w:val="24"/>
        </w:rPr>
        <w:t xml:space="preserve"> viss</w:t>
      </w:r>
      <w:r w:rsidR="00AB05FC">
        <w:rPr>
          <w:rFonts w:ascii="Times New Roman" w:hAnsi="Times New Roman"/>
          <w:sz w:val="24"/>
        </w:rPr>
        <w:t>t</w:t>
      </w:r>
      <w:r>
        <w:rPr>
          <w:rFonts w:ascii="Times New Roman" w:hAnsi="Times New Roman"/>
          <w:sz w:val="24"/>
        </w:rPr>
        <w:t xml:space="preserve"> tidsintervall, uttryckt i ett antal arbetsdagar med början den dag då beställningen gjorts, leverera de delar som anges i lista 1 till distributörer av reservdelar, godkända och oberoende reparatörer samt till konsumenterna.</w:t>
      </w:r>
    </w:p>
    <w:p w14:paraId="5B1A3EAB" w14:textId="77777777" w:rsidR="00FB0990" w:rsidRPr="00970505" w:rsidRDefault="004C4E44" w:rsidP="00A74E8F">
      <w:pPr>
        <w:keepNext/>
        <w:spacing w:after="0" w:line="240" w:lineRule="auto"/>
        <w:ind w:left="446"/>
        <w:rPr>
          <w:rFonts w:ascii="Times New Roman" w:eastAsia="Times New Roman" w:hAnsi="Times New Roman" w:cs="Times New Roman"/>
          <w:sz w:val="24"/>
          <w:szCs w:val="24"/>
        </w:rPr>
      </w:pPr>
      <w:r>
        <w:rPr>
          <w:rFonts w:ascii="Times New Roman" w:hAnsi="Times New Roman"/>
          <w:sz w:val="24"/>
        </w:rPr>
        <w:t>Kriterium nr 4 – Priset på reservdelar:</w:t>
      </w:r>
    </w:p>
    <w:p w14:paraId="18E3055C" w14:textId="77777777" w:rsidR="00FB0990" w:rsidRPr="00970505" w:rsidRDefault="004C4E44" w:rsidP="00A74E8F">
      <w:pPr>
        <w:keepNext/>
        <w:spacing w:after="0" w:line="240" w:lineRule="auto"/>
        <w:ind w:left="446"/>
        <w:rPr>
          <w:rFonts w:ascii="Times New Roman" w:eastAsia="Times New Roman" w:hAnsi="Times New Roman" w:cs="Times New Roman"/>
          <w:sz w:val="24"/>
          <w:szCs w:val="24"/>
        </w:rPr>
      </w:pPr>
      <w:r>
        <w:rPr>
          <w:rFonts w:ascii="Times New Roman" w:hAnsi="Times New Roman"/>
          <w:sz w:val="24"/>
        </w:rPr>
        <w:t xml:space="preserve">Underkriterium 4.1 – Förhållandet mellan det försäljningspris som tillverkaren eller importören tar ut för reservdelarna och det försäljningspris som de tar ut för utrustningen: </w:t>
      </w:r>
    </w:p>
    <w:p w14:paraId="585148BA" w14:textId="77777777" w:rsidR="00FB0990" w:rsidRPr="00970505" w:rsidRDefault="004C4E44" w:rsidP="00A74E8F">
      <w:pPr>
        <w:keepNext/>
        <w:spacing w:after="0" w:line="240" w:lineRule="auto"/>
        <w:ind w:left="446"/>
        <w:rPr>
          <w:rFonts w:ascii="Times New Roman" w:eastAsia="Times New Roman" w:hAnsi="Times New Roman" w:cs="Times New Roman"/>
          <w:sz w:val="24"/>
          <w:szCs w:val="24"/>
        </w:rPr>
      </w:pPr>
      <w:r>
        <w:rPr>
          <w:rFonts w:ascii="Times New Roman" w:hAnsi="Times New Roman"/>
          <w:sz w:val="24"/>
        </w:rPr>
        <w:t>Kriteriet fastställs genom att jämföra</w:t>
      </w:r>
    </w:p>
    <w:p w14:paraId="415FEB26" w14:textId="77777777" w:rsidR="00FB0990" w:rsidRPr="00970505" w:rsidRDefault="00FB0990" w:rsidP="00ED3F8B">
      <w:pPr>
        <w:spacing w:after="0" w:line="240" w:lineRule="auto"/>
        <w:ind w:left="446"/>
        <w:rPr>
          <w:rFonts w:ascii="Times New Roman" w:eastAsia="Times New Roman" w:hAnsi="Times New Roman" w:cs="Times New Roman"/>
          <w:sz w:val="24"/>
          <w:szCs w:val="24"/>
        </w:rPr>
      </w:pPr>
    </w:p>
    <w:p w14:paraId="17CCFA02" w14:textId="77777777" w:rsidR="00FB0990" w:rsidRPr="00970505"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rPr>
        <w:t>priset före skatt på den dyraste delen i lista 2 + (genomsnittspriset före skatt på de andra delarna i lista 2)/2</w:t>
      </w:r>
    </w:p>
    <w:p w14:paraId="2D9FD31A" w14:textId="77777777" w:rsidR="00FB0990" w:rsidRPr="00970505"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rPr>
        <w:t>med</w:t>
      </w:r>
    </w:p>
    <w:p w14:paraId="67726502" w14:textId="77777777" w:rsidR="00FB0990" w:rsidRPr="00970505"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rPr>
        <w:t>priset före skatt för utrustningsmodellen i fråga</w:t>
      </w:r>
    </w:p>
    <w:p w14:paraId="2A99F264" w14:textId="77777777" w:rsidR="00FB0990" w:rsidRPr="00970505"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rPr>
        <w:t>där vart och ett av priserna avser priset före skatt enligt den prislista som gäller vid tidpunkten för beräkning av indexet och som anges i tillverkarens eller importörens allmänna försäljningsvillkor eller, i avsaknad av dessa, i någon annan relevant avtalshandling.</w:t>
      </w:r>
    </w:p>
    <w:p w14:paraId="6EF4B90C" w14:textId="77777777" w:rsidR="00FB0990" w:rsidRPr="00970505"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rPr>
        <w:t>Om en tillverkare eller importör av delarna eller utrustningen i fråga har flera prislistor utifrån de olika kategorierna av kunder, distributörer eller försäljare, ska de priser som används för beräkning av indexet vara de som anges i den prislista som representerar den största delen av tillverkarens eller importörens omsättning under föregående räkenskapsår för den berörda delen eller utrustningen. Vad gäller utrustning och delar som nyligen släppts ut på marknaden, ska, om det finns flera prislistor, priset vara det lägst angivna.</w:t>
      </w:r>
    </w:p>
    <w:p w14:paraId="3D6BEF94" w14:textId="77777777" w:rsidR="00FB0990" w:rsidRPr="00970505"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rPr>
        <w:t>Ifall vissa av delarna inte är separerbara eller ifall den berörda delen är integrerad i en modul som är tillgänglig ska det pris som ska tas i beaktande vara delarnas kumulerade pris eller modulens pris.</w:t>
      </w:r>
    </w:p>
    <w:p w14:paraId="70D2E218" w14:textId="77777777" w:rsidR="00FB0990" w:rsidRPr="00970505" w:rsidRDefault="004C4E44" w:rsidP="00A74E8F">
      <w:pPr>
        <w:keepNext/>
        <w:spacing w:after="0" w:line="240" w:lineRule="auto"/>
        <w:ind w:left="446"/>
        <w:rPr>
          <w:rFonts w:ascii="Times New Roman" w:eastAsia="Times New Roman" w:hAnsi="Times New Roman" w:cs="Times New Roman"/>
          <w:sz w:val="24"/>
          <w:szCs w:val="24"/>
        </w:rPr>
      </w:pPr>
      <w:r>
        <w:rPr>
          <w:rFonts w:ascii="Times New Roman" w:hAnsi="Times New Roman"/>
          <w:sz w:val="24"/>
        </w:rPr>
        <w:t>Kriterium nr 5 – Specifikt kriterium för den berörda utrustningskategorin:</w:t>
      </w:r>
    </w:p>
    <w:p w14:paraId="6538B10C" w14:textId="77777777" w:rsidR="004C4E44"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rPr>
        <w:t>Detta kriterium består av ett eller flera underkriterier som är specifika för den berörda utrustningskategorin. När det är relevant för den berörda utrustningskategorin ska det kategorispecifika kriteriet 5 omfatta ett underkriterium som avser förekomsten av ett användningsräkneverk som är synligt för konsumenten och vars koefficient ska vara minst 1.</w:t>
      </w:r>
    </w:p>
    <w:p w14:paraId="4AECFCCA" w14:textId="77777777" w:rsidR="00ED3F8B" w:rsidRPr="00970505" w:rsidRDefault="00ED3F8B" w:rsidP="00ED3F8B">
      <w:pPr>
        <w:spacing w:after="0" w:line="240" w:lineRule="auto"/>
        <w:ind w:left="446"/>
        <w:rPr>
          <w:rFonts w:ascii="Times New Roman" w:eastAsia="Times New Roman" w:hAnsi="Times New Roman" w:cs="Times New Roman"/>
          <w:sz w:val="24"/>
          <w:szCs w:val="24"/>
          <w:lang w:eastAsia="fr-FR"/>
        </w:rPr>
      </w:pPr>
    </w:p>
    <w:p w14:paraId="00AAACA6" w14:textId="77777777" w:rsidR="004C4E44" w:rsidRDefault="004C4E44" w:rsidP="00A74E8F">
      <w:pPr>
        <w:keepNext/>
        <w:spacing w:after="0" w:line="240" w:lineRule="auto"/>
        <w:ind w:left="446"/>
        <w:outlineLvl w:val="3"/>
        <w:rPr>
          <w:rFonts w:ascii="Times New Roman" w:eastAsia="Times New Roman" w:hAnsi="Times New Roman" w:cs="Times New Roman"/>
          <w:b/>
          <w:bCs/>
          <w:sz w:val="24"/>
          <w:szCs w:val="24"/>
        </w:rPr>
      </w:pPr>
      <w:r>
        <w:rPr>
          <w:rFonts w:ascii="Times New Roman" w:hAnsi="Times New Roman"/>
          <w:b/>
          <w:sz w:val="24"/>
        </w:rPr>
        <w:lastRenderedPageBreak/>
        <w:t>Artikel 6</w:t>
      </w:r>
    </w:p>
    <w:p w14:paraId="2EAE18EC" w14:textId="77777777" w:rsidR="00234310" w:rsidRDefault="00234310" w:rsidP="00A74E8F">
      <w:pPr>
        <w:keepNext/>
        <w:spacing w:after="0" w:line="240" w:lineRule="auto"/>
        <w:ind w:left="446"/>
        <w:outlineLvl w:val="3"/>
        <w:rPr>
          <w:rFonts w:ascii="Times New Roman" w:eastAsia="Times New Roman" w:hAnsi="Times New Roman" w:cs="Times New Roman"/>
          <w:b/>
          <w:bCs/>
          <w:sz w:val="24"/>
          <w:szCs w:val="24"/>
          <w:lang w:eastAsia="fr-FR"/>
        </w:rPr>
      </w:pPr>
    </w:p>
    <w:p w14:paraId="67FEED8D" w14:textId="77777777" w:rsidR="00ED3F8B" w:rsidRPr="00970505" w:rsidRDefault="00ED3F8B" w:rsidP="00A74E8F">
      <w:pPr>
        <w:keepNext/>
        <w:spacing w:after="0" w:line="240" w:lineRule="auto"/>
        <w:ind w:left="446"/>
        <w:outlineLvl w:val="3"/>
        <w:rPr>
          <w:rFonts w:ascii="Times New Roman" w:eastAsia="Times New Roman" w:hAnsi="Times New Roman" w:cs="Times New Roman"/>
          <w:b/>
          <w:bCs/>
          <w:sz w:val="24"/>
          <w:szCs w:val="24"/>
          <w:lang w:eastAsia="fr-FR"/>
        </w:rPr>
      </w:pPr>
    </w:p>
    <w:p w14:paraId="39EC1B11" w14:textId="77777777" w:rsidR="00FB0990" w:rsidRPr="00970505" w:rsidRDefault="004C4E44" w:rsidP="00A74E8F">
      <w:pPr>
        <w:keepNext/>
        <w:spacing w:after="0" w:line="240" w:lineRule="auto"/>
        <w:ind w:left="446"/>
        <w:rPr>
          <w:rFonts w:ascii="Times New Roman" w:eastAsia="Times New Roman" w:hAnsi="Times New Roman" w:cs="Times New Roman"/>
          <w:sz w:val="24"/>
          <w:szCs w:val="24"/>
        </w:rPr>
      </w:pPr>
      <w:r>
        <w:rPr>
          <w:rFonts w:ascii="Times New Roman" w:hAnsi="Times New Roman"/>
          <w:sz w:val="24"/>
        </w:rPr>
        <w:t>I. – Lista över delar</w:t>
      </w:r>
    </w:p>
    <w:p w14:paraId="31D73F6E" w14:textId="77777777" w:rsidR="004C4E44" w:rsidRPr="00970505" w:rsidRDefault="004C4E44" w:rsidP="00A74E8F">
      <w:pPr>
        <w:keepNext/>
        <w:spacing w:after="0" w:line="240" w:lineRule="auto"/>
        <w:ind w:left="450"/>
        <w:rPr>
          <w:rFonts w:ascii="Times New Roman" w:eastAsia="Times New Roman" w:hAnsi="Times New Roman" w:cs="Times New Roman"/>
          <w:sz w:val="24"/>
          <w:szCs w:val="24"/>
        </w:rPr>
      </w:pPr>
      <w:r>
        <w:rPr>
          <w:rFonts w:ascii="Times New Roman" w:hAnsi="Times New Roman"/>
          <w:sz w:val="24"/>
        </w:rPr>
        <w:t>För varje utrustningskategori definieras två listor över delar:</w:t>
      </w:r>
    </w:p>
    <w:p w14:paraId="29A93A26" w14:textId="77777777" w:rsidR="00FB0990" w:rsidRDefault="00FB0990" w:rsidP="00A74E8F">
      <w:pPr>
        <w:keepNext/>
        <w:spacing w:after="0" w:line="240" w:lineRule="auto"/>
        <w:ind w:left="450"/>
        <w:rPr>
          <w:rFonts w:ascii="Times New Roman" w:eastAsia="Times New Roman" w:hAnsi="Times New Roman" w:cs="Times New Roman"/>
          <w:sz w:val="24"/>
          <w:szCs w:val="24"/>
          <w:lang w:eastAsia="fr-FR"/>
        </w:rPr>
      </w:pPr>
    </w:p>
    <w:p w14:paraId="5C289FD1" w14:textId="77777777" w:rsidR="00ED3F8B" w:rsidRPr="00970505" w:rsidRDefault="00ED3F8B" w:rsidP="00A74E8F">
      <w:pPr>
        <w:keepNext/>
        <w:spacing w:after="0" w:line="240" w:lineRule="auto"/>
        <w:ind w:left="450"/>
        <w:rPr>
          <w:rFonts w:ascii="Times New Roman" w:eastAsia="Times New Roman" w:hAnsi="Times New Roman" w:cs="Times New Roman"/>
          <w:sz w:val="24"/>
          <w:szCs w:val="24"/>
          <w:lang w:eastAsia="fr-FR"/>
        </w:rPr>
      </w:pPr>
    </w:p>
    <w:p w14:paraId="1D87F0DD" w14:textId="77777777" w:rsidR="00FB0990"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rPr>
        <w:t>– Lista 2: lista med högst tre till fem reservdelar (utifrån den utrustningskategori som berörs) för de delar som oftast går sönder eller inte fungerar.</w:t>
      </w:r>
    </w:p>
    <w:p w14:paraId="03302342" w14:textId="77777777" w:rsidR="004C4E44"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rPr>
        <w:t>– Lista 1: lista med högst tio andra reservdelar (utifrån den utrustningskategori som berörs) som måste vara i gott skick för att utrustningen ska fungera.</w:t>
      </w:r>
    </w:p>
    <w:p w14:paraId="68C54DB3" w14:textId="77777777" w:rsidR="00FB0990"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rPr>
        <w:t>Dessa listor omfattar inte nödvändigtvis alla de delar som utrustningen består av.</w:t>
      </w:r>
    </w:p>
    <w:p w14:paraId="7442CB1B" w14:textId="77777777" w:rsidR="00FB0990" w:rsidRPr="00970505" w:rsidRDefault="004C4E44" w:rsidP="00A74E8F">
      <w:pPr>
        <w:keepNext/>
        <w:spacing w:after="0" w:line="240" w:lineRule="auto"/>
        <w:ind w:left="450"/>
        <w:rPr>
          <w:rFonts w:ascii="Times New Roman" w:eastAsia="Times New Roman" w:hAnsi="Times New Roman" w:cs="Times New Roman"/>
          <w:sz w:val="24"/>
          <w:szCs w:val="24"/>
        </w:rPr>
      </w:pPr>
      <w:r>
        <w:rPr>
          <w:rFonts w:ascii="Times New Roman" w:hAnsi="Times New Roman"/>
          <w:sz w:val="24"/>
        </w:rPr>
        <w:t>II. – Begreppet moment</w:t>
      </w:r>
    </w:p>
    <w:p w14:paraId="4176BE0C" w14:textId="77777777" w:rsidR="00FB0990"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rPr>
        <w:t>Ett moment består av en operation som avslutas med att en komponent eller del av produkten avlägsnas och/eller att ett verktyg byts ut. En komponent kan bestå av en eller flera delar.</w:t>
      </w:r>
    </w:p>
    <w:p w14:paraId="0365BA4A" w14:textId="77777777" w:rsidR="00FB0990"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rPr>
        <w:t>Undantag från denna allmänna definition är tillåtna om de motiveras genom praktiska eller säkerhetsrelaterade överväganden. Dessa undantag ska för varje utrustningskategori preciseras genom förordning från miljöministern och ekonomi- och finansministern.</w:t>
      </w:r>
    </w:p>
    <w:p w14:paraId="70A859E2" w14:textId="77777777" w:rsidR="00FB0990"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rPr>
        <w:t>Fästanordningar eller kopplingar definieras som fognings-, fastsättnings- eller tätningstekniker. Fastsättnings- eller kopplingselement anses inte vara delar.</w:t>
      </w:r>
    </w:p>
    <w:p w14:paraId="058D2B5E" w14:textId="77777777" w:rsidR="00FB0990" w:rsidRPr="00970505" w:rsidRDefault="004C4E44" w:rsidP="00A74E8F">
      <w:pPr>
        <w:keepNext/>
        <w:spacing w:after="0" w:line="240" w:lineRule="auto"/>
        <w:ind w:left="450"/>
        <w:rPr>
          <w:rFonts w:ascii="Times New Roman" w:eastAsia="Times New Roman" w:hAnsi="Times New Roman" w:cs="Times New Roman"/>
          <w:sz w:val="24"/>
          <w:szCs w:val="24"/>
        </w:rPr>
      </w:pPr>
      <w:r>
        <w:rPr>
          <w:rFonts w:ascii="Times New Roman" w:hAnsi="Times New Roman"/>
          <w:sz w:val="24"/>
        </w:rPr>
        <w:t>III. – Typer av fästanordningar</w:t>
      </w:r>
    </w:p>
    <w:p w14:paraId="13C556CB" w14:textId="77777777" w:rsidR="00FB0990"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i/>
          <w:iCs/>
          <w:sz w:val="24"/>
        </w:rPr>
        <w:t>Avtagbara och återanvändbara</w:t>
      </w:r>
      <w:r>
        <w:rPr>
          <w:rFonts w:ascii="Times New Roman" w:hAnsi="Times New Roman"/>
          <w:sz w:val="24"/>
        </w:rPr>
        <w:t>: ursprungligt fästanordningssystem som kan helt avlägsnas utan att skada utrustningen eller lämna rester, och som kan återanvändas.</w:t>
      </w:r>
    </w:p>
    <w:p w14:paraId="149F7294" w14:textId="77777777" w:rsidR="00FB0990"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i/>
          <w:iCs/>
          <w:sz w:val="24"/>
        </w:rPr>
        <w:t>Avtagbara och icke återanvändbara</w:t>
      </w:r>
      <w:r>
        <w:rPr>
          <w:rFonts w:ascii="Times New Roman" w:hAnsi="Times New Roman"/>
          <w:sz w:val="24"/>
        </w:rPr>
        <w:t>: ursprungligt fästanordningssystem som kan helt avlägsnas utan att skada utrustningen eller lämna rester, men som inte kan återanvändas.</w:t>
      </w:r>
    </w:p>
    <w:p w14:paraId="43FB6085" w14:textId="77777777" w:rsidR="00FB0990"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i/>
          <w:iCs/>
          <w:sz w:val="24"/>
        </w:rPr>
        <w:t>Varken avtagbara eller återanvändbara</w:t>
      </w:r>
      <w:r>
        <w:rPr>
          <w:rFonts w:ascii="Times New Roman" w:hAnsi="Times New Roman"/>
          <w:sz w:val="24"/>
        </w:rPr>
        <w:t>: ursprungligt fästanordningssystem som inte helt kan avlägsnas utan att skada utrustningen eller lämna rester, och som inte kan återanvändas.</w:t>
      </w:r>
    </w:p>
    <w:p w14:paraId="1DB2B678" w14:textId="77777777" w:rsidR="00FB0990" w:rsidRPr="00970505" w:rsidRDefault="004C4E44" w:rsidP="00A74E8F">
      <w:pPr>
        <w:keepNext/>
        <w:spacing w:after="0" w:line="240" w:lineRule="auto"/>
        <w:ind w:left="450"/>
        <w:rPr>
          <w:rFonts w:ascii="Times New Roman" w:eastAsia="Times New Roman" w:hAnsi="Times New Roman" w:cs="Times New Roman"/>
          <w:sz w:val="24"/>
          <w:szCs w:val="24"/>
        </w:rPr>
      </w:pPr>
      <w:r>
        <w:rPr>
          <w:rFonts w:ascii="Times New Roman" w:hAnsi="Times New Roman"/>
          <w:sz w:val="24"/>
        </w:rPr>
        <w:t>IV. – Typer av verktyg</w:t>
      </w:r>
    </w:p>
    <w:p w14:paraId="6C0EDF80" w14:textId="77777777" w:rsidR="004C4E44" w:rsidRPr="00970505" w:rsidRDefault="004C4E44" w:rsidP="00A74E8F">
      <w:pPr>
        <w:keepNext/>
        <w:spacing w:after="0" w:line="240" w:lineRule="auto"/>
        <w:ind w:left="450"/>
        <w:rPr>
          <w:rFonts w:ascii="Times New Roman" w:eastAsia="Times New Roman" w:hAnsi="Times New Roman" w:cs="Times New Roman"/>
          <w:sz w:val="24"/>
          <w:szCs w:val="24"/>
        </w:rPr>
      </w:pPr>
      <w:r>
        <w:rPr>
          <w:rFonts w:ascii="Times New Roman" w:hAnsi="Times New Roman"/>
          <w:sz w:val="24"/>
        </w:rPr>
        <w:t>Listan över vanliga verktyg utgörs av den lista som anges nedan tillsammans med referensstandarderna:</w:t>
      </w:r>
    </w:p>
    <w:p w14:paraId="11A11D66" w14:textId="77777777" w:rsidR="004C4E44" w:rsidRDefault="004C4E44" w:rsidP="00A74E8F">
      <w:pPr>
        <w:keepNext/>
        <w:spacing w:after="0" w:line="240" w:lineRule="auto"/>
        <w:rPr>
          <w:rFonts w:ascii="Times New Roman" w:eastAsia="Times New Roman" w:hAnsi="Times New Roman" w:cs="Times New Roman"/>
          <w:sz w:val="24"/>
          <w:szCs w:val="24"/>
          <w:lang w:eastAsia="fr-FR"/>
        </w:rPr>
      </w:pPr>
    </w:p>
    <w:p w14:paraId="6CF19B1B" w14:textId="77777777" w:rsidR="00ED3F8B" w:rsidRPr="00970505" w:rsidRDefault="00ED3F8B" w:rsidP="00A74E8F">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123"/>
        <w:gridCol w:w="2933"/>
      </w:tblGrid>
      <w:tr w:rsidR="004C4E44" w:rsidRPr="00970505" w14:paraId="5B18595F" w14:textId="77777777"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BD85ED6" w14:textId="77777777" w:rsidR="00FB0990" w:rsidRPr="00970505" w:rsidRDefault="00FB0990" w:rsidP="00A74E8F">
            <w:pPr>
              <w:keepNext/>
              <w:spacing w:after="0" w:line="240" w:lineRule="auto"/>
              <w:jc w:val="center"/>
              <w:rPr>
                <w:rFonts w:ascii="Times New Roman" w:eastAsia="Times New Roman" w:hAnsi="Times New Roman" w:cs="Times New Roman"/>
                <w:b/>
                <w:bCs/>
                <w:sz w:val="24"/>
                <w:szCs w:val="24"/>
                <w:lang w:eastAsia="fr-FR"/>
              </w:rPr>
            </w:pPr>
          </w:p>
          <w:p w14:paraId="06BAED52" w14:textId="77777777" w:rsidR="004C4E44" w:rsidRPr="00970505" w:rsidRDefault="004C4E44" w:rsidP="00A74E8F">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Vanliga verktyg</w:t>
            </w:r>
          </w:p>
        </w:tc>
        <w:tc>
          <w:tcPr>
            <w:tcW w:w="0" w:type="auto"/>
            <w:tcBorders>
              <w:top w:val="outset" w:sz="6" w:space="0" w:color="auto"/>
              <w:left w:val="outset" w:sz="6" w:space="0" w:color="auto"/>
              <w:bottom w:val="outset" w:sz="6" w:space="0" w:color="auto"/>
              <w:right w:val="outset" w:sz="6" w:space="0" w:color="auto"/>
            </w:tcBorders>
            <w:vAlign w:val="center"/>
            <w:hideMark/>
          </w:tcPr>
          <w:p w14:paraId="4C2F1165" w14:textId="77777777" w:rsidR="00FB0990" w:rsidRPr="00970505" w:rsidRDefault="00FB0990" w:rsidP="00A74E8F">
            <w:pPr>
              <w:keepNext/>
              <w:spacing w:after="0" w:line="240" w:lineRule="auto"/>
              <w:jc w:val="center"/>
              <w:rPr>
                <w:rFonts w:ascii="Times New Roman" w:eastAsia="Times New Roman" w:hAnsi="Times New Roman" w:cs="Times New Roman"/>
                <w:b/>
                <w:bCs/>
                <w:sz w:val="24"/>
                <w:szCs w:val="24"/>
                <w:lang w:eastAsia="fr-FR"/>
              </w:rPr>
            </w:pPr>
          </w:p>
          <w:p w14:paraId="44BB28C8" w14:textId="77777777" w:rsidR="004C4E44" w:rsidRPr="00970505" w:rsidRDefault="004C4E44" w:rsidP="00A74E8F">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Referens</w:t>
            </w:r>
          </w:p>
        </w:tc>
      </w:tr>
      <w:tr w:rsidR="004C4E44" w:rsidRPr="00970505" w14:paraId="18B114FC" w14:textId="77777777"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0296DBF"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6064293A"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Spårskruvmejslar, krysskruvmejslar och sextandhålsgrepp för skruvar.</w:t>
            </w:r>
          </w:p>
        </w:tc>
        <w:tc>
          <w:tcPr>
            <w:tcW w:w="0" w:type="auto"/>
            <w:tcBorders>
              <w:top w:val="outset" w:sz="6" w:space="0" w:color="auto"/>
              <w:left w:val="outset" w:sz="6" w:space="0" w:color="auto"/>
              <w:bottom w:val="outset" w:sz="6" w:space="0" w:color="auto"/>
              <w:right w:val="outset" w:sz="6" w:space="0" w:color="auto"/>
            </w:tcBorders>
            <w:vAlign w:val="center"/>
            <w:hideMark/>
          </w:tcPr>
          <w:p w14:paraId="7D8E8509"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5F92AAD8"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ISO 2380, ISO 8764, ISO 10664</w:t>
            </w:r>
          </w:p>
        </w:tc>
      </w:tr>
      <w:tr w:rsidR="004C4E44" w:rsidRPr="00970505" w14:paraId="0FECBED6" w14:textId="77777777"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C7ECC54"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0771A8FB" w14:textId="77777777" w:rsidR="004C4E44" w:rsidRPr="00970505" w:rsidRDefault="004C4E44" w:rsidP="00ED3F8B">
            <w:pPr>
              <w:spacing w:after="0" w:line="240" w:lineRule="auto"/>
              <w:rPr>
                <w:rFonts w:ascii="Times New Roman" w:eastAsia="Times New Roman" w:hAnsi="Times New Roman" w:cs="Times New Roman"/>
                <w:sz w:val="24"/>
                <w:szCs w:val="24"/>
              </w:rPr>
            </w:pPr>
            <w:proofErr w:type="spellStart"/>
            <w:r>
              <w:rPr>
                <w:rFonts w:ascii="Times New Roman" w:hAnsi="Times New Roman"/>
                <w:sz w:val="24"/>
              </w:rPr>
              <w:t>Sexkantsnycklar</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E6C5F54"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0E91F18F"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ISO 2936</w:t>
            </w:r>
          </w:p>
        </w:tc>
      </w:tr>
      <w:tr w:rsidR="004C4E44" w:rsidRPr="00970505" w14:paraId="1622B86E" w14:textId="77777777"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861E0F3"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2DFF8F83"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Kombinerade skiftnycklar</w:t>
            </w:r>
          </w:p>
        </w:tc>
        <w:tc>
          <w:tcPr>
            <w:tcW w:w="0" w:type="auto"/>
            <w:tcBorders>
              <w:top w:val="outset" w:sz="6" w:space="0" w:color="auto"/>
              <w:left w:val="outset" w:sz="6" w:space="0" w:color="auto"/>
              <w:bottom w:val="outset" w:sz="6" w:space="0" w:color="auto"/>
              <w:right w:val="outset" w:sz="6" w:space="0" w:color="auto"/>
            </w:tcBorders>
            <w:vAlign w:val="center"/>
            <w:hideMark/>
          </w:tcPr>
          <w:p w14:paraId="40316823"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4274CE7F"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ISO 7738</w:t>
            </w:r>
          </w:p>
        </w:tc>
      </w:tr>
      <w:tr w:rsidR="004C4E44" w:rsidRPr="00970505" w14:paraId="12ED70E4" w14:textId="77777777"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D0A02B7"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14170D83"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Kombinationstång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36E04B3"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3EB72404"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ISO 5746</w:t>
            </w:r>
          </w:p>
        </w:tc>
      </w:tr>
      <w:tr w:rsidR="004C4E44" w:rsidRPr="00970505" w14:paraId="4327246A" w14:textId="77777777"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10A096"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2AED7874"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 xml:space="preserve">Halvrund </w:t>
            </w:r>
            <w:proofErr w:type="spellStart"/>
            <w:r>
              <w:rPr>
                <w:rFonts w:ascii="Times New Roman" w:hAnsi="Times New Roman"/>
                <w:sz w:val="24"/>
              </w:rPr>
              <w:t>nästång</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332CB6F"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7EB36498"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ISO 5745</w:t>
            </w:r>
          </w:p>
        </w:tc>
      </w:tr>
      <w:tr w:rsidR="004C4E44" w:rsidRPr="00970505" w14:paraId="46ABDC21" w14:textId="77777777"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FACC076"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3160536C"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t>Diagonal avbitare</w:t>
            </w:r>
          </w:p>
        </w:tc>
        <w:tc>
          <w:tcPr>
            <w:tcW w:w="0" w:type="auto"/>
            <w:tcBorders>
              <w:top w:val="outset" w:sz="6" w:space="0" w:color="auto"/>
              <w:left w:val="outset" w:sz="6" w:space="0" w:color="auto"/>
              <w:bottom w:val="outset" w:sz="6" w:space="0" w:color="auto"/>
              <w:right w:val="outset" w:sz="6" w:space="0" w:color="auto"/>
            </w:tcBorders>
            <w:vAlign w:val="center"/>
            <w:hideMark/>
          </w:tcPr>
          <w:p w14:paraId="576D26EE"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117B6A5B"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t>ISO 5749</w:t>
            </w:r>
          </w:p>
        </w:tc>
      </w:tr>
      <w:tr w:rsidR="004C4E44" w:rsidRPr="00970505" w14:paraId="06C2936D" w14:textId="77777777"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28CB3C"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1A099032"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Glidledstång</w:t>
            </w:r>
          </w:p>
        </w:tc>
        <w:tc>
          <w:tcPr>
            <w:tcW w:w="0" w:type="auto"/>
            <w:tcBorders>
              <w:top w:val="outset" w:sz="6" w:space="0" w:color="auto"/>
              <w:left w:val="outset" w:sz="6" w:space="0" w:color="auto"/>
              <w:bottom w:val="outset" w:sz="6" w:space="0" w:color="auto"/>
              <w:right w:val="outset" w:sz="6" w:space="0" w:color="auto"/>
            </w:tcBorders>
            <w:vAlign w:val="center"/>
            <w:hideMark/>
          </w:tcPr>
          <w:p w14:paraId="7BED8801"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62879741"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ISO 8976</w:t>
            </w:r>
          </w:p>
        </w:tc>
      </w:tr>
      <w:tr w:rsidR="004C4E44" w:rsidRPr="00970505" w14:paraId="084E8320" w14:textId="77777777"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19E64E8"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64920DD8" w14:textId="77777777" w:rsidR="004C4E44" w:rsidRPr="00970505" w:rsidRDefault="004C4E44" w:rsidP="00ED3F8B">
            <w:pPr>
              <w:spacing w:after="0" w:line="240" w:lineRule="auto"/>
              <w:rPr>
                <w:rFonts w:ascii="Times New Roman" w:eastAsia="Times New Roman" w:hAnsi="Times New Roman" w:cs="Times New Roman"/>
                <w:sz w:val="24"/>
                <w:szCs w:val="24"/>
              </w:rPr>
            </w:pPr>
            <w:proofErr w:type="spellStart"/>
            <w:r>
              <w:rPr>
                <w:rFonts w:ascii="Times New Roman" w:hAnsi="Times New Roman"/>
                <w:sz w:val="24"/>
              </w:rPr>
              <w:t>Låstång</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229F128"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2E1575A2"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w:t>
            </w:r>
          </w:p>
        </w:tc>
      </w:tr>
      <w:tr w:rsidR="004C4E44" w:rsidRPr="00970505" w14:paraId="4139000A" w14:textId="77777777"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70909BD"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40C76A75"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Universaltång för avskalning och kontaktpressning av kabeländar</w:t>
            </w:r>
          </w:p>
        </w:tc>
        <w:tc>
          <w:tcPr>
            <w:tcW w:w="0" w:type="auto"/>
            <w:tcBorders>
              <w:top w:val="outset" w:sz="6" w:space="0" w:color="auto"/>
              <w:left w:val="outset" w:sz="6" w:space="0" w:color="auto"/>
              <w:bottom w:val="outset" w:sz="6" w:space="0" w:color="auto"/>
              <w:right w:val="outset" w:sz="6" w:space="0" w:color="auto"/>
            </w:tcBorders>
            <w:vAlign w:val="center"/>
            <w:hideMark/>
          </w:tcPr>
          <w:p w14:paraId="3D4BD954"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21DD48A7"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w:t>
            </w:r>
          </w:p>
        </w:tc>
      </w:tr>
      <w:tr w:rsidR="004C4E44" w:rsidRPr="00970505" w14:paraId="76A0C4ED" w14:textId="77777777"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2C36383"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5CCD774C"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Hävstång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1668F3A"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66917E22"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w:t>
            </w:r>
          </w:p>
        </w:tc>
      </w:tr>
      <w:tr w:rsidR="004C4E44" w:rsidRPr="00970505" w14:paraId="6DA0E476" w14:textId="77777777"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0AFAB7E"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3E52A9C2"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Pincett</w:t>
            </w:r>
          </w:p>
        </w:tc>
        <w:tc>
          <w:tcPr>
            <w:tcW w:w="0" w:type="auto"/>
            <w:tcBorders>
              <w:top w:val="outset" w:sz="6" w:space="0" w:color="auto"/>
              <w:left w:val="outset" w:sz="6" w:space="0" w:color="auto"/>
              <w:bottom w:val="outset" w:sz="6" w:space="0" w:color="auto"/>
              <w:right w:val="outset" w:sz="6" w:space="0" w:color="auto"/>
            </w:tcBorders>
            <w:vAlign w:val="center"/>
            <w:hideMark/>
          </w:tcPr>
          <w:p w14:paraId="04475F08"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41156A6E"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w:t>
            </w:r>
          </w:p>
        </w:tc>
      </w:tr>
      <w:tr w:rsidR="004C4E44" w:rsidRPr="00970505" w14:paraId="02E884ED" w14:textId="77777777"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0696F4A"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77DF3D6D"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Hammare (hammarhuvuden av stål)</w:t>
            </w:r>
          </w:p>
        </w:tc>
        <w:tc>
          <w:tcPr>
            <w:tcW w:w="0" w:type="auto"/>
            <w:tcBorders>
              <w:top w:val="outset" w:sz="6" w:space="0" w:color="auto"/>
              <w:left w:val="outset" w:sz="6" w:space="0" w:color="auto"/>
              <w:bottom w:val="outset" w:sz="6" w:space="0" w:color="auto"/>
              <w:right w:val="outset" w:sz="6" w:space="0" w:color="auto"/>
            </w:tcBorders>
            <w:vAlign w:val="center"/>
            <w:hideMark/>
          </w:tcPr>
          <w:p w14:paraId="4A446CBE"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3E0C8F76"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ISO 15601</w:t>
            </w:r>
          </w:p>
        </w:tc>
      </w:tr>
      <w:tr w:rsidR="004C4E44" w:rsidRPr="00970505" w14:paraId="5B08897F" w14:textId="77777777"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D403085"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12922F8B" w14:textId="77777777" w:rsidR="004C4E44" w:rsidRPr="00970505" w:rsidRDefault="004C4E44" w:rsidP="00ED3F8B">
            <w:pPr>
              <w:spacing w:after="0" w:line="240" w:lineRule="auto"/>
              <w:rPr>
                <w:rFonts w:ascii="Times New Roman" w:eastAsia="Times New Roman" w:hAnsi="Times New Roman" w:cs="Times New Roman"/>
                <w:sz w:val="24"/>
                <w:szCs w:val="24"/>
              </w:rPr>
            </w:pPr>
            <w:proofErr w:type="spellStart"/>
            <w:r>
              <w:rPr>
                <w:rFonts w:ascii="Times New Roman" w:hAnsi="Times New Roman"/>
                <w:sz w:val="24"/>
              </w:rPr>
              <w:t>Universalkviv</w:t>
            </w:r>
            <w:proofErr w:type="spellEnd"/>
            <w:r>
              <w:rPr>
                <w:rFonts w:ascii="Times New Roman" w:hAnsi="Times New Roman"/>
                <w:sz w:val="24"/>
              </w:rPr>
              <w:t xml:space="preserve"> (</w:t>
            </w:r>
            <w:proofErr w:type="spellStart"/>
            <w:r>
              <w:rPr>
                <w:rFonts w:ascii="Times New Roman" w:hAnsi="Times New Roman"/>
                <w:sz w:val="24"/>
              </w:rPr>
              <w:t>cutter</w:t>
            </w:r>
            <w:proofErr w:type="spellEnd"/>
            <w:r>
              <w:rPr>
                <w:rFonts w:ascii="Times New Roman" w:hAnsi="Times New Roman"/>
                <w:sz w:val="24"/>
              </w:rPr>
              <w:t>) med infällbart blad</w:t>
            </w:r>
          </w:p>
        </w:tc>
        <w:tc>
          <w:tcPr>
            <w:tcW w:w="0" w:type="auto"/>
            <w:tcBorders>
              <w:top w:val="outset" w:sz="6" w:space="0" w:color="auto"/>
              <w:left w:val="outset" w:sz="6" w:space="0" w:color="auto"/>
              <w:bottom w:val="outset" w:sz="6" w:space="0" w:color="auto"/>
              <w:right w:val="outset" w:sz="6" w:space="0" w:color="auto"/>
            </w:tcBorders>
            <w:vAlign w:val="center"/>
            <w:hideMark/>
          </w:tcPr>
          <w:p w14:paraId="0D36AE15"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05C11328"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w:t>
            </w:r>
          </w:p>
        </w:tc>
      </w:tr>
      <w:tr w:rsidR="004C4E44" w:rsidRPr="00970505" w14:paraId="47E7CE01" w14:textId="77777777"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18FAE2B"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30198A14"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Multimeter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ED2EED1"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5D20A1B0"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w:t>
            </w:r>
          </w:p>
        </w:tc>
      </w:tr>
      <w:tr w:rsidR="004C4E44" w:rsidRPr="00970505" w14:paraId="0731543C" w14:textId="77777777"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2D6D9E0"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2771343A"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Voltmeter (spänningstestare)</w:t>
            </w:r>
          </w:p>
        </w:tc>
        <w:tc>
          <w:tcPr>
            <w:tcW w:w="0" w:type="auto"/>
            <w:tcBorders>
              <w:top w:val="outset" w:sz="6" w:space="0" w:color="auto"/>
              <w:left w:val="outset" w:sz="6" w:space="0" w:color="auto"/>
              <w:bottom w:val="outset" w:sz="6" w:space="0" w:color="auto"/>
              <w:right w:val="outset" w:sz="6" w:space="0" w:color="auto"/>
            </w:tcBorders>
            <w:vAlign w:val="center"/>
            <w:hideMark/>
          </w:tcPr>
          <w:p w14:paraId="3CED6458"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7A2F648C"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w:t>
            </w:r>
          </w:p>
        </w:tc>
      </w:tr>
      <w:tr w:rsidR="004C4E44" w:rsidRPr="00970505" w14:paraId="0C81EF5D" w14:textId="77777777"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A794190"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68D4FAE4"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Lödkolv</w:t>
            </w:r>
          </w:p>
        </w:tc>
        <w:tc>
          <w:tcPr>
            <w:tcW w:w="0" w:type="auto"/>
            <w:tcBorders>
              <w:top w:val="outset" w:sz="6" w:space="0" w:color="auto"/>
              <w:left w:val="outset" w:sz="6" w:space="0" w:color="auto"/>
              <w:bottom w:val="outset" w:sz="6" w:space="0" w:color="auto"/>
              <w:right w:val="outset" w:sz="6" w:space="0" w:color="auto"/>
            </w:tcBorders>
            <w:vAlign w:val="center"/>
            <w:hideMark/>
          </w:tcPr>
          <w:p w14:paraId="4DA9E4E7"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09BF573A"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w:t>
            </w:r>
          </w:p>
        </w:tc>
      </w:tr>
      <w:tr w:rsidR="004C4E44" w:rsidRPr="00970505" w14:paraId="7E892F95" w14:textId="77777777"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FC88B77"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7B9B3569"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Limpistol</w:t>
            </w:r>
          </w:p>
        </w:tc>
        <w:tc>
          <w:tcPr>
            <w:tcW w:w="0" w:type="auto"/>
            <w:tcBorders>
              <w:top w:val="outset" w:sz="6" w:space="0" w:color="auto"/>
              <w:left w:val="outset" w:sz="6" w:space="0" w:color="auto"/>
              <w:bottom w:val="outset" w:sz="6" w:space="0" w:color="auto"/>
              <w:right w:val="outset" w:sz="6" w:space="0" w:color="auto"/>
            </w:tcBorders>
            <w:vAlign w:val="center"/>
            <w:hideMark/>
          </w:tcPr>
          <w:p w14:paraId="0C5CED9E"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64146C3C"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w:t>
            </w:r>
          </w:p>
        </w:tc>
      </w:tr>
      <w:tr w:rsidR="004C4E44" w:rsidRPr="00970505" w14:paraId="570B0D1A" w14:textId="77777777"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FF355A5"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65299825"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Förstoringsglas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7BEB15D"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39A7022B"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w:t>
            </w:r>
          </w:p>
        </w:tc>
      </w:tr>
    </w:tbl>
    <w:p w14:paraId="5E028459"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219C255F"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p w14:paraId="7E527B95" w14:textId="77777777" w:rsidR="00FB0990" w:rsidRPr="00970505"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rPr>
        <w:t>Specifika verktyg är verktyg som inte finns med i listan över allmänna verktyg, utan att vara företagsspecifika verktyg.</w:t>
      </w:r>
    </w:p>
    <w:p w14:paraId="3D5C0DAC" w14:textId="77777777" w:rsidR="00FB0990" w:rsidRPr="00970505"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rPr>
        <w:t>Företagsspecifika verktyg är verktyg för vilka tillverkaren eller en särskild aktör innehar de immateriella rättigheterna.</w:t>
      </w:r>
    </w:p>
    <w:p w14:paraId="0F8553C8" w14:textId="77777777" w:rsidR="00FB0990" w:rsidRPr="00970505"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rPr>
        <w:t>V. – Användningsräkneverk</w:t>
      </w:r>
    </w:p>
    <w:p w14:paraId="08EBE066" w14:textId="77777777" w:rsidR="004C4E44"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rPr>
        <w:t>Anordning som kumulativt registrerar användningen av utrustningen i antal enheter. Användningsräkneverket kan vara direkt synligt för konsumenten varje gång som apparaten startas eller endast efter en åtgärd som vidtas av konsumenten för att ta reda på det värde som apparaten visar.</w:t>
      </w:r>
    </w:p>
    <w:p w14:paraId="5C0C5A22" w14:textId="77777777" w:rsidR="00ED3F8B" w:rsidRPr="00970505" w:rsidRDefault="00ED3F8B" w:rsidP="00ED3F8B">
      <w:pPr>
        <w:spacing w:after="0" w:line="240" w:lineRule="auto"/>
        <w:ind w:left="446"/>
        <w:rPr>
          <w:rFonts w:ascii="Times New Roman" w:eastAsia="Times New Roman" w:hAnsi="Times New Roman" w:cs="Times New Roman"/>
          <w:sz w:val="24"/>
          <w:szCs w:val="24"/>
          <w:lang w:eastAsia="fr-FR"/>
        </w:rPr>
      </w:pPr>
    </w:p>
    <w:p w14:paraId="60EAA337" w14:textId="77777777" w:rsidR="004C4E44" w:rsidRDefault="004C4E44" w:rsidP="00A74E8F">
      <w:pPr>
        <w:keepNext/>
        <w:spacing w:after="0" w:line="240" w:lineRule="auto"/>
        <w:ind w:left="446"/>
        <w:outlineLvl w:val="3"/>
        <w:rPr>
          <w:rFonts w:ascii="Times New Roman" w:eastAsia="Times New Roman" w:hAnsi="Times New Roman" w:cs="Times New Roman"/>
          <w:b/>
          <w:bCs/>
          <w:sz w:val="24"/>
          <w:szCs w:val="24"/>
        </w:rPr>
      </w:pPr>
      <w:r>
        <w:rPr>
          <w:rFonts w:ascii="Times New Roman" w:hAnsi="Times New Roman"/>
          <w:b/>
          <w:sz w:val="24"/>
        </w:rPr>
        <w:t>Artikel 7</w:t>
      </w:r>
    </w:p>
    <w:p w14:paraId="24845F28" w14:textId="77777777" w:rsidR="00ED3F8B" w:rsidRPr="00970505" w:rsidRDefault="00ED3F8B" w:rsidP="00A74E8F">
      <w:pPr>
        <w:keepNext/>
        <w:spacing w:after="0" w:line="240" w:lineRule="auto"/>
        <w:ind w:left="446"/>
        <w:outlineLvl w:val="3"/>
        <w:rPr>
          <w:rFonts w:ascii="Times New Roman" w:eastAsia="Times New Roman" w:hAnsi="Times New Roman" w:cs="Times New Roman"/>
          <w:b/>
          <w:bCs/>
          <w:sz w:val="24"/>
          <w:szCs w:val="24"/>
          <w:lang w:eastAsia="fr-FR"/>
        </w:rPr>
      </w:pPr>
    </w:p>
    <w:p w14:paraId="054343C6" w14:textId="77777777" w:rsidR="00FB0990" w:rsidRPr="00970505" w:rsidRDefault="00FB0990" w:rsidP="00A74E8F">
      <w:pPr>
        <w:keepNext/>
        <w:spacing w:after="0" w:line="240" w:lineRule="auto"/>
        <w:ind w:left="450"/>
        <w:rPr>
          <w:rFonts w:ascii="Times New Roman" w:eastAsia="Times New Roman" w:hAnsi="Times New Roman" w:cs="Times New Roman"/>
          <w:sz w:val="24"/>
          <w:szCs w:val="24"/>
          <w:lang w:eastAsia="fr-FR"/>
        </w:rPr>
      </w:pPr>
    </w:p>
    <w:p w14:paraId="008BA5ED" w14:textId="77777777" w:rsidR="004C4E44"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rPr>
        <w:t>Bestämmelserna i denna förordning träder ikraft från och med den 1 januari 2021.</w:t>
      </w:r>
    </w:p>
    <w:p w14:paraId="086921E9" w14:textId="77777777" w:rsidR="00ED3F8B" w:rsidRPr="00970505" w:rsidRDefault="00ED3F8B" w:rsidP="00ED3F8B">
      <w:pPr>
        <w:spacing w:after="0" w:line="240" w:lineRule="auto"/>
        <w:ind w:left="450"/>
        <w:rPr>
          <w:rFonts w:ascii="Times New Roman" w:eastAsia="Times New Roman" w:hAnsi="Times New Roman" w:cs="Times New Roman"/>
          <w:sz w:val="24"/>
          <w:szCs w:val="24"/>
          <w:lang w:eastAsia="fr-FR"/>
        </w:rPr>
      </w:pPr>
    </w:p>
    <w:p w14:paraId="44468C96" w14:textId="77777777" w:rsidR="004C4E44" w:rsidRPr="00970505" w:rsidRDefault="004C4E44" w:rsidP="00A74E8F">
      <w:pPr>
        <w:keepNext/>
        <w:spacing w:after="0" w:line="240" w:lineRule="auto"/>
        <w:ind w:left="446"/>
        <w:outlineLvl w:val="3"/>
        <w:rPr>
          <w:rFonts w:ascii="Times New Roman" w:eastAsia="Times New Roman" w:hAnsi="Times New Roman" w:cs="Times New Roman"/>
          <w:b/>
          <w:bCs/>
          <w:sz w:val="24"/>
          <w:szCs w:val="24"/>
        </w:rPr>
      </w:pPr>
      <w:r>
        <w:rPr>
          <w:rFonts w:ascii="Times New Roman" w:hAnsi="Times New Roman"/>
          <w:b/>
          <w:sz w:val="24"/>
        </w:rPr>
        <w:lastRenderedPageBreak/>
        <w:t>Artikel 8</w:t>
      </w:r>
    </w:p>
    <w:p w14:paraId="618C2A86" w14:textId="77777777" w:rsidR="00FB0990" w:rsidRDefault="00FB0990" w:rsidP="00A74E8F">
      <w:pPr>
        <w:keepNext/>
        <w:spacing w:after="0" w:line="240" w:lineRule="auto"/>
        <w:ind w:left="450"/>
        <w:rPr>
          <w:rFonts w:ascii="Times New Roman" w:eastAsia="Times New Roman" w:hAnsi="Times New Roman" w:cs="Times New Roman"/>
          <w:sz w:val="24"/>
          <w:szCs w:val="24"/>
          <w:lang w:eastAsia="fr-FR"/>
        </w:rPr>
      </w:pPr>
    </w:p>
    <w:p w14:paraId="59483889" w14:textId="77777777" w:rsidR="00ED3F8B" w:rsidRPr="00970505" w:rsidRDefault="00ED3F8B" w:rsidP="00A74E8F">
      <w:pPr>
        <w:keepNext/>
        <w:spacing w:after="0" w:line="240" w:lineRule="auto"/>
        <w:ind w:left="450"/>
        <w:rPr>
          <w:rFonts w:ascii="Times New Roman" w:eastAsia="Times New Roman" w:hAnsi="Times New Roman" w:cs="Times New Roman"/>
          <w:sz w:val="24"/>
          <w:szCs w:val="24"/>
          <w:lang w:eastAsia="fr-FR"/>
        </w:rPr>
      </w:pPr>
    </w:p>
    <w:p w14:paraId="42ADC227" w14:textId="77777777" w:rsidR="004C4E44"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rPr>
        <w:t>Denna förordning kommer att offentliggöras i Republiken Frankrikes officiella tidning (</w:t>
      </w:r>
      <w:r>
        <w:rPr>
          <w:rFonts w:ascii="Times New Roman" w:hAnsi="Times New Roman"/>
          <w:i/>
          <w:iCs/>
          <w:sz w:val="24"/>
        </w:rPr>
        <w:t>Journal officiel</w:t>
      </w:r>
      <w:r>
        <w:rPr>
          <w:rFonts w:ascii="Times New Roman" w:hAnsi="Times New Roman"/>
          <w:sz w:val="24"/>
        </w:rPr>
        <w:t>).</w:t>
      </w:r>
    </w:p>
    <w:p w14:paraId="1EFE189A" w14:textId="77777777" w:rsidR="00FB0990" w:rsidRDefault="00FB0990" w:rsidP="00ED3F8B">
      <w:pPr>
        <w:spacing w:after="0" w:line="240" w:lineRule="auto"/>
        <w:rPr>
          <w:rFonts w:ascii="Times New Roman" w:eastAsia="Times New Roman" w:hAnsi="Times New Roman" w:cs="Times New Roman"/>
          <w:sz w:val="24"/>
          <w:szCs w:val="24"/>
          <w:lang w:eastAsia="fr-FR"/>
        </w:rPr>
      </w:pPr>
    </w:p>
    <w:p w14:paraId="15029BE6" w14:textId="77777777" w:rsidR="00F23DB7" w:rsidRPr="00970505" w:rsidRDefault="00F23DB7" w:rsidP="00ED3F8B">
      <w:pPr>
        <w:spacing w:after="0" w:line="240" w:lineRule="auto"/>
        <w:rPr>
          <w:rFonts w:ascii="Times New Roman" w:eastAsia="Times New Roman" w:hAnsi="Times New Roman" w:cs="Times New Roman"/>
          <w:sz w:val="24"/>
          <w:szCs w:val="24"/>
          <w:lang w:eastAsia="fr-FR"/>
        </w:rPr>
      </w:pPr>
    </w:p>
    <w:p w14:paraId="202372C4"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Utfärdad den 29 december 2020.</w:t>
      </w:r>
    </w:p>
    <w:p w14:paraId="0AF68320"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2E1125C3" w14:textId="77777777" w:rsidR="00FB0990"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Ministern för grön omställning,</w:t>
      </w:r>
    </w:p>
    <w:p w14:paraId="62E27A16" w14:textId="77777777" w:rsidR="00FB0990"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För ministern och genom delegering:</w:t>
      </w:r>
    </w:p>
    <w:p w14:paraId="25728C70" w14:textId="77777777" w:rsidR="00FB0990"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Generalkommissionären för hållbar utveckling,</w:t>
      </w:r>
    </w:p>
    <w:p w14:paraId="3682747D"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 xml:space="preserve">T. </w:t>
      </w:r>
      <w:proofErr w:type="spellStart"/>
      <w:r>
        <w:rPr>
          <w:rFonts w:ascii="Times New Roman" w:hAnsi="Times New Roman"/>
          <w:sz w:val="24"/>
        </w:rPr>
        <w:t>Lesueur</w:t>
      </w:r>
      <w:proofErr w:type="spellEnd"/>
    </w:p>
    <w:p w14:paraId="45BBA40B" w14:textId="77777777" w:rsidR="00FB0990" w:rsidRDefault="00FB0990" w:rsidP="00ED3F8B">
      <w:pPr>
        <w:spacing w:after="0" w:line="240" w:lineRule="auto"/>
        <w:rPr>
          <w:rFonts w:ascii="Times New Roman" w:eastAsia="Times New Roman" w:hAnsi="Times New Roman" w:cs="Times New Roman"/>
          <w:sz w:val="24"/>
          <w:szCs w:val="24"/>
          <w:lang w:eastAsia="fr-FR"/>
        </w:rPr>
      </w:pPr>
    </w:p>
    <w:p w14:paraId="4A912285" w14:textId="77777777" w:rsidR="00ED3F8B" w:rsidRPr="00970505" w:rsidRDefault="00ED3F8B" w:rsidP="00ED3F8B">
      <w:pPr>
        <w:spacing w:after="0" w:line="240" w:lineRule="auto"/>
        <w:rPr>
          <w:rFonts w:ascii="Times New Roman" w:eastAsia="Times New Roman" w:hAnsi="Times New Roman" w:cs="Times New Roman"/>
          <w:sz w:val="24"/>
          <w:szCs w:val="24"/>
          <w:lang w:eastAsia="fr-FR"/>
        </w:rPr>
      </w:pPr>
    </w:p>
    <w:p w14:paraId="3CE63111" w14:textId="77777777" w:rsidR="00FB0990"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Ministern med ansvar för ekonomi, finanser och återhämtning,</w:t>
      </w:r>
    </w:p>
    <w:p w14:paraId="65F53077" w14:textId="77777777" w:rsidR="00FB0990"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För ministern och genom delegering:</w:t>
      </w:r>
    </w:p>
    <w:p w14:paraId="0A513687" w14:textId="77777777" w:rsidR="00FB0990"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Generaldirektören för konkurrens, konsumtion och bedrägeribekämpning,</w:t>
      </w:r>
    </w:p>
    <w:p w14:paraId="68A57EBB"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 xml:space="preserve">V. </w:t>
      </w:r>
      <w:proofErr w:type="spellStart"/>
      <w:r>
        <w:rPr>
          <w:rFonts w:ascii="Times New Roman" w:hAnsi="Times New Roman"/>
          <w:sz w:val="24"/>
        </w:rPr>
        <w:t>Beaumeunier</w:t>
      </w:r>
      <w:proofErr w:type="spellEnd"/>
    </w:p>
    <w:sectPr w:rsidR="004C4E44" w:rsidRPr="0097050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7CEA71" w14:textId="77777777" w:rsidR="00077DA6" w:rsidRDefault="00077DA6" w:rsidP="00573A33">
      <w:pPr>
        <w:spacing w:after="0" w:line="240" w:lineRule="auto"/>
      </w:pPr>
      <w:r>
        <w:separator/>
      </w:r>
    </w:p>
  </w:endnote>
  <w:endnote w:type="continuationSeparator" w:id="0">
    <w:p w14:paraId="1E6182B7" w14:textId="77777777" w:rsidR="00077DA6" w:rsidRDefault="00077DA6" w:rsidP="00573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96CFCE" w14:textId="77777777" w:rsidR="00077DA6" w:rsidRDefault="00077DA6" w:rsidP="00573A33">
      <w:pPr>
        <w:spacing w:after="0" w:line="240" w:lineRule="auto"/>
      </w:pPr>
      <w:r>
        <w:separator/>
      </w:r>
    </w:p>
  </w:footnote>
  <w:footnote w:type="continuationSeparator" w:id="0">
    <w:p w14:paraId="3EF3D2CD" w14:textId="77777777" w:rsidR="00077DA6" w:rsidRDefault="00077DA6" w:rsidP="00573A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E44"/>
    <w:rsid w:val="00000018"/>
    <w:rsid w:val="00077DA6"/>
    <w:rsid w:val="000B7DA7"/>
    <w:rsid w:val="000F132F"/>
    <w:rsid w:val="00192BA8"/>
    <w:rsid w:val="00234310"/>
    <w:rsid w:val="003D645A"/>
    <w:rsid w:val="004C4E44"/>
    <w:rsid w:val="004D0FF9"/>
    <w:rsid w:val="00573A33"/>
    <w:rsid w:val="009318CB"/>
    <w:rsid w:val="00970505"/>
    <w:rsid w:val="00A74E8F"/>
    <w:rsid w:val="00AB05FC"/>
    <w:rsid w:val="00AD2395"/>
    <w:rsid w:val="00E53DB4"/>
    <w:rsid w:val="00ED3F8B"/>
    <w:rsid w:val="00F23DB7"/>
    <w:rsid w:val="00FB0990"/>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73F33"/>
  <w15:chartTrackingRefBased/>
  <w15:docId w15:val="{AA3F75DC-D5BD-40CC-AF8C-05B6F9D8C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73A33"/>
    <w:pPr>
      <w:tabs>
        <w:tab w:val="center" w:pos="4320"/>
        <w:tab w:val="right" w:pos="8640"/>
      </w:tabs>
      <w:spacing w:after="0" w:line="240" w:lineRule="auto"/>
    </w:pPr>
  </w:style>
  <w:style w:type="character" w:customStyle="1" w:styleId="SidhuvudChar">
    <w:name w:val="Sidhuvud Char"/>
    <w:basedOn w:val="Standardstycketeckensnitt"/>
    <w:link w:val="Sidhuvud"/>
    <w:uiPriority w:val="99"/>
    <w:rsid w:val="00573A33"/>
  </w:style>
  <w:style w:type="paragraph" w:styleId="Sidfot">
    <w:name w:val="footer"/>
    <w:basedOn w:val="Normal"/>
    <w:link w:val="SidfotChar"/>
    <w:uiPriority w:val="99"/>
    <w:unhideWhenUsed/>
    <w:rsid w:val="00573A33"/>
    <w:pPr>
      <w:tabs>
        <w:tab w:val="center" w:pos="4320"/>
        <w:tab w:val="right" w:pos="8640"/>
      </w:tabs>
      <w:spacing w:after="0" w:line="240" w:lineRule="auto"/>
    </w:pPr>
  </w:style>
  <w:style w:type="character" w:customStyle="1" w:styleId="SidfotChar">
    <w:name w:val="Sidfot Char"/>
    <w:basedOn w:val="Standardstycketeckensnitt"/>
    <w:link w:val="Sidfot"/>
    <w:uiPriority w:val="99"/>
    <w:rsid w:val="00573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2181901">
      <w:bodyDiv w:val="1"/>
      <w:marLeft w:val="0"/>
      <w:marRight w:val="0"/>
      <w:marTop w:val="0"/>
      <w:marBottom w:val="0"/>
      <w:divBdr>
        <w:top w:val="none" w:sz="0" w:space="0" w:color="auto"/>
        <w:left w:val="none" w:sz="0" w:space="0" w:color="auto"/>
        <w:bottom w:val="none" w:sz="0" w:space="0" w:color="auto"/>
        <w:right w:val="none" w:sz="0" w:space="0" w:color="auto"/>
      </w:divBdr>
    </w:div>
    <w:div w:id="1511601776">
      <w:bodyDiv w:val="1"/>
      <w:marLeft w:val="0"/>
      <w:marRight w:val="0"/>
      <w:marTop w:val="0"/>
      <w:marBottom w:val="0"/>
      <w:divBdr>
        <w:top w:val="none" w:sz="0" w:space="0" w:color="auto"/>
        <w:left w:val="none" w:sz="0" w:space="0" w:color="auto"/>
        <w:bottom w:val="none" w:sz="0" w:space="0" w:color="auto"/>
        <w:right w:val="none" w:sz="0" w:space="0" w:color="auto"/>
      </w:divBdr>
      <w:divsChild>
        <w:div w:id="451559851">
          <w:marLeft w:val="0"/>
          <w:marRight w:val="0"/>
          <w:marTop w:val="0"/>
          <w:marBottom w:val="0"/>
          <w:divBdr>
            <w:top w:val="none" w:sz="0" w:space="0" w:color="auto"/>
            <w:left w:val="none" w:sz="0" w:space="0" w:color="auto"/>
            <w:bottom w:val="none" w:sz="0" w:space="0" w:color="auto"/>
            <w:right w:val="none" w:sz="0" w:space="0" w:color="auto"/>
          </w:divBdr>
          <w:divsChild>
            <w:div w:id="1274484901">
              <w:marLeft w:val="0"/>
              <w:marRight w:val="0"/>
              <w:marTop w:val="0"/>
              <w:marBottom w:val="0"/>
              <w:divBdr>
                <w:top w:val="none" w:sz="0" w:space="0" w:color="auto"/>
                <w:left w:val="none" w:sz="0" w:space="0" w:color="auto"/>
                <w:bottom w:val="none" w:sz="0" w:space="0" w:color="auto"/>
                <w:right w:val="none" w:sz="0" w:space="0" w:color="auto"/>
              </w:divBdr>
            </w:div>
            <w:div w:id="50020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D68643-B4E1-4B98-94AC-E3F669A95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8163B9-A96E-47B1-A99C-A07EEA6B7E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F48440-920E-419E-BB95-26E6CD8A20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2288</Words>
  <Characters>12132</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IMCN Translation</cp:lastModifiedBy>
  <cp:revision>11</cp:revision>
  <dcterms:created xsi:type="dcterms:W3CDTF">2021-01-04T15:30:00Z</dcterms:created>
  <dcterms:modified xsi:type="dcterms:W3CDTF">2021-02-16T07:47:00Z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