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rPr>
        <w:t>1. ------IND- 2020 0581 E- IT-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rPr>
        <w:t xml:space="preserve">PROGETTO DI REGIO DECRETO </w:t>
      </w:r>
      <w:r>
        <w:rPr>
          <w:rFonts w:ascii="Arial" w:hAnsi="Arial"/>
          <w:caps/>
        </w:rPr>
        <w:t xml:space="preserve">…/2020, del …, che approva la </w:t>
      </w:r>
      <w:r>
        <w:rPr>
          <w:rFonts w:ascii="Arial" w:hAnsi="Arial"/>
        </w:rPr>
        <w:t>NORMA DI QUALITÀ DEGLI OLI D'OLIVA E DEGLI OLI DI SANSA D'OLIVA.</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La Spagna è il principale produttore ed esportatore mondiale di olio d'oliva. Gli oliveti e l'olio d'oliva costituiscono un settore di grande rilevanza economica, sociale e commerciale in Spagna e nei mercati internazionali, con una domanda in costante crescita. L'obiettivo del presente regio decreto è aggiornare la legislazione per adeguarla alla situazione attuale del settore e ai progressi tecnologici, promuovendo la qualità dell'olio d'oliva come uno dei pilastri fondamentali per lo sviluppo di questo settore.</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In Spagna,</w:t>
      </w:r>
      <w:r>
        <w:rPr>
          <w:rStyle w:val="Strong"/>
        </w:rPr>
        <w:t xml:space="preserve"> </w:t>
      </w:r>
      <w:r>
        <w:t>il decreto 2484/1967, del 21 settembre, recante approvazione del testo del codice alimentare spagnolo, contempla gli oli d'oliva al capitolo XVI, sezione 2. La materia è stata specificamente sviluppata e disciplinata dal regio decreto 308/1983, del 25 gennaio, che approva la regolamentazione tecnico-sanitaria degli oli vegetali commestibili.</w:t>
      </w:r>
    </w:p>
    <w:p w14:paraId="11F5D3F9" w14:textId="1E67EC52" w:rsidR="00090536" w:rsidRPr="00DE35E8" w:rsidRDefault="00090536" w:rsidP="00B503A1">
      <w:pPr>
        <w:spacing w:after="240"/>
        <w:jc w:val="both"/>
        <w:rPr>
          <w:rFonts w:ascii="Arial" w:hAnsi="Arial" w:cs="Arial"/>
        </w:rPr>
      </w:pPr>
      <w:r>
        <w:rPr>
          <w:rFonts w:ascii="Arial" w:hAnsi="Arial"/>
        </w:rPr>
        <w:t xml:space="preserve">Nell'Unione europea le norme relative agli oli d'oliva e agli oli di sansa d'oliva sono armonizzate dal regolamento (CEE) n. 2568/1991 della Commissione, dell'11 luglio 1991, relativo alle caratteristiche degli oli d'oliva e degli oli di sansa d'oliva nonché ai metodi ad essi attinenti, e dal regolamento (UE) n. 1308/2013 del Parlamento europeo e del Consiglio, del 17 dicembre 2013, recante organizzazione comune dei mercati dei prodotti agricoli e che abroga i regolamenti (CEE) n. 922/72, (CEE) n. 234/79, (CE) n. 1037/2001 e (CE) n. 1234/2007 del Consiglio. Essi stabiliscono le denominazioni, le definizioni, le caratteristiche fisico-chimiche e organolettiche e i metodi di campionamento e di analisi di questi prodotti.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Inoltre, il regolamento di esecuzione (UE) n. 29/2012 della Commissione, del 13 gennaio 2012, relativo alle norme di commercializzazione dell'olio d'oliva, reca le norme di commercializzazione e la procedura di cooperazione amministrativa tra la Commissione e gli Stati membri in materia di norme di controllo per questi prodotti. Tale regolamento abroga il regolamento (CE) n. 1019/2002, la cui attuazione in Spagna è avvenuta con misure complementari mediante il regio decreto 1431/2003, del 21 novembre, </w:t>
      </w:r>
      <w:r>
        <w:rPr>
          <w:rStyle w:val="Strong"/>
          <w:rFonts w:ascii="Arial" w:hAnsi="Arial"/>
          <w:b w:val="0"/>
        </w:rPr>
        <w:t>che stabilisce determinate misure di commercializzazione nel settore dell'olio d'oliva e dell'olio di sansa d'oliva.</w:t>
      </w:r>
    </w:p>
    <w:p w14:paraId="6B699213" w14:textId="6ECAC799" w:rsidR="00090536" w:rsidRPr="00DE35E8" w:rsidRDefault="00090536" w:rsidP="00B503A1">
      <w:pPr>
        <w:pStyle w:val="Default"/>
        <w:spacing w:before="100" w:beforeAutospacing="1" w:after="100" w:afterAutospacing="1"/>
        <w:jc w:val="both"/>
        <w:rPr>
          <w:color w:val="auto"/>
        </w:rPr>
      </w:pPr>
      <w:r>
        <w:rPr>
          <w:color w:val="auto"/>
        </w:rPr>
        <w:t>Il suddetto regio decreto 308/1983, del 25 gennaio, è stato più volte modificato e anche l'evoluzione delle condizioni di produzione e consumo a cui si è assistito in questi quasi quattro decenni ne rende necessaria la sostituzione con un nuovo decreto, specifico per oli d'oliva e di sansa d'oliva, alla luce della loro unicità e della rilevanza di questa produzione in Spagna. Il fatto di avere una norma propria, separata da quella per gli altri oli vegetali, contribuirà a meglio adattare i sistemi di produzione e automonitoraggio, nonché le norme in materia di confezionamento ed etichettatura, alle normative europee e all'evoluzione dei criteri e dei progressi tecnologici. Oltre ad aggiornarne il contenuto, la norma viene ordinata e semplificata, eliminando gli aspetti igienico-sanitari sviluppati e armonizzati nella normativa comunitaria di carattere orizzontale applicabile al settore.</w:t>
      </w:r>
    </w:p>
    <w:p w14:paraId="7A8064F9" w14:textId="1DD88362" w:rsidR="00090536" w:rsidRPr="00DE35E8" w:rsidRDefault="00090536" w:rsidP="00B503A1">
      <w:pPr>
        <w:pStyle w:val="Default"/>
        <w:jc w:val="both"/>
        <w:rPr>
          <w:color w:val="auto"/>
        </w:rPr>
      </w:pPr>
      <w:r>
        <w:rPr>
          <w:color w:val="auto"/>
        </w:rPr>
        <w:lastRenderedPageBreak/>
        <w:t>Di conseguenza, occorre abrogare il contenuto della sezione 2 del capitolo XVI del codice alimentare spagnolo, approvato con decreto n. 2484/1967, del 21 settembre, e abrogare il regio decreto n. 308/1983, del 25 gennaio, per quanto riguarda l'olio d'oliva e l'olio di sansa d'oliva. Inoltre, la regolamentazione di tale settore aveva risentito di un problema di dispersione normativa che è stato affrontato riunendo le disposizioni applicabili agli oli d'oliva e di sansa d'oliva, pertanto è opportuno abrogare tali norme favorendo così la certezza del diritto.</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La presente norma si applica a tutti gli oli d'oliva e di sansa d'oliva prodotti e commercializzati in Spagna, fatto salvo il rispetto della clausola di riconoscimento reciproco dell'Unione europea.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Al fine di preservare e valorizzare gli oli d'oliva e di sansa d'oliva e di evitare possibili pratiche fraudolente, è opportuno che tale norma stabilisca alcuni obblighi per gli operatori del settore in materia di impianti, pratiche non autorizzate, documenti di accompagnamento e tracciabilità dei prodotti. </w:t>
      </w:r>
      <w:r>
        <w:rPr>
          <w:color w:val="auto"/>
          <w:shd w:val="clear" w:color="auto" w:fill="FFFFFF"/>
        </w:rPr>
        <w:t xml:space="preserve">Tali obblighi e divieti devono essere applicabili a tutti gli operatori, intesi come tali le persone fisiche o giuridiche che intervengono in una qualsiasi delle fasi di produzione e commercializzazione degli oli d'oliva e di sansa d'oliva, compresi quindi i centri di acquisto di olive, le cooperative o i frantoi mobili, tra gli altri. </w:t>
      </w:r>
    </w:p>
    <w:p w14:paraId="6681DADD" w14:textId="6743B4E5" w:rsidR="00090536" w:rsidRPr="00DE35E8" w:rsidRDefault="00936DB3" w:rsidP="00B503A1">
      <w:pPr>
        <w:pStyle w:val="Default"/>
        <w:spacing w:after="240"/>
        <w:jc w:val="both"/>
        <w:rPr>
          <w:color w:val="auto"/>
        </w:rPr>
      </w:pPr>
      <w:r>
        <w:rPr>
          <w:color w:val="auto"/>
        </w:rPr>
        <w:t>Ai sensi dell'articolo 7 bis del regolamento (CEE) n. 2568/91, e fatte salve le disposizioni del regolamento (CE) n. 178/2002, è obbligatorio mantenere un sistema di tracciabilità standardizzato che consenta di rintracciare facilmente i prodotti e che ponga l'accento sulla loro corretta identificazione in tutte le fasi della produzione, del trasporto e della commercializzazione degli oli disciplinati dalla norma.</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Il sistema di tracciabilità contribuirà a promuovere la qualità degli alimenti, migliorare la fiducia dei consumatori, distinguere i prodotti da altri prodotti simili, rafforzare il mercato e la sua ripresa, nonché a garantire, se del caso, il ritiro selettivo dei prodotti.</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Per facilitare il rispetto degli obblighi della norma da parte degli operatori e per consentire alle autorità competenti di svolgere le corrispondenti attività di controllo, è necessario istituire un sistema informatizzato che raccolga i dati relativi ai movimenti dell'olio d'oliva e dell'olio di sansa d'oliva.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Per quanto riguarda le informazioni sugli alimenti, nonché le tolleranze sul controllo dell'effettivo contenuto delle confezioni, si applicano le disposizioni del regolamento (UE) n. 1169/2011 del Parlamento europeo e del Consiglio, del 25 ottobre 2011, relativo alla fornitura di informazioni sugli alimenti ai consumatori, nonché del regio decreto 1801/2008, del 3 novembre, che stabilisce le norme riguardanti le quantità nominali dei prodotti confezionati e il controllo del loro contenuto effettivo.</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In linea con le politiche dell'Unione europea in materia di sviluppo sostenibile e in particolare quelle relative alla riduzione dell'uso della plastica, la presente normativa limita l'uso di suddetto materiale per alcuni prodotti, la cui immagine può essere compromessa anche in alcune forme di presentazione come nel caso degli imballaggi in plastica.</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lastRenderedPageBreak/>
        <w:t xml:space="preserve">Data l'importanza della cooperazione e della collaborazione tra le pubbliche amministrazioni, è necessario elaborare un piano di controllo specifico per la verifica della tracciabilità nel settore dell'olio d'oliva e di sansa d'oliva, che può essere attuato dalle autorità competenti per il controllo di qualità e la difesa contro le frodi e che sarà adottato dell'Ufficio di coordinamento della qualità degli alimenti. </w:t>
      </w:r>
    </w:p>
    <w:p w14:paraId="1AAAE751" w14:textId="1C165D2B" w:rsidR="00661336" w:rsidRPr="00DE35E8" w:rsidRDefault="00661336" w:rsidP="00B503A1">
      <w:pPr>
        <w:pStyle w:val="Default"/>
        <w:jc w:val="both"/>
        <w:rPr>
          <w:color w:val="auto"/>
        </w:rPr>
      </w:pPr>
      <w:r>
        <w:rPr>
          <w:color w:val="auto"/>
        </w:rPr>
        <w:t xml:space="preserve">Inoltre, al fine di migliorare la trasparenza delle informazioni relative ai controlli di conformità dell'olio d'oliva effettuati dalle autorità competenti, il ministero dell'Agricoltura, della pesca e dell'alimentazione redigerà e pubblicherà un rapporto sui risultati delle misure adottate.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Il presente regio decreto è stato sottoposto al procedimento previsto dalla direttiva (UE) 2015/1535 del Parlamento europeo e del Consiglio, del 9 settembre 2015, che prevede una procedura d'informazione nel settore delle regolamentazioni tecniche e delle regole relative ai servizi della società dell'informazione, nonché dal regio decreto 1337/1999, del 31 luglio, che disciplina la fornitura di informazioni in materia di norme e regolamentazioni tecniche e di regole relative ai servizi della società dell'informazione.</w:t>
      </w:r>
    </w:p>
    <w:p w14:paraId="438C14E9" w14:textId="1E6F66D7" w:rsidR="001B6D0C" w:rsidRPr="00C15E58" w:rsidRDefault="001B6D0C" w:rsidP="00B503A1">
      <w:pPr>
        <w:pStyle w:val="Default"/>
        <w:spacing w:after="240"/>
        <w:jc w:val="both"/>
        <w:rPr>
          <w:color w:val="auto"/>
          <w:spacing w:val="-4"/>
        </w:rPr>
      </w:pPr>
      <w:r w:rsidRPr="00C15E58">
        <w:rPr>
          <w:color w:val="auto"/>
          <w:spacing w:val="-4"/>
        </w:rPr>
        <w:t>Il contenuto del presente regio decreto è conforme ai principi della buona regolamentazione di cui all'articolo 129 della legge 39/2015, del 1° ottobre, sulla procedura amministrativa comune delle pubbliche amministrazioni. Pertanto, in virtù dei principi di necessità ed efficacia, la presente normativa è giustificata dalla necessità di stabilire un'adeguata organizzazione del settore dell'olio d'oliva e dell'olio di sansa d'oliva; il modo più appropriato per raggiungere tale obiettivo è l'abrogazione del regio decreto 308/1983, del 25 gennaio, che approva il regolamento tecnico-sanitario per gli oli vegetali commestibili, per la parte relativa agli oli d'oliva e di sansa d'oliva, e l'adozione di una nuova norma di qualità che disciplina specificamente l'olio d'oliva e l'olio di sansa d'oliva. I principi di efficienza e proporzionalità sono stati presi in considerazione anche nella definizione della regolamentazione e nella limitazione degli oneri amministrativi al minimo necessario per il conseguimento dei fini auspicati. In applicazione del principio di trasparenza, oltre al processo di consultazione pubblica e di informazione pubblica, durante l'elaborazione della presente disposizione sono state consultate le comunità autonome, gli enti rappresentativi dei settori interessati e i consumatori; inoltre la Commissione interministeriale per la gestione alimentare ha emesso un parere vincolante. Infine, il regio decreto tiene conto del principio della certezza del diritto, preservando la coerenza con il resto dell'ordinamento giuridico applicabile e lasciando agli operatori i periodi transitori necessari per adeguarsi alla norma.</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Il presente regio decreto è emanato in conformità di quanto disposto dall'articolo 149, paragrafo 1, punto 13 della Costituzione spagnola, che attribuisce allo Stato la competenza esclusiva in materia di fondamenti e coordinamento della pianificazione generale dell'attività economica. </w:t>
      </w:r>
    </w:p>
    <w:p w14:paraId="2B5EAD10" w14:textId="77777777" w:rsidR="00B776A3" w:rsidRPr="00DE35E8" w:rsidRDefault="00B776A3" w:rsidP="00C15E58">
      <w:pPr>
        <w:pStyle w:val="Default"/>
        <w:keepLines/>
        <w:spacing w:after="240"/>
        <w:jc w:val="both"/>
        <w:rPr>
          <w:color w:val="auto"/>
        </w:rPr>
      </w:pPr>
      <w:r>
        <w:rPr>
          <w:color w:val="auto"/>
        </w:rPr>
        <w:lastRenderedPageBreak/>
        <w:t>Inoltre, la legge 28/2015, del 30 luglio, sulla protezione della qualità degli alimenti, detta le basi giuridiche in materia di difesa della qualità degli alimenti, stabilendone la regolamentazione di base. Nella sua quarta disposizione finale, dà facoltà al governo di approvare le norme di qualità dei prodotti alimentari. Queste norme consentono di assicurare e mantenere la qualità dei prodotti immessi sul mercato, visto che una caratterizzazione e categorizzazione degli stessi aiuta il consumatore al momento della scelta e gli consente di confrontare e scegliere ciò che più incontra i suoi gusti e le sue necessità.</w:t>
      </w:r>
    </w:p>
    <w:p w14:paraId="641893D6" w14:textId="010C894B" w:rsidR="00090536" w:rsidRPr="00DE35E8" w:rsidRDefault="00090536" w:rsidP="00B503A1">
      <w:pPr>
        <w:pStyle w:val="Default"/>
        <w:jc w:val="both"/>
        <w:rPr>
          <w:color w:val="auto"/>
        </w:rPr>
      </w:pPr>
      <w:r>
        <w:rPr>
          <w:color w:val="auto"/>
        </w:rPr>
        <w:t xml:space="preserve">In forza di quanto sopra, su proposta del ministro dell'Agricoltura, della pesca e dell'alimentazione, del ministro del Consumo nonché del ministro dell'Industria, del commercio e del turismo, di concerto con il Consiglio di Stato e previa delibera del Consiglio dei ministri nella riunione del.......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t>DISPONGO QUANTO SEGUE:</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Articolo 1. </w:t>
      </w:r>
      <w:r>
        <w:rPr>
          <w:rFonts w:ascii="Arial" w:hAnsi="Arial"/>
          <w:i/>
        </w:rPr>
        <w:t>Finalità.</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La finalità del presente regio decreto è stabilire la norma di qualità per gli oli d'oliva e di sansa d'oliva. </w:t>
      </w:r>
    </w:p>
    <w:p w14:paraId="72CC39D6" w14:textId="77777777" w:rsidR="009C4D64" w:rsidRPr="00DE35E8" w:rsidRDefault="009C4D64" w:rsidP="00B503A1">
      <w:pPr>
        <w:spacing w:before="360" w:after="360"/>
        <w:jc w:val="both"/>
        <w:rPr>
          <w:rFonts w:ascii="Arial" w:hAnsi="Arial" w:cs="Arial"/>
          <w:i/>
        </w:rPr>
      </w:pPr>
      <w:r>
        <w:rPr>
          <w:rFonts w:ascii="Arial" w:hAnsi="Arial"/>
          <w:b/>
        </w:rPr>
        <w:t>Articolo 2.</w:t>
      </w:r>
      <w:r>
        <w:rPr>
          <w:rFonts w:ascii="Arial" w:hAnsi="Arial"/>
          <w:b/>
          <w:i/>
        </w:rPr>
        <w:t xml:space="preserve"> </w:t>
      </w:r>
      <w:r>
        <w:rPr>
          <w:rFonts w:ascii="Arial" w:hAnsi="Arial"/>
          <w:i/>
        </w:rPr>
        <w:t>Ambito di applicazione.</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La presente norma si applica a tutti gli oli d'oliva e di sansa d'oliva prodotti e commercializzati in Spagna, fatte salve le disposizioni della clausola di mutuo riconoscimento.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Analogamente è applicabile agli operatori che producono o commercializzano oli d'oliva e di sansa d'oliva in Spagna. </w:t>
      </w:r>
    </w:p>
    <w:p w14:paraId="7A10942A" w14:textId="4AD932FE" w:rsidR="00AB71F9" w:rsidRPr="00DE35E8" w:rsidRDefault="00AB71F9" w:rsidP="00B503A1">
      <w:pPr>
        <w:spacing w:before="360" w:after="360"/>
        <w:jc w:val="both"/>
        <w:rPr>
          <w:rFonts w:ascii="Arial" w:hAnsi="Arial" w:cs="Arial"/>
          <w:b/>
          <w:i/>
        </w:rPr>
      </w:pPr>
      <w:r>
        <w:rPr>
          <w:rFonts w:ascii="Arial" w:hAnsi="Arial"/>
          <w:b/>
        </w:rPr>
        <w:t>Articolo 3.</w:t>
      </w:r>
      <w:r>
        <w:rPr>
          <w:rFonts w:ascii="Arial" w:hAnsi="Arial"/>
          <w:b/>
          <w:i/>
        </w:rPr>
        <w:t xml:space="preserve"> </w:t>
      </w:r>
      <w:r>
        <w:rPr>
          <w:rFonts w:ascii="Arial" w:hAnsi="Arial"/>
          <w:i/>
        </w:rPr>
        <w:t>Denominazioni e definizioni dei prodotti.</w:t>
      </w:r>
    </w:p>
    <w:p w14:paraId="04579D1D" w14:textId="12EFF7DC" w:rsidR="006938AC" w:rsidRPr="00DE35E8" w:rsidRDefault="009F53DF" w:rsidP="00B503A1">
      <w:pPr>
        <w:spacing w:before="360" w:after="360"/>
        <w:jc w:val="both"/>
        <w:rPr>
          <w:rFonts w:ascii="Arial" w:hAnsi="Arial" w:cs="Arial"/>
        </w:rPr>
      </w:pPr>
      <w:r>
        <w:rPr>
          <w:rFonts w:ascii="Arial" w:hAnsi="Arial"/>
        </w:rPr>
        <w:t xml:space="preserve">1. Le definizioni e le denominazioni delle varie categorie di prodotti in cui sono classificati gli oli d'oliva e gli oli di sansa d'oliva sono quelle stabilite nell'allegato VII, parte VIII, del regolamento (UE) n. 1308/2013 del Parlamento europeo e del Consiglio, del 17 dicembre 2013, recante organizzazione comune dei mercati dei prodotti agricoli e che abroga i regolamenti (CEE) n. 922/72, (CEE) n. 234/79, (CE) n. 1037/2001 e (CE) n. 1234/2007 del Consiglio e nei regolamenti europei che lo attuano o lo sostituiscono.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lastRenderedPageBreak/>
        <w:t>2. Ai fini del presente regio decreto, si intende per:</w:t>
      </w:r>
    </w:p>
    <w:p w14:paraId="367FE3EC" w14:textId="28BA55D0" w:rsidR="00B56228" w:rsidRPr="00DE35E8" w:rsidRDefault="009F53DF" w:rsidP="00B503A1">
      <w:pPr>
        <w:spacing w:after="160"/>
        <w:jc w:val="both"/>
        <w:rPr>
          <w:rFonts w:ascii="Arial" w:hAnsi="Arial" w:cs="Arial"/>
        </w:rPr>
      </w:pPr>
      <w:r>
        <w:rPr>
          <w:rFonts w:ascii="Arial" w:hAnsi="Arial"/>
        </w:rPr>
        <w:t xml:space="preserve">a) Centro per l'acquisto e/o il ricevimento delle olive: la struttura dedicata all'acquisto e/o al ricevimento delle olive da diversi agricoltori per consegnarle a un frantoio oppure a un impianto di trattamento, senza effettuare alcuna trasformazione dei frutti. </w:t>
      </w:r>
    </w:p>
    <w:p w14:paraId="015DB5A6" w14:textId="4A9CCC71"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b) Frantoio: mulino o industria dove si ottiene l'</w:t>
      </w:r>
      <w:hyperlink r:id="rId8" w:tooltip="Olio d'oliva" w:history="1">
        <w:r>
          <w:rPr>
            <w:rFonts w:ascii="Arial" w:hAnsi="Arial"/>
          </w:rPr>
          <w:t>olio d'oliva</w:t>
        </w:r>
      </w:hyperlink>
      <w:r>
        <w:rPr>
          <w:rFonts w:ascii="Arial" w:hAnsi="Arial"/>
        </w:rPr>
        <w:t xml:space="preserve"> vergine con mezzi meccanici o fisici attraverso la molitura delle</w:t>
      </w:r>
      <w:hyperlink r:id="rId9" w:tooltip="Oliva" w:history="1">
        <w:r>
          <w:rPr>
            <w:rFonts w:ascii="Arial" w:hAnsi="Arial"/>
          </w:rPr>
          <w:t xml:space="preserve"> olive</w:t>
        </w:r>
      </w:hyperlink>
      <w:r>
        <w:rPr>
          <w:rFonts w:ascii="Arial" w:hAnsi="Arial"/>
        </w:rPr>
        <w:t xml:space="preserve">, frutti interi e crudi di </w:t>
      </w:r>
      <w:r>
        <w:rPr>
          <w:rFonts w:ascii="Arial" w:hAnsi="Arial"/>
          <w:i/>
        </w:rPr>
        <w:t xml:space="preserve">Olea europaea </w:t>
      </w:r>
      <w:r>
        <w:rPr>
          <w:rFonts w:ascii="Arial" w:hAnsi="Arial"/>
        </w:rPr>
        <w:t xml:space="preserve">L.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Frantoio mobile: un frantoio che si muove per macinare olive, frutti interi e crudi di </w:t>
      </w:r>
      <w:r>
        <w:rPr>
          <w:rFonts w:ascii="Arial" w:hAnsi="Arial"/>
          <w:i/>
        </w:rPr>
        <w:t>Olea europaea</w:t>
      </w:r>
      <w:r>
        <w:rPr>
          <w:rFonts w:ascii="Arial" w:hAnsi="Arial"/>
        </w:rPr>
        <w:t xml:space="preserve"> L., sul posto per ottenere olio d'oliva vergine e che non ha un'ubicazione fisica specifica o fissa.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d) Imbottigliatrice per l'olio: l'industria o l'impianto in cui vengono imbottigliati gli oli d'oliva e di sansa d'oliva destinati al consumo umano.</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e) Raffineria: l'industria o l'impianto in cui gli oli d'oliva e di sansa d'oliva vengono raffinati per il consumo umano.</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t xml:space="preserve">f) Estrattore di sansa: l'industria o l'impianto dedicato all'attività di ottenimento di oli di sansa d'oliva grezzi dalla sansa mediante procedimenti fisici o chimici. Sono compresi gli impianti che svolgono esclusivamente l'attività di essiccazione delle sanse grasse umide provenienti dalla molitura di olive crude e intere. </w:t>
      </w:r>
    </w:p>
    <w:p w14:paraId="60ACFDD6" w14:textId="4E7B9285" w:rsidR="009F100F" w:rsidRPr="00DE35E8" w:rsidRDefault="000B53F1" w:rsidP="00B503A1">
      <w:pPr>
        <w:spacing w:after="160"/>
        <w:jc w:val="both"/>
        <w:rPr>
          <w:rFonts w:ascii="Arial" w:hAnsi="Arial" w:cs="Arial"/>
        </w:rPr>
      </w:pPr>
      <w:r>
        <w:rPr>
          <w:rFonts w:ascii="Arial" w:hAnsi="Arial"/>
        </w:rPr>
        <w:t xml:space="preserve">g) Magazzino: lo stabilimento in cui non avviene alcuna trasformazione del prodotto e dove questo viene solo temporaneamente stoccato tra gli altri operatori del settore.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Operatore: la persona fisica o giuridica che svolge la propria attività nel settore e nel mercato degli oli d'oliva e di sansa d'oliva, compresi i raccoglitori che ritirano il loro olio dal frantoio sfuso e chiunque acquisti o ritiri olio d'oliva vergine sfuso da un frantoio. Allo stesso modo, le imbottigliatrici e gli impianti di trattamento sono considerati operatori quando utilizzano frutti interi e crudi di </w:t>
      </w:r>
      <w:r>
        <w:rPr>
          <w:rFonts w:ascii="Arial" w:hAnsi="Arial"/>
          <w:i/>
        </w:rPr>
        <w:t>Olea europaea</w:t>
      </w:r>
      <w:r>
        <w:rPr>
          <w:rFonts w:ascii="Arial" w:hAnsi="Arial"/>
        </w:rPr>
        <w:t xml:space="preserve"> L. non trattati per ulteriore trasformazione in olio.</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Operatore senza strutture: la persona fisica o giuridica senza strutture proprie che opera nel settore e nel mercato degli oli d'oliva e di sansa d'oliva.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j) Raccoglitore: la persona fisica o giuridica titolare di un'azienda olivicola che produce olive (</w:t>
      </w:r>
      <w:r>
        <w:rPr>
          <w:rFonts w:ascii="Arial" w:hAnsi="Arial"/>
          <w:i/>
        </w:rPr>
        <w:t>Olea europaea</w:t>
      </w:r>
      <w:r>
        <w:rPr>
          <w:rFonts w:ascii="Arial" w:hAnsi="Arial"/>
        </w:rPr>
        <w:t xml:space="preserve"> L.) per la loro trasformazione in olio d'oliva ottenuto dalla molitura delle proprie olive da parte di un frantoio che fornisce servizi di molitura.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Processo di raffinazione: qualsiasi processo a cui sono sottoposti gli oli d'oliva e gli oli di sansa d'oliva grezzi, diverso dall'ottenimento mediante procedimenti fisici e chiarificazione mediante lavaggio, sedimentazione, centrifugazione o filtrazione.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l) Processo continuo: un processo senza pause e senza transizione tra le diverse operazioni che prevede comunque una tramoggia o un serbatoio intermedio di collegamento, considerando che il tempo massimo consentito per la permanenza della massa nella tramoggia o nel serbatoio intermedio è di 12 ore, sempre all'interno dello stesso impianto.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lastRenderedPageBreak/>
        <w:t>m) Consumatore finale: il consumatore finale di un prodotto alimentare che non utilizza detto prodotto nell'ambito di un'operazione o attività commerciale nel settore alimentare.</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n) Collettività: qualsiasi stabilimento (incluso un veicolo o una stazione fissa o mobile), come ristoranti, mense, centri educativi, ospedali e aziende che forniscono pasti pronti</w:t>
      </w:r>
      <w:r>
        <w:t xml:space="preserve"> </w:t>
      </w:r>
      <w:r>
        <w:rPr>
          <w:rFonts w:ascii="Arial" w:hAnsi="Arial"/>
        </w:rPr>
        <w:t xml:space="preserve">e altri centri sociali, in cui, come attività imprenditoriale, vengono preparati cibi pronti per il consumo da parte del consumatore finale.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Articolo 4. </w:t>
      </w:r>
      <w:r>
        <w:rPr>
          <w:rFonts w:ascii="Arial" w:hAnsi="Arial"/>
          <w:i/>
        </w:rPr>
        <w:t>Obblighi di tracciabilità.</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Gli operatori, e in particolare quelli che dispongono di strutture, sono tenuti a disporre di un sistema di registrazione della tracciabilità, come indicato nell'allegato I, nel luogo in cui si trovano i prodotti. </w:t>
      </w:r>
    </w:p>
    <w:p w14:paraId="09C457D0" w14:textId="58FE3649" w:rsidR="00FF489D" w:rsidRPr="00DE35E8" w:rsidRDefault="00066154" w:rsidP="00B503A1">
      <w:pPr>
        <w:spacing w:before="360" w:after="360"/>
        <w:jc w:val="both"/>
        <w:rPr>
          <w:rFonts w:ascii="Arial" w:hAnsi="Arial" w:cs="Arial"/>
        </w:rPr>
      </w:pPr>
      <w:r>
        <w:rPr>
          <w:rFonts w:ascii="Arial" w:hAnsi="Arial"/>
        </w:rPr>
        <w:t xml:space="preserve">Le iscrizioni in questi registri devono essere effettuate in tempo reale. </w:t>
      </w:r>
    </w:p>
    <w:p w14:paraId="092F6554" w14:textId="11358C79" w:rsidR="009867F2" w:rsidRPr="00DE35E8" w:rsidRDefault="009867F2" w:rsidP="00B503A1">
      <w:pPr>
        <w:spacing w:before="360" w:after="360"/>
        <w:jc w:val="both"/>
        <w:rPr>
          <w:rFonts w:ascii="Arial" w:hAnsi="Arial" w:cs="Arial"/>
          <w:highlight w:val="lightGray"/>
        </w:rPr>
      </w:pPr>
      <w:r>
        <w:rPr>
          <w:rFonts w:ascii="Arial" w:hAnsi="Arial"/>
        </w:rPr>
        <w:t xml:space="preserve">In deroga ai commi precedenti e fatto salvo il rispetto del regolamento (CE) n. 178/2002 del Parlamento europeo e del Consiglio, del 28 gennaio 2002, che stabilisce i principi e i requisiti generali della legislazione alimentare, istituisce l'Autorità europea per la sicurezza alimentare e fissa procedure nel campo della sicurezza alimentare, i magazzini destinati esclusivamente allo stoccaggio e alla distribuzione di olio d'oliva e di olio di sansa d'oliva imbottigliato e destinato alla vendita al consumatore finale e i negozi al dettaglio non sono tenuti a tenere i registri per i movimenti interni previsti dalla presente norma.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Nel caso del trasporto di olio d'oliva e di olio di sansa d'oliva, la merce deve essere accompagnata in ogni caso e in ogni momento da un documento contenente almeno le informazioni elencate nell'allegato II del presente regio decreto e che identifichi inequivocabilmente la denominazione del prodotto in questione in conformità alle norme applicabili. </w:t>
      </w:r>
    </w:p>
    <w:p w14:paraId="783F92B4" w14:textId="77777777" w:rsidR="006A2822" w:rsidRPr="00C15E58" w:rsidRDefault="00F3403A" w:rsidP="00B503A1">
      <w:pPr>
        <w:spacing w:before="360" w:after="360"/>
        <w:jc w:val="both"/>
        <w:rPr>
          <w:rFonts w:ascii="Arial" w:hAnsi="Arial" w:cs="Arial"/>
          <w:spacing w:val="-4"/>
          <w:shd w:val="clear" w:color="auto" w:fill="FFFFFF"/>
        </w:rPr>
      </w:pPr>
      <w:r w:rsidRPr="00C15E58">
        <w:rPr>
          <w:rFonts w:ascii="Arial" w:hAnsi="Arial"/>
          <w:spacing w:val="-4"/>
          <w:shd w:val="clear" w:color="auto" w:fill="FFFFFF"/>
        </w:rPr>
        <w:t>3. Per il trasporto dell'olio d'oliva e dell'olio di sansa d'oliva, gli operatori sono tenuti a notificare al sistema informatico istituito a tale scopo dal ministero dell'Agricoltura, della pesca e dell'alimentazione i dati di cui al paragrafo 2 prima che il movimento abbia luogo.</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Gli operatori di cui all'articolo 5, paragrafo 3, sono tenuti a notificare al sistema informatico di cui al paragrafo precedente i movimenti di olio d'oliva e di olio di sansa d'oliva tra frantoi, raffinerie ed estrattori situati nei loro locali.</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t>I medesimi operatori inviano inoltre ogni anno all'autorità di controllo competente un rapporto sui registri di tracciabilità di cui al paragrafo 1, indicando chiaramente le entrate, le uscite e i movimenti interni di ogni categoria di olio che producono, immagazzinano o commercializzano.</w:t>
      </w:r>
    </w:p>
    <w:p w14:paraId="6FD8B5F6" w14:textId="5B2EAD7B" w:rsidR="00130EB2" w:rsidRPr="00DE35E8" w:rsidRDefault="00F1760D" w:rsidP="00C15E58">
      <w:pPr>
        <w:keepNext/>
        <w:keepLines/>
        <w:spacing w:before="360" w:after="360"/>
        <w:jc w:val="both"/>
        <w:rPr>
          <w:rFonts w:ascii="Arial" w:hAnsi="Arial" w:cs="Arial"/>
          <w:i/>
        </w:rPr>
      </w:pPr>
      <w:r>
        <w:rPr>
          <w:rFonts w:ascii="Arial" w:hAnsi="Arial"/>
          <w:b/>
        </w:rPr>
        <w:lastRenderedPageBreak/>
        <w:t xml:space="preserve">Articolo 5. </w:t>
      </w:r>
      <w:r>
        <w:rPr>
          <w:rFonts w:ascii="Arial" w:hAnsi="Arial"/>
          <w:i/>
        </w:rPr>
        <w:t xml:space="preserve">Obblighi specifici delle strutture. </w:t>
      </w:r>
    </w:p>
    <w:p w14:paraId="1C9356CC" w14:textId="14DEA81D" w:rsidR="00F275BA" w:rsidRPr="00C15E58" w:rsidRDefault="00846C60" w:rsidP="00B503A1">
      <w:pPr>
        <w:spacing w:before="360" w:after="360"/>
        <w:jc w:val="both"/>
        <w:rPr>
          <w:rFonts w:ascii="Arial" w:hAnsi="Arial" w:cs="Arial"/>
          <w:spacing w:val="-4"/>
        </w:rPr>
      </w:pPr>
      <w:r w:rsidRPr="00C15E58">
        <w:rPr>
          <w:rFonts w:ascii="Arial" w:hAnsi="Arial"/>
          <w:spacing w:val="-4"/>
        </w:rPr>
        <w:t xml:space="preserve">1. I frantoi, le raffinerie e gli estrattori di olio di sansa di nuova costituzione devono essere situati in modo indipendente. In nessun caso possono essere collegati in alcun modo. </w:t>
      </w:r>
    </w:p>
    <w:p w14:paraId="46CEEEF6" w14:textId="76D68949" w:rsidR="000E44EE" w:rsidRPr="00DE35E8" w:rsidRDefault="00846C60" w:rsidP="00B503A1">
      <w:pPr>
        <w:spacing w:before="360" w:after="360"/>
        <w:jc w:val="both"/>
        <w:rPr>
          <w:rFonts w:ascii="Arial" w:hAnsi="Arial" w:cs="Arial"/>
        </w:rPr>
      </w:pPr>
      <w:r>
        <w:rPr>
          <w:rFonts w:ascii="Arial" w:hAnsi="Arial"/>
        </w:rPr>
        <w:t>2. I frantoi, le raffinerie e gli estrattori di olio di sansa di nuova costituzione devono essere debitamente isolati o separati da qualsiasi altra industria o locale estraneo ai loro compiti specifici e, in particolare, da quelli dedicati alla produzione, trasformazione, stoccaggio sfuso e confezionamento di grassi animali o vegetali e oli e grassi industriali o minerali.</w:t>
      </w:r>
    </w:p>
    <w:p w14:paraId="6A54E281" w14:textId="0A6B0DE1" w:rsidR="00240127" w:rsidRPr="00DE35E8" w:rsidRDefault="000E44EE" w:rsidP="00B503A1">
      <w:pPr>
        <w:spacing w:after="240"/>
        <w:jc w:val="both"/>
        <w:rPr>
          <w:rFonts w:ascii="Arial" w:hAnsi="Arial" w:cs="Arial"/>
        </w:rPr>
      </w:pPr>
      <w:r>
        <w:rPr>
          <w:rFonts w:ascii="Arial" w:hAnsi="Arial"/>
        </w:rPr>
        <w:t>3. Sono esentati dagli obblighi di cui ai paragrafi 1 e 2 del presente articolo i frantoi, le raffinerie e gli estrattori di olio di sansa già in funzione all'entrata in vigore della presente norma.</w:t>
      </w:r>
    </w:p>
    <w:p w14:paraId="5D720B27" w14:textId="1F5DACCF" w:rsidR="00B53FC3" w:rsidRPr="00DE35E8" w:rsidRDefault="00240127" w:rsidP="00B503A1">
      <w:pPr>
        <w:spacing w:after="240"/>
        <w:jc w:val="both"/>
        <w:rPr>
          <w:rFonts w:ascii="Arial" w:hAnsi="Arial" w:cs="Arial"/>
        </w:rPr>
      </w:pPr>
      <w:r>
        <w:rPr>
          <w:rFonts w:ascii="Arial" w:hAnsi="Arial"/>
        </w:rPr>
        <w:t>4. I frantoi o qualsiasi altro stabilimento di un operatore del settore devono aver classificato tutto l'olio che producono in conformità alle denominazioni stabilite dalle normative europee.</w:t>
      </w:r>
    </w:p>
    <w:p w14:paraId="1DFBB585" w14:textId="67BB3B44" w:rsidR="00C211C4" w:rsidRPr="00DE35E8" w:rsidRDefault="00240127" w:rsidP="00B503A1">
      <w:pPr>
        <w:spacing w:after="240"/>
        <w:jc w:val="both"/>
        <w:rPr>
          <w:rFonts w:ascii="Arial" w:hAnsi="Arial" w:cs="Arial"/>
        </w:rPr>
      </w:pPr>
      <w:r>
        <w:rPr>
          <w:rFonts w:ascii="Arial" w:hAnsi="Arial"/>
        </w:rPr>
        <w:t>5. Nelle imbottigliatrici per l'olio, le tubazioni e i serbatoi dell'olio contemplati dalla presente norma devono essere adeguatamente condizionati al fine di evitare la contaminazione incrociata.</w:t>
      </w:r>
    </w:p>
    <w:p w14:paraId="7BAD271D" w14:textId="34E0E7A0" w:rsidR="00B73E9D" w:rsidRPr="00DE35E8" w:rsidRDefault="00B73E9D" w:rsidP="00B503A1">
      <w:pPr>
        <w:spacing w:before="360" w:after="360"/>
        <w:jc w:val="both"/>
        <w:rPr>
          <w:rFonts w:ascii="Arial" w:hAnsi="Arial" w:cs="Arial"/>
          <w:i/>
        </w:rPr>
      </w:pPr>
      <w:r w:rsidRPr="001310CA">
        <w:rPr>
          <w:rFonts w:ascii="Arial" w:hAnsi="Arial"/>
          <w:b/>
        </w:rPr>
        <w:t>Articolo 6.</w:t>
      </w:r>
      <w:r>
        <w:rPr>
          <w:rFonts w:ascii="Arial" w:hAnsi="Arial"/>
          <w:i/>
        </w:rPr>
        <w:t xml:space="preserve"> Obblighi specifici degli oli.</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Gli oli d'oliva e di sansa d'oliva oggetto della presente disposizione devono essere conformi non solo alle caratteristiche fisico-chimiche e organolettiche stabilite nelle norme dell'Unione europea che disciplinano questa materia, ma anche alle caratteristiche di cui all'allegato III.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Questi prodotti possono provenire solo dal frutto intero dell'olivo</w:t>
      </w:r>
      <w:r>
        <w:rPr>
          <w:rFonts w:ascii="Arial" w:hAnsi="Arial"/>
          <w:i/>
        </w:rPr>
        <w:t xml:space="preserve"> </w:t>
      </w:r>
      <w:r>
        <w:rPr>
          <w:rFonts w:ascii="Arial" w:hAnsi="Arial"/>
        </w:rPr>
        <w:t>(</w:t>
      </w:r>
      <w:r>
        <w:rPr>
          <w:rFonts w:ascii="Arial" w:hAnsi="Arial"/>
          <w:i/>
        </w:rPr>
        <w:t xml:space="preserve">Olea europaea </w:t>
      </w:r>
      <w:r>
        <w:rPr>
          <w:rFonts w:ascii="Arial" w:hAnsi="Arial"/>
        </w:rPr>
        <w:t>L.</w:t>
      </w:r>
      <w:r>
        <w:rPr>
          <w:rFonts w:ascii="Arial" w:hAnsi="Arial"/>
          <w:i/>
        </w:rPr>
        <w:t xml:space="preserve">), </w:t>
      </w:r>
      <w:r>
        <w:rPr>
          <w:rFonts w:ascii="Arial" w:hAnsi="Arial"/>
        </w:rPr>
        <w:t xml:space="preserve">senza subire alcun trattamento, tranne la pulizia o il lavaggio non alcalino dell'oliva.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 L'olio d'oliva lampante deve essere sottoposto a raffinazione preventiva per essere destinato all'uso alimentare. </w:t>
      </w:r>
    </w:p>
    <w:p w14:paraId="097A7FE6" w14:textId="088927FF" w:rsidR="003335F1" w:rsidRPr="00DE35E8" w:rsidRDefault="008C2F75" w:rsidP="00B503A1">
      <w:pPr>
        <w:jc w:val="both"/>
        <w:rPr>
          <w:rFonts w:ascii="Arial" w:hAnsi="Arial" w:cs="Arial"/>
        </w:rPr>
      </w:pPr>
      <w:r>
        <w:rPr>
          <w:rFonts w:ascii="Arial" w:hAnsi="Arial"/>
        </w:rPr>
        <w:t xml:space="preserve">3. Gli oli d'oliva e di sansa d'oliva devono essere sempre protetti da condizioni ambientali avverse che possono alterarne le caratteristiche fisico-chimiche e organolettiche, pertanto è necessario garantire che lo stoccaggio, il trasporto e la commercializzazione avvengano al riparo da luce e calore. </w:t>
      </w:r>
    </w:p>
    <w:p w14:paraId="2782ECB5" w14:textId="77F209DE" w:rsidR="003335F1" w:rsidRPr="00DE35E8" w:rsidRDefault="003335F1" w:rsidP="00C15E58">
      <w:pPr>
        <w:keepNext/>
        <w:keepLines/>
        <w:spacing w:before="360" w:after="360"/>
        <w:jc w:val="both"/>
        <w:rPr>
          <w:rFonts w:ascii="Arial" w:hAnsi="Arial" w:cs="Arial"/>
          <w:i/>
        </w:rPr>
      </w:pPr>
      <w:r w:rsidRPr="001310CA">
        <w:rPr>
          <w:rFonts w:ascii="Arial" w:hAnsi="Arial"/>
          <w:b/>
        </w:rPr>
        <w:lastRenderedPageBreak/>
        <w:t>Articolo 7.</w:t>
      </w:r>
      <w:r>
        <w:rPr>
          <w:rFonts w:ascii="Arial" w:hAnsi="Arial"/>
          <w:i/>
        </w:rPr>
        <w:t xml:space="preserve"> Obblighi specifici dei contenitori.</w:t>
      </w:r>
    </w:p>
    <w:p w14:paraId="2C06BA6A" w14:textId="30A0B825" w:rsidR="00726853" w:rsidRPr="00DE35E8" w:rsidRDefault="008C2F75" w:rsidP="00C15E58">
      <w:pPr>
        <w:keepLines/>
        <w:spacing w:before="100" w:beforeAutospacing="1" w:after="100" w:afterAutospacing="1"/>
        <w:jc w:val="both"/>
        <w:rPr>
          <w:rFonts w:ascii="Arial" w:hAnsi="Arial" w:cs="Arial"/>
        </w:rPr>
      </w:pPr>
      <w:r>
        <w:rPr>
          <w:rFonts w:ascii="Arial" w:hAnsi="Arial"/>
        </w:rPr>
        <w:t xml:space="preserve">1. I contenitori in cui sono presentati gli oli devono essere puliti e realizzati con materiali idonei all'uso alimentare e che proteggono gli oli dai processi ossidativi, in conformità alla normativa igienico-sanitaria vigente. Detti contenitori non possono in alcun caso modificare le caratteristiche del contenuto o trasmettere sapori oppure odori estranei, o causare alterazioni al prodotto, inoltre devono essere sempre protetti conformemente all'articolo 6, paragrafo 3.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 I contenitori degli oli d'oliva e di sansa d'oliva destinati alla vendita o alla consegna al consumatore finale, compresi quelli consegnati dai frantoi ai rispettivi raccoglitori per il consumo e quelli forniti alle collettività, devono essere muniti di un dispositivo di chiusura non riutilizzabile ed etichettati conformemente alle disposizioni della normativa vigente. </w:t>
      </w:r>
    </w:p>
    <w:p w14:paraId="0A2AD994" w14:textId="02AC4A07" w:rsidR="0035653C" w:rsidRPr="00DE35E8" w:rsidRDefault="00BA5254" w:rsidP="00B503A1">
      <w:pPr>
        <w:spacing w:after="240"/>
        <w:jc w:val="both"/>
        <w:rPr>
          <w:rFonts w:ascii="Arial" w:hAnsi="Arial" w:cs="Arial"/>
        </w:rPr>
      </w:pPr>
      <w:r>
        <w:rPr>
          <w:rFonts w:ascii="Arial" w:hAnsi="Arial"/>
        </w:rPr>
        <w:t>3. I contenitori destinati alla vendita al consumatore finale, compresi quelli forniti dai frantoi ai raccoglitori per il consumo, hanno una capacità massima di cinque litri. Gli oli forniti alle collettività possono anche essere commercializzati in contenitori da 10, 20, 25 e 50 litri di capacità.</w:t>
      </w:r>
    </w:p>
    <w:p w14:paraId="55C9795C" w14:textId="20FCBB59" w:rsidR="00B56228" w:rsidRPr="00DE35E8" w:rsidRDefault="00BA5254" w:rsidP="00B503A1">
      <w:pPr>
        <w:pStyle w:val="Default"/>
        <w:spacing w:before="160"/>
        <w:jc w:val="both"/>
        <w:rPr>
          <w:color w:val="auto"/>
        </w:rPr>
      </w:pPr>
      <w:r>
        <w:rPr>
          <w:color w:val="auto"/>
        </w:rPr>
        <w:t>4. I contenitori messi a disposizione dei consumatori finali negli stabilimenti delle collettività sono provvisti di un sistema di protezione che ne impedisce il riutilizzo dopo l'esaurimento del contenuto originale.</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color w:val="auto"/>
        </w:rPr>
        <w:t>Articolo 8.</w:t>
      </w:r>
      <w:r>
        <w:rPr>
          <w:b/>
          <w:i/>
          <w:color w:val="auto"/>
        </w:rPr>
        <w:t xml:space="preserve"> </w:t>
      </w:r>
      <w:r>
        <w:rPr>
          <w:i/>
          <w:color w:val="auto"/>
        </w:rPr>
        <w:t>Pratiche vietate.</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Le seguenti pratiche sono vietate:</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la produzione per la commercializzazione nel mercato nazionale di miscele di oli d'oliva e di sansa d'oliva con altri oli o grassi di origine vegetale. Queste miscele non possono essere commercializzate con alcuna denominazione alimentare di cui al regolamento (UE) n. 1169/2011 del Parlamento europeo e del Consiglio, del 25 ottobre 2011, relativo alla fornitura di informazioni sugli alimenti ai consumatori; </w:t>
      </w:r>
    </w:p>
    <w:p w14:paraId="24AAF4C2" w14:textId="695BA2C5" w:rsidR="00AF1F55" w:rsidRPr="00DE35E8" w:rsidRDefault="008C2F75" w:rsidP="00B503A1">
      <w:pPr>
        <w:jc w:val="both"/>
        <w:rPr>
          <w:rFonts w:ascii="Arial" w:hAnsi="Arial" w:cs="Arial"/>
        </w:rPr>
      </w:pPr>
      <w:r>
        <w:rPr>
          <w:rFonts w:ascii="Arial" w:hAnsi="Arial"/>
        </w:rPr>
        <w:t>b) l'uso del termine "vergine" o "extra vergine" nell'etichettatura di prodotti alimentari dall'aspetto oleoso che possono essere confusi con gli oli d'oliva della presente norma, come oli, condimenti, salse, prodotti simili. Tale divieto non influisce sull'elenco degli ingredienti del prodotto in questione;</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la commercializzazione di oli extravergine d'oliva in contenitori di plastica nel canale della vendita al dettaglio;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il trasferimento o il riempimento in recipienti o contenitori destinati al consumatore finale, di olio d'oliva o di sansa d'oliva nelle collettività; </w:t>
      </w:r>
    </w:p>
    <w:p w14:paraId="31ED4097" w14:textId="3B96FFF4" w:rsidR="00BF4307" w:rsidRPr="00DE35E8" w:rsidRDefault="008C2F75" w:rsidP="00B503A1">
      <w:pPr>
        <w:spacing w:after="240"/>
        <w:jc w:val="both"/>
        <w:rPr>
          <w:rFonts w:ascii="Arial" w:hAnsi="Arial" w:cs="Arial"/>
        </w:rPr>
      </w:pPr>
      <w:r>
        <w:rPr>
          <w:rFonts w:ascii="Arial" w:hAnsi="Arial"/>
        </w:rPr>
        <w:t xml:space="preserve">e) la classificazione di miscele di oli d'oliva vergini precedentemente classificate, in una categoria superiore rispetto all'olio di categoria inferiore utilizzato;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lastRenderedPageBreak/>
        <w:t>f) la presenza di impianti e mezzi tecnici specifici per la deodorizzazione e/o qualsiasi altra fase o forma di raffinazione degli oli all'interno di frantoi, magazzini e imbottigliatrici dell'olio d'oliva vergine;</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il ricevimento e la trasformazione da parte dei frantoi di sanse d'oliva provenienti da altri frantoi, o di olive o loro residui da impianti di trattamento in cui sono stati sottoposti a trattamenti non consentiti per ottenere oli oppure oli vergini, o di qualsiasi altra materia prima per l'ottenimento dell'olio, diverso dal frutto intero e crudo dell'olivo;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il deposito, lo stoccaggio e il trasporto di oli d'oliva e di sansa d'oliva senza la dovuta identificazione con la corrispondente categoria di prodotto, tranne che nei frantoi, la cui classificazione in tal caso è data prima della spedizione.</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Negli impianti definiti all'articolo 3 destinati all'ottenimento dell'olio d'oliva e di sansa d'oliva, sono vietati:</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Il lavaggio alcalino degli oli nei frantoi.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L'estrazione o la raffinazione di oli d'oliva e di sansa d'oliva, mediante procedimenti, solventi o coadiuvanti diversi da quelli autorizzati, nonché l'aggiunta di oli industriali, minerali, esterificati o sintetici.</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L'esecuzione di processi di esterificazione o qualsiasi pratica che possa alterare la struttura gliceridica dell'olio.</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d) Il trattamento degli oli con aria, ossigeno, ozono o altre sostanze chimiche ossidanti salvo quanto necessario per il pompaggio nel travaso, l'inertizzazione di contenitori e serbatoi, e l'omogeneizzazione mediante azoto o altri gas inerti, ferma restando la normativa di l'Unione europea.</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e) La detenzione o la manipolazione negli impianti dedicati a estrazione, raffinazione, imbottigliamento o stoccaggio sfuso di oli d'oliva e di sansa d'oliva, di glicerina, grassi o oli animali, vegetali, industriali o sintetici e di qualsiasi sostanza non autorizzata</w:t>
      </w:r>
      <w:r>
        <w:rPr>
          <w:rFonts w:ascii="Arial" w:hAnsi="Arial"/>
          <w:sz w:val="28"/>
        </w:rPr>
        <w:t xml:space="preserve">, </w:t>
      </w:r>
      <w:r>
        <w:rPr>
          <w:rFonts w:ascii="Arial" w:hAnsi="Arial"/>
        </w:rPr>
        <w:t xml:space="preserve">il cui uso non è né autorizzato né giustificato.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t xml:space="preserve">f) Nei frantoi, la ri-centrifugazione in un processo non continuo delle masse provenienti dagli impianti di produzione dell'olio d'oliva vergine, per evitarne la fermentazione. La ri-centrifugazione delle masse provenienti dagli impianti di produzione dell'olio d'oliva vergine può essere effettuata solo dopo l'abbattimento termico delle stesse, in un processo continuo e, in nessun caso è consentita la ri-centrifugazione delle masse o delle sanse provenienti da serbatoi o cisterne di stoccaggio diversi da quelli di cui all'articolo 3, paragrafo 2, lettera l). </w:t>
      </w:r>
    </w:p>
    <w:p w14:paraId="11933B30" w14:textId="3F3F5A51" w:rsidR="00B573B8" w:rsidRPr="00DE35E8" w:rsidRDefault="00B573B8" w:rsidP="00C15E58">
      <w:pPr>
        <w:keepNext/>
        <w:keepLines/>
        <w:spacing w:before="360" w:after="360"/>
        <w:jc w:val="both"/>
        <w:rPr>
          <w:rFonts w:ascii="Arial" w:hAnsi="Arial" w:cs="Arial"/>
          <w:i/>
        </w:rPr>
      </w:pPr>
      <w:r>
        <w:rPr>
          <w:rFonts w:ascii="Arial" w:hAnsi="Arial"/>
          <w:b/>
        </w:rPr>
        <w:lastRenderedPageBreak/>
        <w:t>Articolo 9.</w:t>
      </w:r>
      <w:r>
        <w:rPr>
          <w:rFonts w:ascii="Arial" w:hAnsi="Arial"/>
          <w:b/>
          <w:i/>
        </w:rPr>
        <w:t xml:space="preserve"> </w:t>
      </w:r>
      <w:r>
        <w:rPr>
          <w:rFonts w:ascii="Arial" w:hAnsi="Arial"/>
          <w:i/>
        </w:rPr>
        <w:t>Controllo ufficiale, coordinamento e regime sanzionatorio</w:t>
      </w:r>
    </w:p>
    <w:p w14:paraId="413DF876" w14:textId="7EC39A9F" w:rsidR="004F4E66" w:rsidRPr="00DE35E8" w:rsidRDefault="00A27CF4" w:rsidP="00C15E58">
      <w:pPr>
        <w:keepNext/>
        <w:keepLines/>
        <w:spacing w:before="100" w:beforeAutospacing="1" w:after="100" w:afterAutospacing="1"/>
        <w:jc w:val="both"/>
        <w:rPr>
          <w:rFonts w:ascii="Arial" w:hAnsi="Arial" w:cs="Arial"/>
        </w:rPr>
      </w:pPr>
      <w:r>
        <w:rPr>
          <w:rFonts w:ascii="Arial" w:hAnsi="Arial"/>
        </w:rPr>
        <w:t xml:space="preserve">1. Le autorità di controllo ufficiali competenti effettuano almeno un controllo di conformità ogni mille tonnellate di olio d'oliva e di sansa d'oliva commercializzate al fine di verificarne le caratteristiche qualitative secondo quanto stabilito dal regolamento (CEE) n. 2568/91 della Commissione, dell'11 luglio 1991, relativo alle caratteristiche degli oli d'oliva e degli oli di sansa d'oliva nonché ai metodi ad essi attinenti.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Le modalità di prelievo e analisi dei campioni sono quelle stabilite per ciascun prodotto dalle normative dell'Unione europea o, in loro assenza, dalle disposizioni emanate a livello nazionale o di comunità autonoma.</w:t>
      </w:r>
    </w:p>
    <w:p w14:paraId="374757DA" w14:textId="2ACBCB79" w:rsidR="00A27CF4" w:rsidRPr="00DE35E8" w:rsidRDefault="00A27CF4" w:rsidP="00B503A1">
      <w:pPr>
        <w:spacing w:before="100" w:beforeAutospacing="1" w:after="100" w:afterAutospacing="1"/>
        <w:jc w:val="both"/>
        <w:rPr>
          <w:rFonts w:ascii="Arial" w:hAnsi="Arial" w:cs="Arial"/>
        </w:rPr>
      </w:pPr>
      <w:r>
        <w:rPr>
          <w:rFonts w:ascii="Arial" w:hAnsi="Arial"/>
        </w:rPr>
        <w:t xml:space="preserve">3. La verifica della conformità alla categoria dichiarata sull'etichettatura degli oli d'oliva vergini è effettuata da laboratori ufficiali riconosciuti per quanto riguarda le loro caratteristiche fisico-chimiche, e in relazione alle loro caratteristiche organolettiche dai panel di assaggiatori autorizzati per il controllo ufficiale secondo le disposizioni del regio decreto 227/2008, del 15 febbraio, che stabilisce le regole di base relative ai panel di assaggiatori di olio d'oliva vergine.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Fatti salvi i controlli previsti dalla normativa dell'Unione europea di cui al paragrafo 1, il ministero dell'Agricoltura, della pesca e dell'alimentazione coordina un piano di controllo specifico per la verifica della tracciabilità del settore dell'olio d'oliva e di sansa d'oliva, come descritto all'articolo 4. Il piano prevede controlli specifici per le strutture di cui all'articolo 5, paragrafo 3. </w:t>
      </w:r>
    </w:p>
    <w:p w14:paraId="0CEE0216" w14:textId="0046C74F" w:rsidR="00991F21" w:rsidRPr="00DE35E8" w:rsidRDefault="00F14BA3" w:rsidP="00B503A1">
      <w:pPr>
        <w:pStyle w:val="Default"/>
        <w:spacing w:after="240"/>
        <w:jc w:val="both"/>
        <w:rPr>
          <w:color w:val="auto"/>
        </w:rPr>
      </w:pPr>
      <w:r>
        <w:rPr>
          <w:color w:val="auto"/>
        </w:rPr>
        <w:t>5. Le informazioni sui risultati dei controlli di conformità effettuati secondo le disposizioni di cui al paragrafo 1, sono comunicate nel formato stabilito al ministero dell'Agricoltura, della pesca e dell'alimentazione entro il 1° maggio di ogni anno.</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Tutte le informazioni aggregate sono raccolte in un rapporto annuale sui controlli ufficiali che è pubblicato dall'Amministrazione generale dello Stato su richiesta del ministero dell'Agricoltura, della pesca e dell'alimentazione. </w:t>
      </w:r>
    </w:p>
    <w:p w14:paraId="29C3D5B3" w14:textId="04798B97" w:rsidR="00F14BA3" w:rsidRPr="00DE35E8" w:rsidRDefault="00F14BA3" w:rsidP="00B503A1">
      <w:pPr>
        <w:pStyle w:val="Default"/>
        <w:spacing w:after="240"/>
        <w:jc w:val="both"/>
        <w:rPr>
          <w:color w:val="auto"/>
        </w:rPr>
      </w:pPr>
      <w:r>
        <w:rPr>
          <w:color w:val="auto"/>
        </w:rPr>
        <w:t>7. Il piano di controllo specifico è presentato per la discussione all'Ufficio di coordinamento della qualità degli alimenti e comprende almeno la programmazione delle azioni di controllo nonché il protocollo per l'organizzazione delle campagne ispettive, tenendo conto dei risultati dei controlli di conformità effettuati dalle comunità autonome e i dati contenuti nel Sistema informativo dei mercati olivicoli del ministero dell'Agricoltura, della pesca e dell'alimentazione. Il suddetto piano è riesaminato annualmente dall'Ufficio di coordinamento della qualità degli alimenti.</w:t>
      </w:r>
    </w:p>
    <w:p w14:paraId="2DAC617D" w14:textId="78604F4C" w:rsidR="00A31337" w:rsidRPr="00DE35E8" w:rsidRDefault="000E44EE" w:rsidP="00B503A1">
      <w:pPr>
        <w:jc w:val="both"/>
        <w:rPr>
          <w:rFonts w:ascii="Arial" w:hAnsi="Arial" w:cs="Arial"/>
        </w:rPr>
      </w:pPr>
      <w:r>
        <w:rPr>
          <w:rFonts w:ascii="Arial" w:hAnsi="Arial"/>
        </w:rPr>
        <w:t>8. Le sanzioni irrogate a seguito dei controlli effettuati sono efficaci, proporzionate e dissuasive.</w:t>
      </w:r>
    </w:p>
    <w:p w14:paraId="0B018C2C" w14:textId="1B7A0391" w:rsidR="00CA039D" w:rsidRPr="00DE35E8" w:rsidRDefault="00033181" w:rsidP="00C15E58">
      <w:pPr>
        <w:pStyle w:val="sangrado"/>
        <w:keepNext/>
        <w:keepLines/>
        <w:jc w:val="both"/>
        <w:rPr>
          <w:rFonts w:ascii="Arial" w:hAnsi="Arial" w:cs="Arial"/>
        </w:rPr>
      </w:pPr>
      <w:r>
        <w:rPr>
          <w:rFonts w:ascii="Arial" w:hAnsi="Arial"/>
          <w:b/>
        </w:rPr>
        <w:lastRenderedPageBreak/>
        <w:t xml:space="preserve">Prima disposizione aggiuntiva. </w:t>
      </w:r>
      <w:r>
        <w:rPr>
          <w:rFonts w:ascii="Arial" w:hAnsi="Arial"/>
          <w:i/>
          <w:iCs/>
        </w:rPr>
        <w:t>Clausola di reciproco riconoscimento.</w:t>
      </w:r>
      <w:r>
        <w:rPr>
          <w:rFonts w:ascii="Arial" w:hAnsi="Arial"/>
        </w:rPr>
        <w:t xml:space="preserve"> </w:t>
      </w:r>
    </w:p>
    <w:p w14:paraId="72CD943F" w14:textId="00DA64AE" w:rsidR="00331B68" w:rsidRPr="00DE35E8" w:rsidRDefault="00331B68" w:rsidP="00C15E58">
      <w:pPr>
        <w:keepNext/>
        <w:keepLines/>
        <w:spacing w:before="360" w:after="360"/>
        <w:jc w:val="both"/>
        <w:rPr>
          <w:rFonts w:ascii="Arial" w:hAnsi="Arial" w:cs="Arial"/>
        </w:rPr>
      </w:pPr>
      <w:r>
        <w:rPr>
          <w:rFonts w:ascii="Arial" w:hAnsi="Arial"/>
        </w:rPr>
        <w:t>Le merci legalmente commercializzate in un altro Stato membro dell'Unione europea o in Turchia, o originarie di uno Stato dell'Associazione europea di libero scambio che è firmatario dell'Accordo sullo Spazio economico europeo, sono considerate conformi al presente regio decreto. L'applicazione del presente regio decreto è soggetta al regolamento (UE) 2019/515 del Parlamento europeo e del Consiglio, del 19 marzo 2019, relativo al riconoscimento reciproco delle merci legalmente commercializzate in un altro Stato membro e che abroga il regolamento (CE) n. 764/2008.</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Seconda disposizione aggiuntiva. </w:t>
      </w:r>
      <w:r>
        <w:rPr>
          <w:rFonts w:ascii="Arial" w:hAnsi="Arial"/>
          <w:i/>
        </w:rPr>
        <w:t>Sistema informatizzato.</w:t>
      </w:r>
    </w:p>
    <w:p w14:paraId="1C1C6B38" w14:textId="29BDE441" w:rsidR="003011C3" w:rsidRPr="00DE35E8" w:rsidRDefault="00D734B4" w:rsidP="00B503A1">
      <w:pPr>
        <w:spacing w:before="360" w:after="360"/>
        <w:jc w:val="both"/>
        <w:rPr>
          <w:rFonts w:ascii="Arial" w:hAnsi="Arial" w:cs="Arial"/>
          <w:bCs/>
        </w:rPr>
      </w:pPr>
      <w:r>
        <w:rPr>
          <w:rFonts w:ascii="Arial" w:hAnsi="Arial"/>
        </w:rPr>
        <w:t xml:space="preserve">Al fine di facilitare sia l'adempimento da parte degli operatori dell'obbligo di notifica di cui all'articolo 4, paragrafo 3, sia l'accesso da parte delle autorità competenti alle informazioni e al controllo degli oli d'oliva e degli oli di sansa d'oliva, il ministero dell'Agricoltura, della pesca e dell'alimentazione sviluppa un sistema di supporto informatico. </w:t>
      </w:r>
    </w:p>
    <w:p w14:paraId="7BC1536B" w14:textId="47607053" w:rsidR="00D734B4" w:rsidRPr="00DE35E8" w:rsidRDefault="00190979" w:rsidP="00B503A1">
      <w:pPr>
        <w:spacing w:before="360" w:after="360"/>
        <w:jc w:val="both"/>
        <w:rPr>
          <w:rFonts w:ascii="Arial" w:hAnsi="Arial" w:cs="Arial"/>
          <w:b/>
        </w:rPr>
      </w:pPr>
      <w:r>
        <w:rPr>
          <w:rFonts w:ascii="Arial" w:hAnsi="Arial"/>
        </w:rPr>
        <w:t>Gli operatori responsabili della notifica effettuata, le autorità competenti a fini del controllo e le forze e gli organismi di sicurezza dello Stato hanno accesso a questo sistema.</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Disposizione transitoria unica. </w:t>
      </w:r>
      <w:r>
        <w:rPr>
          <w:rFonts w:ascii="Arial" w:hAnsi="Arial"/>
          <w:i/>
        </w:rPr>
        <w:t>Periodo di transizione.</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Le disposizioni di cui all'articolo 4, paragrafo 3, non sono obbligatorie fino a quando il sistema informatico di cui sopra non verrà istituito.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L'articolo 8, paragrafo 1, lettera c) entra in vigore dal 1° gennaio 2024 per i contenitori fino a un litro e dal 1° gennaio 2025 per tutti gli altri contenitori.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Disposizione abrogativa unica.</w:t>
      </w:r>
      <w:r>
        <w:t xml:space="preserve"> </w:t>
      </w:r>
      <w:r>
        <w:rPr>
          <w:i/>
        </w:rPr>
        <w:t>Abrogazione di norme.</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Si abrogano tutte le disposizioni di rango uguale o inferiore in contrasto con quanto stabilito dal presente regio decreto e in particolare:</w:t>
      </w:r>
    </w:p>
    <w:p w14:paraId="420C7E36" w14:textId="637B8EBE" w:rsidR="00BD3ECA" w:rsidRPr="00DE35E8" w:rsidRDefault="00F07691" w:rsidP="00B503A1">
      <w:pPr>
        <w:spacing w:before="120" w:after="120"/>
        <w:jc w:val="both"/>
        <w:rPr>
          <w:rFonts w:ascii="Arial" w:hAnsi="Arial" w:cs="Arial"/>
        </w:rPr>
      </w:pPr>
      <w:r>
        <w:rPr>
          <w:rFonts w:ascii="Arial" w:hAnsi="Arial"/>
        </w:rPr>
        <w:t>a) il regio decreto 3000/1979, del 7 dicembre, sulla regolamentazione dei processi industriali nel settore dell'olio d'oliva;</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il regio decreto 308/1983, del 25 gennaio, che approva il regolamento tecnico-sanitario degli oli vegetali commestibili, per la parte relativa agli oli d'oliva e di sansa d'oliva; </w:t>
      </w:r>
    </w:p>
    <w:p w14:paraId="7452C311" w14:textId="55A1BD1C" w:rsidR="00BD3ECA" w:rsidRPr="00DE35E8" w:rsidRDefault="00F07691" w:rsidP="00B503A1">
      <w:pPr>
        <w:spacing w:before="120" w:after="120"/>
        <w:jc w:val="both"/>
        <w:rPr>
          <w:rFonts w:ascii="Arial" w:hAnsi="Arial" w:cs="Arial"/>
        </w:rPr>
      </w:pPr>
      <w:r>
        <w:rPr>
          <w:rFonts w:ascii="Arial" w:hAnsi="Arial"/>
        </w:rPr>
        <w:t>c) il regio decreto 259/1985, del 20 febbraio, che integra il regolamento tecnico-sanitario degli oli vegetali alimentari, con l'applicazione della determinazione dell'eritrodiolo negli oli d'oliva;</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d) il regio decreto 2551/1986, del 21 novembre, che disciplina la produzione e la commercializzazione dell'olio di sansa d'oliva raffinato e dell'olio d'oliva;</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lastRenderedPageBreak/>
        <w:t>e) il regio decreto 538/1993, del 12 aprile, recante modifica ad alcune disposizioni relative ai requisiti industriali per la produzione, la circolazione e il commercio di oli vegetali alimentari;</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f) il regio decreto 1431/2003, del 21 novembre, che stabilisce determinate misure di commercializzazione nel settore dell'olio d'oliva e dell'olio di sansa d'oliva;</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g) il decreto del 12 dicembre 1984, sulla consegna di olio d'oliva vergine dai frantoi ai relativi raccoglitori ai fini del consumo diretto;</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h) il decreto APA/1343/2004, del 7 maggio, che disciplina il registro generale di alcune industrie autorizzate alla commercializzazione dell'olio d'oliva.</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 xml:space="preserve">Prima disposizione finale. </w:t>
      </w:r>
      <w:r>
        <w:rPr>
          <w:i/>
        </w:rPr>
        <w:t>Titoli di competenza.</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Il presente regio decreto è emanato in conformità di quanto disposto dall'articolo 149, paragrafo 1, punto 13 della Costituzione spagnola, che attribuisce allo Stato la competenza esclusiva in materia di fondamenti e coordinamento della pianificazione generale dell'attività economica.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rPr>
        <w:t xml:space="preserve">Seconda disposizione finale. </w:t>
      </w:r>
      <w:r>
        <w:rPr>
          <w:i/>
          <w:iCs/>
        </w:rPr>
        <w:t>Modifica del decreto 2484/1967, del 21 settembre, recante approvazione del testo del codice alimentare spagnolo.</w:t>
      </w:r>
    </w:p>
    <w:p w14:paraId="4F4C7805" w14:textId="77777777" w:rsidR="009F52EF" w:rsidRPr="00DE35E8" w:rsidRDefault="00107E79" w:rsidP="00B503A1">
      <w:pPr>
        <w:pStyle w:val="Default"/>
        <w:jc w:val="both"/>
        <w:rPr>
          <w:color w:val="auto"/>
        </w:rPr>
      </w:pPr>
      <w:r>
        <w:rPr>
          <w:color w:val="auto"/>
        </w:rPr>
        <w:t>La sezione 2 del capitolo XVI del decreto 2484/1967, del 21 settembre, recante approvazione del testo del codice alimentare spagnolo, è formulata come segue:</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"Gli oli d'oliva e di sansa d'oliva sono disciplinati dalle disposizioni del regio decreto xxxx / 2020, del ..., che approva la norma di qualità degli oli d'oliva e degli oli di sansa d'oliva."</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rPr>
        <w:t xml:space="preserve">Terza disposizione finale. </w:t>
      </w:r>
      <w:r>
        <w:rPr>
          <w:i/>
          <w:iCs/>
        </w:rPr>
        <w:t>Entrata in vigore.</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Il presente regio decreto entra in vigore il 2 gennaio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Fatto a Madrid il XX XXXX 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ALLEGATO I</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Registro di tracciabilità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Parte A. Condizioni generali dei registri.</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Nel registro di tracciabilità interna devono essere registrate almeno le seguenti operazioni: produzione di olio, estrazione, raffinazione, classificazione, cambio di serbatoio, miscelazione dell'olio, imbottigliamento dell'olio.</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Ogni prodotto deve essere identificato nel registro di entrata con l'identificazione precedentemente assegnata dal fornitore; in caso di centri per l'acquisto e/o il ricevimento, frantoi e impianti di trattamento è necessario identificare l'appezzamento di terreno e l'area catastale di origine dell'oliva e il relativo proprietario.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La destinazione interna o l'utilizzo del prodotto (magazzino, serbatoio, tramoggia, linea di lavorazione, ecc.) o la sua origine devono essere indicati nei registri di entrata e di uscita. Si dovranno altresì indicare le quantità presenti nel serbatoio o nei serbatoi di entrata o di uscita.</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I documenti di accompagnamento relativi a qualsiasi movimento di merci devono essere chiaramente identificati nei registri di entrata e di uscita.</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I registri di entrata e di uscita devono essere compilati quando si verifica un cambio di proprietà della merce (anche se non vi è alcun movimento fisico) o quando vi è un movimento fisico della stessa.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Le indicazioni destinate ad essere inserite nell'etichettatura dei prodotti in un secondo momento, quali: lotto, prima spremitura a freddo, estrazione a freddo, anno di raccolta, varietà, ecc., devono essere registrate in modo adeguato affinché possano essere verificate lungo tutta la documentazione del prodotto in questione.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Nell'identificazione di qualsiasi prodotto deve esserci una correlazione tra l'identificazione del serbatoio in cui esso è conservato e le informazioni riportate nei registri. Tale obbligo non pregiudica la variazione delle caratteristiche derivanti dalla naturale evoluzione dei prodotti. Tale variazione deve essere riportata nel registro ogni volta che l'operatore ne sia a conoscenza.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rPr>
        <w:t>Parte B. Categoria di prodotti da riportare nei vari registri.</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Olive.</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Olive per ottenere l'olio.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Oli d'oliva.</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Olio non classificato.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Olio extravergine d'oliva.</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Olio vergine d'oliva.</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Olio d'oliva lampante.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lastRenderedPageBreak/>
        <w:t xml:space="preserve">Olio d'oliva raffinato.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t>Olio d'oliva - contiene esclusivamente oli d'oliva raffinati e oli d'oliva vergini.</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t>c) Oli di sansa d'oliva.</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Olio di sansa d'oliva grezzo.</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Olio di sansa d'oliva raffinato.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Olio di sansa d'oliva.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I sottoprodotti di tutti gli impianti da cui si può ottenere l'olio.</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e) Altri oli vegetali commestibili.</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Nel caso di industrie e operatori che, oltre a lavorare con olio d'oliva e sansa d'oliva, producono, raffinano, immagazzinano o confezionano altri oli vegetali commestibili.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Parte C. Informazioni che devono essere contenute nei registri di entrata/uscita.</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Identificazione del documento di accompagnamento, se del caso.</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Identificazione del venditore o fornitore: nome, indirizzo, codice fiscale e indirizzo dello stabilimento di origine. Deve essere indicato anche il nome di quest'ultimo e il codice fiscale se diverso dal venditore o fornitore.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Identificazione dell'acquirente o destinatario, compreso il dettagliante, ultimo destinatario dell'olio imbottigliato: nome, indirizzo, codice fiscale e indirizzo dello stabilimento di destinazione. Deve essere indicato anche il nome di quest'ultimo, e il codice fiscale se diverso dall'acquirente o dal destinatario.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Identificazione del prodotto: denominazione, lotto, quantità e caratteristiche considerate rilevanti per la sua identificazione, quali sfuso, confezionamento, etichettatura, umido o secco.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e) Indicazione dell'origine del prodotto: paese di origine. Ai fini del rispetto, se del caso, delle disposizioni dell'articolo 4 del regolamento di esecuzione (UE) n. 29/2012 della Commissione, del 13 gennaio 2012, la registrazione reca la dicitura: Spagna, Stato membro, Unione europea o nome di un paese terzo, come stabilito nel presente regolamento.</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Caratteristiche del prodotto da indicare sull'etichetta.</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Data dell'operazione.</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h) Identificazione del vettore: società (nome, indirizzo, codice fiscale), tipo di veicolo e numero di immatricolazione o, se del caso, altra forma di identificazione legale del mezzo di trasporto.</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lastRenderedPageBreak/>
        <w:t>Parte D. Informazioni che devono essere contenute nel registro di tracciabilità interna.</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Il sistema di tracciabilità interna contiene, almeno, le seguenti informazioni:</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Operazione o pratica effettuata.</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b) Identificazione dei prodotti di partenza: denominazione, lotto (ove applicabile), quantità.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Identificazione dei prodotti ottenuti: denominazione, lotto (ove applicabile), quantità.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d) Data dell'operazione e ora (se applicabile).</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Provenienza interna dei prodotti di partenza, (magazzino, serbatoio, tramoggia, linea di lavorazione, ecc.). Quantità presente nel serbatoio o nei serbatoi di origine.</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f) Destinazione interna o utilizzo dei prodotti ottenuti (magazzino, serbatoio, tramoggia, linea di lavorazione, ecc.). Quantità presente nel serbatoio o nei serbatoi di destinazione.</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ALLEGATO II</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Informazioni minime del documento di accompagnamento durante il trasporto</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Identificazione del prodotto: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-Identificazione del prodotto: denominazione come stabilito nella legislazione applicabile, lotto, quantità e caratteristiche considerate rilevanti per la sua identificazione, come sfuso, confezionamento, etichettatura, umido o secco.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-Indicazione dell'origine del prodotto: paese di origine.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-In prodotti sfusi: altre menzioni volontarie che possono essere indicate in seguito sull'etichetta, come varietà, stagione del raccolto, estrazione a freddo, prima spremitura a freddo, produzione biologica, ecc.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-Quantità del prodotto.</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Dati relativi all'origine della merce: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Identificazione del venditore o fornitore: nome, indirizzo, codice fiscale e indirizzo dello stabilimento di origine.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Deve essere indicato anche il nome di quest'ultimo e il codice fiscale se diverso dal venditore o fornitore.</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lastRenderedPageBreak/>
        <w:t xml:space="preserve">C. Dati relativi al trasporto: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Identificazione dell'azienda di trasporto e del mezzo di trasporto utilizzato, nonché la data del trasporto.</w:t>
      </w:r>
    </w:p>
    <w:p w14:paraId="6A6D6E3A" w14:textId="0ECBDA4F" w:rsidR="00494357" w:rsidRPr="00DE35E8" w:rsidRDefault="009F27E3" w:rsidP="00B503A1">
      <w:pPr>
        <w:keepNext/>
        <w:spacing w:before="100" w:beforeAutospacing="1" w:after="100" w:afterAutospacing="1"/>
        <w:jc w:val="both"/>
        <w:rPr>
          <w:rFonts w:ascii="Arial" w:hAnsi="Arial" w:cs="Arial"/>
          <w:b/>
        </w:rPr>
      </w:pPr>
      <w:r>
        <w:rPr>
          <w:rFonts w:ascii="Arial" w:hAnsi="Arial"/>
          <w:b/>
        </w:rPr>
        <w:t xml:space="preserve">D. Dati relativi alla destinazione della merce: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Identificazione dell'acquirente o del destinatario, compreso il dettagliante, l'ultimo destinatario dell'olio imbottigliato: nome, indirizzo, codice fiscale e indirizzo dello stabilimento di destinazione. Deve essere indicato anche il nome di quest'ultimo, e il codice fiscale se diverso dall'acquirente o dal destinatario.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t>ALLEGATO III</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Aspetto e caratteristiche specifiche degli oli</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Oli extravergine d'oliva e oli vergini d'oliva filtrati.</w:t>
      </w:r>
    </w:p>
    <w:p w14:paraId="095783EF" w14:textId="77777777" w:rsidR="00F44FDF" w:rsidRPr="00DE35E8" w:rsidRDefault="00F44FDF" w:rsidP="00B503A1">
      <w:pPr>
        <w:pStyle w:val="Default"/>
        <w:ind w:left="142"/>
        <w:rPr>
          <w:color w:val="auto"/>
        </w:rPr>
      </w:pPr>
      <w:r>
        <w:rPr>
          <w:color w:val="auto"/>
        </w:rPr>
        <w:t>Umidità e materie volatili: ≤ 0,2 %.</w:t>
      </w:r>
    </w:p>
    <w:p w14:paraId="7D6D2C01" w14:textId="5C332848" w:rsidR="00F44FDF" w:rsidRPr="00DE35E8" w:rsidRDefault="00F44FDF" w:rsidP="00B503A1">
      <w:pPr>
        <w:pStyle w:val="Default"/>
        <w:ind w:left="142"/>
        <w:rPr>
          <w:color w:val="auto"/>
        </w:rPr>
      </w:pPr>
      <w:r>
        <w:rPr>
          <w:color w:val="auto"/>
        </w:rPr>
        <w:t xml:space="preserve">Impurità insolubili nell'etere di petrolio: ≤ 0,10 %.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Oli d'oliva - contiene esclusivamente oli d'oliva raffinati e oli d'oliva vergini.</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Aspetto: limpido, mantenuto a 20º ± 2º C per 24 ore.</w:t>
      </w:r>
    </w:p>
    <w:p w14:paraId="0296A932" w14:textId="77777777" w:rsidR="00F44FDF" w:rsidRPr="00DE35E8" w:rsidRDefault="00F44FDF" w:rsidP="00B503A1">
      <w:pPr>
        <w:ind w:left="142"/>
        <w:jc w:val="both"/>
        <w:rPr>
          <w:rFonts w:ascii="Arial" w:hAnsi="Arial" w:cs="Arial"/>
        </w:rPr>
      </w:pPr>
      <w:r>
        <w:rPr>
          <w:rFonts w:ascii="Arial" w:hAnsi="Arial"/>
        </w:rPr>
        <w:t>Odore e sapore: con aromi propri e caratteristici dell'olio d'oliva vergine utilizzato nella miscela. Non presentano alterazioni o contaminazioni o difetti che superino quelli dell'olio d'oliva vergine utilizzato.</w:t>
      </w:r>
    </w:p>
    <w:p w14:paraId="68E598BC" w14:textId="77777777" w:rsidR="00F44FDF" w:rsidRPr="00DE35E8" w:rsidRDefault="00F44FDF" w:rsidP="00B503A1">
      <w:pPr>
        <w:pStyle w:val="Default"/>
        <w:ind w:left="142"/>
        <w:rPr>
          <w:color w:val="auto"/>
        </w:rPr>
      </w:pPr>
      <w:r>
        <w:rPr>
          <w:color w:val="auto"/>
        </w:rPr>
        <w:t>Umidità e materie volatili: ≤ 0,1 %.</w:t>
      </w:r>
    </w:p>
    <w:p w14:paraId="4B215FA1" w14:textId="77777777" w:rsidR="00F44FDF" w:rsidRPr="00DE35E8" w:rsidRDefault="00F44FDF" w:rsidP="00B503A1">
      <w:pPr>
        <w:pStyle w:val="Default"/>
        <w:ind w:left="142"/>
        <w:rPr>
          <w:color w:val="auto"/>
        </w:rPr>
      </w:pPr>
      <w:r>
        <w:rPr>
          <w:color w:val="auto"/>
        </w:rPr>
        <w:t>Impurità insolubili nell'etere di petrolio: ≤ 0,05 %.</w:t>
      </w:r>
    </w:p>
    <w:p w14:paraId="5A5E9394" w14:textId="77777777" w:rsidR="00F44FDF" w:rsidRPr="00DE35E8" w:rsidRDefault="00F44FDF" w:rsidP="00B503A1">
      <w:pPr>
        <w:pStyle w:val="Default"/>
        <w:spacing w:after="240"/>
        <w:ind w:left="142"/>
        <w:rPr>
          <w:color w:val="auto"/>
        </w:rPr>
      </w:pPr>
      <w:r>
        <w:rPr>
          <w:color w:val="auto"/>
        </w:rPr>
        <w:t xml:space="preserve">Residui di sapone: Negativo.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oli d'oliva raffinati:</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Aspetto: limpido, mantenuto a 20º ± 2º C per 24 ore.</w:t>
      </w:r>
    </w:p>
    <w:p w14:paraId="7BB45A9C" w14:textId="77777777" w:rsidR="00F44FDF" w:rsidRPr="00DE35E8" w:rsidRDefault="00F44FDF" w:rsidP="00B503A1">
      <w:pPr>
        <w:ind w:left="142"/>
        <w:jc w:val="both"/>
        <w:rPr>
          <w:rFonts w:ascii="Arial" w:hAnsi="Arial" w:cs="Arial"/>
        </w:rPr>
      </w:pPr>
      <w:r>
        <w:rPr>
          <w:rFonts w:ascii="Arial" w:hAnsi="Arial"/>
        </w:rPr>
        <w:t>Odore e sapore: neutro, senza mostrare sintomi di irrancidimento, alterazione o contaminazione.</w:t>
      </w:r>
    </w:p>
    <w:p w14:paraId="5105089C" w14:textId="77777777" w:rsidR="00F44FDF" w:rsidRPr="00DE35E8" w:rsidRDefault="00F44FDF" w:rsidP="00B503A1">
      <w:pPr>
        <w:pStyle w:val="Default"/>
        <w:ind w:left="142"/>
        <w:rPr>
          <w:color w:val="auto"/>
        </w:rPr>
      </w:pPr>
      <w:r>
        <w:rPr>
          <w:color w:val="auto"/>
        </w:rPr>
        <w:t>Umidità e materie volatili: ≤ 0,1 %.</w:t>
      </w:r>
    </w:p>
    <w:p w14:paraId="49281EEA" w14:textId="77777777" w:rsidR="00F44FDF" w:rsidRPr="00DE35E8" w:rsidRDefault="00F44FDF" w:rsidP="00B503A1">
      <w:pPr>
        <w:pStyle w:val="Default"/>
        <w:ind w:left="142"/>
        <w:rPr>
          <w:color w:val="auto"/>
        </w:rPr>
      </w:pPr>
      <w:r>
        <w:rPr>
          <w:color w:val="auto"/>
        </w:rPr>
        <w:t>Impurità insolubili nell'etere di petrolio: ≤ 0,05 %.</w:t>
      </w:r>
    </w:p>
    <w:p w14:paraId="2336D379" w14:textId="77777777" w:rsidR="00F44FDF" w:rsidRPr="00DE35E8" w:rsidRDefault="00F44FDF" w:rsidP="00B503A1">
      <w:pPr>
        <w:pStyle w:val="Default"/>
        <w:ind w:left="142"/>
        <w:rPr>
          <w:color w:val="auto"/>
        </w:rPr>
      </w:pPr>
      <w:r>
        <w:rPr>
          <w:color w:val="auto"/>
        </w:rPr>
        <w:t>Residui di sapone: Negativo.</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d) Olio di sansa d'oliva raffinato.</w:t>
      </w:r>
    </w:p>
    <w:p w14:paraId="1696366E" w14:textId="77777777" w:rsidR="00F44FDF" w:rsidRPr="00DE35E8" w:rsidRDefault="00F44FDF" w:rsidP="00B503A1">
      <w:pPr>
        <w:spacing w:before="100" w:beforeAutospacing="1"/>
        <w:ind w:left="142"/>
        <w:jc w:val="both"/>
        <w:rPr>
          <w:rFonts w:ascii="Arial" w:hAnsi="Arial" w:cs="Arial"/>
        </w:rPr>
      </w:pPr>
      <w:r>
        <w:rPr>
          <w:rFonts w:ascii="Arial" w:hAnsi="Arial"/>
        </w:rPr>
        <w:t>Aspetto: limpido, mantenuto a 20º ± 2º C per 24 ore.</w:t>
      </w:r>
    </w:p>
    <w:p w14:paraId="1BB2CEF0" w14:textId="77777777" w:rsidR="00F44FDF" w:rsidRPr="00DE35E8" w:rsidRDefault="00F44FDF" w:rsidP="00B503A1">
      <w:pPr>
        <w:ind w:left="142"/>
        <w:jc w:val="both"/>
        <w:rPr>
          <w:rFonts w:ascii="Arial" w:hAnsi="Arial" w:cs="Arial"/>
        </w:rPr>
      </w:pPr>
      <w:r>
        <w:rPr>
          <w:rFonts w:ascii="Arial" w:hAnsi="Arial"/>
        </w:rPr>
        <w:t>Odore e sapore: neutro, senza mostrare sintomi di irrancidimento, alterazione o contaminazione.</w:t>
      </w:r>
    </w:p>
    <w:p w14:paraId="35B990C6" w14:textId="77777777" w:rsidR="00F44FDF" w:rsidRPr="00DE35E8" w:rsidRDefault="00F44FDF" w:rsidP="00B503A1">
      <w:pPr>
        <w:pStyle w:val="Default"/>
        <w:ind w:left="142"/>
        <w:rPr>
          <w:color w:val="auto"/>
        </w:rPr>
      </w:pPr>
      <w:r>
        <w:rPr>
          <w:color w:val="auto"/>
        </w:rPr>
        <w:t>Umidità e materie volatili: ≤ 0,1 %.</w:t>
      </w:r>
    </w:p>
    <w:p w14:paraId="2AF3CFA0" w14:textId="77777777" w:rsidR="00F44FDF" w:rsidRPr="00DE35E8" w:rsidRDefault="00F44FDF" w:rsidP="00B503A1">
      <w:pPr>
        <w:pStyle w:val="Default"/>
        <w:ind w:left="142"/>
        <w:rPr>
          <w:color w:val="auto"/>
        </w:rPr>
      </w:pPr>
      <w:r>
        <w:rPr>
          <w:color w:val="auto"/>
        </w:rPr>
        <w:t>Impurità insolubili nell'etere di petrolio: ≤ 0,05 %.</w:t>
      </w:r>
    </w:p>
    <w:p w14:paraId="667102D7" w14:textId="77777777" w:rsidR="00F44FDF" w:rsidRPr="00DE35E8" w:rsidRDefault="00F44FDF" w:rsidP="00B503A1">
      <w:pPr>
        <w:pStyle w:val="Default"/>
        <w:ind w:left="142"/>
        <w:rPr>
          <w:color w:val="auto"/>
        </w:rPr>
      </w:pPr>
      <w:r>
        <w:rPr>
          <w:color w:val="auto"/>
        </w:rPr>
        <w:t>Residui di sapone: Negativo.</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lastRenderedPageBreak/>
        <w:t>e) Olio di sansa d'oliva.</w:t>
      </w:r>
    </w:p>
    <w:p w14:paraId="0ADF9FD3" w14:textId="77777777" w:rsidR="00F44FDF" w:rsidRPr="00DE35E8" w:rsidRDefault="00F44FDF" w:rsidP="00B503A1">
      <w:pPr>
        <w:spacing w:before="100" w:beforeAutospacing="1"/>
        <w:ind w:left="142"/>
        <w:jc w:val="both"/>
        <w:rPr>
          <w:rFonts w:ascii="Arial" w:hAnsi="Arial" w:cs="Arial"/>
        </w:rPr>
      </w:pPr>
      <w:r>
        <w:rPr>
          <w:rFonts w:ascii="Arial" w:hAnsi="Arial"/>
        </w:rPr>
        <w:t>Aspetto: limpido, mantenuto a 20º ± 2º C per 24 ore.</w:t>
      </w:r>
    </w:p>
    <w:p w14:paraId="40031B46" w14:textId="77777777" w:rsidR="00F44FDF" w:rsidRPr="00DE35E8" w:rsidRDefault="00F44FDF" w:rsidP="00B503A1">
      <w:pPr>
        <w:pStyle w:val="Default"/>
        <w:ind w:left="142"/>
        <w:jc w:val="both"/>
        <w:rPr>
          <w:color w:val="auto"/>
        </w:rPr>
      </w:pPr>
      <w:r>
        <w:rPr>
          <w:color w:val="auto"/>
        </w:rPr>
        <w:t xml:space="preserve">Odore e sapore: con aromi propri e caratteristici dell'olio d'oliva vergine utilizzato nella miscela. Non presentano alterazioni o contaminazioni o difetti che superino quelli dell'olio d'oliva vergine utilizzato. </w:t>
      </w:r>
    </w:p>
    <w:p w14:paraId="523A1A0E" w14:textId="77777777" w:rsidR="00F44FDF" w:rsidRPr="00DE35E8" w:rsidRDefault="00F44FDF" w:rsidP="00B503A1">
      <w:pPr>
        <w:pStyle w:val="Default"/>
        <w:ind w:left="142"/>
        <w:rPr>
          <w:color w:val="auto"/>
        </w:rPr>
      </w:pPr>
      <w:r>
        <w:rPr>
          <w:color w:val="auto"/>
        </w:rPr>
        <w:t>Umidità e materie volatili: ≤ 0,1 %.</w:t>
      </w:r>
    </w:p>
    <w:p w14:paraId="1A066BD2" w14:textId="77777777" w:rsidR="00F44FDF" w:rsidRPr="00DE35E8" w:rsidRDefault="00F44FDF" w:rsidP="00B503A1">
      <w:pPr>
        <w:pStyle w:val="Default"/>
        <w:ind w:left="142"/>
        <w:rPr>
          <w:color w:val="auto"/>
        </w:rPr>
      </w:pPr>
      <w:r>
        <w:rPr>
          <w:color w:val="auto"/>
        </w:rPr>
        <w:t>Impurità insolubili nell'etere di petrolio: ≤ 0,05 %.</w:t>
      </w:r>
    </w:p>
    <w:p w14:paraId="03631DE0" w14:textId="77777777" w:rsidR="00F44FDF" w:rsidRPr="00DE35E8" w:rsidRDefault="00F44FDF" w:rsidP="00B503A1">
      <w:pPr>
        <w:pStyle w:val="Default"/>
        <w:ind w:left="142"/>
        <w:rPr>
          <w:color w:val="auto"/>
        </w:rPr>
      </w:pPr>
      <w:r>
        <w:rPr>
          <w:color w:val="auto"/>
        </w:rPr>
        <w:t>Residui di sapone: Negativo.</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rPr>
        <w:color w:val="8496B0"/>
      </w:rPr>
      <w:t xml:space="preserve">Pagina </w:t>
    </w:r>
    <w:r w:rsidRPr="00F61249">
      <w:rPr>
        <w:color w:val="323E4F"/>
      </w:rPr>
      <w:fldChar w:fldCharType="begin"/>
    </w:r>
    <w:r w:rsidRPr="00F61249">
      <w:rPr>
        <w:color w:val="323E4F"/>
      </w:rPr>
      <w:instrText>PAGE   \* MERGEFORMAT</w:instrText>
    </w:r>
    <w:r w:rsidRPr="00F61249">
      <w:rPr>
        <w:color w:val="323E4F"/>
      </w:rPr>
      <w:fldChar w:fldCharType="separate"/>
    </w:r>
    <w:r w:rsidR="001310CA">
      <w:rPr>
        <w:noProof/>
        <w:color w:val="323E4F"/>
      </w:rPr>
      <w:t>17</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1310CA">
      <w:rPr>
        <w:noProof/>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10CA"/>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5E58"/>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it-IT"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it-IT"/>
    </w:rPr>
  </w:style>
  <w:style w:type="character" w:customStyle="1" w:styleId="BodyTextIndent3Char">
    <w:name w:val="Body Text Indent 3 Char"/>
    <w:basedOn w:val="DefaultParagraphFont"/>
    <w:link w:val="BodyTextIndent3"/>
    <w:rsid w:val="00EE7990"/>
    <w:rPr>
      <w:sz w:val="16"/>
      <w:szCs w:val="16"/>
      <w:lang w:val="it-IT"/>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Olio_di_oli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wikipedia.org/wiki/Ol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D5D10-620F-428A-84C7-33A1B178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5760</Words>
  <Characters>34229</Characters>
  <Application>Microsoft Office Word</Application>
  <DocSecurity>0</DocSecurity>
  <Lines>285</Lines>
  <Paragraphs>79</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9</cp:revision>
  <cp:lastPrinted>2020-02-12T17:05:00Z</cp:lastPrinted>
  <dcterms:created xsi:type="dcterms:W3CDTF">2020-09-08T10:26:00Z</dcterms:created>
  <dcterms:modified xsi:type="dcterms:W3CDTF">2020-10-02T14:47:00Z</dcterms:modified>
</cp:coreProperties>
</file>