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szCs w:val="20"/>
        </w:rPr>
        <w:t>1. ------IND- 2020 0581 E-- LT-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2020 m. ... d. KARALIAUS DEKRETO Nr. ..., kuriuo PATVIRTINAMAS ALYVUOGIŲ ALIEJAUS IR ALYVUOGIŲ IŠSPAUDŲ ALIEJŲ KOKYBĖS STANDARTAS, PROJEKTAS</w:t>
      </w:r>
    </w:p>
    <w:p w14:paraId="3FAFF845" w14:textId="30D28629" w:rsidR="004145C3" w:rsidRPr="00DE35E8" w:rsidRDefault="004145C3" w:rsidP="00B503A1">
      <w:pPr>
        <w:jc w:val="center"/>
        <w:rPr>
          <w:rFonts w:ascii="Arial" w:hAnsi="Arial" w:cs="Arial"/>
        </w:rPr>
      </w:pPr>
    </w:p>
    <w:p w14:paraId="3D265B70" w14:textId="77777777" w:rsidR="00090536" w:rsidRPr="002026A6" w:rsidRDefault="00090536" w:rsidP="00B503A1">
      <w:pPr>
        <w:spacing w:before="100" w:beforeAutospacing="1" w:after="100" w:afterAutospacing="1"/>
        <w:jc w:val="both"/>
        <w:rPr>
          <w:rFonts w:ascii="Arial" w:hAnsi="Arial" w:cs="Arial"/>
          <w:spacing w:val="-4"/>
        </w:rPr>
      </w:pPr>
      <w:r w:rsidRPr="002026A6">
        <w:rPr>
          <w:rFonts w:ascii="Arial" w:hAnsi="Arial"/>
          <w:spacing w:val="-4"/>
        </w:rPr>
        <w:t>Ispanija yra pirmaujanti pasaulyje alyvuogių aliejaus gamintoja ir eksportuotoja. Alyvmedžių auginimo ir alyvuogių aliejaus gamybos sektorius turi labai didelę ekonominę, socialinę ir komercinę reikšmę šalyje ir tarptautinėse rinkose. Alyvuogių aliejaus paklausa nuolat auga. Šiuo karaliaus dekretu siekiama atnaujinti teisės aktus, kad jie būtų pritaikyti prie esamos padėties sektoriuje ir technologijų pažangos, skatinant alyvuogių aliejaus kokybę kaip vieną iš pagrindinių šio sektoriaus plėtros ramsčių.</w:t>
      </w:r>
    </w:p>
    <w:p w14:paraId="038EA252" w14:textId="1FF8948F" w:rsidR="00090536" w:rsidRPr="00DE35E8" w:rsidRDefault="00090536" w:rsidP="00B503A1">
      <w:pPr>
        <w:pStyle w:val="Pa6"/>
        <w:spacing w:before="100" w:beforeAutospacing="1" w:after="100" w:afterAutospacing="1" w:line="240" w:lineRule="auto"/>
        <w:jc w:val="both"/>
        <w:rPr>
          <w:rFonts w:cs="Arial"/>
        </w:rPr>
      </w:pPr>
      <w:r>
        <w:t>1967 m. rugsėjo 21 d. Dekretu Nr. 2484/1967 buvo patvirtintas Ispanijos mitybos kodeksas, kurio XVI skyriaus 2 skirsnyje reglamentuojamas alyvuogių aliejus. Alyvuogių aliejui taikomi teisiniai reikalavimai buvo papildyti 1983 m. sausio 25 d. Karaliaus dekrete Nr. 308/1983, kuriuo patvirtinamas Maistinių aliejų techninis sveikatos reglamentas.</w:t>
      </w:r>
    </w:p>
    <w:p w14:paraId="11F5D3F9" w14:textId="1E67EC52" w:rsidR="00090536" w:rsidRPr="00DE35E8" w:rsidRDefault="00090536" w:rsidP="00B503A1">
      <w:pPr>
        <w:spacing w:after="240"/>
        <w:jc w:val="both"/>
        <w:rPr>
          <w:rFonts w:ascii="Arial" w:hAnsi="Arial" w:cs="Arial"/>
        </w:rPr>
      </w:pPr>
      <w:r>
        <w:rPr>
          <w:rFonts w:ascii="Arial" w:hAnsi="Arial"/>
        </w:rPr>
        <w:t xml:space="preserve">Europos Sąjungoje teisės aktai dėl alyvuogių aliejaus ir alyvuogių išspaudų aliejaus yra suderinti 1991 m. liepos 11 d. Komisijos Reglamentu (EEB) Nr. 2568/91 dėl maišyto alyvuogių aliejaus ir maišyto alyvuogių išspaudų aliejaus savybių ir dėl atitinkamų analizės metodų ir 2013 m. gruodžio 17 d. Europos Parlamento ir Tarybos reglamentu (ES) Nr. 1308/2013, kuriuo nustatomas bendras žemės ūkio produktų rinkų organizavimas ir panaikinami Tarybos reglamentai (EEB) Nr. 922/72, (EEB) Nr. 234/79, (EB) Nr. 1037/2001 ir (EB) Nr. 1234/2007. Juose nustatyti šių produktų pavadinimai, apibrėžtys, fizinės, cheminės ir juslinės savybės, mėginių ėmimo ir analizės metodai.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O 2012 m. sausio 13 d. Komisijos įgyvendinimo reglamente (ES) Nr. 29/2012 dėl prekybos alyvuogių aliejumi standartų reglamentuojami Komisijos ir valstybių narių prekybos standartai ir administracinio bendradarbiavimo procedūra, susijusi su šiems produktams taikomais kontrolės standartais. Šiuo reglamentu panaikinamas Reglamentas (EB) Nr. 1019/2002, kuris Ispanijoje buvo įgyvendinamas ir taikant papildomas priemones, nustatytas 2003 m. lapkričio 21 d. Karaliaus dekrete Nr. 1431/2003, kuriuo nustatomos tam tikros prekybos alyvuogių aliejaus ir alyvuogių išspaudų aliejaus sektoriuje priemonės.</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Minėtas 1983 m. sausio 25 d. Karaliaus dekretas Nr. 308/1983 buvo ne kartą iš dalies keistas, be to, per beveik keturis dešimtmečius pasikeitus gamybos ir vartojimo sąlygoms būtina jį pakeisti nauju reglamentu, skirtu konkrečiai alyvuogių aliejui ir alyvuogių išspaudų aliejui dėl jų unikalumo ir gamybos aktualumo šalyje. Priėmus standartą, atskirą nuo kitų aliejų standartų, bus galima geriau pritaikyti gamybos ir savikontrolės sistemas ir pakavimo ir ženklinimo standartus prie Europos teisės aktų ir prie kriterijų raidos ir technologinės pažangos. Atnaujinamas standarto turinys, be to, jis sutvarkomas ir supaprastinamas pašalinant higienos ir sanitarijos aspektus, kurie yra nustatyti ir suderinti taikomuose horizontaliuosiuose Bendrijos teisės aktuose.</w:t>
      </w:r>
    </w:p>
    <w:p w14:paraId="7A8064F9" w14:textId="1DD88362" w:rsidR="00090536" w:rsidRPr="00DE35E8" w:rsidRDefault="00090536" w:rsidP="00B503A1">
      <w:pPr>
        <w:pStyle w:val="Default"/>
        <w:jc w:val="both"/>
        <w:rPr>
          <w:color w:val="auto"/>
        </w:rPr>
      </w:pPr>
      <w:r>
        <w:rPr>
          <w:color w:val="auto"/>
        </w:rPr>
        <w:lastRenderedPageBreak/>
        <w:t>Todėl 1967 m. rugsėjo 21 d. Dekretu Nr. 2484/1967 patvirtinto Ispanijos maisto kodekso XVI skyriaus 2 skirsnio turinys ir 1983 m. sausio 25 d. Karaliaus dekreto Nr. 308/1983 dalis, kurioje kalbama apie alyvuogių aliejų ir alyvuogių išspaudų aliejų, panaikinama. Kita vertus, šio klausimo reguliavimas buvo probleminis dėl nevienodo teisės aktų taikymo. Tai išspręsta suderinant alyvuogių aliejui ir alyvuogių išspaudų aliejui taikomas nuostatas, todėl minėtus standartus būtina panaikinti, siekiant palankaus poveikio teisiniam saugumui.</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Šis standartas bus taikomas visam Ispanijoje gaminamam ir parduodamam alyvuogių aliejui ir alyvuogių išspaudų aliejui, nepažeidžiant Europos Sąjungos abipusio pripažinimo sąlygos.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Siekiant apsaugoti alyvuogių aliejų ir alyvuogių išspaudų aliejų, pabrėžti jų vertę ir išvengti galimų nesąžiningų veiksmų, šiame standarte būtina nustatyti tam tikras sektoriaus operatorių pareigas, susijusias su įrenginiais, draudžiama praktika, lydimaisiais dokumentais ir produktų atsekamumu. </w:t>
      </w:r>
      <w:r>
        <w:rPr>
          <w:color w:val="auto"/>
          <w:shd w:val="clear" w:color="auto" w:fill="FFFFFF"/>
        </w:rPr>
        <w:t xml:space="preserve">Šios pareigos ir draudimai turi būti taikomi visiems ūkio subjektams, kuriais laikomi visi fiziniai ar juridiniai asmenys, dalyvaujantys bet kuriame alyvuogių aliejaus ir alyvuogių išspaudų aliejaus gamybos ir prekybos etape, įskaitant, be kita ko, alyvuogių supirkimo centrus, kooperatyvus ar mobiliąsias aliejaus spaudyklas. </w:t>
      </w:r>
    </w:p>
    <w:p w14:paraId="6681DADD" w14:textId="6743B4E5" w:rsidR="00090536" w:rsidRPr="00DE35E8" w:rsidRDefault="00936DB3" w:rsidP="00B503A1">
      <w:pPr>
        <w:pStyle w:val="Default"/>
        <w:spacing w:after="240"/>
        <w:jc w:val="both"/>
        <w:rPr>
          <w:color w:val="auto"/>
        </w:rPr>
      </w:pPr>
      <w:r>
        <w:rPr>
          <w:color w:val="auto"/>
        </w:rPr>
        <w:t>Įgyvendinant Reglamento (EEB) Nr. 2568/91 7a straipsnį ir nepažeidžiant Reglamento (EB) Nr. 178/2002 nuostatų, nustatyta pareiga palaikyti standartizuotą atsekamumo sistemą, leidžiančią lengvai rasti produktus, ir reikalaujama, kad jie būtų tinkamai identifikuojami visuose aliejaus, kuriam taikomas standartas, gamybos, gabenimo ir pardavimo etapuose.</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Atsekamumo sistema padės skatinti maisto kokybę, didinti vartotojų pasitikėjimą, atskirti produktus nuo kitų panašių produktų, atgaivinti ir sustiprinti rinką ir prireikus užtikrinti selektyvų produktų pašalinimą iš rinkos.</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Siekiant, kad veiklos vykdytojams būtų lengviau laikytis standarte nustatytų pareigų, o kompetentingoms institucijoms – lengviau juos kontroliuoti, būtina įdiegti kompiuterinę sistemą, kuri apimtų duomenis apie alyvuogių aliejaus ir alyvuogių išspaudų aliejaus judėjimą.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Kalbant apie informaciją apie maistą, taip pat apie efektyvaus pakuotės turinio kontrolės išlygas, bus laikomasi 2011 m. spalio 25 d. Europos Parlamento ir Tarybos reglamento (ES) Nr. 1169/2011 dėl informacijos apie maistą teikimo vartotojams ir 2008 m. lapkričio 3 d. Karaliaus dekreto Nr. 1801/2008, kuriuo nustatomi pakuotų produktų nominalūs kiekiai ir jų efektyvaus turinio kontrolės taisyklės, nuostatų.</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Atsižvelgiant į Europos Sąjungos darnaus vystymosi politikos tikslus, visų pirma susijusius su plastiko naudojimo mažinimu, šiame standarte šios medžiagos naudojimas kai kuriems gaminiams, kurių išvaizda gali pablogėti, jei jie pateikiami tam tikromis formomis, pavyzdžiui, plastikiniuose induose, yra ribojamas.</w:t>
      </w:r>
    </w:p>
    <w:p w14:paraId="5DE3D78E" w14:textId="63551FB9" w:rsidR="00E94757" w:rsidRPr="00DE35E8" w:rsidRDefault="00E94757" w:rsidP="002026A6">
      <w:pPr>
        <w:keepLines/>
        <w:autoSpaceDE w:val="0"/>
        <w:autoSpaceDN w:val="0"/>
        <w:adjustRightInd w:val="0"/>
        <w:spacing w:before="100" w:beforeAutospacing="1" w:after="100" w:afterAutospacing="1"/>
        <w:jc w:val="both"/>
        <w:rPr>
          <w:rFonts w:ascii="Arial" w:hAnsi="Arial" w:cs="Arial"/>
        </w:rPr>
      </w:pPr>
      <w:r>
        <w:rPr>
          <w:rFonts w:ascii="Arial" w:hAnsi="Arial"/>
        </w:rPr>
        <w:lastRenderedPageBreak/>
        <w:t xml:space="preserve">Atsižvelgiant į viešojo administravimo institucijų bendradarbiavimo svarbą, tikslinga parengti specialų kontrolės planą, siekiant tikrinti alyvuogių aliejaus ir alyvuogių išspaudų aliejaus sektoriaus atsekamumą, kurį gali įgyvendinti kokybės kontrolės ir apsaugos nuo sukčiavimo kompetentingos institucijos ir kurį patvirtins Maisto kokybės koordinavimo taryba. </w:t>
      </w:r>
    </w:p>
    <w:p w14:paraId="1AAAE751" w14:textId="1C165D2B" w:rsidR="00661336" w:rsidRPr="00DE35E8" w:rsidRDefault="00661336" w:rsidP="00B503A1">
      <w:pPr>
        <w:pStyle w:val="Default"/>
        <w:jc w:val="both"/>
        <w:rPr>
          <w:color w:val="auto"/>
        </w:rPr>
      </w:pPr>
      <w:r>
        <w:rPr>
          <w:color w:val="auto"/>
        </w:rPr>
        <w:t xml:space="preserve">Kita vertus, siekdama gerinti informacijos, susijusios su alyvuogių aliejaus atitikties kontrole, kurią vykdo kompetentingos institucijos, skaidrumą, Žemės ūkio, žuvininkystės ir maisto ministerija rengs ir skelbs ataskaitą, kurioje bus nurodomi atliktų veiksmų rezultatai.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Dėl šio karaliaus dekreto buvo pradėta procedūra pagal 2015 m. rugsėjo 9 d. Europos Parlamento ir Tarybos direktyvą (ES) 2015/1535, kuria nustatoma informacijos apie techninius reglamentus ir informacinės visuomenės paslaugų taisykles teikimo tvarka, ir pagal 1999 m. liepos 31 d. Karaliaus dekretą Nr. 1337/1999, kuriuo reglamentuojamas informacijos perdavimas techninių taisyklių ir reglamentų bei reglamentų, susijusių su informacinės visuomenės paslaugomis, srityje.</w:t>
      </w:r>
    </w:p>
    <w:p w14:paraId="438C14E9" w14:textId="1E6F66D7" w:rsidR="001B6D0C" w:rsidRPr="002026A6" w:rsidRDefault="001B6D0C" w:rsidP="00B503A1">
      <w:pPr>
        <w:pStyle w:val="Default"/>
        <w:spacing w:after="240"/>
        <w:jc w:val="both"/>
        <w:rPr>
          <w:color w:val="auto"/>
          <w:spacing w:val="-4"/>
        </w:rPr>
      </w:pPr>
      <w:r w:rsidRPr="002026A6">
        <w:rPr>
          <w:color w:val="auto"/>
          <w:spacing w:val="-4"/>
        </w:rPr>
        <w:t>Šio karaliaus dekreto turinys atitinka patikimo reglamentavimo principus, išdėstytus 2015 m. spalio 1 d. Įstatymo Nr. 39/2015 dėl bendrųjų viešojo administravimo administracinių procedūrų 129 straipsnyje. Taigi, remiantis būtinybės ir veiksmingumo principais, šis standartas yra pateisinamas būtinybe nustatyti tinkamą alyvuogių aliejaus ir alyvuogių išspaudų aliejaus sektoriaus valdymą. Geriausias būdas tai pasiekti yra 1983 m. sausio 25 d. Karaliaus dekreto Nr. 308/1983, kuriuo patvirtinamas Maistinių aliejų techninis sveikatos reglamentas, dalies, susijusios su alyvuogių aliejumi ir alyvuogių išspaudų aliejumi, panaikinimas ir naujo kokybės standarto, kuriame konkrečiai reglamentuojamas alyvuogių aliejaus ir alyvuogių išspaudų aliejaus sektorius, patvirtinimas. Nustatant taisykles ir siekiant sumažinti administracinę naštą iki minimumo, būtino numatytiems tikslams pasiekti, taip pat atsižvelgta į efektyvumo ir proporcingumo principus. Taikant skaidrumo principą, neskaitant viešo svarstymo, šio teisės akto nagrinėjimo laikotarpiu buvo konsultuojamasi su autonominėmis sritimis, taip pat su susijusiems sektoriams atstovaujančiais subjektais, su vartotojais, o iš įvairių ministerijų atstovų sudaryta maisto tvarkymo komisija paskelbė privalomą ataskaitą. Galiausiai pažymėtina, kad karaliaus dekretas atitinka teisinio tikrumo principą, nes išlaikomas nuoseklumas su galiojančia teisine sistema ir veiklos vykdytojams paliekami būtini pereinamieji laikotarpiai, kad jie galėtų prisitaikyti prie standarto reikalavimų.</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Šis karaliaus dekretas skelbiamas pagal Ispanijos Konstitucijos 149 straipsnio 1 dalies 13ª punkto nuostatas, kuriomis valstybei suteikiamos teisės nustatyti ekonominės veiklos pagrindus ir reglamentuoti ir koordinuoti ekonominę veiklą. </w:t>
      </w:r>
    </w:p>
    <w:p w14:paraId="2B5EAD10" w14:textId="77777777" w:rsidR="00B776A3" w:rsidRPr="002026A6" w:rsidRDefault="00B776A3" w:rsidP="00B503A1">
      <w:pPr>
        <w:pStyle w:val="Default"/>
        <w:spacing w:after="240"/>
        <w:jc w:val="both"/>
        <w:rPr>
          <w:color w:val="auto"/>
          <w:spacing w:val="-4"/>
        </w:rPr>
      </w:pPr>
      <w:r w:rsidRPr="002026A6">
        <w:rPr>
          <w:color w:val="auto"/>
          <w:spacing w:val="-4"/>
        </w:rPr>
        <w:t>Be to, 2015 m. liepos 30 d. Įstatymu Nr. 28/2015 dėl maisto kokybės saugos nustatomas teisinis pagrindas maisto kokybės saugos srityje, sukuriant pagrindinį reglamentą. Jo paskutinėje ketvirtojoje nuostatoje Vyriausybė įgaliojama patvirtinti maisto produktų kokybės standartus. Pagal šiuos standartus galima užtikrinti ir išlaikyti produktų, kurie teikiami rinkai, kokybę, nes dėl jų apibūdinimo ir priskyrimo kategorijoms vartotojas gali palyginti ir išsirinkti tai, kas labiausiai atitinka jo skonį ar poreikius.</w:t>
      </w:r>
    </w:p>
    <w:p w14:paraId="641893D6" w14:textId="010C894B" w:rsidR="00090536" w:rsidRPr="00DE35E8" w:rsidRDefault="00090536" w:rsidP="00B503A1">
      <w:pPr>
        <w:pStyle w:val="Default"/>
        <w:jc w:val="both"/>
        <w:rPr>
          <w:color w:val="auto"/>
        </w:rPr>
      </w:pPr>
      <w:r>
        <w:rPr>
          <w:color w:val="auto"/>
        </w:rPr>
        <w:lastRenderedPageBreak/>
        <w:t xml:space="preserve">Tuo remiantis, žemės ūkio, žuvininkystės ir maisto ministro, vartotojų reikalų ministro ir pramonės, prekybos ir turizmo ministrės siūlymu, pritariant Valstybės Tarybai ir Ministrų Tarybai priėmus sprendimą .......... d. vykusiame posėdyje,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SKELBIAMA:</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1 straipsnis. </w:t>
      </w:r>
      <w:r>
        <w:rPr>
          <w:rFonts w:ascii="Arial" w:hAnsi="Arial"/>
          <w:i/>
        </w:rPr>
        <w:t>Tikslas</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Šiuo karaliaus dekretu siekiama nustatyti alyvuogių aliejaus ir alyvuogių išspaudų aliejaus kokybės standartą. </w:t>
      </w:r>
    </w:p>
    <w:p w14:paraId="72CC39D6" w14:textId="77777777" w:rsidR="009C4D64" w:rsidRPr="00DE35E8" w:rsidRDefault="009C4D64" w:rsidP="00B503A1">
      <w:pPr>
        <w:spacing w:before="360" w:after="360"/>
        <w:jc w:val="both"/>
        <w:rPr>
          <w:rFonts w:ascii="Arial" w:hAnsi="Arial" w:cs="Arial"/>
          <w:i/>
        </w:rPr>
      </w:pPr>
      <w:r>
        <w:rPr>
          <w:rFonts w:ascii="Arial" w:hAnsi="Arial"/>
          <w:b/>
        </w:rPr>
        <w:t>2 straipsnis.</w:t>
      </w:r>
      <w:r>
        <w:rPr>
          <w:rFonts w:ascii="Arial" w:hAnsi="Arial"/>
          <w:b/>
          <w:i/>
        </w:rPr>
        <w:t xml:space="preserve"> </w:t>
      </w:r>
      <w:r>
        <w:rPr>
          <w:rFonts w:ascii="Arial" w:hAnsi="Arial"/>
          <w:i/>
        </w:rPr>
        <w:t>Taikymo sritis</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Šis standartas taikomas visam Ispanijoje gaminamam ir parduodamam alyvuogių aliejui ir alyvuogių išspaudų aliejui, nepažeidžiant abipusio pripažinimo sąlygos nuostatų.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Jis taip pat taikomas veiklos vykdytojams, kurie Ispanijoje gamina arba parduoda alyvuogių aliejų ir alyvuogių išspaudų aliejų. </w:t>
      </w:r>
    </w:p>
    <w:p w14:paraId="7A10942A" w14:textId="4AD932FE" w:rsidR="00AB71F9" w:rsidRPr="00DE35E8" w:rsidRDefault="00AB71F9" w:rsidP="00B503A1">
      <w:pPr>
        <w:spacing w:before="360" w:after="360"/>
        <w:jc w:val="both"/>
        <w:rPr>
          <w:rFonts w:ascii="Arial" w:hAnsi="Arial" w:cs="Arial"/>
          <w:b/>
          <w:i/>
        </w:rPr>
      </w:pPr>
      <w:r>
        <w:rPr>
          <w:rFonts w:ascii="Arial" w:hAnsi="Arial"/>
          <w:b/>
        </w:rPr>
        <w:t>3 straipsnis.</w:t>
      </w:r>
      <w:r>
        <w:rPr>
          <w:rFonts w:ascii="Arial" w:hAnsi="Arial"/>
          <w:b/>
          <w:i/>
        </w:rPr>
        <w:t xml:space="preserve"> </w:t>
      </w:r>
      <w:r>
        <w:rPr>
          <w:rFonts w:ascii="Arial" w:hAnsi="Arial"/>
          <w:i/>
        </w:rPr>
        <w:t>Produktų pavadinimai ir apibrėžtys</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Įvairių produktų kategorijų, į kurias skirstomas alyvuogių aliejus ir alyvuogių išspaudų aliejus, apibrėžtys ir pavadinimai nustatyti 2013 m. gruodžio 17 d. Europos Parlamento ir Tarybos reglamento (ES) Nr. 1308/2013, kuriuo nustatomas bendras žemės ūkio produktų rinkų organizavimas ir panaikinami Tarybos reglamentai (EEB) Nr. 922/72, (EEB) Nr. 234/79, (EB) Nr. 1037/2001 ir (EB) Nr. 1234/2007, VII priedo VIII dalyje ir jį įgyvendinančiuose ar pakeičiančiuose Europos Sąjungos teisės aktuose.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Šiame karaliaus dekrete vartojamos tokios sąvokos:</w:t>
      </w:r>
    </w:p>
    <w:p w14:paraId="367FE3EC" w14:textId="28BA55D0" w:rsidR="00B56228" w:rsidRPr="00DE35E8" w:rsidRDefault="009F53DF" w:rsidP="00B503A1">
      <w:pPr>
        <w:spacing w:after="160"/>
        <w:jc w:val="both"/>
        <w:rPr>
          <w:rFonts w:ascii="Arial" w:hAnsi="Arial" w:cs="Arial"/>
        </w:rPr>
      </w:pPr>
      <w:r>
        <w:rPr>
          <w:rFonts w:ascii="Arial" w:hAnsi="Arial"/>
        </w:rPr>
        <w:t xml:space="preserve">a) alyvuogių pirkimo ir (arba) priėmimo centras – tai infrastruktūra, skirta alyvuogėms pirkti ir (arba) priimti iš ūkininkų, kad jos būtų pristatomos į aliejaus spaudyklą ar spaudimo įmonę, vaisių niekaip neapdorojant;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aliejaus spaudykla – tai malūnas arba gamykla, kurioje pirmojo spaudimo alyvuogių </w:t>
      </w:r>
      <w:hyperlink r:id="rId8" w:tooltip="Alyvuogių aliejus" w:history="1">
        <w:r>
          <w:rPr>
            <w:rFonts w:ascii="Arial" w:hAnsi="Arial"/>
          </w:rPr>
          <w:t xml:space="preserve">aliejus </w:t>
        </w:r>
      </w:hyperlink>
      <w:r>
        <w:rPr>
          <w:rFonts w:ascii="Arial" w:hAnsi="Arial"/>
        </w:rPr>
        <w:t xml:space="preserve">gaunamas mechaninėmis ar fizinėmis priemonėmis malant </w:t>
      </w:r>
      <w:hyperlink r:id="rId9" w:tooltip="Alyvuogės" w:history="1">
        <w:r>
          <w:rPr>
            <w:rFonts w:ascii="Arial" w:hAnsi="Arial"/>
          </w:rPr>
          <w:t>alyvuoges</w:t>
        </w:r>
      </w:hyperlink>
      <w:r>
        <w:rPr>
          <w:rFonts w:ascii="Arial" w:hAnsi="Arial"/>
        </w:rPr>
        <w:t xml:space="preserve">, sveikus ir žalius </w:t>
      </w:r>
      <w:r>
        <w:rPr>
          <w:rFonts w:ascii="Arial" w:hAnsi="Arial"/>
          <w:i/>
        </w:rPr>
        <w:t>Olea europaea </w:t>
      </w:r>
      <w:r>
        <w:rPr>
          <w:rFonts w:ascii="Arial" w:hAnsi="Arial"/>
        </w:rPr>
        <w:t xml:space="preserve">L vaisius;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mobilioji aliejaus spaudykla – tai spaudykla, kuri yra kilnojama iš vietos į vietą siekiant sumalti alyvuoges, sveikus ir žalius </w:t>
      </w:r>
      <w:r>
        <w:rPr>
          <w:rFonts w:ascii="Arial" w:hAnsi="Arial"/>
          <w:i/>
        </w:rPr>
        <w:t>Olea europaea</w:t>
      </w:r>
      <w:r>
        <w:rPr>
          <w:rFonts w:ascii="Arial" w:hAnsi="Arial"/>
        </w:rPr>
        <w:t xml:space="preserve"> L. vaisius, kad vietoje būtų išgaunamas pirmojo spaudimo alyvuogių aliejus, ir kuri neturi konkrečios ar fiksuotos fizinės vietos;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lastRenderedPageBreak/>
        <w:t>d) aliejaus pakavimo punktas – tai įmonė ar įrenginys, kuriame pakuojamas žmonėms vartoti skirtas alyvuogių aliejus ir alyvuogių išspaudų aliejus;</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d) rafinavimo punktas – tai įmonė ar įrenginys, kuriame rafinuojamas žmonėms vartoti skirtas alyvuogių aliejus ir alyvuogių išspaudų aliejus;</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f) išspaudų spaudykla – tai įmonė ar įrenginys, skirtas alyvuogių išspaudų aliejui išgauti iš išspaudų fizinėmis ar cheminėmis procedūromis. Jai priskiriami ir tie įrenginiai, kuriuose riebios drėgnos išspaudos, gautos malant žalias ir sveikas alyvuoges, tik džiovinamos; </w:t>
      </w:r>
    </w:p>
    <w:p w14:paraId="60ACFDD6" w14:textId="4E7B9285" w:rsidR="009F100F" w:rsidRPr="00DE35E8" w:rsidRDefault="000B53F1" w:rsidP="00B503A1">
      <w:pPr>
        <w:spacing w:after="160"/>
        <w:jc w:val="both"/>
        <w:rPr>
          <w:rFonts w:ascii="Arial" w:hAnsi="Arial" w:cs="Arial"/>
        </w:rPr>
      </w:pPr>
      <w:r>
        <w:rPr>
          <w:rFonts w:ascii="Arial" w:hAnsi="Arial"/>
        </w:rPr>
        <w:t xml:space="preserve">g) sandėlis – tai patalpa, kurioje produktas nėra niekaip apdorojamas, tik sandėliuojamas iki perdavimo kitiems sektoriaus operatoriams;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veiklos vykdytojas – tai fizinis ar juridinis asmuo, vykdantis veiklą alyvuogių aliejaus ir alyvuogių išspaudų aliejaus sektoriuje ir rinkoje, įskaitant augintojus, kurie pasiima savo neišpilstytą aliejų iš aliejaus spaudyklos, ir visus asmenis, kurie perka arba pasiima neišpilstytą pirmojo spaudimo alyvuogių aliejų iš aliejaus spaudyklos. Veiklos vykdytojais taip pat laikomos alyvuogių apdorojimo ir pakavimo įmonės, kai jos naudoja sveikus žalius </w:t>
      </w:r>
      <w:r>
        <w:rPr>
          <w:rFonts w:ascii="Arial" w:hAnsi="Arial"/>
          <w:i/>
        </w:rPr>
        <w:t>Olea europaea</w:t>
      </w:r>
      <w:r>
        <w:rPr>
          <w:rFonts w:ascii="Arial" w:hAnsi="Arial"/>
        </w:rPr>
        <w:t> L. vaisius neapdorodamos jų taip, kad jie virstų aliejumi;</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įrenginių neturintis veiklos vykdytojas – fizinis ar juridinis asmuo, kuris vykdo veiklą alyvuogių aliejaus ir alyvuogių išspaudų aliejaus sektoriuje ir rinkoje, bet neturi savo įrenginių;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j) augintojas – tai fizinis ar juridinis asmuo, turintis alyvuogių ūkį, kuriame auginamos alyvuogės (</w:t>
      </w:r>
      <w:r>
        <w:rPr>
          <w:rFonts w:ascii="Arial" w:hAnsi="Arial"/>
          <w:i/>
        </w:rPr>
        <w:t>Olea europaea</w:t>
      </w:r>
      <w:r>
        <w:rPr>
          <w:rFonts w:ascii="Arial" w:hAnsi="Arial"/>
        </w:rPr>
        <w:t xml:space="preserve"> L.), skirtos gaminti alyvuogių aliejui, gaunamam malant jo alyvuoges aliejaus spaudykloje, kuri jam teikia malimo paslaugas;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rafinavimo procesas – tai procesas, kuris taikomas alyvuogių aliejui ir alyvuogių išspaudų aliejui ir kuris skiriasi nuo gavimo fizinėmis procedūromis ir skaidrinimo plaunant, nusodinimo, centrifugavimo ar filtravimo;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nuolatinis procesas – tai procesas, kuris vyksta be jokių pauzių ir be perėjimo nuo operacijos prie operacijos, net jei pasitelkiamas piltuvas ar tarpinis rezervuaras, kuriame masė laikoma ne ilgiau kaip 12 valandų, bet visuomet vienoje gamykloje;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galutinis vartotojas – galutinis maisto produkto vartotojas, kuris nenaudos to maisto produkto jokioje kitoje operacijoje ar komercinėje veikloje maisto sektoriuje;</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n) kolektyvinės įmonės – tai bet kuri įstaiga (įskaitant transporto priemonę, stacionarų ar mobilųjį postą), pavyzdžiui, restoranai, valgyklos, mokymo centrai, ligoninės ir įmonės, tiekiančios paruoštus patiekalus, ir kiti socialiniai centrai, kurių komercinė veikla – ruošti galutiniam vartotojui skirtą maistą.</w:t>
      </w:r>
      <w:r>
        <w:rPr>
          <w:rFonts w:ascii="Arial" w:hAnsi="Arial"/>
          <w:bCs/>
        </w:rPr>
        <w:t xml:space="preserve">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4 straipsnis. </w:t>
      </w:r>
      <w:r>
        <w:rPr>
          <w:rFonts w:ascii="Arial" w:hAnsi="Arial"/>
          <w:i/>
        </w:rPr>
        <w:t>Atsekamumo užtikrinimo pareigos</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Veiklos vykdytojams, ypač tiems, kurie turi įrenginius, produktų laikymo vietoje bus privaloma turėti atsekamumo žurnalų sistemą, kaip nustatyta I priede.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Šie įrašai turi būti pildomi tikruoju laiku. </w:t>
      </w:r>
    </w:p>
    <w:p w14:paraId="092F6554" w14:textId="11358C79" w:rsidR="009867F2" w:rsidRPr="002026A6" w:rsidRDefault="009867F2" w:rsidP="00B503A1">
      <w:pPr>
        <w:spacing w:before="360" w:after="360"/>
        <w:jc w:val="both"/>
        <w:rPr>
          <w:rFonts w:ascii="Arial" w:hAnsi="Arial" w:cs="Arial"/>
          <w:spacing w:val="-4"/>
          <w:highlight w:val="lightGray"/>
        </w:rPr>
      </w:pPr>
      <w:r w:rsidRPr="002026A6">
        <w:rPr>
          <w:rFonts w:ascii="Arial" w:hAnsi="Arial"/>
          <w:spacing w:val="-4"/>
        </w:rPr>
        <w:lastRenderedPageBreak/>
        <w:t xml:space="preserve">Nepaisant ankstesnių dalių nuostatų ir nepažeidžiant 2002 m. sausio 28 d. Europos Parlamento ir Tarybos reglamento (EB) Nr. 178/2002, nustatančio maistui skirtų teisės aktų bendruosius principus ir reikalavimus, įsteigiančio Europos maisto saugos tarnybą ir nustatančio su maisto saugos klausimais susijusias procedūras, nuostatų, sandėliams, kurių paskirtis – laikyti ir platinti tik alyvuogių aliejų ir alyvuogių išspaudų aliejų, supakuotą ir paruoštą parduoti galutiniam vartotojui ir mažmeninės prekybos punktams, nebus privaloma tvarkyti pagal šį standartą nustatytos vidaus judėjimo apskaitos.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Alyvuogių aliejų ir alyvuogių išspaudų aliejų gabenant, prie prekių visais atvejais privaloma pridėti dokumentą, kuriame būtų nurodyti bent šio karaliaus dekreto II priede nustatyti duomenys, kad pagal galiojančius teisės aktus vienareikšmiškai būtų galima nustatyti atitinkamo produkto pavadinimą.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Prieš gabendami alyvuogių aliejų ir alyvuogių išspaudų aliejų, veiklos vykdytojai privalo 2 dalyje nurodytus duomenis pateikti į Žemės ūkio, žuvininkystės ir maisto ministerijos šiam tikslui sukurtą kompiuterinę sistemą.</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5 straipsnio 3 dalyje nurodytiems veiklos vykdytojams privaloma ankstesnėje dalyje nurodytoje kompiuterinėje sistemoje pranešti apie alyvuogių aliejaus ir alyvuogių išspaudų aliejaus judėjimą tarp įmonėje esančių aliejaus spaudyklų, rafinavimo ir gavybos punktų.</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Taip pat jie kasmet turi pateikti kompetentingai kontrolės institucijai 1 dalyje nurodytų atsekamumo žurnalų ataskaitą, kurioje aiškiai nurodytas kiekvienos kategorijos aliejaus, kurį jie gamina, sandėliuoja ir kuriuo prekiauja, atvežimas, išvežimas ir vidinis judėjimas.</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5 straipsnis. </w:t>
      </w:r>
      <w:r>
        <w:rPr>
          <w:rFonts w:ascii="Arial" w:hAnsi="Arial"/>
          <w:i/>
        </w:rPr>
        <w:t xml:space="preserve">Konkrečios pareigos, susijusios su įrenginiais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Naujos alyvuogių išspaudų aliejaus spaudyklos, rafinavimo ir gavybos punktai turi būti išdėstyti atskirai. Jie negali būti sujungti. </w:t>
      </w:r>
    </w:p>
    <w:p w14:paraId="46CEEEF6" w14:textId="76D68949" w:rsidR="000E44EE" w:rsidRPr="00DE35E8" w:rsidRDefault="00846C60" w:rsidP="00B503A1">
      <w:pPr>
        <w:spacing w:before="360" w:after="360"/>
        <w:jc w:val="both"/>
        <w:rPr>
          <w:rFonts w:ascii="Arial" w:hAnsi="Arial" w:cs="Arial"/>
        </w:rPr>
      </w:pPr>
      <w:r>
        <w:rPr>
          <w:rFonts w:ascii="Arial" w:hAnsi="Arial"/>
        </w:rPr>
        <w:t>2. Naujos alyvuogių išspaudų aliejaus spaudyklos, rafinavimo ir gavybos punktai turi būti tinkamai izoliuoti arba atskirti nuo bet kurios kitos pramonės veiklos ar patalpos, nesusijusios su jų specifinėmis užduotimis, ypač nuo tų, kurios skirtos gyvūniniams arba augaliniams riebalams ir pramoniniams arba mineraliniams riebalams ir alyvai gaminti, perdirbti, laikyti neišpilsčius arba nesupakavus.</w:t>
      </w:r>
    </w:p>
    <w:p w14:paraId="6A54E281" w14:textId="0A6B0DE1" w:rsidR="00240127" w:rsidRPr="00DE35E8" w:rsidRDefault="000E44EE" w:rsidP="00B503A1">
      <w:pPr>
        <w:spacing w:after="240"/>
        <w:jc w:val="both"/>
        <w:rPr>
          <w:rFonts w:ascii="Arial" w:hAnsi="Arial" w:cs="Arial"/>
        </w:rPr>
      </w:pPr>
      <w:r>
        <w:rPr>
          <w:rFonts w:ascii="Arial" w:hAnsi="Arial"/>
        </w:rPr>
        <w:t>3. Išspaudų aliejaus spaudykloms, rafinavimo ir gavybos punktams, kurie jau veikė įsigaliojus šiam standartui, šio straipsnio 1 ir 2 dalyse nustatyti reikalavimai netaikomi.</w:t>
      </w:r>
    </w:p>
    <w:p w14:paraId="5D720B27" w14:textId="1F5DACCF" w:rsidR="00B53FC3" w:rsidRPr="00DE35E8" w:rsidRDefault="00240127" w:rsidP="00B503A1">
      <w:pPr>
        <w:spacing w:after="240"/>
        <w:jc w:val="both"/>
        <w:rPr>
          <w:rFonts w:ascii="Arial" w:hAnsi="Arial" w:cs="Arial"/>
        </w:rPr>
      </w:pPr>
      <w:r>
        <w:rPr>
          <w:rFonts w:ascii="Arial" w:hAnsi="Arial"/>
        </w:rPr>
        <w:t>4. Aliejaus spaudyklos ar bet kuri kita šio sektoriaus veiklos vykdytojui priklausanti įmonė turi klasifikuoti visą savo į apyvartą išleidžiamą aliejų pagal Europos teisės aktuose nustatytus pavadinimus.</w:t>
      </w:r>
    </w:p>
    <w:p w14:paraId="1DFBB585" w14:textId="67BB3B44" w:rsidR="00C211C4" w:rsidRPr="00DE35E8" w:rsidRDefault="00240127" w:rsidP="00B503A1">
      <w:pPr>
        <w:spacing w:after="240"/>
        <w:jc w:val="both"/>
        <w:rPr>
          <w:rFonts w:ascii="Arial" w:hAnsi="Arial" w:cs="Arial"/>
        </w:rPr>
      </w:pPr>
      <w:r>
        <w:rPr>
          <w:rFonts w:ascii="Arial" w:hAnsi="Arial"/>
        </w:rPr>
        <w:t>5. Aliejaus pakavimo punktuose tiekimas vamzdžiais ir aliejų sandėliai, kuriems taikomas šis standartas, turi būti tinkamai vėdinami siekiant išvengti kryžminės taršos.</w:t>
      </w:r>
    </w:p>
    <w:p w14:paraId="7BAD271D" w14:textId="34E0E7A0" w:rsidR="00B73E9D" w:rsidRPr="00DE35E8" w:rsidRDefault="00B73E9D" w:rsidP="00B503A1">
      <w:pPr>
        <w:spacing w:before="360" w:after="360"/>
        <w:jc w:val="both"/>
        <w:rPr>
          <w:rFonts w:ascii="Arial" w:hAnsi="Arial" w:cs="Arial"/>
          <w:i/>
        </w:rPr>
      </w:pPr>
      <w:r>
        <w:rPr>
          <w:rFonts w:ascii="Arial" w:hAnsi="Arial"/>
          <w:b/>
        </w:rPr>
        <w:lastRenderedPageBreak/>
        <w:t>6 straipsnis</w:t>
      </w:r>
      <w:r>
        <w:rPr>
          <w:rFonts w:ascii="Arial" w:hAnsi="Arial"/>
          <w:i/>
        </w:rPr>
        <w:t>. Konkretūs aliejui taikomi reikalavimai</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Alyvuogių aliejus ir alyvuogių išspaudų aliejus, kuriam taikoma ši nuostata, be fizinių ir cheminių bei juslinių savybių, nustatytų atitinkamuose Europos Sąjungos standartuose, turi atitikti III priede nustatytas savybes.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Šie produktai gali būti gaunami tik iš nesmulkintų alyvmedžių (</w:t>
      </w:r>
      <w:r>
        <w:rPr>
          <w:rFonts w:ascii="Arial" w:hAnsi="Arial"/>
          <w:i/>
        </w:rPr>
        <w:t>Olea europaea </w:t>
      </w:r>
      <w:r>
        <w:rPr>
          <w:rFonts w:ascii="Arial" w:hAnsi="Arial"/>
        </w:rPr>
        <w:t>L.) vaisių ir niekaip neapdorojant, išskyrus alyvuogių valymą ar nešarminį plovimą.</w:t>
      </w:r>
      <w:r>
        <w:rPr>
          <w:rFonts w:ascii="Arial" w:hAnsi="Arial"/>
          <w:iCs/>
        </w:rPr>
        <w:t xml:space="preserve">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2. Tam, kad būtų tinkamas vartoti žmonėms, klasikinis alyvuogių aliejus (</w:t>
      </w:r>
      <w:r>
        <w:rPr>
          <w:rFonts w:ascii="Arial" w:hAnsi="Arial"/>
          <w:i/>
          <w:iCs/>
        </w:rPr>
        <w:t>lampante</w:t>
      </w:r>
      <w:r>
        <w:rPr>
          <w:rFonts w:ascii="Arial" w:hAnsi="Arial"/>
        </w:rPr>
        <w:t xml:space="preserve">) prieš tai turi būti rafinuojamas. </w:t>
      </w:r>
    </w:p>
    <w:p w14:paraId="097A7FE6" w14:textId="088927FF" w:rsidR="003335F1" w:rsidRPr="00DE35E8" w:rsidRDefault="008C2F75" w:rsidP="00B503A1">
      <w:pPr>
        <w:jc w:val="both"/>
        <w:rPr>
          <w:rFonts w:ascii="Arial" w:hAnsi="Arial" w:cs="Arial"/>
        </w:rPr>
      </w:pPr>
      <w:r>
        <w:rPr>
          <w:rFonts w:ascii="Arial" w:hAnsi="Arial"/>
        </w:rPr>
        <w:t xml:space="preserve">3. Alyvuogių aliejus ir alyvuogių išspaudų aliejus visada turi būti apsaugotas nuo nepalankių aplinkos sąlygų, kurios gali pakeisti jo fizines, chemines ir juslines savybes, todėl turi būti užtikrinama, kad jis bus laikomas, gabenamas ir parduodamas apsaugant nuo šviesos ir karščio. </w:t>
      </w:r>
    </w:p>
    <w:p w14:paraId="2782ECB5" w14:textId="77F209DE" w:rsidR="003335F1" w:rsidRPr="00DE35E8" w:rsidRDefault="003335F1" w:rsidP="00B503A1">
      <w:pPr>
        <w:spacing w:before="360" w:after="360"/>
        <w:jc w:val="both"/>
        <w:rPr>
          <w:rFonts w:ascii="Arial" w:hAnsi="Arial" w:cs="Arial"/>
          <w:i/>
        </w:rPr>
      </w:pPr>
      <w:r>
        <w:rPr>
          <w:rFonts w:ascii="Arial" w:hAnsi="Arial"/>
          <w:b/>
        </w:rPr>
        <w:t>7 straipsnis</w:t>
      </w:r>
      <w:r>
        <w:rPr>
          <w:rFonts w:ascii="Arial" w:hAnsi="Arial"/>
          <w:i/>
        </w:rPr>
        <w:t>. Konkretūs pakuotėms taikomi reikalavimai</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Pakuotės, kuriose bus pateikiamas aliejus, turi būti švarios, pagamintos iš maistui tinkamų medžiagų ir apsaugančios aliejų nuo oksidacinių procesų pagal galiojančias higienos ir sanitarijos taisykles. Šios pakuotės jokiu būdu negali keisti turinio savybių, skleisti neįprasto skonio ar kvapo arba sukelti gaminio pakitimų ir visada turi būti apsaugotos pagal 6 straipsnio 3 dalį.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Alyvuogių aliejaus ir alyvuogių išspaudų aliejaus pakuotės, skirtos parduoti ar pristatyti galutiniam vartotojui, įskaitant tas, kurias aliejaus spaudyklos pristato vartoti augintojams, taip pat tiekiamos kolektyvinėms įmonėms, turi turėti neatkuriamą uždarymo įtaisą ir turi būti ženklinamos pagal galiojančių teisės aktų nuostatas. </w:t>
      </w:r>
    </w:p>
    <w:p w14:paraId="0A2AD994" w14:textId="02AC4A07" w:rsidR="0035653C" w:rsidRPr="00DE35E8" w:rsidRDefault="00BA5254" w:rsidP="00B503A1">
      <w:pPr>
        <w:spacing w:after="240"/>
        <w:jc w:val="both"/>
        <w:rPr>
          <w:rFonts w:ascii="Arial" w:hAnsi="Arial" w:cs="Arial"/>
        </w:rPr>
      </w:pPr>
      <w:r>
        <w:rPr>
          <w:rFonts w:ascii="Arial" w:hAnsi="Arial"/>
        </w:rPr>
        <w:t>3. Galutiniam vartotojui parduoti skirtų pakuočių, įskaitant tas, kurias aliejaus spaudyklos tiekia vartoti augintojams, didžiausia talpa yra penki litrai. Kolektyvinėms įmonėms tiekiamas aliejus taip pat gali būti parduodamas dešimties, dvidešimties, dvidešimt penkių ir penkiasdešimties litrų talpos pakuotėse.</w:t>
      </w:r>
    </w:p>
    <w:p w14:paraId="55C9795C" w14:textId="20FCBB59" w:rsidR="00B56228" w:rsidRPr="00DE35E8" w:rsidRDefault="00BA5254" w:rsidP="00B503A1">
      <w:pPr>
        <w:pStyle w:val="Default"/>
        <w:spacing w:before="160"/>
        <w:jc w:val="both"/>
        <w:rPr>
          <w:color w:val="auto"/>
        </w:rPr>
      </w:pPr>
      <w:r>
        <w:rPr>
          <w:color w:val="auto"/>
        </w:rPr>
        <w:t>4. Pakuotės, kurios yra prieinamos galutiniams vartotojams kolektyvinėse įmonėse, turi turėti apsaugos sistemą, neleidžiančią jų naudoti pakartotinai, kai pasibaigia pradinis turinys.</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iCs/>
          <w:color w:val="auto"/>
        </w:rPr>
        <w:t>8 straipsnis.</w:t>
      </w:r>
      <w:r>
        <w:rPr>
          <w:b/>
          <w:i/>
          <w:color w:val="auto"/>
        </w:rPr>
        <w:t xml:space="preserve"> </w:t>
      </w:r>
      <w:r>
        <w:rPr>
          <w:i/>
          <w:color w:val="auto"/>
        </w:rPr>
        <w:t>Draudžiama veikla</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Draudžiama:</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alyvuogių aliejų ir alyvuogių išspaudų aliejų maišyti su kitais aliejais arba augalinės kilmės riebalais siekiant teikti nacionalinei rinkai. Šiais mišiniais negalima prekiauti naudojant maisto produktų pavadinimus, nurodytus 2011 m. spalio 25 d. Europos Parlamento ir Tarybos reglamente (ES) Nr. 1169/2011 dėl informacijos apie maistą teikimo vartotojams; </w:t>
      </w:r>
    </w:p>
    <w:p w14:paraId="24AAF4C2" w14:textId="695BA2C5" w:rsidR="00AF1F55" w:rsidRPr="00DE35E8" w:rsidRDefault="008C2F75" w:rsidP="00B503A1">
      <w:pPr>
        <w:jc w:val="both"/>
        <w:rPr>
          <w:rFonts w:ascii="Arial" w:hAnsi="Arial" w:cs="Arial"/>
        </w:rPr>
      </w:pPr>
      <w:r>
        <w:rPr>
          <w:rFonts w:ascii="Arial" w:hAnsi="Arial"/>
        </w:rPr>
        <w:lastRenderedPageBreak/>
        <w:t>b) sąvoką „pirmojo spaudimo“ arba „aukščiausios kokybės pirmojo spaudimo“ naudoti ženklinant maisto produktus, kurių išvaizda yra aliejinga ir gali būti painiojama su šio standarto alyvuogių aliejumi, pavyzdžiui, aliejų, pagardus, padažus ir panašius produktus. Šis draudimas neturi įtakos konkretaus produkto sudedamųjų dalių sąrašui;</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prekiauti aukščiausios kokybės pirmojo spaudimo alyvuogių aliejumi plastikinėje taroje per mažmeninės prekybos kanalus;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nupilti ar pakartotinai pripildyti alyvuogių aliejaus arba alyvuogių išspaudų aliejaus tarą ar pakuotes, skirtas galutiniam vartotojui, kolektyvinėse įmonėse; </w:t>
      </w:r>
    </w:p>
    <w:p w14:paraId="31ED4097" w14:textId="3B96FFF4" w:rsidR="00BF4307" w:rsidRPr="00DE35E8" w:rsidRDefault="008C2F75" w:rsidP="00B503A1">
      <w:pPr>
        <w:spacing w:after="240"/>
        <w:jc w:val="both"/>
        <w:rPr>
          <w:rFonts w:ascii="Arial" w:hAnsi="Arial" w:cs="Arial"/>
        </w:rPr>
      </w:pPr>
      <w:r>
        <w:rPr>
          <w:rFonts w:ascii="Arial" w:hAnsi="Arial"/>
        </w:rPr>
        <w:t xml:space="preserve">e) priskirti anksčiau suklasifikuotus kaip pirmojo spaudimo alyvuogių aliejų mišinius aukštesnei kategorijai nei naudojamas žemesnės kategorijos aliejus;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pirmojo spaudimo alyvuogių aliejaus spaudyklose, sandėliuose ir pakavimo punktuose turėti dezodoravimo ir (arba) bet kurio kito aliejaus rafinavimo etapo ar formos įrenginių ir specialių techninių priemonių;</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aliejaus spaudykloms gauti ar perdirbti alyvuogių išspaudas iš kitų spaudyklų, taip pat alyvuoges ar jų liekanas iš dekoratyvinių augalų, kurie buvo neleistinai apdoroti pirmojo spaudimo alyvuogių aliejui išgauti, ar iš jų gautą aliejų, taip pat bet kokias kitas aliejaus žaliavas, kurios nėra sveiki žali alyvmedžių vaisiai;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laikyti, sandėliuoti ir gabenti alyvuogių aliejų ir alyvuogių išspaudų aliejų, kuris nėra tinkamai identifikuotas kaip jį atitinkančios produktų kategorijos aliejus, išskyrus aliejaus spaudyklas, kuriose klasifikuojama prieš išsiunčiant produktą.</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3 straipsnyje apibrėžtose patalpose, skirtose alyvuogių aliejui ir alyvuogių išspaudų aliejui gauti, draudžiama ši veikla:</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šarminis aliejaus plovimas aliejaus spaudyklose;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alyvuogių aliejaus ir alyvuogių išspaudų aliejaus gamyba ar rafinavimas naudojant kitas nei leidžiamos procedūras, tirpiklius ar priedus, taip pat pramoninių, mineralinių, esterifikuotų ar sintetinių alyvų pridėjimas;</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esterinimo procesai ar bet kokia kita veikla, galinti pakeisti aliejaus gliceridų struktūrą;</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aliejaus apdorojimas oru, deguonimi, ozonu ar kitomis oksidacinėmis cheminėmis medžiagomis, išskyrus tas, kurios reikalingos aliejui pumpuoti perpilant iš vieno indo į kitą, pakuotėms ir rezervuarams inertizuoti ir homogenizacijai naudojant azotą ar kitas inertines dujas, nepažeidžiant Europos Sąjungos teisės aktų;</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glicerino, gyvūninių, augalinių, pramoninių arba sintetinių riebalų ar alyvos ir bet kurių kitų neleistinų medžiagų, kurių naudojimas draudžiamas ir nepateisinamas, laikymas arba tvarkymas patalpose, skirtose alyvuogių aliejui ir alyvuogių išspaudų aliejui gauti, rafinuoti, pakuoti ar neišpilsčius laikyti;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lastRenderedPageBreak/>
        <w:t xml:space="preserve">f) aliejaus spaudyklose atliekamas pakartotinis centrifugavimas nepertraukiamu būdu iš pirmojo spaudimo alyvuogių aliejaus gavimo sistemų gautos masės, siekiant išvengti jų fermentacijos. Pakartotinis centrifugavimas iš pirmojo spaudimo alyvuogių aliejaus gamybos sistemų gautos masės gali būti atliekamas tik po nepertraukiamo terminio masės maišymo. Jokiu būdu negalima pakartotinai centrifuguoti masės ar išspaudų iš cisternų ar rezervuarų, kurie yra kitokie, nei nurodyta 3 straipsnio 2 dalies l punkte. </w:t>
      </w:r>
    </w:p>
    <w:p w14:paraId="11933B30" w14:textId="3F3F5A51" w:rsidR="00B573B8" w:rsidRPr="00DE35E8" w:rsidRDefault="00B573B8" w:rsidP="00B503A1">
      <w:pPr>
        <w:spacing w:before="360" w:after="360"/>
        <w:jc w:val="both"/>
        <w:rPr>
          <w:rFonts w:ascii="Arial" w:hAnsi="Arial" w:cs="Arial"/>
          <w:i/>
        </w:rPr>
      </w:pPr>
      <w:r>
        <w:rPr>
          <w:rFonts w:ascii="Arial" w:hAnsi="Arial"/>
          <w:b/>
          <w:iCs/>
        </w:rPr>
        <w:t>9 straipsnis.</w:t>
      </w:r>
      <w:r>
        <w:rPr>
          <w:rFonts w:ascii="Arial" w:hAnsi="Arial"/>
          <w:b/>
          <w:i/>
        </w:rPr>
        <w:t xml:space="preserve"> </w:t>
      </w:r>
      <w:r>
        <w:rPr>
          <w:rFonts w:ascii="Arial" w:hAnsi="Arial"/>
          <w:i/>
        </w:rPr>
        <w:t>Oficiali kontrolė, koordinavimas ir sankcijos</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Kompetentingos oficialios kontrolės institucijos atlieka bent vieną kiekvieno tūkstančio tonų parduodamo alyvuogių aliejaus ir alyvuogių išspaudų aliejaus atitikties patikrą, kad patikrintų jų kokybės savybes, kaip nustatyta 1991 m. liepos 11 d. Komisijos reglamente (EEB) Nr. 2568/91 dėl maišyto alyvuogių aliejaus ir maišyto alyvuogių išspaudų aliejaus savybių ir dėl atitinkamų analizės metodų.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Taikomi tokie mėginių ėmimo ir analizės metodai, kurie atitinkamam produktui nustatyti Europos Sąjungos teisės aktuose arba, jeigu jam taikomų reikalavimų ES teisės aktuose nėra, nacionaliniuose ar regioniniuose teisės aktuose.</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Pirmojo spaudimo alyvuogių aliejaus etiketėje nurodytos kategorijos atitiktis tikrinama patvirtintose oficialiose laboratorijose pagal fizines, chemines ir juslines savybes degustatorių komisijos, įgaliotos atlikti oficialią kontrolę pagal 2008 m. vasario 15 d. Karaliaus dekreto Nr. 227/2008, kuriuo nustatomos pagrindinės pirmojo spaudimo alyvuogių aliejaus degustatorių taisyklės, nuostatas.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Nepažeisdama 1 dalyje nurodytame Europos Sąjungos teisės akte nustatytos kontrolės, Žemės ūkio, žuvininkystės ir maisto ministerija koordinuos specialų kontrolės planą, skirtą alyvuogių aliejaus ir alyvuogių išspaudų aliejaus sektoriaus atsekamumui tikrinti, kaip aprašyta 4 straipsnyje. Šiame plane turi būti numatyta speciali 5 straipsnio 3 dalyje nurodytų įrenginių kontrolė. </w:t>
      </w:r>
    </w:p>
    <w:p w14:paraId="0CEE0216" w14:textId="0046C74F" w:rsidR="00991F21" w:rsidRPr="00DE35E8" w:rsidRDefault="00F14BA3" w:rsidP="00B503A1">
      <w:pPr>
        <w:pStyle w:val="Default"/>
        <w:spacing w:after="240"/>
        <w:jc w:val="both"/>
        <w:rPr>
          <w:color w:val="auto"/>
        </w:rPr>
      </w:pPr>
      <w:r>
        <w:rPr>
          <w:color w:val="auto"/>
        </w:rPr>
        <w:t>5. Informacija apie atitikties patikrų, atliktų pagal 1 dalies nuostatas, rezultatus nustatyta tvarka bus pateikiama Žemės ūkio, žuvininkystės ir maisto ministerijai iki kiekvienų metų gegužės 1 d.</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Visa papildoma informacija bus pateikiama metinėje oficialios kontrolės ataskaitoje, kurią Žemės ūkio, žuvininkystės ir maisto ministerijos prašymu paskelbs Generalinė valstybės administracija. </w:t>
      </w:r>
    </w:p>
    <w:p w14:paraId="29C3D5B3" w14:textId="04798B97" w:rsidR="00F14BA3" w:rsidRPr="00DE35E8" w:rsidRDefault="00F14BA3" w:rsidP="00B503A1">
      <w:pPr>
        <w:pStyle w:val="Default"/>
        <w:spacing w:after="240"/>
        <w:jc w:val="both"/>
        <w:rPr>
          <w:color w:val="auto"/>
        </w:rPr>
      </w:pPr>
      <w:r>
        <w:rPr>
          <w:color w:val="auto"/>
        </w:rPr>
        <w:t>7. Konkrečios kontrolės planas bus pateiktas aptarti Maisto kokybės koordinavimo valdybai. Į jį bus įtrauktas bent jau kontrolės veiksmų planavimas ir patikrinimo kampanijų organizavimo protokolas, atsižvelgiant į autonominių sričių atliktų atitikties patikrinimų rezultatus ir į Žemės ūkio, žuvininkystės ir maisto ministerijai priskirtoje alyvuogių rinkų informacinėje sistemoje esančius duomenis. Šis planas kasmet bus peržiūrimas Maisto kokybės koordinavimo valdybos.</w:t>
      </w:r>
    </w:p>
    <w:p w14:paraId="2DAC617D" w14:textId="78604F4C" w:rsidR="00A31337" w:rsidRPr="00DE35E8" w:rsidRDefault="000E44EE" w:rsidP="00B503A1">
      <w:pPr>
        <w:jc w:val="both"/>
        <w:rPr>
          <w:rFonts w:ascii="Arial" w:hAnsi="Arial" w:cs="Arial"/>
        </w:rPr>
      </w:pPr>
      <w:r>
        <w:rPr>
          <w:rFonts w:ascii="Arial" w:hAnsi="Arial"/>
        </w:rPr>
        <w:t>8. Atlikus kontrolę skirtos sankcijos bus veiksmingos, proporcingos ir atgrasančios.</w:t>
      </w:r>
    </w:p>
    <w:p w14:paraId="0B018C2C" w14:textId="1B7A0391" w:rsidR="00CA039D" w:rsidRPr="00DE35E8" w:rsidRDefault="00033181" w:rsidP="002026A6">
      <w:pPr>
        <w:pStyle w:val="sangrado"/>
        <w:keepNext/>
        <w:keepLines/>
        <w:jc w:val="both"/>
        <w:rPr>
          <w:rFonts w:ascii="Arial" w:hAnsi="Arial" w:cs="Arial"/>
        </w:rPr>
      </w:pPr>
      <w:r>
        <w:rPr>
          <w:rFonts w:ascii="Arial" w:hAnsi="Arial"/>
          <w:b/>
        </w:rPr>
        <w:lastRenderedPageBreak/>
        <w:t xml:space="preserve">Pirmoji papildomoji nuostata. </w:t>
      </w:r>
      <w:r>
        <w:rPr>
          <w:rFonts w:ascii="Arial" w:hAnsi="Arial"/>
          <w:i/>
          <w:iCs/>
        </w:rPr>
        <w:t>Tarpusavio pripažinimo sąlyga</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Prekės, kurios yra teisėtai parduodamos kitoje Europos Sąjungos valstybėje narėje ar Turkijoje arba kurių kilmės šalis yra Europos laisvosios prekybos asociacijos valstybė, pasirašiusi Europos ekonominės erdvės susitarimą, laikomos atitinkančiomis šį karaliaus dekretą. Šis karaliaus dekretas taikomas kartu su 2019 m. kovo 19 d. Europos Parlamento ir Tarybos reglamentu (ES) 2019/515 dėl kitoje valstybėje narėje teisėtai parduodamų prekių abipusio pripažinimo, kuriuo panaikinamas Reglamentas (EB) Nr.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Antroji papildomoji nuostata. </w:t>
      </w:r>
      <w:r>
        <w:rPr>
          <w:rFonts w:ascii="Arial" w:hAnsi="Arial"/>
          <w:bCs/>
          <w:i/>
          <w:iCs/>
        </w:rPr>
        <w:t>Kompiuterinė sistema</w:t>
      </w:r>
    </w:p>
    <w:p w14:paraId="1C1C6B38" w14:textId="29BDE441" w:rsidR="003011C3" w:rsidRPr="00DE35E8" w:rsidRDefault="00D734B4" w:rsidP="00B503A1">
      <w:pPr>
        <w:spacing w:before="360" w:after="360"/>
        <w:jc w:val="both"/>
        <w:rPr>
          <w:rFonts w:ascii="Arial" w:hAnsi="Arial" w:cs="Arial"/>
          <w:bCs/>
        </w:rPr>
      </w:pPr>
      <w:r>
        <w:rPr>
          <w:rFonts w:ascii="Arial" w:hAnsi="Arial"/>
          <w:bCs/>
        </w:rPr>
        <w:t xml:space="preserve">Siekdama palengvinti tiek veiklos vykdytojams taikomą pareigą pranešti, nustatytą 4 straipsnio 3 dalyje, tiek kompetentingoms institucijoms taikomą reikalavimą gauti informaciją ir atlikti alyvuogių aliejaus ir alyvuogių išspaudų aliejaus kontrolę, Žemės ūkio, žuvininkystės ir maisto ministerija kurs kompiuterinę sistemą. </w:t>
      </w:r>
    </w:p>
    <w:p w14:paraId="7BC1536B" w14:textId="47607053" w:rsidR="00D734B4" w:rsidRPr="00DE35E8" w:rsidRDefault="00190979" w:rsidP="00B503A1">
      <w:pPr>
        <w:spacing w:before="360" w:after="360"/>
        <w:jc w:val="both"/>
        <w:rPr>
          <w:rFonts w:ascii="Arial" w:hAnsi="Arial" w:cs="Arial"/>
          <w:b/>
        </w:rPr>
      </w:pPr>
      <w:r>
        <w:rPr>
          <w:rFonts w:ascii="Arial" w:hAnsi="Arial"/>
        </w:rPr>
        <w:t>Šia sistema galės naudotis operatoriai, atsakingi už pateiktą pranešimą, kontrolę vykdančios kompetentingos institucijos, taip pat valstybės teisėsaugos institucijos.</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Vienintelė pereinamojo laikotarpio nuostata. </w:t>
      </w:r>
      <w:r>
        <w:rPr>
          <w:rFonts w:ascii="Arial" w:hAnsi="Arial"/>
          <w:i/>
        </w:rPr>
        <w:t>Pereinamasis laikotarpis</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4 straipsnio 3 dalies nuostatos nėra privalomos, kol nurodyta kompiuterinė sistema nėra įdiegta.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8 straipsnio 1 dalies c punkto nuostatos nuo 2024 m. sausio 1 d. bus taikomos iki 1 litro pakuotėms, o nuo 2025 m. sausio 1 d. – likusioms pakuotėms.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Vienintelė nuostata dėl panaikinimo.</w:t>
      </w:r>
      <w:r>
        <w:t xml:space="preserve"> </w:t>
      </w:r>
      <w:r>
        <w:rPr>
          <w:i/>
          <w:iCs/>
        </w:rPr>
        <w:t>Teisės akto panaikinimas</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Panaikinamos šiam karaliaus dekretui prieštaraujančios to paties ar žemesnio lygio nuostatos, visų pirma:</w:t>
      </w:r>
    </w:p>
    <w:p w14:paraId="420C7E36" w14:textId="637B8EBE" w:rsidR="00BD3ECA" w:rsidRPr="00DE35E8" w:rsidRDefault="00F07691" w:rsidP="00B503A1">
      <w:pPr>
        <w:spacing w:before="120" w:after="120"/>
        <w:jc w:val="both"/>
        <w:rPr>
          <w:rFonts w:ascii="Arial" w:hAnsi="Arial" w:cs="Arial"/>
        </w:rPr>
      </w:pPr>
      <w:r>
        <w:rPr>
          <w:rFonts w:ascii="Arial" w:hAnsi="Arial"/>
        </w:rPr>
        <w:t>a) 1979 m. gruodžio 7 d. Karaliaus dekretas Nr. 3000/1979 dėl pramoninių procesų reguliavimo alyvuogių aliejaus sektoriuje;</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1983 m. sausio 25 d. Karaliaus dekreto Nr. 308/1983, kuriuo patvirtinamas Maistinių aliejų techninis sveikatos reglamentas, dalis, susijusi su alyvuogių aliejumi ir alyvuogių išspaudų aliejumi; </w:t>
      </w:r>
    </w:p>
    <w:p w14:paraId="7452C311" w14:textId="55A1BD1C" w:rsidR="00BD3ECA" w:rsidRPr="00DE35E8" w:rsidRDefault="00F07691" w:rsidP="00B503A1">
      <w:pPr>
        <w:spacing w:before="120" w:after="120"/>
        <w:jc w:val="both"/>
        <w:rPr>
          <w:rFonts w:ascii="Arial" w:hAnsi="Arial" w:cs="Arial"/>
        </w:rPr>
      </w:pPr>
      <w:r>
        <w:rPr>
          <w:rFonts w:ascii="Arial" w:hAnsi="Arial"/>
        </w:rPr>
        <w:t>c) 1985 m. vasario 20 d. Karaliaus dekretas Nr. 259/1985, kuriuo papildomas Maistinių aliejų techninis sveikatos reglamentas, įtraukiant nuostatą dėl eritrodiolio nustatymo alyvuogių aliejuje;</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1986 m. lapkričio 21 d. Karaliaus dekretas Nr. 2551/1986, kuriuo reglamentuojama rafinuoto alyvuogių išspaudų aliejaus ir alyvuogių aliejaus gamyba ir prekyba;</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1993 m. balandžio 12 d. Karaliaus dekretas Nr. 538/1993, kuriuo iš dalies keičiamos tam tikros nuostatos, susijusios su pramoniniais maistinio aliejaus gamybos, apyvartos ir prekybos reikalavimais;</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lastRenderedPageBreak/>
        <w:t>f) 2003 m. lapkričio 21 d. Karaliaus dekretas Nr. 1431/2003, kuriuo nustatomos tam tikros prekybos alyvuogių aliejaus ir alyvuogių išspaudų aliejaus sektoriuje priemonės;</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1984 m. gruodžio 12 d. Įsakymas dėl augintojams aliejaus spaudyklų pristatomo pirmojo spaudimo alyvuogių aliejaus vartoti savo reikmėms;</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2004 m. gegužės 7 d. Įsakymas Nr. APA/1343/2004, kuriuo reglamentuojamas tam tikrų pramonės šakų, kurioms leidžiama prekiauti alyvuogių aliejumi, bendras registras.</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Pirmoji baigiamoji nuostata.</w:t>
      </w:r>
      <w:r>
        <w:rPr>
          <w:b/>
          <w:bCs/>
        </w:rPr>
        <w:t xml:space="preserve"> </w:t>
      </w:r>
      <w:r>
        <w:rPr>
          <w:i/>
          <w:iCs/>
        </w:rPr>
        <w:t>Teisinis pagrindas</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Šis karaliaus dekretas skelbiamas pagal Ispanijos Konstitucijos 149 straipsnio 1 dalies 13ª punkto nuostatas, kuriomis valstybei suteikiamos teisės nustatyti ekonominės veiklos pagrindus ir reglamentuoti ir koordinuoti ekonominę veiklą.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bCs/>
        </w:rPr>
        <w:t xml:space="preserve">Antroji baigiamoji nuostata. </w:t>
      </w:r>
      <w:r>
        <w:rPr>
          <w:bCs/>
          <w:i/>
        </w:rPr>
        <w:t>1967 m. rugsėjo 21 d. Dekreto Nr. 2484/1967, kuriuo patvirtinamas Ispanijos mitybos kodeksas, dalinis pakeitimas</w:t>
      </w:r>
    </w:p>
    <w:p w14:paraId="4F4C7805" w14:textId="77777777" w:rsidR="009F52EF" w:rsidRPr="00DE35E8" w:rsidRDefault="00107E79" w:rsidP="00B503A1">
      <w:pPr>
        <w:pStyle w:val="Default"/>
        <w:jc w:val="both"/>
        <w:rPr>
          <w:color w:val="auto"/>
        </w:rPr>
      </w:pPr>
      <w:r>
        <w:rPr>
          <w:color w:val="auto"/>
        </w:rPr>
        <w:t>1967 m. rugsėjo 21 d. Dekreto Nr. 2484/1967, kuriuo patvirtinamas Ispanijos mitybos kodeksas, XVI skyriaus 2ª skirsnis išdėstomas taip:</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„Alyvuogių aliejui ir alyvuogių išspaudų aliejui taikomos 2020 m. ... d. Karaliaus dekreto Nr. xxxx/2020, kuriuo patvirtinamas alyvuogių aliejaus ir alyvuogių išspaudų aliejų kokybės standartas, nuostatos.“</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bCs/>
        </w:rPr>
        <w:t xml:space="preserve">Trečioji baigiamoji nuostata. </w:t>
      </w:r>
      <w:r>
        <w:rPr>
          <w:i/>
          <w:iCs/>
        </w:rPr>
        <w:t>Įsigaliojimo data</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Šis Karaliaus dekretas įsigalioja 2021 m. sausio 2 d.</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Parengta Madride, 2020 m. ... d.</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I PRIEDAS</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Atsekamumo žurnalai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A dalis. Bendrosios registravimo sąlygos</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Vidaus atsekamumo žurnale turi būti nurodomos bent jau šios operacijos: aliejaus gavimas, gamyba, rafinavimas, klasifikavimas, sandėlio keitimas, aliejų sumaišymai, aliejaus išpilstymas.</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Kiekvienas produktas turi būti identifikuojamas atvežimo žurnale pateikiant tiekėjo anksčiau jam priskirtus identifikacinius duomenis. Pirkimo ir (arba) priėmimo centrų, aliejaus spaudyklų ir spaudimo įmonių atveju identifikuojamas alyvuogių kilmės kadastro sklypas ir žemė bei jo savininkas.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Atvežimo ir išvežimo žurnaluose turi būti nurodoma produkto vidinė paskirtis ar naudojimas (saugykla, sandėlis, piltuvas, perdirbimo linija ir kt.) arba kilmė. Taip pat reikia nurodyti produktų likutį atvežimo ar išvežimo sandėlyje (-iuose).</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Atvežimo ir išvežimo žurnaluose turi būti aiškiai nurodyti lydimieji dokumentai, kuriuose fiksuojamas bet koks prekių judėjimas.</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Atvežimo ir išvežimo žurnalai pildomi, kai pasikeičia prekės savininkas (net jei fiziškai prekė nebuvo judinama) arba fizinė prekės vieta.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Nuorodos, kurios vėliau įtraukiamos į produktų etiketes, pavyzdžiui, partija, pirmasis šaltasis spaudimas, šaltasis išgavimas, derliaus nuėmimo metai, veislė ir kt., tinkamai registruojamos taip, kad jas būtų galima patikrinti visuose atitinkamo produkto dokumentuose.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Identifikuojant bet kurį produktą, turi būti išlaikoma sąsaja tarp sandėlio, kuriame jis saugomas, identifikacinių duomenų ir žurnaluose atspindimos informacijos. Ši pareiga taikoma atsižvelgiant į savybių pokyčius, atsirandančius dėl natūralaus produkto vystymosi. Šie pokyčiai turi būti atspindimi žurnale, kai tik veiklos vykdytojas juos pastebi.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B dalis. Produktų, kurie turi būti įtraukiami į įvairius registrus, kategorijos</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Alyvuogės:</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alyvuogės, skirtos aliejaus gamybai.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Alyvuogių aliejus:</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neklasifikuojamas aliejus;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aukščiausios kokybės pirmojo spaudimo alyvuogių aliejus;</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pirmojo spaudimo alyvuogių aliejus;</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klasikinis alyvuogių aliejus (</w:t>
      </w:r>
      <w:r>
        <w:rPr>
          <w:rFonts w:ascii="Arial" w:hAnsi="Arial"/>
          <w:i/>
          <w:iCs/>
        </w:rPr>
        <w:t>lampante</w:t>
      </w:r>
      <w:r>
        <w:rPr>
          <w:rFonts w:ascii="Arial" w:hAnsi="Arial"/>
        </w:rPr>
        <w:t xml:space="preserve">);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rafinuotas alyvuogių aliejus;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alyvuogių aliejus, kurį sudaro tik rafinuotas alyvuogių aliejus ir pirmojo spaudimo alyvuogių aliejus.</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Alyvuogių išspaudų aliejus:</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alyvuogių išspaudų aliejus;</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rafinuotas alyvuogių išspaudų aliejus;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maišytas alyvuogių išspaudų aliejus.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Visų įrenginių, iš kurių gali būti gaunamas aliejus, šalutiniai produktai</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Kitas maistinis aliejus</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Tuo atveju, kai pramonės subjektai ir operatoriai dirba ne tik su alyvuogių aliejumi ir alyvuogių išspaudų aliejumi, bet ir ruošia, rafinuoja, sandėliuoja ar pakuoja kitokį maistinį aliejų.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C dalis. Informacija, kurią privaloma nurodyti atvežimo ir išvežimo žurnaluose</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Lydimojo dokumento identifikaciniai duomenys, jei reikia</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Pardavėjo arba tiekėjo identifikaciniai duomenys: pavardė arba pavadinimas, adresas, mokesčių mokėtojo identifikacinis numeris ir kilmės įmonės adresas. Taip pat nurodomas pastarosios pavadinimas ir mokesčių mokėtojo identifikacinis numeris, jei skiriasi nuo pardavėjo ar tiekėjo.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Pirkėjo arba gavėjo, įskaitant mažmenininką – paskutinį buteliuose išpilstyto aliejaus gavėją, identifikaciniai duomenys: pavardė arba pavadinimas, adresas, mokesčių mokėtojo identifikacinis numeris ir paskirties įmonės adresas. Taip pat nurodomas pastarosios pavadinimas ir mokesčių mokėtojo identifikacinis numeris, jei skiriasi nuo pirkėjo ar gavėjo. </w:t>
      </w:r>
    </w:p>
    <w:p w14:paraId="662B4931" w14:textId="77777777" w:rsidR="00484361" w:rsidRPr="002026A6" w:rsidRDefault="00484361" w:rsidP="00B503A1">
      <w:pPr>
        <w:spacing w:before="100" w:beforeAutospacing="1" w:after="100" w:afterAutospacing="1"/>
        <w:jc w:val="both"/>
        <w:rPr>
          <w:rFonts w:ascii="Arial" w:hAnsi="Arial" w:cs="Arial"/>
          <w:spacing w:val="-4"/>
        </w:rPr>
      </w:pPr>
      <w:r w:rsidRPr="002026A6">
        <w:rPr>
          <w:rFonts w:ascii="Arial" w:hAnsi="Arial"/>
          <w:spacing w:val="-4"/>
        </w:rPr>
        <w:t xml:space="preserve">d) Produkto identifikaciniai duomenys: pavadinimas, partija, kiekis ir savybės, kurios laikomos svarbiomis identifikuojant, pavyzdžiui, birus, pakuotė, etiketė, šlapias ar sausas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Produkto kilmės nuoroda: kilmės šalis. Siekiant, kad prireikus būtų laikomasi 2012 m. sausio 13 d. Komisijos įgyvendinimo reglamento (ES) Nr. 29/2012 4 straipsnio nuostatų, bus nurodoma Ispanija, valstybė narė, Europos Sąjunga arba pateikiamas trečiosios šalies pavadinimas, kaip nustatyta šiame reglamente.</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Produkto savybės, kurias norima nurodyti etiketėje</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Operacijos data</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Vežėjo identifikaciniai duomenys: įmonė (pavadinimas, adresas, mokesčių mokėtojo identifikacinis numeris), transporto priemonės tipas ir jos registracijos numeris arba, jei reikia, kita transporto priemonės teisinio identifikavimo forma</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D dalis. Informacija, kurią reikia nurodyti vidaus atsekamumo žurnale</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Vidaus atsekamumo sistemoje nurodoma bent ši informacija:</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atlikta operacija ar vykdyta veikla;</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lastRenderedPageBreak/>
        <w:t xml:space="preserve">b) produktų, iš kurių jie gaunami, identifikaciniai duomenys: pavadinimas, partija (kai taikytina), kiekis;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gautų produktų identifikaciniai duomenys: pavadinimas, partija (kai taikytina), kiekis;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operacijos data ir, jei reikia, laikas;</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vidinė produktų, iš kurių jie gaunami, kilmė (saugykla, sandėlis, piltuvas, perdirbimo linija ir kt.). Likutis sandėlyje ar kilmės sandėliai;</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vidinė gautų produktų paskirtis arba naudojimo vieta (sandėlis, piltuvas, perdirbimo linija ir kt.). Likutis sandėlyje ar paskirties sandėliai.</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II PRIEDAS</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Būtina informacija apie lydimąjį dokumentą gabenant produktą</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Produkto identifikacija: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produkto identifikaciniai duomenys: galiojančiuose teisės aktuose nustatytas pavadinimas, partija, kiekis ir savybės, kurios laikomos svarbiomis jį identifikuojant, pavyzdžiui, birus, pakuotė, etiketė, šlapias ar sausas;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produkto kilmės nuoroda: kilmės šalis;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nesupakuotų produktų: kitos savanoriškos nuorodos, kurios gali būti nurodomos vėliau etiketėse, pavyzdžiui, veislė, derliaus nuėmimo metai, šaltasis išgavimas, pirmasis šaltasis spaudimas, ekologinė gamyba ir kt.;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produkto kiekis.</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Prekių kilmės duomenys: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Pardavėjo ar tiekėjo identifikaciniai duomenys: pavardė arba pavadinimas, adresas, mokesčių mokėtojo identifikacinis numeris ir kilmės įmonės adresas.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Taip pat nurodomas pastarosios pavadinimas ir mokesčių mokėtojo identifikacinis numeris, jei skiriasi nuo pardavėjo ar tiekėjo.</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Vežimo duomenys: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Transporto įmonės ir naudotos transporto priemonės identifikaciniai duomenys ir data.</w:t>
      </w:r>
    </w:p>
    <w:p w14:paraId="6A6D6E3A" w14:textId="09A7CC52" w:rsidR="00494357" w:rsidRPr="00DE35E8" w:rsidRDefault="002026A6" w:rsidP="00B503A1">
      <w:pPr>
        <w:keepNext/>
        <w:spacing w:before="100" w:beforeAutospacing="1" w:after="100" w:afterAutospacing="1"/>
        <w:jc w:val="both"/>
        <w:rPr>
          <w:rFonts w:ascii="Arial" w:hAnsi="Arial" w:cs="Arial"/>
          <w:b/>
        </w:rPr>
      </w:pPr>
      <w:r>
        <w:rPr>
          <w:rFonts w:ascii="Arial" w:hAnsi="Arial"/>
          <w:b/>
        </w:rPr>
        <w:t>D</w:t>
      </w:r>
      <w:r w:rsidR="009F27E3">
        <w:rPr>
          <w:rFonts w:ascii="Arial" w:hAnsi="Arial"/>
          <w:b/>
        </w:rPr>
        <w:t xml:space="preserve">. Prekių paskirties vietos duomenys: </w:t>
      </w:r>
    </w:p>
    <w:p w14:paraId="518F49D9" w14:textId="7572094F" w:rsidR="006400A7" w:rsidRPr="002026A6" w:rsidRDefault="00494357" w:rsidP="00B503A1">
      <w:pPr>
        <w:spacing w:before="100" w:beforeAutospacing="1" w:after="100" w:afterAutospacing="1"/>
        <w:jc w:val="both"/>
        <w:rPr>
          <w:rFonts w:ascii="Arial" w:hAnsi="Arial" w:cs="Arial"/>
          <w:spacing w:val="-6"/>
        </w:rPr>
      </w:pPr>
      <w:r w:rsidRPr="002026A6">
        <w:rPr>
          <w:rFonts w:ascii="Arial" w:hAnsi="Arial"/>
          <w:spacing w:val="-6"/>
        </w:rPr>
        <w:t xml:space="preserve">Pirkėjo arba gavėjo, įskaitant mažmenininką – paskutinį buteliuose išpilstyto aliejaus gavėją, identifikaciniai duomenys: pavadinimas, adresas, mokesčių mokėtojo identifikacinis numeris ir paskirties įmonės adresas. Taip pat nurodomas pastarosios pavadinimas ir mokesčių mokėtojo identifikacinis numeris, jei skiriasi nuo pirkėjo ar gavėjo.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lastRenderedPageBreak/>
        <w:t>III PRIEDAS</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Aliejaus išvaizda ir specifinės savybės</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Aukščiausios kokybės pirmojo spaudimo alyvuogių aliejus ir filtruotas pirmojo spaudimo alyvuogių aliejus</w:t>
      </w:r>
    </w:p>
    <w:p w14:paraId="095783EF" w14:textId="77777777" w:rsidR="00F44FDF" w:rsidRPr="00DE35E8" w:rsidRDefault="00F44FDF" w:rsidP="00B503A1">
      <w:pPr>
        <w:pStyle w:val="Default"/>
        <w:ind w:left="142"/>
        <w:rPr>
          <w:color w:val="auto"/>
        </w:rPr>
      </w:pPr>
      <w:r>
        <w:rPr>
          <w:color w:val="auto"/>
        </w:rPr>
        <w:t>Drėgnis ir lakiosios medžiagos: ≤ 0,2/100.</w:t>
      </w:r>
    </w:p>
    <w:p w14:paraId="7D6D2C01" w14:textId="5C332848" w:rsidR="00F44FDF" w:rsidRPr="00DE35E8" w:rsidRDefault="00F44FDF" w:rsidP="00B503A1">
      <w:pPr>
        <w:pStyle w:val="Default"/>
        <w:ind w:left="142"/>
        <w:rPr>
          <w:color w:val="auto"/>
        </w:rPr>
      </w:pPr>
      <w:r>
        <w:rPr>
          <w:color w:val="auto"/>
        </w:rPr>
        <w:t xml:space="preserve">Netirpios petroleterio priemaišos: ≤ 0,10/100.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Alyvuogių aliejus, kurį sudaro tik rafinuotas alyvuogių aliejus ir pirmojo spaudimo alyvuogių aliejus</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Išvaizda: skaidrus, 24 valandas laikomas 20 °C ± 2 °C temperatūroje.</w:t>
      </w:r>
    </w:p>
    <w:p w14:paraId="0296A932" w14:textId="77777777" w:rsidR="00F44FDF" w:rsidRPr="002026A6" w:rsidRDefault="00F44FDF" w:rsidP="00B503A1">
      <w:pPr>
        <w:ind w:left="142"/>
        <w:jc w:val="both"/>
        <w:rPr>
          <w:rFonts w:ascii="Arial" w:hAnsi="Arial" w:cs="Arial"/>
          <w:spacing w:val="-2"/>
        </w:rPr>
      </w:pPr>
      <w:r w:rsidRPr="002026A6">
        <w:rPr>
          <w:rFonts w:ascii="Arial" w:hAnsi="Arial"/>
          <w:spacing w:val="-2"/>
        </w:rPr>
        <w:t>Kvapas ir skonis: pasižymi savitais aromatais ir būdingomis mišinyje naudojamo pirmojo spaudimo alyvuogių aliejaus savybėmis. Nėra pakitimų, taršos ar defektų požymių, viršijančių tuos, kurie yra naudojamame pirmojo spaudimo alyvuogių aliejuje.</w:t>
      </w:r>
    </w:p>
    <w:p w14:paraId="68E598BC" w14:textId="77777777" w:rsidR="00F44FDF" w:rsidRPr="00DE35E8" w:rsidRDefault="00F44FDF" w:rsidP="00B503A1">
      <w:pPr>
        <w:pStyle w:val="Default"/>
        <w:ind w:left="142"/>
        <w:rPr>
          <w:color w:val="auto"/>
        </w:rPr>
      </w:pPr>
      <w:r>
        <w:rPr>
          <w:color w:val="auto"/>
        </w:rPr>
        <w:t>Drėgnis ir lakiosios medžiagos: ≤ 0,1/100.</w:t>
      </w:r>
    </w:p>
    <w:p w14:paraId="4B215FA1" w14:textId="77777777" w:rsidR="00F44FDF" w:rsidRPr="00DE35E8" w:rsidRDefault="00F44FDF" w:rsidP="00B503A1">
      <w:pPr>
        <w:pStyle w:val="Default"/>
        <w:ind w:left="142"/>
        <w:rPr>
          <w:color w:val="auto"/>
        </w:rPr>
      </w:pPr>
      <w:r>
        <w:rPr>
          <w:color w:val="auto"/>
        </w:rPr>
        <w:t>Netirpios petroleterio priemaišos: ≤ 0,05/100.</w:t>
      </w:r>
    </w:p>
    <w:p w14:paraId="5A5E9394" w14:textId="77777777" w:rsidR="00F44FDF" w:rsidRPr="00DE35E8" w:rsidRDefault="00F44FDF" w:rsidP="00B503A1">
      <w:pPr>
        <w:pStyle w:val="Default"/>
        <w:spacing w:after="240"/>
        <w:ind w:left="142"/>
        <w:rPr>
          <w:color w:val="auto"/>
        </w:rPr>
      </w:pPr>
      <w:r>
        <w:rPr>
          <w:color w:val="auto"/>
        </w:rPr>
        <w:t xml:space="preserve">Muilo likučiai: nėra.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Rafinuotas alyvuogių aliejus</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Išvaizda: skaidrus, 24 valandas laikomas 20 °C ± 2 °C temperatūroje.</w:t>
      </w:r>
    </w:p>
    <w:p w14:paraId="7BB45A9C" w14:textId="77777777" w:rsidR="00F44FDF" w:rsidRPr="00DE35E8" w:rsidRDefault="00F44FDF" w:rsidP="00B503A1">
      <w:pPr>
        <w:ind w:left="142"/>
        <w:jc w:val="both"/>
        <w:rPr>
          <w:rFonts w:ascii="Arial" w:hAnsi="Arial" w:cs="Arial"/>
        </w:rPr>
      </w:pPr>
      <w:r>
        <w:rPr>
          <w:rFonts w:ascii="Arial" w:hAnsi="Arial"/>
        </w:rPr>
        <w:t>Kvapas ir skonis: neutralus, neišsivadėjantis, be pakitimų ar taršos požymių.</w:t>
      </w:r>
    </w:p>
    <w:p w14:paraId="5105089C" w14:textId="77777777" w:rsidR="00F44FDF" w:rsidRPr="00DE35E8" w:rsidRDefault="00F44FDF" w:rsidP="00B503A1">
      <w:pPr>
        <w:pStyle w:val="Default"/>
        <w:ind w:left="142"/>
        <w:rPr>
          <w:color w:val="auto"/>
        </w:rPr>
      </w:pPr>
      <w:r>
        <w:rPr>
          <w:color w:val="auto"/>
        </w:rPr>
        <w:t>Drėgnis ir lakiosios medžiagos: ≤ 0,1/100.</w:t>
      </w:r>
    </w:p>
    <w:p w14:paraId="49281EEA" w14:textId="77777777" w:rsidR="00F44FDF" w:rsidRPr="00DE35E8" w:rsidRDefault="00F44FDF" w:rsidP="00B503A1">
      <w:pPr>
        <w:pStyle w:val="Default"/>
        <w:ind w:left="142"/>
        <w:rPr>
          <w:color w:val="auto"/>
        </w:rPr>
      </w:pPr>
      <w:r>
        <w:rPr>
          <w:color w:val="auto"/>
        </w:rPr>
        <w:t>Netirpios petroleterio priemaišos: ≤ 0,05/100.</w:t>
      </w:r>
    </w:p>
    <w:p w14:paraId="2336D379" w14:textId="77777777" w:rsidR="00F44FDF" w:rsidRPr="00DE35E8" w:rsidRDefault="00F44FDF" w:rsidP="00B503A1">
      <w:pPr>
        <w:pStyle w:val="Default"/>
        <w:ind w:left="142"/>
        <w:rPr>
          <w:color w:val="auto"/>
        </w:rPr>
      </w:pPr>
      <w:r>
        <w:rPr>
          <w:color w:val="auto"/>
        </w:rPr>
        <w:t>Muilo likučiai: nėra.</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Rafinuotas alyvuogių išspaudų aliejus.</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Išvaizda: skaidrus, 24 valandas laikomas 20 °C ± 2 °C temperatūroje.</w:t>
      </w:r>
    </w:p>
    <w:p w14:paraId="1BB2CEF0" w14:textId="77777777" w:rsidR="00F44FDF" w:rsidRPr="00DE35E8" w:rsidRDefault="00F44FDF" w:rsidP="00B503A1">
      <w:pPr>
        <w:ind w:left="142"/>
        <w:jc w:val="both"/>
        <w:rPr>
          <w:rFonts w:ascii="Arial" w:hAnsi="Arial" w:cs="Arial"/>
        </w:rPr>
      </w:pPr>
      <w:r>
        <w:rPr>
          <w:rFonts w:ascii="Arial" w:hAnsi="Arial"/>
        </w:rPr>
        <w:t>Kvapas ir skonis: neutralus, neišsivadėjantis, be pakitimų ar taršos požymių.</w:t>
      </w:r>
    </w:p>
    <w:p w14:paraId="35B990C6" w14:textId="77777777" w:rsidR="00F44FDF" w:rsidRPr="00DE35E8" w:rsidRDefault="00F44FDF" w:rsidP="00B503A1">
      <w:pPr>
        <w:pStyle w:val="Default"/>
        <w:ind w:left="142"/>
        <w:rPr>
          <w:color w:val="auto"/>
        </w:rPr>
      </w:pPr>
      <w:r>
        <w:rPr>
          <w:color w:val="auto"/>
        </w:rPr>
        <w:t>Drėgnis ir lakiosios medžiagos: ≤ 0,1/100.</w:t>
      </w:r>
    </w:p>
    <w:p w14:paraId="2AF3CFA0" w14:textId="77777777" w:rsidR="00F44FDF" w:rsidRPr="00DE35E8" w:rsidRDefault="00F44FDF" w:rsidP="00B503A1">
      <w:pPr>
        <w:pStyle w:val="Default"/>
        <w:ind w:left="142"/>
        <w:rPr>
          <w:color w:val="auto"/>
        </w:rPr>
      </w:pPr>
      <w:r>
        <w:rPr>
          <w:color w:val="auto"/>
        </w:rPr>
        <w:t>Netirpios petroleterio priemaišos: ≤ 0,05/100.</w:t>
      </w:r>
    </w:p>
    <w:p w14:paraId="667102D7" w14:textId="77777777" w:rsidR="00F44FDF" w:rsidRPr="00DE35E8" w:rsidRDefault="00F44FDF" w:rsidP="00B503A1">
      <w:pPr>
        <w:pStyle w:val="Default"/>
        <w:ind w:left="142"/>
        <w:rPr>
          <w:color w:val="auto"/>
        </w:rPr>
      </w:pPr>
      <w:r>
        <w:rPr>
          <w:color w:val="auto"/>
        </w:rPr>
        <w:t>Muilo likučiai: nėra.</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Alyvuogių išspaudų aliejus</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Išvaizda: skaidrus, 24 valandas laikomas 20 °C ± 2 °C temperatūroje.</w:t>
      </w:r>
    </w:p>
    <w:p w14:paraId="40031B46" w14:textId="77777777" w:rsidR="00F44FDF" w:rsidRPr="00DE35E8" w:rsidRDefault="00F44FDF" w:rsidP="00B503A1">
      <w:pPr>
        <w:pStyle w:val="Default"/>
        <w:ind w:left="142"/>
        <w:jc w:val="both"/>
        <w:rPr>
          <w:color w:val="auto"/>
        </w:rPr>
      </w:pPr>
      <w:r>
        <w:rPr>
          <w:color w:val="auto"/>
        </w:rPr>
        <w:t xml:space="preserve">Kvapas ir skonis: pasižymi savitais aromatais ir būdingomis mišinyje naudojamo pirmojo spaudimo alyvuogių aliejaus savybėmis. Nėra pakitimų, taršos ar defektų požymių, viršijančių tuos, kurie yra naudojamame pirmojo spaudimo alyvuogių aliejuje. </w:t>
      </w:r>
    </w:p>
    <w:p w14:paraId="523A1A0E" w14:textId="77777777" w:rsidR="00F44FDF" w:rsidRPr="00DE35E8" w:rsidRDefault="00F44FDF" w:rsidP="00B503A1">
      <w:pPr>
        <w:pStyle w:val="Default"/>
        <w:ind w:left="142"/>
        <w:rPr>
          <w:color w:val="auto"/>
        </w:rPr>
      </w:pPr>
      <w:r>
        <w:rPr>
          <w:color w:val="auto"/>
        </w:rPr>
        <w:t>Drėgnis ir lakiosios medžiagos: ≤ 0,1/100.</w:t>
      </w:r>
    </w:p>
    <w:p w14:paraId="1A066BD2" w14:textId="77777777" w:rsidR="00F44FDF" w:rsidRPr="00DE35E8" w:rsidRDefault="00F44FDF" w:rsidP="00B503A1">
      <w:pPr>
        <w:pStyle w:val="Default"/>
        <w:ind w:left="142"/>
        <w:rPr>
          <w:color w:val="auto"/>
        </w:rPr>
      </w:pPr>
      <w:r>
        <w:rPr>
          <w:color w:val="auto"/>
        </w:rPr>
        <w:t>Netirpios petroleterio priemaišos: ≤ 0,05/100.</w:t>
      </w:r>
    </w:p>
    <w:p w14:paraId="03631DE0" w14:textId="77777777" w:rsidR="00F44FDF" w:rsidRPr="00DE35E8" w:rsidRDefault="00F44FDF" w:rsidP="00B503A1">
      <w:pPr>
        <w:pStyle w:val="Default"/>
        <w:ind w:left="142"/>
        <w:rPr>
          <w:color w:val="auto"/>
        </w:rPr>
      </w:pPr>
      <w:r>
        <w:rPr>
          <w:color w:val="auto"/>
        </w:rPr>
        <w:t>Muilo likučiai: nėra.</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Puslapis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26A6"/>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lt-LT"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lt-LT"/>
    </w:rPr>
  </w:style>
  <w:style w:type="character" w:customStyle="1" w:styleId="BodyTextIndent3Char">
    <w:name w:val="Body Text Indent 3 Char"/>
    <w:basedOn w:val="DefaultParagraphFont"/>
    <w:link w:val="BodyTextIndent3"/>
    <w:rsid w:val="00EE7990"/>
    <w:rPr>
      <w:sz w:val="16"/>
      <w:szCs w:val="16"/>
      <w:lang w:val="lt-LT"/>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eite_de_ol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4688</Words>
  <Characters>32717</Characters>
  <Application>Microsoft Office Word</Application>
  <DocSecurity>0</DocSecurity>
  <Lines>272</Lines>
  <Paragraphs>74</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8</cp:revision>
  <cp:lastPrinted>2020-02-12T17:05:00Z</cp:lastPrinted>
  <dcterms:created xsi:type="dcterms:W3CDTF">2020-09-08T10:26:00Z</dcterms:created>
  <dcterms:modified xsi:type="dcterms:W3CDTF">2020-10-02T14:49:00Z</dcterms:modified>
</cp:coreProperties>
</file>