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NL-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ONTWERP KONINKLIJK BESLUIT</w:t>
      </w:r>
      <w:r>
        <w:rPr>
          <w:rFonts w:ascii="Arial" w:hAnsi="Arial"/>
          <w:iCs/>
          <w:caps/>
        </w:rPr>
        <w:t xml:space="preserve">…/2020 van … …, houdende </w:t>
      </w:r>
      <w:r>
        <w:rPr>
          <w:rFonts w:ascii="Arial" w:hAnsi="Arial"/>
        </w:rPr>
        <w:t>GOEDKEURING VAN DE KWALITEITSNORM VOOR OLIJFOLIËN EN OLIËN UIT AFVALLEN VAN OLIJVEN.</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Spanje is de belangrijkste producent en uitvoerder van olijfolie in de wereld. De olijfbomen- en olijfoliesector is van grote economische, sociale en zakelijke betekenis in het land en op de internationale markten en kent een voortdurend toenemende vraag. Het doel van dit Koninklijk Besluit is het actualiseren van de wetgeving om deze aan te passen aan de actuele situatie in de sector en aan de technologische ontwikkelingen, door de kwaliteit van olijfolie te bevorderen als een van de basispijlers voor de ontwikkeling van deze sector.</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In Spanje</w:t>
      </w:r>
      <w:r>
        <w:rPr>
          <w:rStyle w:val="Strong"/>
        </w:rPr>
        <w:t xml:space="preserve"> </w:t>
      </w:r>
      <w:r>
        <w:t>worden de olijfoliën geregeld in hoofdstuk XVI, afdeling 2a, van Besluit 2484/1967 van 21 september houdende goedkeuring van de tekst van de Spaanse Warenwet (Código Alimentario Español). Deze materie werd ontwikkeld en op specifieke wijze gereguleerd in Koninklijk Besluit 308/1983 van 25 januari houdende goedkeuring van de gezondheidstechnische verordening inzake voor consumptie bestemde plantaardige oliën.</w:t>
      </w:r>
    </w:p>
    <w:p w14:paraId="11F5D3F9" w14:textId="1E67EC52" w:rsidR="00090536" w:rsidRPr="00DE35E8" w:rsidRDefault="00090536" w:rsidP="00B503A1">
      <w:pPr>
        <w:spacing w:after="240"/>
        <w:jc w:val="both"/>
        <w:rPr>
          <w:rFonts w:ascii="Arial" w:hAnsi="Arial" w:cs="Arial"/>
        </w:rPr>
      </w:pPr>
      <w:r>
        <w:rPr>
          <w:rFonts w:ascii="Arial" w:hAnsi="Arial"/>
        </w:rPr>
        <w:t xml:space="preserve">In de Europese Unie is de regelgeving inzake olijfoliën en oliën uit afvallen van olijven geharmoniseerd in Verordening (EEG) nr. 2568/1991 van de Commissie van 11 juli 1991 inzake de kenmerken van olijfoliën en oliën uit afvallen van olijven en de desbetreffende analysemethoden, en in Verordening (EU) nr. 1308/2013 van het Europees Parlement en de Raad van 17 december 2013 tot vaststelling van een gemeenschappelijke ordening van de markten voor landbouwproducten en tot intrekking van de Verordeningen (EEG) nr. 922/72, (EEG) nr. 234/79, (EG) nr. 1037/2001 en (EG) nr. 1234/2007. In deze verordeningen zijn de benamingen, definities, fysisch-chemische en organoleptische kenmerken en methoden voor monsterneming en analyse van deze producten vastgesteld.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Daarnaast voorziet Uitvoeringsverordening (EU) nr. 29/2012 van de Commissie van 13 januari 2012 betreffende de handelsnormen voor olijfolie, in de vaststelling van de handelsnormen en de administratieve samenwerkingsprocedure tussen de Commissie en de lidstaten ten aanzien van de voor deze producten geldende controleregels. Deze verordening komt in de plaats van Verordening (EG) nr. 1019/2002, waarvoor in Spanje aanvullende maatregelen werden ontwikkeld in het Koninklijk Besluit 1431/2003 van </w:t>
      </w:r>
      <w:r>
        <w:rPr>
          <w:rStyle w:val="Strong"/>
          <w:rFonts w:ascii="Arial" w:hAnsi="Arial"/>
          <w:b w:val="0"/>
        </w:rPr>
        <w:t>21 november houdende bepaalde handelsmaatregelen in de sector van olijfoliën en oliën uit afvallen van olijven.</w:t>
      </w:r>
    </w:p>
    <w:p w14:paraId="6B699213" w14:textId="6ECAC799" w:rsidR="00090536" w:rsidRPr="00DE35E8" w:rsidRDefault="00090536" w:rsidP="001C4E6E">
      <w:pPr>
        <w:pStyle w:val="Default"/>
        <w:keepNext/>
        <w:keepLines/>
        <w:spacing w:before="100" w:beforeAutospacing="1" w:after="100" w:afterAutospacing="1"/>
        <w:jc w:val="both"/>
        <w:rPr>
          <w:color w:val="auto"/>
        </w:rPr>
      </w:pPr>
      <w:r>
        <w:rPr>
          <w:color w:val="auto"/>
        </w:rPr>
        <w:lastRenderedPageBreak/>
        <w:t>Het genoemde Koninklijk Besluit 308/1983 van 25 januari is herhaaldelijk gewijzigd. Bovendien is het door de ontwikkelingen in de productie- en consumptieomstandigheden in deze afgelopen vier decennia noodzakelijk het besluit te vervangen door een nieuw besluit, in het bijzonder gezien het bijzondere karakter en de relevantie van de productie van olijfoliën en oliën uit afvallen van olijven in Spanje. Het feit dat de sector beschikt over een eigen norm, los van de norm voor andere plantaardige oliën, zal ertoe bijdragen dat de systemen voor productie en zelfcontrole en de normen voor verpakking en etikettering beter kunnen worden afgestemd op de Europese regelgeving en op de ontwikkelingen op het gebied van criteria en technologische vooruitgang. Naast de actualisering van de inhoud is de indeling van de norm gewijzigd en vereenvoudigd, doordat de hygiënische en gezondheidsaspecten die zijn ontwikkeld en geharmoniseerd in de communautaire verordeningen van horizontale aard die op deze materie van toepassing zijn, eruit zijn gehaald.</w:t>
      </w:r>
    </w:p>
    <w:p w14:paraId="7A8064F9" w14:textId="1DD88362" w:rsidR="00090536" w:rsidRPr="00DE35E8" w:rsidRDefault="00090536" w:rsidP="00B503A1">
      <w:pPr>
        <w:pStyle w:val="Default"/>
        <w:jc w:val="both"/>
        <w:rPr>
          <w:color w:val="auto"/>
        </w:rPr>
      </w:pPr>
      <w:r>
        <w:rPr>
          <w:color w:val="auto"/>
        </w:rPr>
        <w:t>Dit heeft tot gevolg dat de op olijfoliën en oliën uit afvallen van olijven betrekking hebbende inhoud van afdeling 2a van hoofdstuk XVI van de Spaanse Warenwet, goedgekeurd middels Besluit 2484/1967 van 21 september, en het genoemde Koninklijk Besluit 308/1983 van 25 januari, moeten worden ingetrokken. Anderzijds heeft de regelgeving op dit gebied in toenemende mate te lijden onder een probleem van versnipperde regelingen, dat geleidelijk is ontstaan door de samenvoeging van de toepasselijke bepalingen voor olijfoliën en oliën uit afvallen van olijven. Het is derhalve gepast deze normen in te trekken, wat een gunstige uitwerking zal hebben op de rechtszekerheid.</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Onderhavige norm is van toepassing op alle olijfoliën en oliën uit afvallen van olijven die in Spanje worden bereid en in de handel gebracht, zonder daarbij afbreuk te doen aan de naleving van de clausule inzake wederzijdse erkenning van de Europese Unie.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Met het oog op het behoud en de verhoging van de waarde van olijfoliën en oliën uit afvallen van olijven en om mogelijke frauduleuze praktijken te voorkomen, is het noodzakelijk om in deze norm bepaalde verplichtingen voor de marktdeelnemers in de sector vast te stellen met betrekking tot de installaties, niet-toegestane praktijken, begeleidende documenten en de traceerbaarheid van de producten. </w:t>
      </w:r>
      <w:r>
        <w:rPr>
          <w:color w:val="auto"/>
          <w:shd w:val="clear" w:color="auto" w:fill="FFFFFF"/>
        </w:rPr>
        <w:t xml:space="preserve">Deze verplichtingen en verboden moeten gelden voor alle marktdeelnemers, dat wil zeggen alle natuurlijke of rechtspersonen die deelnemen aan enige fase in de productie en het in de handel brengen van olijfoliën en oliën uit afvallen van olijven, met inbegrip van onder meer de aankoopcentra voor olijven, coöperaties of mobiele olijfoliemolens. </w:t>
      </w:r>
    </w:p>
    <w:p w14:paraId="6681DADD" w14:textId="6743B4E5" w:rsidR="00090536" w:rsidRPr="00DE35E8" w:rsidRDefault="00936DB3" w:rsidP="00B503A1">
      <w:pPr>
        <w:pStyle w:val="Default"/>
        <w:spacing w:after="240"/>
        <w:jc w:val="both"/>
        <w:rPr>
          <w:color w:val="auto"/>
        </w:rPr>
      </w:pPr>
      <w:r>
        <w:rPr>
          <w:color w:val="auto"/>
        </w:rPr>
        <w:t>Krachtens artikel 7 bis van Verordening (EEG) nr. 2568/91 en onverminderd de bepalingen in Verordening (EG) nr. 178/2002 is het verplicht een genormaliseerd traceerbaarheidssysteem bij te houden, waarmee de producten gemakkelijk kunnen worden gelokaliseerd. Hierbij wordt benadrukt dat de onder de norm vallende oliën in alle fasen van de productie, het vervoer en de afzet correct geïdentificeerd moeten kunnen worden.</w:t>
      </w:r>
    </w:p>
    <w:p w14:paraId="68207B54" w14:textId="584FF1FA" w:rsidR="005C2C0C" w:rsidRPr="00DE35E8" w:rsidRDefault="00661336" w:rsidP="001C4E6E">
      <w:pPr>
        <w:keepNext/>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Met het traceerbaarheidssysteem wordt bijgedragen aan de bevordering van de voedselkwaliteit, het verbeteren van het vertrouwen van consumenten, het onderscheiden van de producten ten opzichte van andere, het heroveren en versterken van de markt en, indien van toepassing, de selectieve terugtrekking van de producten.</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Om de naleving van de verplichtingen van de norm voor de marktdeelnemers en de controle voor de bevoegde autoriteiten te vergemakkelijken, is het noodzakelijk een geautomatiseerd systeem te implementeren waarin de gegevens van de verplaatsingen van olijfoliën en oliën uit afvallen van olijven worden samengebracht.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Met betrekking tot de voedselinformatie en de toleranties voor de controle van het effectieve gehalte in een verpakking, is het bepaalde in Verordening (EU) nr. 1169/2011 van het Europees Parlement en de Raad van 25 oktober 2011 over de aan de consument verstrekte voedselinformatie van toepassing, evenals Koninklijk Besluit 1801/2008 van 3 november, waarin de normen voor de nominale hoeveelheden voor verpakte producten en voor de controle van het effectieve gehalte zijn vastgelegd.</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In lijn met het beleid van de Europese Unie op het gebied van duurzame ontwikkeling en in het bijzonder het beleid voor vermindering van het gebruik van plastic, wordt in onderhavige norm het gebruik van dit materiaal beperkt tot enkele producten, die bovendien te maken kunnen krijgen met een slechter imago bij bepaalde vormen van presentatie zoals plastic verpakkingen.</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Gezien het belang van partnerschappen en samenwerking tussen de overheidsinstanties is het gepast een speciaal Controleplan vast te stellen om de traceerbaarheid in de sector voor olijfolie en olie uit afvallen van olijven te verifiëren. Dit kan worden opgezet door de bevoegde autoriteiten op het gebied van kwaliteitscontrole en fraudebestrijding en worden goedgekeurd door het Bureau voor de coördinatie van de voedselkwaliteit (Mesa de Coordinación de la Calidad Alimentaria). </w:t>
      </w:r>
    </w:p>
    <w:p w14:paraId="1AAAE751" w14:textId="1C165D2B" w:rsidR="00661336" w:rsidRPr="00DE35E8" w:rsidRDefault="00661336" w:rsidP="00B503A1">
      <w:pPr>
        <w:pStyle w:val="Default"/>
        <w:jc w:val="both"/>
        <w:rPr>
          <w:color w:val="auto"/>
        </w:rPr>
      </w:pPr>
      <w:r>
        <w:rPr>
          <w:color w:val="auto"/>
        </w:rPr>
        <w:t xml:space="preserve">Anderzijds zal het ministerie van Landbouw, Visserij en Voedselkwaliteit een verslag opstellen waarin de resultaten van de uitgevoerde acties worden opgenomen, met het oog op een grotere transparantie van de gegevens in de door de bevoegde autoriteiten uitgevoerde conformiteitscontroles van de olijfolie.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Dit Koninklijk Besluit is onderworpen aan de procedure als voorgeschreven in Richtlijn (EU) 2015/1535 van het Europees Parlement en de Raad van 9 september 2015 betreffende een informatieprocedure op het gebied van normen en technische voorschriften en regels betreffende de diensten van de informatiemaatschappij, en aan de bepalingen in Koninklijk Besluit 1337/1999 van 31 juli, houdende regeling van de informatieverstrekking op het gebied van technische normen en voorschriften en regels betreffende de diensten van de informatiemaatschappij.</w:t>
      </w:r>
    </w:p>
    <w:p w14:paraId="438C14E9" w14:textId="1E6F66D7" w:rsidR="001B6D0C" w:rsidRPr="00DE35E8" w:rsidRDefault="001B6D0C" w:rsidP="001C4E6E">
      <w:pPr>
        <w:pStyle w:val="Default"/>
        <w:keepNext/>
        <w:keepLines/>
        <w:spacing w:after="240"/>
        <w:jc w:val="both"/>
        <w:rPr>
          <w:color w:val="auto"/>
        </w:rPr>
      </w:pPr>
      <w:r>
        <w:rPr>
          <w:color w:val="auto"/>
        </w:rPr>
        <w:lastRenderedPageBreak/>
        <w:t>De inhoud van dit koninklijk besluit voldoet aan de beginselen van goede regelgeving, zoals bepaald in artikel 129 van wet 39/2015 van 1 oktober 2015 betreffende de gemeenschappelijke administratieve procedures voor overheidsinstanties. Op grond van de beginselen van noodzakelijkheid en doeltreffendheid vindt deze norm derhalve haar rechtvaardiging in de noodzaak een adequate regeling vast te stellen in de sector van olijfolie en olie uit afvallen van olijven, waarbij de intrekking van het Koninklijk Besluit 308/1983 van 25 januari houdende goedkeuring van de gezondheidstechnische verordening inzake voor consumptie bestemde plantaardige oliën en de vaststelling van een nieuwe kwaliteitsnorm waarin olijfolie en olie uit afvallen van olijven specifiek worden geregeld, de meest passende manier is om dit te bereiken. Ook is rekening gehouden met de beginselen van efficiëntie en evenredigheid door een regeling vast te stellen en de administratieve lasten te beperken tot wat minimaal vereist is om de nagestreefde doelstellingen te bereiken. Op grond van het beginsel van transparantie is tijdens de behandeling van dit besluit niet alleen een openbare raadpleging gehouden en informatie aan het publiek verstrekt, maar zijn ook de autonome gemeenschappen alsmede de vertegenwoordigers van de betrokken sectoren en consumenten geraadpleegd en heeft de Interministeriële commissie voor voedselbeheer hiervan verslag uitgebracht. Tot slot voldoet het koninklijk besluit aan het beginsel van rechtszekerheid doordat het in samenhang is met de overige wettelijke regelgeving die van toepassing is en de marktdeelnemers de noodzakelijke overgangsperiode wordt geboden om zich aan de norm aan te passen.</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Onderhavig koninklijk besluit wordt uitgevaardigd op grond van het bepaalde in artikel 149, lid 1, regel 13, van de Spaanse Grondwet, die aan de Staat de exclusieve bevoegdheid verleent op het gebied van de grondslagen en coördinatie van de algemene planning van de economische activiteit. </w:t>
      </w:r>
    </w:p>
    <w:p w14:paraId="2B5EAD10" w14:textId="77777777" w:rsidR="00B776A3" w:rsidRPr="00DE35E8" w:rsidRDefault="00B776A3" w:rsidP="00B503A1">
      <w:pPr>
        <w:pStyle w:val="Default"/>
        <w:spacing w:after="240"/>
        <w:jc w:val="both"/>
        <w:rPr>
          <w:color w:val="auto"/>
        </w:rPr>
      </w:pPr>
      <w:r>
        <w:rPr>
          <w:color w:val="auto"/>
        </w:rPr>
        <w:t>Wet 28/2015 van 30 juli betreffende de bescherming van de voedselkwaliteit vormt de rechtsgrondslag inzake de bescherming van de kwaliteit van levensmiddelen door hiervoor een basisregeling te bieden. Krachtens de vierde slotbepaling van deze wet is de overheid bevoegd kwaliteitsnormen voor levensmiddelen vast te stellen. Dankzij deze normen kan de kwaliteit van de op de markt aangeboden producten worden verzekerd en gehandhaafd, aangezien de consument bij een karakterisering en indeling van de producten gemakkelijker een keus kan maken en het product kan kiezen dat het beste aansluit bij zijn of haar smaak of behoeften.</w:t>
      </w:r>
    </w:p>
    <w:p w14:paraId="641893D6" w14:textId="010C894B" w:rsidR="00090536" w:rsidRPr="00DE35E8" w:rsidRDefault="00090536" w:rsidP="00B503A1">
      <w:pPr>
        <w:pStyle w:val="Default"/>
        <w:jc w:val="both"/>
        <w:rPr>
          <w:color w:val="auto"/>
        </w:rPr>
      </w:pPr>
      <w:r>
        <w:rPr>
          <w:color w:val="auto"/>
        </w:rPr>
        <w:t xml:space="preserve">Krachtens het gestelde en op voorstel van de minister van Landbouw, Visserij en Voedselvoorziening, de minister van Consumentenzaken en de minister van Industrie, Handel en Toerisme, in overeenstemming met de staatsraad en na voorafgaande bespreking in de raad van ministers tijdens de vergadering van……….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BESLUIT IK ALS VOLGT:</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Artikel 1. </w:t>
      </w:r>
      <w:r>
        <w:rPr>
          <w:rFonts w:ascii="Arial" w:hAnsi="Arial"/>
          <w:i/>
        </w:rPr>
        <w:t>Doel.</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Het doel van dit Koninklijk Besluit is de vaststelling van de kwaliteitsnorm voor olijfolie en olie uit afvallen van olijven. </w:t>
      </w:r>
    </w:p>
    <w:p w14:paraId="72CC39D6" w14:textId="77777777" w:rsidR="009C4D64" w:rsidRPr="00DE35E8" w:rsidRDefault="009C4D64" w:rsidP="00B503A1">
      <w:pPr>
        <w:spacing w:before="360" w:after="360"/>
        <w:jc w:val="both"/>
        <w:rPr>
          <w:rFonts w:ascii="Arial" w:hAnsi="Arial" w:cs="Arial"/>
          <w:i/>
        </w:rPr>
      </w:pPr>
      <w:r>
        <w:rPr>
          <w:rFonts w:ascii="Arial" w:hAnsi="Arial"/>
          <w:b/>
        </w:rPr>
        <w:t>Artikel 2</w:t>
      </w:r>
      <w:r>
        <w:rPr>
          <w:rFonts w:ascii="Arial" w:hAnsi="Arial"/>
          <w:b/>
          <w:i/>
        </w:rPr>
        <w:t xml:space="preserve"> </w:t>
      </w:r>
      <w:r>
        <w:rPr>
          <w:rFonts w:ascii="Arial" w:hAnsi="Arial"/>
          <w:i/>
        </w:rPr>
        <w:t>Toepassingsgebied.</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Deze norm is van toepassing op alle olijfoliën en oliën uit afvallen van olijven die in Spanje worden bereid en in de handel gebracht, onverminderd de naleving van de clausule inzake wederzijdse erkenning van de Europese Unie.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De norm is van toepassing op de marktdeelnemers die olijfoliën en oliën uit afvallen van olijven in Spanje bereiden of in de handel brengen.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Artikel 3</w:t>
      </w:r>
      <w:r>
        <w:rPr>
          <w:rFonts w:ascii="Arial" w:hAnsi="Arial"/>
          <w:b/>
          <w:i/>
        </w:rPr>
        <w:t xml:space="preserve"> </w:t>
      </w:r>
      <w:r>
        <w:rPr>
          <w:rFonts w:ascii="Arial" w:hAnsi="Arial"/>
          <w:i/>
        </w:rPr>
        <w:t>Benamingen en definities van producten.</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De definities en benamingen voor de verschillende categorieën producten waarin de olijfoliën en oliën uit afvallen van olijven zijn ingedeeld, zijn vastgesteld in deel VIII van bijlage VII van Verordening (EU) nr. 1308/2013 van het Europees Parlement en de Raad van 17 december 2013 tot vaststelling van een gemeenschappelijke ordening van de markten voor landbouwproducten en tot intrekking van de Verordeningen (EEG) nr. 922/72, (EEG) nr. 234/79, (EG) nr. 1037/2001 en (EG) nr. 1234/2007 en in de Europese voorschriften waarin deze worden ontwikkeld of vervangen.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Voor de toepassing van dit Koninklijk Besluit wordt verstaan onder:</w:t>
      </w:r>
    </w:p>
    <w:p w14:paraId="367FE3EC" w14:textId="28BA55D0" w:rsidR="00B56228" w:rsidRPr="00DE35E8" w:rsidRDefault="009F53DF" w:rsidP="00B503A1">
      <w:pPr>
        <w:spacing w:after="160"/>
        <w:jc w:val="both"/>
        <w:rPr>
          <w:rFonts w:ascii="Arial" w:hAnsi="Arial" w:cs="Arial"/>
        </w:rPr>
      </w:pPr>
      <w:r>
        <w:rPr>
          <w:rFonts w:ascii="Arial" w:hAnsi="Arial"/>
        </w:rPr>
        <w:t xml:space="preserve">a) Aankoop- of ontvangstcentrum voor olijven: de installatie die zich richt op de aankoop of het in ontvangst nemen van olijven van verschillende landbouwers om deze zonder enige bewerking van de vrucht te overhandigen aan een olijfoliemolen of verwerkingsfaciliteit voor olijven.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Olijfoliemolen: de molen of fabriek waar </w:t>
      </w:r>
      <w:hyperlink r:id="rId8" w:tooltip="Olijfolie" w:history="1">
        <w:r>
          <w:rPr>
            <w:rFonts w:ascii="Arial" w:hAnsi="Arial"/>
          </w:rPr>
          <w:t>olijfolie</w:t>
        </w:r>
      </w:hyperlink>
      <w:r>
        <w:t xml:space="preserve"> </w:t>
      </w:r>
      <w:r>
        <w:rPr>
          <w:rFonts w:ascii="Arial" w:hAnsi="Arial"/>
        </w:rPr>
        <w:t xml:space="preserve">van eerste persing wordt gewonnen met behulp van mechanische of fysieke middelen door het vermalen van de </w:t>
      </w:r>
      <w:hyperlink r:id="rId9" w:tooltip="Olijf" w:history="1">
        <w:r>
          <w:rPr>
            <w:rFonts w:ascii="Arial" w:hAnsi="Arial"/>
          </w:rPr>
          <w:t>olijve</w:t>
        </w:r>
      </w:hyperlink>
      <w:r>
        <w:rPr>
          <w:rFonts w:ascii="Arial" w:hAnsi="Arial"/>
        </w:rPr>
        <w:t xml:space="preserve">n, hele en rauwe vruchten van de </w:t>
      </w:r>
      <w:r>
        <w:rPr>
          <w:rFonts w:ascii="Arial" w:hAnsi="Arial"/>
          <w:i/>
        </w:rPr>
        <w:t xml:space="preserve">Olea europaea </w:t>
      </w:r>
      <w:r>
        <w:rPr>
          <w:rFonts w:ascii="Arial" w:hAnsi="Arial"/>
        </w:rPr>
        <w:t xml:space="preser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Mobiele olijfoliemolen: de olijfoliemolen zonder bepaalde of vaste fysieke locatie die wordt verplaatst voor het ter plaatse vermalen van olijven, hele en rauwe vruchten van de </w:t>
      </w:r>
      <w:r>
        <w:rPr>
          <w:rFonts w:ascii="Arial" w:hAnsi="Arial"/>
          <w:i/>
        </w:rPr>
        <w:t xml:space="preserve">Olea europaea </w:t>
      </w:r>
      <w:r>
        <w:rPr>
          <w:rFonts w:ascii="Arial" w:hAnsi="Arial"/>
        </w:rPr>
        <w:t xml:space="preserve">L., ter verkrijging van olijfolie van eerste persing.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Olieverpakkingsbedrijf: de fabriek of installatie waar de olijfoliën en de oliën uit afvallen van olijven worden verpakt voor menselijke consumptie.</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Raffinaderij: de fabriek of installatie waar de olijfoliën en de oliën uit afvallen van olijven worden geraffineerd voor menselijke consumptie.</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lastRenderedPageBreak/>
        <w:t xml:space="preserve">f) Extractor voor afvallen: de fabriek of installatie die is ingericht voor de activiteit om via fysieke of chemische procedures oliën uit afvallen van rauwe olijven te verkrijgen uit afvallen van olijven. Hieronder vallen ook de installaties waarin uitsluitend de activiteit van het drogen van de bij het malen van rauwe en hele olijven verkregen natte afvallen plaatsvindt. </w:t>
      </w:r>
    </w:p>
    <w:p w14:paraId="60ACFDD6" w14:textId="4E7B9285" w:rsidR="009F100F" w:rsidRPr="00DE35E8" w:rsidRDefault="000B53F1" w:rsidP="00B503A1">
      <w:pPr>
        <w:spacing w:after="160"/>
        <w:jc w:val="both"/>
        <w:rPr>
          <w:rFonts w:ascii="Arial" w:hAnsi="Arial" w:cs="Arial"/>
        </w:rPr>
      </w:pPr>
      <w:r>
        <w:rPr>
          <w:rFonts w:ascii="Arial" w:hAnsi="Arial"/>
        </w:rPr>
        <w:t xml:space="preserve">g) Bewaarplaats: het gebouw waarin geen enkele verwerking van het product plaatsvindt en dit uitsluitend tijdelijk wordt bewaard voor de andere marktdeelnemers in de sector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Marktdeelnemer: de natuurlijke of rechtspersoon die activiteiten in de sector en op de markt voor olijfoliën en oliën uit afvallen van olijven ontwikkelt, met inbegrip van de olijvenoogsters die de olie los afnemen van de olijfoliemolen en iedereen die olijfolie van eerste persing los koopt of afneemt van een olijfoliemolen. Wanneer een verwerkings- of verpakkingsbedrijf voor olijven hele en rauwe vruchten van de </w:t>
      </w:r>
      <w:r>
        <w:rPr>
          <w:rFonts w:ascii="Arial" w:hAnsi="Arial"/>
          <w:i/>
        </w:rPr>
        <w:t>Olea europaea</w:t>
      </w:r>
      <w:r>
        <w:rPr>
          <w:rFonts w:ascii="Arial" w:hAnsi="Arial"/>
        </w:rPr>
        <w:t xml:space="preserve"> L. gebruikt zonder deze te behandelen met het doel er olie van te maken, wordt dit ook als marktdeelnemer beschouwd.</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Marktdeelnemer zonder installatie: de natuurlijke of rechtspersoon zonder eigen installaties die actief is in de sector en op de markt voor olijfolie en oliën uit afvallen van olijven.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Olijvenoogster: de natuurlijke of rechtspersoon die hoofd is van een olijvenbedrijf dat olijven van de </w:t>
      </w:r>
      <w:r>
        <w:rPr>
          <w:rFonts w:ascii="Arial" w:hAnsi="Arial"/>
          <w:i/>
        </w:rPr>
        <w:t>Olea europaea</w:t>
      </w:r>
      <w:r>
        <w:rPr>
          <w:rFonts w:ascii="Arial" w:hAnsi="Arial"/>
        </w:rPr>
        <w:t xml:space="preserve"> L. produceert en deze verwerkt tot olijfolie door de olijven van zijn of haar grond te vermalen met behulp van een oliemolen die deze dienst verleent.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Raffineerproces: elk proces dat wordt toegepast op olijfoliën en oliën uit afvallen van rauwe olijven anders dan het verkrijgen van olie door fysieke procedures en de klaring door wassen, sedimentatie, centrifugering of filtering.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Continu proces: het proces dat zonder enige pauze en zonder overgang tussen de ene en de andere handeling wordt uitgevoerd. Hierbij is het echter wel toegestaan dat er een voorraadbak of tijdelijke opslagtank wordt gebruikt voor de overgang tussen de handelingen, waarbij de maximaal toegestane tijd dat de massa in de voorraadbak of tijdelijke opslagtank blijft 12 uur bedraagt, mits binnen dezelfde fabriek.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Eindconsument: de consument van een levensmiddelenproduct die dit als laatste gebruikt en het niet aanwendt voor enige handeling of handelsactiviteit in de levensmiddelensector.</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n) Grote cateraars: bedrijven of instellingen (inclusief voertuigen en vaste of mobiele kramen), zoals restaurants, kantines, scholen, ziekenhuizen en cateringbedrijven waarin in het kader van een bedrijfsactiviteit voedsel wordt bereid dat klaar is voor consumptie door de eindverbruiker.</w:t>
      </w:r>
      <w:r>
        <w:rPr>
          <w:rFonts w:ascii="Arial" w:hAnsi="Arial"/>
          <w:bCs/>
        </w:rPr>
        <w:t xml:space="preserve"> </w:t>
      </w:r>
    </w:p>
    <w:p w14:paraId="5C76E170" w14:textId="3C169CC6" w:rsidR="005135A8" w:rsidRPr="00DE35E8" w:rsidRDefault="00C132A2" w:rsidP="001C4E6E">
      <w:pPr>
        <w:keepNext/>
        <w:keepLines/>
        <w:spacing w:before="100" w:beforeAutospacing="1" w:after="100" w:afterAutospacing="1"/>
        <w:jc w:val="both"/>
        <w:rPr>
          <w:rFonts w:ascii="Arial" w:hAnsi="Arial" w:cs="Arial"/>
        </w:rPr>
      </w:pPr>
      <w:r>
        <w:rPr>
          <w:rFonts w:ascii="Arial" w:hAnsi="Arial"/>
          <w:b/>
        </w:rPr>
        <w:lastRenderedPageBreak/>
        <w:t xml:space="preserve">Artikel 4 </w:t>
      </w:r>
      <w:r>
        <w:rPr>
          <w:rFonts w:ascii="Arial" w:hAnsi="Arial"/>
          <w:i/>
        </w:rPr>
        <w:t>Verplichtingen voor de traceerbaarheid.</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De marktdeelnemers, en in het bijzonder degenen die over installaties beschikken, zijn verplicht om op de plaats waar de producten zich bevinden te beschikken over een registratiesysteem voor de traceerbaarheid overeenkomstig het bepaalde in bijlage I.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De vermeldingen in deze registers moeten in realtime worden ingevoerd. </w:t>
      </w:r>
    </w:p>
    <w:p w14:paraId="092F6554" w14:textId="11358C79" w:rsidR="009867F2" w:rsidRPr="001C4E6E" w:rsidRDefault="009867F2" w:rsidP="00B503A1">
      <w:pPr>
        <w:spacing w:before="360" w:after="360"/>
        <w:jc w:val="both"/>
        <w:rPr>
          <w:rFonts w:ascii="Arial" w:hAnsi="Arial" w:cs="Arial"/>
          <w:spacing w:val="-4"/>
          <w:highlight w:val="lightGray"/>
        </w:rPr>
      </w:pPr>
      <w:r w:rsidRPr="001C4E6E">
        <w:rPr>
          <w:rFonts w:ascii="Arial" w:hAnsi="Arial"/>
          <w:spacing w:val="-4"/>
        </w:rPr>
        <w:t xml:space="preserve">Onverminderd het bepaalde in de voorgaande alinea's en onverminderd de naleving van de bepalingen van Verordening (EG) nr. 178/2002 van het Europees Parlement en de Raad van 28 januari 2002 houdende de beginselen en algemene voorschriften inzake de voedselwetgeving, de oprichting van een Europese Autoriteit voor Voedselzekerheid en de vaststelling van procedures met betrekking tot de voedselzekerheid, zijn de bewaarplaatsen die uitsluitend zijn bestemd voor de bewaring en verspreiding van verpakte en voor de verkoop aan de eindconsument bedoelde olijfoliën en oliën uit afvallen van olijven, evenals detailhandelbedrijven, niet verplicht een registratie van de in deze norm vastgestelde interne verplaatsingen bij te houden.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Het is verplicht om tijdens het vervoer van olijfoliën en oliën uit afvallen van olijven de goederen in alle gevallen en op elk moment vergezeld te doen gaan door een document dat ten minste de gegevens bevat die worden vermeld in bijlage II van dit koninklijk besluit en waarin ondubbelzinnig de benaming van het betrokken product overeenkomstig de toepasselijke norm wordt aangeduid.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De marktdeelnemers worden verplicht om tijdens het vervoer van olijfoliën en oliën uit afvallen van olijven voorafgaand aan de verplaatsing de in lid 2 vermelde gegevens te melden in het geautomatiseerde systeem dat voor dit doel door het ministerie van Landbouw, Visserij en Voedselvoorziening is opgezet.</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De in artikel 5, lid 3, vermelde marktdeelnemers worden verplicht de verplaatsingen van olijfoliën en oliën uit afvallen van olijven die worden uitgevoerd tussen de olijfoliemolens, de raffinaderijen en de extractoren in hun installatie, te melden bij het in voorgaand lid genoemd geautomatiseerd systeem.</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Tevens moeten zij jaarlijks aan de bevoegde controle-instantie een verslag overleggen van de in lid 1 genoemde traceerbaarheidsregistratie, waarin op heldere wijze de binnenkomende en uitgaande hoeveelheden en interne verplaatsingen van elke categorie olie die zij produceren, bewaren of in de handel brengen, worden aangegeven.</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Artikel 5 </w:t>
      </w:r>
      <w:r>
        <w:rPr>
          <w:rFonts w:ascii="Arial" w:hAnsi="Arial"/>
          <w:i/>
        </w:rPr>
        <w:t xml:space="preserve">Specifieke verplichtingen voor de installaties.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De olijfoliemolens, raffinaderijen en extractoren waarmee nieuwe olie uit afvallen van olijven wordt gemaakt, moeten onafhankelijk van elkaar geplaatst zijn. Ze mogen in geen geval via leidingen aan elkaar zijn gekoppeld. </w:t>
      </w:r>
    </w:p>
    <w:p w14:paraId="46CEEEF6" w14:textId="76D68949" w:rsidR="000E44EE" w:rsidRPr="00DE35E8" w:rsidRDefault="00846C60" w:rsidP="00B503A1">
      <w:pPr>
        <w:spacing w:before="360" w:after="360"/>
        <w:jc w:val="both"/>
        <w:rPr>
          <w:rFonts w:ascii="Arial" w:hAnsi="Arial" w:cs="Arial"/>
        </w:rPr>
      </w:pPr>
      <w:r>
        <w:rPr>
          <w:rFonts w:ascii="Arial" w:hAnsi="Arial"/>
        </w:rPr>
        <w:lastRenderedPageBreak/>
        <w:t>2. De olijfoliemolens, raffinaderijen en extractoren waarmee nieuwe olie uit afvallen van olijven wordt gemaakt, moeten op de juiste wijze van elkaar geïsoleerd zijn of gescheiden zijn van een bedrijf of lokaal dat geen verband houdt met de specifieke taken, met name wanneer deze bestemd zijn voor de productie, verwerking, losse opslag en verpakking van dierlijke of plantaardige vetten en van industriële of minerale vetten en oliën.</w:t>
      </w:r>
    </w:p>
    <w:p w14:paraId="6A54E281" w14:textId="0A6B0DE1" w:rsidR="00240127" w:rsidRPr="00DE35E8" w:rsidRDefault="000E44EE" w:rsidP="00B503A1">
      <w:pPr>
        <w:spacing w:after="240"/>
        <w:jc w:val="both"/>
        <w:rPr>
          <w:rFonts w:ascii="Arial" w:hAnsi="Arial" w:cs="Arial"/>
        </w:rPr>
      </w:pPr>
      <w:r>
        <w:rPr>
          <w:rFonts w:ascii="Arial" w:hAnsi="Arial"/>
        </w:rPr>
        <w:t>3. De olijfoliemolens, raffinaderijen en extractoren van olie uit afvallen van olijven die al bij de inwerkingtreding van deze norm in bedrijf waren, zijn uitgesloten van de verplichtingen in de leden 1 en 2 van dit artikel.</w:t>
      </w:r>
    </w:p>
    <w:p w14:paraId="5D720B27" w14:textId="1F5DACCF" w:rsidR="00B53FC3" w:rsidRPr="00DE35E8" w:rsidRDefault="00240127" w:rsidP="00B503A1">
      <w:pPr>
        <w:spacing w:after="240"/>
        <w:jc w:val="both"/>
        <w:rPr>
          <w:rFonts w:ascii="Arial" w:hAnsi="Arial" w:cs="Arial"/>
        </w:rPr>
      </w:pPr>
      <w:r>
        <w:rPr>
          <w:rFonts w:ascii="Arial" w:hAnsi="Arial"/>
        </w:rPr>
        <w:t>4. De olijfoliemolens of elke andere vestiging van een marktdeelnemer in de sector moeten alle olie die zij distribueren, geclassificeerd hebben overeenkomstig de benamingen die zijn vastgesteld in de Europese regelgeving.</w:t>
      </w:r>
    </w:p>
    <w:p w14:paraId="1DFBB585" w14:textId="67BB3B44" w:rsidR="00C211C4" w:rsidRPr="00DE35E8" w:rsidRDefault="00240127" w:rsidP="00B503A1">
      <w:pPr>
        <w:spacing w:after="240"/>
        <w:jc w:val="both"/>
        <w:rPr>
          <w:rFonts w:ascii="Arial" w:hAnsi="Arial" w:cs="Arial"/>
        </w:rPr>
      </w:pPr>
      <w:r>
        <w:rPr>
          <w:rFonts w:ascii="Arial" w:hAnsi="Arial"/>
        </w:rPr>
        <w:t>5. In de olieverpakkingsbedrijven moeten de leidingen en de voedingstank van de in deze norm geregelde oliën naar behoren zijn uitgerust om kruisbesmettingen te voorkomen.</w:t>
      </w:r>
    </w:p>
    <w:p w14:paraId="7BAD271D" w14:textId="34E0E7A0" w:rsidR="00B73E9D" w:rsidRPr="00DE35E8" w:rsidRDefault="00B73E9D" w:rsidP="00B503A1">
      <w:pPr>
        <w:spacing w:before="360" w:after="360"/>
        <w:jc w:val="both"/>
        <w:rPr>
          <w:rFonts w:ascii="Arial" w:hAnsi="Arial" w:cs="Arial"/>
          <w:i/>
        </w:rPr>
      </w:pPr>
      <w:r>
        <w:rPr>
          <w:rFonts w:ascii="Arial" w:hAnsi="Arial"/>
          <w:b/>
        </w:rPr>
        <w:t>Artikel 6</w:t>
      </w:r>
      <w:r>
        <w:rPr>
          <w:rFonts w:ascii="Arial" w:hAnsi="Arial"/>
          <w:i/>
        </w:rPr>
        <w:t>. Specifieke verplichtingen voor de oliën.</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Naast de fysisch-chemische en organoleptische kenmerken die zijn vastgesteld in de normen van de Europese Unie waarin deze materie is geregeld, moeten de in onderhavige bepaling bedoelde olijfoliën en oliën uit afvallen van olijven voldoen aan de in bijlage III beschreven kenmerken.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Deze producten mogen uitsluitend afkomstig zijn van de hele vrucht van de olijfboom (</w:t>
      </w:r>
      <w:r>
        <w:rPr>
          <w:rFonts w:ascii="Arial" w:hAnsi="Arial"/>
          <w:i/>
        </w:rPr>
        <w:t xml:space="preserve">Olea europaea </w:t>
      </w:r>
      <w:r>
        <w:rPr>
          <w:rFonts w:ascii="Arial" w:hAnsi="Arial"/>
        </w:rPr>
        <w:t>L.</w:t>
      </w:r>
      <w:r>
        <w:rPr>
          <w:rFonts w:ascii="Arial" w:hAnsi="Arial"/>
          <w:i/>
        </w:rPr>
        <w:t>),</w:t>
      </w:r>
      <w:r>
        <w:rPr>
          <w:rFonts w:ascii="Arial" w:hAnsi="Arial"/>
        </w:rPr>
        <w:t xml:space="preserve"> zonder enige bewerking anders dan het reinigen of niet-alkalisch wassen van de olijf.</w:t>
      </w:r>
      <w:r>
        <w:rPr>
          <w:rFonts w:ascii="Arial" w:hAnsi="Arial"/>
          <w:iCs/>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De olijfolie voor verlichting moet eerst worden onderworpen aan een raffineerproces voordat deze kan worden bestemd voor gebruik als levensmiddel. </w:t>
      </w:r>
    </w:p>
    <w:p w14:paraId="097A7FE6" w14:textId="088927FF" w:rsidR="003335F1" w:rsidRPr="00DE35E8" w:rsidRDefault="008C2F75" w:rsidP="00B503A1">
      <w:pPr>
        <w:jc w:val="both"/>
        <w:rPr>
          <w:rFonts w:ascii="Arial" w:hAnsi="Arial" w:cs="Arial"/>
        </w:rPr>
      </w:pPr>
      <w:r>
        <w:rPr>
          <w:rFonts w:ascii="Arial" w:hAnsi="Arial"/>
        </w:rPr>
        <w:t xml:space="preserve">3. De olijfoliën en de oliën uit afvallen van olijven moeten te allen tijde beschermd worden tegen schadelijke omgevingsomstandigheden die de fysisch-chemische en organoleptische kenmerken kunnen wijzigen. Derhalve moet worden gewaarborgd dat deze afgeschermd van licht en warmte worden opgeslagen, vervoerd en in de handel gebracht. </w:t>
      </w:r>
    </w:p>
    <w:p w14:paraId="2782ECB5" w14:textId="77F209DE" w:rsidR="003335F1" w:rsidRPr="00DE35E8" w:rsidRDefault="003335F1" w:rsidP="00B503A1">
      <w:pPr>
        <w:spacing w:before="360" w:after="360"/>
        <w:jc w:val="both"/>
        <w:rPr>
          <w:rFonts w:ascii="Arial" w:hAnsi="Arial" w:cs="Arial"/>
          <w:i/>
        </w:rPr>
      </w:pPr>
      <w:r>
        <w:rPr>
          <w:rFonts w:ascii="Arial" w:hAnsi="Arial"/>
          <w:b/>
        </w:rPr>
        <w:t>Artikel 7</w:t>
      </w:r>
      <w:r>
        <w:rPr>
          <w:rFonts w:ascii="Arial" w:hAnsi="Arial"/>
          <w:i/>
        </w:rPr>
        <w:t>. Specifieke verplichtingen voor de verpakkingen.</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De verpakkingen waarin de oliën worden aangeboden, moeten schoon zijn en zijn gemaakt van materialen die geschikt zijn voor gebruik als levensmiddel en die de oliën beschermen tegen oxiderende processen, overeenkomstig de geldende gezondheidstechnische regelgeving, waarbij deze verpakkingen in geen geval de kenmerken van de inhoud mogen wijzigen noch vreemde smaken of geuren mogen afgeven of wijzigingen aan het product mogen veroorzaken, en zij moeten altijd beschermd worden op de wijze die is bepaald in artikel 6, lid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lastRenderedPageBreak/>
        <w:t xml:space="preserve">2. De verpakkingen van de olijfoliën en oliën uit afvallen van olijven die bestemd zijn voor de verkoop of de levering aan de eindgebruiker, met inbegrip van de verpakkingen die door de olijfoliemolens voor consumptie worden verstrekt aan de olijvenoogsters of cateraars, moeten zijn voorzien zijn van een niet opnieuw te gebruiken sluitmechanisme en van etiketten die voldoen aan het bepaalde in de geldende wetgeving. </w:t>
      </w:r>
    </w:p>
    <w:p w14:paraId="0A2AD994" w14:textId="02AC4A07" w:rsidR="0035653C" w:rsidRPr="00DE35E8" w:rsidRDefault="00BA5254" w:rsidP="00B503A1">
      <w:pPr>
        <w:spacing w:after="240"/>
        <w:jc w:val="both"/>
        <w:rPr>
          <w:rFonts w:ascii="Arial" w:hAnsi="Arial" w:cs="Arial"/>
        </w:rPr>
      </w:pPr>
      <w:r>
        <w:rPr>
          <w:rFonts w:ascii="Arial" w:hAnsi="Arial"/>
        </w:rPr>
        <w:t>3. Voor de verpakkingen die zijn bestemd voor de verkoop aan eindconsumenten, met inbegrip van de door de olijfoliemolens aan olijvenoogsters geleverde verpakkingen voor consumptie, geldt een maximale capaciteit van vijf liter. De aan cateraars geleverde oliën mogen worden verhandeld in verpakkingen van tien, twintig, vijfentwintig en vijftig liter.</w:t>
      </w:r>
    </w:p>
    <w:p w14:paraId="55C9795C" w14:textId="20FCBB59" w:rsidR="00B56228" w:rsidRPr="00DE35E8" w:rsidRDefault="00BA5254" w:rsidP="00B503A1">
      <w:pPr>
        <w:pStyle w:val="Default"/>
        <w:spacing w:before="160"/>
        <w:jc w:val="both"/>
        <w:rPr>
          <w:color w:val="auto"/>
        </w:rPr>
      </w:pPr>
      <w:r>
        <w:rPr>
          <w:color w:val="auto"/>
        </w:rPr>
        <w:t>4. In de vestigingen van cateraars moeten de verpakkingen die ter beschikking worden gesteld aan eindconsumenten beschikken over een beschermingsmechanisme dat verhindert dat de verpakking opnieuw kan worden gebruikt als de oorspronkelijke inhoud is opgebruikt.</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iCs/>
          <w:color w:val="auto"/>
        </w:rPr>
        <w:t>Artikel 8</w:t>
      </w:r>
      <w:r>
        <w:rPr>
          <w:b/>
          <w:i/>
          <w:color w:val="auto"/>
        </w:rPr>
        <w:t xml:space="preserve"> </w:t>
      </w:r>
      <w:r>
        <w:rPr>
          <w:i/>
          <w:color w:val="auto"/>
        </w:rPr>
        <w:t>Verboden praktijken.</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Het is verboden:</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mengsels van olijfoliën of oliën uit afvallen van olijven met andere plantaardige oliën of vetten te produceren om deze in de handel te brengen op de binnenlandse markt. Dergelijke mengsels mogen niet in de handel worden gebracht onder de benamingen voor levensmiddelen die staan vermeld in Verordening (EU) nr. 1169/2011 van het Europees Parlement en de Raad van 25 oktober 2011 betreffende de verstrekking van voedselinformatie aan consumenten. </w:t>
      </w:r>
    </w:p>
    <w:p w14:paraId="24AAF4C2" w14:textId="695BA2C5" w:rsidR="00AF1F55" w:rsidRPr="00DE35E8" w:rsidRDefault="008C2F75" w:rsidP="00B503A1">
      <w:pPr>
        <w:jc w:val="both"/>
        <w:rPr>
          <w:rFonts w:ascii="Arial" w:hAnsi="Arial" w:cs="Arial"/>
        </w:rPr>
      </w:pPr>
      <w:r>
        <w:rPr>
          <w:rFonts w:ascii="Arial" w:hAnsi="Arial"/>
        </w:rPr>
        <w:t>b) de term “virgen” (“van eerste persing”) of “virgen extra” (“extra van eerste persing”) te gebruiken bij de etikettering van olieachtige levensmiddelen die verward kunnen worden met de olijfoliën in onderhavige norm, zoals oliën, kruiden, sauzen of vergelijkbare producten. Dit verbod is niet van toepassing op de lijst met ingrediënten van het betreffende product.</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de extra olijfolie van eerste persing in plastic verpakkingen in het kanaal voor de detailhandel in de handel te brengen.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olijfolie of olie uit afvallen van olijven van de cateraars over te hevelen naar flessen of verpakkingen die zijn bestemd voor de eindconsument of deze opnieuw te vullen. </w:t>
      </w:r>
    </w:p>
    <w:p w14:paraId="31ED4097" w14:textId="3B96FFF4" w:rsidR="00BF4307" w:rsidRPr="00DE35E8" w:rsidRDefault="008C2F75" w:rsidP="00B503A1">
      <w:pPr>
        <w:spacing w:after="240"/>
        <w:jc w:val="both"/>
        <w:rPr>
          <w:rFonts w:ascii="Arial" w:hAnsi="Arial" w:cs="Arial"/>
        </w:rPr>
      </w:pPr>
      <w:r>
        <w:rPr>
          <w:rFonts w:ascii="Arial" w:hAnsi="Arial"/>
        </w:rPr>
        <w:t xml:space="preserve">e) de eerder geclassificeerde mengsels van olijfolie van eerste persing te classificeren in een hogere categorie dan de gebruikte olie uit een lagere categorie.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in de olijfoliemolens, bewaarplaatsen en verpakkingsbedrijven van olijfolie van eerste persing te beschikken over installaties en specifieke technische middelen om de olijven geurvrij te maken en/of op enige andere wijze te raffineren.</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lastRenderedPageBreak/>
        <w:t xml:space="preserve">g) in de olijfoliemolens afvallen uit olijven te ontvangen of te verwerken die afkomstig zijn van andere olijfoliemolens, noch olijven of de resten daarvan uit fabrieken voor tafelolijven die zijn onderworpen aan bewerkingen die niet zijn toegestaan voor het verkrijgen van extra olijfolie van eerste persing of daaruit verkregen oliën, noch enige andere grondstof voor het verkrijgen van de olie anders dan de hele en rauwe vrucht van de olijfboom.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olijfoliën en oliën uit afvallen van olijven waarvan de bijbehorende productcategorie niet op de juiste wijze is vastgesteld, op te slaan, te bewaren en te vervoeren. Dit geldt niet voor de olijfoliemolens, waar de classificatie voorafgaand aan de uitgifte is verstrekt.</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In de in artikel 3 beschreven installaties die zijn bestemd voor verkrijging van olijfoliën en olie uit afvallen van olijven, gelden de volgende verboden:</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Het alkalisch wassen van de olijven in de olijfoliemolens;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De extractie of raffinering van olijfoliën en oliën uit afvallen van olijven middels andere processen, oplosmiddelen of hulpmiddelen dan de goedgekeurde, evenals de toevoeging van industriële, minerale, veresterde of synthetische oliën;.</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Het uitvoeren van esterificatieprocessen of andere praktijken die de glyceridestructuur van de olie kunnen wijzigen.</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De behandeling van de olijven met lucht, zuurstof, ozon of andere oxiderende chemische stoffen, met uitzondering van die welke noodzakelijk zijn voor de overslagpompen, het inert maken van verpakkingen en tanks en de homogenisering met behulp van nitrogeen of andere inerte gassen, zonder afbreuk te doen aan de wetgeving van de Europese Unie.</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Het bezit of de aanwending in de voor extractie, raffinering, verpakking of losse bewaring van olijfoliën en oliën uit afvallen van olijven bestemde installaties, van glycerine, dierlijke, plantaardige, industriële of synthetische vetten of oliën en andere niet geautoriseerde stoffen waarvan het gebruik niet is toegestaan noch is gerechtvaardigd.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Het in de olijfoliemolens opnieuw centrifugeren van de massa die afkomstig is van de systemen voor het verkrijgen van olijfolie van eerste persing om te voorkomen dat deze gaat gisten, behalve wanneer dit gebeurt in een continu proces. Het opnieuw centrifugeren van de van de systemen voor het verkrijgen van olijfolie van eerste persing afkomstige massa mag uitsluitend plaatsvinden nadat deze in een continu proces zijn gemengd. In geen geval is het toegestaan de massa of afvallen die afkomstig zijn uit opslagtanks of -bekkens anders dan de bedoelde in artikel 3, lid 2, onder f), opnieuw te centrifugeren. </w:t>
      </w:r>
    </w:p>
    <w:p w14:paraId="11933B30" w14:textId="3F3F5A51" w:rsidR="00B573B8" w:rsidRPr="00DE35E8" w:rsidRDefault="00B573B8" w:rsidP="001C4E6E">
      <w:pPr>
        <w:keepNext/>
        <w:keepLines/>
        <w:spacing w:before="360" w:after="360"/>
        <w:jc w:val="both"/>
        <w:rPr>
          <w:rFonts w:ascii="Arial" w:hAnsi="Arial" w:cs="Arial"/>
          <w:i/>
        </w:rPr>
      </w:pPr>
      <w:r>
        <w:rPr>
          <w:rFonts w:ascii="Arial" w:hAnsi="Arial"/>
          <w:b/>
          <w:iCs/>
        </w:rPr>
        <w:lastRenderedPageBreak/>
        <w:t>Artikel 9</w:t>
      </w:r>
      <w:r>
        <w:rPr>
          <w:rFonts w:ascii="Arial" w:hAnsi="Arial"/>
          <w:b/>
          <w:i/>
        </w:rPr>
        <w:t xml:space="preserve"> </w:t>
      </w:r>
      <w:r>
        <w:rPr>
          <w:rFonts w:ascii="Arial" w:hAnsi="Arial"/>
          <w:i/>
        </w:rPr>
        <w:t>Officiële controle, coördinatie en sancties.</w:t>
      </w:r>
    </w:p>
    <w:p w14:paraId="413DF876" w14:textId="7EC39A9F" w:rsidR="004F4E66" w:rsidRPr="00DE35E8" w:rsidRDefault="00A27CF4" w:rsidP="001C4E6E">
      <w:pPr>
        <w:keepNext/>
        <w:keepLines/>
        <w:spacing w:before="100" w:beforeAutospacing="1" w:after="100" w:afterAutospacing="1"/>
        <w:jc w:val="both"/>
        <w:rPr>
          <w:rFonts w:ascii="Arial" w:hAnsi="Arial" w:cs="Arial"/>
        </w:rPr>
      </w:pPr>
      <w:r>
        <w:rPr>
          <w:rFonts w:ascii="Arial" w:hAnsi="Arial"/>
        </w:rPr>
        <w:t xml:space="preserve">1. De voor officiële controle bevoegde autoriteiten zullen ten minste voor elke duizend ton in de handel gebrachte olijfolie en olie uit afvallen van olijven een conformiteitscontrole uitvoeren, teneinde vast te stellen of deze voldoen aan de kwaliteitskenmerken zoals vastgesteld in Verordening (EEG) nr. 2568/1991 van de Commissie van 11 juli 1991 inzake de kenmerken van olijfoliën en oliën uit afvallen van olijven en de desbetreffende analysemethoden.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De werkwijzen voor monsterneming en analyse zijn die welke voor elk product zijn vastgesteld in de regelgeving van de Europese Unie of, indien dit niet het geval is, in de bepalingen van de nationale wetgeving of die van de autonome gemeenschappen.</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Wat betreft de fysisch-chemische kenmerken wordt de verificatie van de conformiteit met de op de etikettering van de olijfolie van eerste persing vermelde categorie uitgevoerd door de voor dit doel officieel erkende laboratoria en wat betreft de organoleptische kenmerken door de proeverspanels die bevoegd zijn tot officiële controles overeenkomstig het bepaalde in het Koninklijk Besluit 227/2008 van 15 februari houdende de basisvoorschriften voor proeverspanels van olijfolie van eerste persing.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Zonder afbreuk te doen aan de in lid 1 genoemde controles zoals vastgesteld in de regelgeving van de Europese Unie, coördineert het ministerie van Landbouw, Visserij en Voedselvoorziening een specifiek controleplan voor de verificatie van de traceerbaarheid in de sector van olijfolie en olie uit afvallen van olijven, Dit is beschreven in artikel 4. In dit plan moeten specifieke controles worden opgenomen voor de in artikel 5, lid 3, bedoelde installaties. </w:t>
      </w:r>
    </w:p>
    <w:p w14:paraId="0CEE0216" w14:textId="0046C74F" w:rsidR="00991F21" w:rsidRPr="00DE35E8" w:rsidRDefault="00F14BA3" w:rsidP="00B503A1">
      <w:pPr>
        <w:pStyle w:val="Default"/>
        <w:spacing w:after="240"/>
        <w:jc w:val="both"/>
        <w:rPr>
          <w:color w:val="auto"/>
        </w:rPr>
      </w:pPr>
      <w:r>
        <w:rPr>
          <w:color w:val="auto"/>
        </w:rPr>
        <w:t>5. De informatie over de resultaten van de overeenkomstig het bepaalde in lid 1 uitgevoerde conformiteitscontroles wordt jaarlijks voor 1 mei doorgegeven aan het ministerie van Landbouw, Visserij en Voedselvoorziening in de hiervoor vastgestelde indeling.</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Alle verzamelde informatie wordt opgenomen in een jaarverslag over officiële controles dat op verzoek van het ministerie van Landbouw, Visserij en Voedselvoorziening wordt gepubliceerd door de centrale staatsadministratie. </w:t>
      </w:r>
    </w:p>
    <w:p w14:paraId="29C3D5B3" w14:textId="04798B97" w:rsidR="00F14BA3" w:rsidRPr="00DE35E8" w:rsidRDefault="00F14BA3" w:rsidP="00B503A1">
      <w:pPr>
        <w:pStyle w:val="Default"/>
        <w:spacing w:after="240"/>
        <w:jc w:val="both"/>
        <w:rPr>
          <w:color w:val="auto"/>
        </w:rPr>
      </w:pPr>
      <w:r>
        <w:rPr>
          <w:color w:val="auto"/>
        </w:rPr>
        <w:t>7. Het specifieke controleplan wordt ter bespreking voorgelegd aan het Bureau voor de coördinatie van de voedselkwaliteit (Mesa de Coordinación de la Calidad Alimentaria) en omvat ten minste een programma voor de controlehandelingen en het protocol voor de organisatie van inspectiecampagnes, waarbij rekening wordt gehouden met de resultaten van de conformiteitscontroles die zijn uitgevoerd door de autonome gemeenschappen en de gegevens in het informatiesysteem voor olijfoliemarkten van het ministerie van Landbouw, Visserij en Voedselvoorziening. Het genoemde plan wordt jaarlijks herzien door het Bureau voor de coördinatie van de voedselkwaliteit.</w:t>
      </w:r>
    </w:p>
    <w:p w14:paraId="2DAC617D" w14:textId="78604F4C" w:rsidR="00A31337" w:rsidRPr="00DE35E8" w:rsidRDefault="000E44EE" w:rsidP="00B503A1">
      <w:pPr>
        <w:jc w:val="both"/>
        <w:rPr>
          <w:rFonts w:ascii="Arial" w:hAnsi="Arial" w:cs="Arial"/>
        </w:rPr>
      </w:pPr>
      <w:r>
        <w:rPr>
          <w:rFonts w:ascii="Arial" w:hAnsi="Arial"/>
        </w:rPr>
        <w:t>8. De sancties die als gevolg van de uitgevoerde controles worden opgelegd, zullen doeltreffend, evenredig en ontmoedigend zijn.</w:t>
      </w:r>
    </w:p>
    <w:p w14:paraId="0B018C2C" w14:textId="1B7A0391" w:rsidR="00CA039D" w:rsidRPr="00DE35E8" w:rsidRDefault="00033181" w:rsidP="00B503A1">
      <w:pPr>
        <w:pStyle w:val="sangrado"/>
        <w:jc w:val="both"/>
        <w:rPr>
          <w:rFonts w:ascii="Arial" w:hAnsi="Arial" w:cs="Arial"/>
        </w:rPr>
      </w:pPr>
      <w:r>
        <w:rPr>
          <w:rFonts w:ascii="Arial" w:hAnsi="Arial"/>
          <w:b/>
        </w:rPr>
        <w:lastRenderedPageBreak/>
        <w:t xml:space="preserve">Eerste aanvullende bepaling. </w:t>
      </w:r>
      <w:r>
        <w:rPr>
          <w:rFonts w:ascii="Arial" w:hAnsi="Arial"/>
          <w:i/>
          <w:iCs/>
        </w:rPr>
        <w:t>Clausule inzake wederzijdse erkenning.</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Goederen die rechtmatig in een andere lidstaat van de Europese Unie of in Turkije in de handel zijn gebracht, of hun oorsprong hebben in een land van de Europese Vrijhandelsassociatie dat partij is bij de Overeenkomst betreffende de Europese Economische Ruimte, worden geacht met deze maatregel verenigbaar te zijn. De toepassing van dit Koninklijk Besluit is onderworpen aan Verordening (EU) 2019/515 van het Europees Parlement en de Raad van 19 maart 2019 betreffende de wederzijdse erkenning van goederen die in een andere lidstaat rechtmatig in de handel zijn gebracht en tot intrekking van Verordening (EG) nr.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Tweede aanvullende bepaling. </w:t>
      </w:r>
      <w:r>
        <w:rPr>
          <w:rFonts w:ascii="Arial" w:hAnsi="Arial"/>
          <w:bCs/>
          <w:i/>
          <w:iCs/>
        </w:rPr>
        <w:t>Geautomatiseerd systeem.</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Om de naleving van de in artikel 4, lid 3, vermelde meldingsplicht voor de marktdeelnemers en de toegang tot de gegevens en de controle van de olijfoliën en oliën uit afvallen van olijven voor de bevoegde instanties te vergemakkelijken, zal er door het ministerie van Landbouw, Visserij en Voedselvoorziening een informatiesysteem worden opgezet. </w:t>
      </w:r>
    </w:p>
    <w:p w14:paraId="7BC1536B" w14:textId="47607053" w:rsidR="00D734B4" w:rsidRPr="00DE35E8" w:rsidRDefault="00190979" w:rsidP="00B503A1">
      <w:pPr>
        <w:spacing w:before="360" w:after="360"/>
        <w:jc w:val="both"/>
        <w:rPr>
          <w:rFonts w:ascii="Arial" w:hAnsi="Arial" w:cs="Arial"/>
          <w:b/>
        </w:rPr>
      </w:pPr>
      <w:r>
        <w:rPr>
          <w:rFonts w:ascii="Arial" w:hAnsi="Arial"/>
        </w:rPr>
        <w:t>Tot dit systeem wordt toegang verleend aan de voor de meldingen verantwoordelijke marktdeelnemers, de bevoegde controle-instanties en de lichamen en instanties voor rechtshandhaving van de overheid.</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Enige overgangsbepaling. </w:t>
      </w:r>
      <w:r>
        <w:rPr>
          <w:rFonts w:ascii="Arial" w:hAnsi="Arial"/>
          <w:i/>
        </w:rPr>
        <w:t>Overgangsperiode.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De verplichting tot het bepaalde in artikel 4, lid 3 treedt pas in werking na de uitvoering van het geautomatiseerde systeem waarnaar wordt verwezen.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Het bepaalde in artikel 8, lid 1, onder c), is van toepassing met ingang van 1 januari 2024 voor verpakkingen tot een liter en met ingang van 1 januari 2025 voor de overige verpakkingen.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Enige intrekkingsbepaling.</w:t>
      </w:r>
      <w:r>
        <w:t xml:space="preserve"> </w:t>
      </w:r>
      <w:r>
        <w:rPr>
          <w:i/>
          <w:iCs/>
        </w:rPr>
        <w:t>Intrekking van wetgeving.</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Alle andere voorschriften van gelijke of lagere status, die in strijd zijn met het bepaalde in onderhavig Koninklijk Besluit, worden ingetrokken. In het bijzonder zijn dit:</w:t>
      </w:r>
    </w:p>
    <w:p w14:paraId="420C7E36" w14:textId="637B8EBE" w:rsidR="00BD3ECA" w:rsidRPr="00DE35E8" w:rsidRDefault="00F07691" w:rsidP="00B503A1">
      <w:pPr>
        <w:spacing w:before="120" w:after="120"/>
        <w:jc w:val="both"/>
        <w:rPr>
          <w:rFonts w:ascii="Arial" w:hAnsi="Arial" w:cs="Arial"/>
        </w:rPr>
      </w:pPr>
      <w:r>
        <w:rPr>
          <w:rFonts w:ascii="Arial" w:hAnsi="Arial"/>
        </w:rPr>
        <w:t>a) Koninklijk Besluit 3000/1979 van 7 december betreffende de regelgeving voor industriële processen in de olijfoliesector.</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Koninklijk Besluit </w:t>
      </w:r>
      <w:r>
        <w:rPr>
          <w:rFonts w:ascii="Arial" w:hAnsi="Arial"/>
          <w:bCs/>
        </w:rPr>
        <w:t>308/1983</w:t>
      </w:r>
      <w:r>
        <w:rPr>
          <w:rFonts w:ascii="Arial" w:hAnsi="Arial"/>
        </w:rPr>
        <w:t xml:space="preserve"> van 25 januari houdende goedkeuring van de gezondheidstechnische verordening inzake voor consumptie bestemde plantaardige oliën, wat betreft het gedeelte dat betrekking heeft op olijfoliën en oliën uit afvallen van olijven. </w:t>
      </w:r>
    </w:p>
    <w:p w14:paraId="7452C311" w14:textId="55A1BD1C" w:rsidR="00BD3ECA" w:rsidRPr="00DE35E8" w:rsidRDefault="00F07691" w:rsidP="00B503A1">
      <w:pPr>
        <w:spacing w:before="120" w:after="120"/>
        <w:jc w:val="both"/>
        <w:rPr>
          <w:rFonts w:ascii="Arial" w:hAnsi="Arial" w:cs="Arial"/>
        </w:rPr>
      </w:pPr>
      <w:r>
        <w:rPr>
          <w:rFonts w:ascii="Arial" w:hAnsi="Arial"/>
        </w:rPr>
        <w:t>c) Koninklijk Besluit 259/1985 van 20 februari houdende aanvulling van de gezondheidstechnische verordening inzake voor consumptie bestemde plantaardige oliën, met de goedkeuring van de vaststelling van erythrodiol in olijfoliën.</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d) Koninklijk Besluit 2551/1986 van 21 november houdende regeling van de bereiding en het in de handel brengen van geraffineerde olie uit afvallen van olijven.</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Koninklijk Besluit 538/1993 van 12 april houdende wijziging van bepaalde voorschriften inzake de industriële vereisten voor de bereiding, verspreiding en handel van voor consumptie bestemde plantaardige oliën.</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f) Koninklijk Besluit </w:t>
      </w:r>
      <w:r>
        <w:rPr>
          <w:rFonts w:ascii="Arial" w:hAnsi="Arial"/>
          <w:bCs/>
        </w:rPr>
        <w:t>1431/2003</w:t>
      </w:r>
      <w:r>
        <w:rPr>
          <w:rFonts w:ascii="Arial" w:hAnsi="Arial"/>
        </w:rPr>
        <w:t xml:space="preserve"> van 21 november houdende vaststelling van bepaalde handelsmaatregelen in de sector voor olijfoliën en oliën uit afvallen van olijven.</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Besluit van 12 december 1984 over de levering van olijfolie van eerste persing door de olijfoliemolens aan hun olijfoogsters voor eigen consumptie.</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Besluit APA/1343/2004 van 7 mei houdende regeling van de algemene registratie van bepaalde fabrieken met een vergunning om olijfolie in de handel te brengen.</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Eerste slotbepaling.</w:t>
      </w:r>
      <w:r>
        <w:rPr>
          <w:b/>
          <w:bCs/>
        </w:rPr>
        <w:t xml:space="preserve"> </w:t>
      </w:r>
      <w:r>
        <w:rPr>
          <w:i/>
          <w:iCs/>
        </w:rPr>
        <w:t>Bevoegdheden.</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Onderhavig koninklijk besluit wordt uitgevaardigd op grond van het bepaalde in artikel 149, lid 1, regel 13, van de Spaanse Grondwet, die aan de Staat de exclusieve bevoegdheid verleent op het gebied van de grondslagen en coördinatie van de algemene planning van de economische activiteit.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Tweede slotbepaling. </w:t>
      </w:r>
      <w:r>
        <w:rPr>
          <w:i/>
          <w:iCs/>
        </w:rPr>
        <w:t>Wijziging van Besluit 2484/1967 van 21 september tot goedkeuring van de tekst van de Spaanse Warenwet.</w:t>
      </w:r>
    </w:p>
    <w:p w14:paraId="4F4C7805" w14:textId="77777777" w:rsidR="009F52EF" w:rsidRPr="00DE35E8" w:rsidRDefault="00107E79" w:rsidP="00B503A1">
      <w:pPr>
        <w:pStyle w:val="Default"/>
        <w:jc w:val="both"/>
        <w:rPr>
          <w:color w:val="auto"/>
        </w:rPr>
      </w:pPr>
      <w:r>
        <w:rPr>
          <w:color w:val="auto"/>
        </w:rPr>
        <w:t>Afdeling 2ª van hoofdstuk XVI van Besluit 2484/1967 van 21 september 1967 tot goedkeuring van de tekst van de Spaanse Warenwet, wordt als volgt gewijzigd:</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"De olijfoliën en oliën uit afvallen van olijven worden geregeld door het bepaalde in Koninklijk Besluit xxxx/2020 van       houdende goedkeuring van de kwaliteitsnorm voor olijfoliën en oliën uit afvallen van olijven."</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Derde slotbepaling </w:t>
      </w:r>
      <w:r>
        <w:t>Inwerkingtreding.</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Onderhavig Koninklijk Besluit treedt in werking op 2 januari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Gedaan te Madrid op……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BIJLAGE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REGISTRATIE VAN TRACEERBAARHEID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Deel A. Algemene voorwaarden voor de registratie.</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Bij de registratie van de interne traceerbaarheid moeten ten minste de volgende handelingen worden opgegeven: verkrijging van oliën, raffineerproces, classificatie, wisseling van tank, mengsels van oliën, verpakking van oliën.</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Elk product moet bij de invoer worden aangeduid met de aanduiding die hieraan eerder is toegewezen door de leverancier; bij aankoop- en/of ontvangstcentra, olijfoliemolens en verwerkingsbedrijven worden ook het kadastrale perceel en terrein waar de olijf van afkomstig is, aangeduid alsmede de eigenaar ervan.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Bij de registratie van binnenkomende en uitgaande hoeveelheden moet de interne bestemming of het gebruik van het product (bewaarplaats, tank, voorraadbak, verwerkingslijn, enz.) of de herkomst van het product worden aangegeven. Tevens moet het saldo in de tanks voor binnenkomende en uitgaande hoeveelheden worden aangegeven.</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Bij de registratie van binnenkomende en uitgaande hoeveelheden moeten de begeleidende documenten waarmee alle verplaatsingen van de goederen worden aangetoond, duidelijk worden aangegeven.</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De registers van binnenkomende en uitgaande hoeveelheden worden ingevuld wanneer er een wijziging in het eigendom van de goederen plaatsvindt (ook als deze niet fysiek worden verplaatst) of wanneer er een fysieke verplaatsing plaatsvindt.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De vermeldingen die later bij de etikettering van de producten worden opgenomen, zoals: partij, eerste koude persing, koude extractie, oogstjaar, variëteit, enz. worden op passende wijze geregistreerd op een wijze die het mogelijk maakt deze te verifiëren in de volledige documentatiecyclus van het betrokken product.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Bij elk product moet er bij de aanduiding een correlatie bestaan tussen de aanduiding van de tank waarin het wordt bewaard en de in het register vermelde gegevens. Een dergelijke verplichting laat onverlet dat er door de natuurlijke evolutie van de producten variatie in de kenmerken kan ontstaan. Indien die variatie bekend is bij de marktdeelnemer, moet deze tot uiting komen in het register.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Deel B. Productcategorie die in de verschillende registers moet worden vermeld.</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Olijven.</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Olijf voor de verkrijging van olie.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Olijfoliën.</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Olie zonder classificatie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lastRenderedPageBreak/>
        <w:t>Extra olijfolie van eerste persing.</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Olijfolie van eerste persing.</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Olijfolie voor verlichting.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Geraffineerde olijfolie.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Olijfolie - bevat uitsluitend geraffineerde olijfoliën en olijfoliën van eerste persing.</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oliën uit afvallen van olijven.</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Ruwe olie uit afvallen van olijven.</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Geraffineerde olie uit afvallen van olijven.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Olie uit afvallen van olijven.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De subproducten van alle installaties waaruit olie kan worden verkregen.</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Overige voor consumptie bestemde oliën.</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In het geval van de bedrijven en marktdeelnemers die naast het werken met olijfoliën en oliën uit afvallen van olijven ook andere voor consumptie bestemde oliën bereiden, raffineren, bewaren of verpakken.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Deel C. Informatie die de registratie van binnenkomende en uitgaande hoeveelheden moet omvatten.</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Aanduiding van het begeleidend document, indien van toepassing.</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Aanduiding van de verkoper of leverancier: naam, adres, belastinggegevens en adres van de vestiging van herkomst. Bij deze laatste worden ook de naam en de belastinggegevens aangegeven indien deze afwijken van die van de verkoper of de leverancier.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Aanduiding van de koper of ontvanger, met inbegrip van de detailhandelaar die de verpakte olie als laatste ontvangt: naam, adres, belastinggegevens en adres van de vestiging van bestemming. Bij deze laatste worden ook de naam en de belastinggegevens aangegeven indien deze afwijken van die van de koper of de ontvanger.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Aanduiding van het product: benaming, partij, hoeveelheid en kenmerken die als relevant voor de identificatie worden beschouwd, zoals losse verkoop, verpakking, etikettering, vochtig of droog.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Aanduiding van de oorsprong van het product: land van herkomst. Teneinde in voorkomend geval te voldoen aan het bepaalde in artikel 4 van Uitvoeringsverordening (EU) nr. 29/2012 van de Commissie van 13 januari 2012, wordt bij de registratie Spanje, lidstaat, Europese Unie of de naam van een derde land opgegeven, overeenkomstig wat in die verordening is vastgesteld.</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Kenmerken van het product die men wil opnemen in de etikettering.</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Datum van de handeling.</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lastRenderedPageBreak/>
        <w:t>h) Aanduiding van de vervoerder: bedrijf (naam, adres, belastinggegevens), type voertuig en kentekenplaat of andere vorm van wettelijke identificatie van het vervoermiddel, indien van toepassing.</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Deel D. Informatie die de registratie van interne traceerbaarheid moet omvatten.</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Het systeem van interne traceerbaarheid moet ten minste de volgende informatie bevatten:</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Uitgevoerde handeling of praktijk.</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Aanduiding van de producten die worden uitgegeven: benaming, partij (indien van toepassing), hoeveelheid.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b) Aanduiding van de producten die worden verkregen: benaming, partij (indien van toepassing), hoeveelheid.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Datum van de handeling en, in voorkomend geval, het tijdstip.</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Herkomst binnen het bedrijf van de producten die worden uitgegeven (bewaarplaats, tank, voorraadbak, verwerkingslijn, enz.). Saldo in de tank of de tanks van herkomst.</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e) Bestemming binnen het bedrijf van de verkregen producten (bewaarplaats, tank, voorraadbak, verwerkingslijn, enz.). Saldo in de tank of de tanks van bestemming.</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BIJLAGE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Minimale informatie in het begeleidende document tijdens het vervoer</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Aanduiding van het product: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Aanduiding van het product: benaming zoals vastgesteld in de toepasselijke wetgeving, partij, hoeveelheid en kenmerken die als relevant voor de identificatie worden beschouwd, zoals losse verkoop, verpakking, etikettering, vochtig of droog.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Aanduiding van de oorsprong van het product: land van herkomst.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Voor los verkochte producten: Overige vermeldingen die men vrijwillig op een later tijdstip op de etikettering wil aangeven, zoals variëteit, oogstjaar, koude extractie, eerste koude persing, biologische productie, enz.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Hoeveelheid van het product.</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Gegevens over de oorsprong van de goederen: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Aanduiding van de verkoper of leverancier: naam, adres, belastinggegevens en adres van de vestiging van herkomst.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lastRenderedPageBreak/>
        <w:t>Bij deze laatste worden ook de naam en de belastinggegevens aangegeven indien deze afwijken van die van de verkoper of de leverancier.</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Gegevens van het vervoer: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Aanduiding van het vervoerbedrijf en het gebruikte vervoermiddel en de datum van vervoer.</w:t>
      </w:r>
    </w:p>
    <w:p w14:paraId="6A6D6E3A" w14:textId="4B134588" w:rsidR="00494357" w:rsidRPr="00DE35E8" w:rsidRDefault="001C4E6E" w:rsidP="00B503A1">
      <w:pPr>
        <w:keepNext/>
        <w:spacing w:before="100" w:beforeAutospacing="1" w:after="100" w:afterAutospacing="1"/>
        <w:jc w:val="both"/>
        <w:rPr>
          <w:rFonts w:ascii="Arial" w:hAnsi="Arial" w:cs="Arial"/>
          <w:b/>
        </w:rPr>
      </w:pPr>
      <w:r>
        <w:rPr>
          <w:rFonts w:ascii="Arial" w:hAnsi="Arial"/>
          <w:b/>
        </w:rPr>
        <w:t>D</w:t>
      </w:r>
      <w:r w:rsidR="009F27E3">
        <w:rPr>
          <w:rFonts w:ascii="Arial" w:hAnsi="Arial"/>
          <w:b/>
        </w:rPr>
        <w:t xml:space="preserve">. Gegevens over de bestemming van de goederen: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Aanduiding van de koper of ontvanger, met inbegrip van de detailhandelaar die de verpakte olie als laatste ontvangt: naam, adres, belastinggegevens en adres van de vestiging van bestemming. Bij deze laatste worden ook de naam en de belastinggegevens aangegeven indien deze afwijken van die van de koper of de ontvanger.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BIJLAGE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Uiterlijk en specifieke kenmerken van de oliën</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Extra olijfoliën van eerste persing en gefilterde olijfoliën van eerste persing.</w:t>
      </w:r>
    </w:p>
    <w:p w14:paraId="095783EF" w14:textId="77777777" w:rsidR="00F44FDF" w:rsidRPr="00DE35E8" w:rsidRDefault="00F44FDF" w:rsidP="00B503A1">
      <w:pPr>
        <w:pStyle w:val="Default"/>
        <w:ind w:left="142"/>
        <w:rPr>
          <w:color w:val="auto"/>
        </w:rPr>
      </w:pPr>
      <w:r>
        <w:rPr>
          <w:color w:val="auto"/>
        </w:rPr>
        <w:t>Vochtigheid en vluchtige stoffen: ≤ 0,2 per 100.</w:t>
      </w:r>
    </w:p>
    <w:p w14:paraId="7D6D2C01" w14:textId="5C332848" w:rsidR="00F44FDF" w:rsidRPr="00DE35E8" w:rsidRDefault="00F44FDF" w:rsidP="00B503A1">
      <w:pPr>
        <w:pStyle w:val="Default"/>
        <w:ind w:left="142"/>
        <w:rPr>
          <w:color w:val="auto"/>
        </w:rPr>
      </w:pPr>
      <w:r>
        <w:rPr>
          <w:color w:val="auto"/>
        </w:rPr>
        <w:t xml:space="preserve">Niet in petroleumether oplosbare onzuiverheden: ≤ 0,10 per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olijfoliën - bevat uitsluitend geraffineerde olijfoliën en olijfoliën van eerste persing.</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Uiterlijk: helder, bewaard op 20º ± 2º C gedurende vierentwintig uur.</w:t>
      </w:r>
    </w:p>
    <w:p w14:paraId="0296A932" w14:textId="77777777" w:rsidR="00F44FDF" w:rsidRPr="00DE35E8" w:rsidRDefault="00F44FDF" w:rsidP="00B503A1">
      <w:pPr>
        <w:ind w:left="142"/>
        <w:jc w:val="both"/>
        <w:rPr>
          <w:rFonts w:ascii="Arial" w:hAnsi="Arial" w:cs="Arial"/>
        </w:rPr>
      </w:pPr>
      <w:r>
        <w:rPr>
          <w:rFonts w:ascii="Arial" w:hAnsi="Arial"/>
        </w:rPr>
        <w:t>Geur en smaak: eigen en kenmerkende aroma's van de in het mengsel gebruikte olijfolie van eerste persing. Er mogen geen aanwijzingen voor alteratie of besmetting zijn, noch defecten die niet eigen zijn aan de gebruikte olijfolie van eerste persing.</w:t>
      </w:r>
    </w:p>
    <w:p w14:paraId="68E598BC" w14:textId="77777777" w:rsidR="00F44FDF" w:rsidRPr="00DE35E8" w:rsidRDefault="00F44FDF" w:rsidP="00B503A1">
      <w:pPr>
        <w:pStyle w:val="Default"/>
        <w:ind w:left="142"/>
        <w:rPr>
          <w:color w:val="auto"/>
        </w:rPr>
      </w:pPr>
      <w:r>
        <w:rPr>
          <w:color w:val="auto"/>
        </w:rPr>
        <w:t>Vochtigheid en vluchtige stoffen: ≤ 0,1 per 100.</w:t>
      </w:r>
    </w:p>
    <w:p w14:paraId="4B215FA1" w14:textId="77777777" w:rsidR="00F44FDF" w:rsidRPr="00DE35E8" w:rsidRDefault="00F44FDF" w:rsidP="00B503A1">
      <w:pPr>
        <w:pStyle w:val="Default"/>
        <w:ind w:left="142"/>
        <w:rPr>
          <w:color w:val="auto"/>
        </w:rPr>
      </w:pPr>
      <w:r>
        <w:rPr>
          <w:color w:val="auto"/>
        </w:rPr>
        <w:t>Niet in petroleumether oplosbare onzuiverheden: ≤ 0,05 per 100.</w:t>
      </w:r>
    </w:p>
    <w:p w14:paraId="5A5E9394" w14:textId="77777777" w:rsidR="00F44FDF" w:rsidRPr="00DE35E8" w:rsidRDefault="00F44FDF" w:rsidP="00B503A1">
      <w:pPr>
        <w:pStyle w:val="Default"/>
        <w:spacing w:after="240"/>
        <w:ind w:left="142"/>
        <w:rPr>
          <w:color w:val="auto"/>
        </w:rPr>
      </w:pPr>
      <w:r>
        <w:rPr>
          <w:color w:val="auto"/>
        </w:rPr>
        <w:t xml:space="preserve">Zeepresten: Negatief.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Geraffineerde olijfoliën:</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Uiterlijk: helder, bewaard op 20º ± 2º C gedurende vierentwintig uur.</w:t>
      </w:r>
    </w:p>
    <w:p w14:paraId="7BB45A9C" w14:textId="77777777" w:rsidR="00F44FDF" w:rsidRPr="00DE35E8" w:rsidRDefault="00F44FDF" w:rsidP="00B503A1">
      <w:pPr>
        <w:ind w:left="142"/>
        <w:jc w:val="both"/>
        <w:rPr>
          <w:rFonts w:ascii="Arial" w:hAnsi="Arial" w:cs="Arial"/>
        </w:rPr>
      </w:pPr>
      <w:r>
        <w:rPr>
          <w:rFonts w:ascii="Arial" w:hAnsi="Arial"/>
        </w:rPr>
        <w:t>Geur en smaak: neutraal, zonder verschijnselen van ranzigheid, alteratie of besmetting.</w:t>
      </w:r>
    </w:p>
    <w:p w14:paraId="5105089C" w14:textId="77777777" w:rsidR="00F44FDF" w:rsidRPr="00DE35E8" w:rsidRDefault="00F44FDF" w:rsidP="00B503A1">
      <w:pPr>
        <w:pStyle w:val="Default"/>
        <w:ind w:left="142"/>
        <w:rPr>
          <w:color w:val="auto"/>
        </w:rPr>
      </w:pPr>
      <w:r>
        <w:rPr>
          <w:color w:val="auto"/>
        </w:rPr>
        <w:t>Vochtigheid en vluchtige stoffen: ≤ 0,1 per 100.</w:t>
      </w:r>
    </w:p>
    <w:p w14:paraId="49281EEA" w14:textId="77777777" w:rsidR="00F44FDF" w:rsidRPr="00DE35E8" w:rsidRDefault="00F44FDF" w:rsidP="00B503A1">
      <w:pPr>
        <w:pStyle w:val="Default"/>
        <w:ind w:left="142"/>
        <w:rPr>
          <w:color w:val="auto"/>
        </w:rPr>
      </w:pPr>
      <w:r>
        <w:rPr>
          <w:color w:val="auto"/>
        </w:rPr>
        <w:t>Niet in petroleumether oplosbare onzuiverheden: ≤ 0,05 per 100.</w:t>
      </w:r>
    </w:p>
    <w:p w14:paraId="2336D379" w14:textId="77777777" w:rsidR="00F44FDF" w:rsidRPr="00DE35E8" w:rsidRDefault="00F44FDF" w:rsidP="00B503A1">
      <w:pPr>
        <w:pStyle w:val="Default"/>
        <w:ind w:left="142"/>
        <w:rPr>
          <w:color w:val="auto"/>
        </w:rPr>
      </w:pPr>
      <w:r>
        <w:rPr>
          <w:color w:val="auto"/>
        </w:rPr>
        <w:t>Zeepresten: Negatief.</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d) Geraffineerde olie uit afvallen van olijven.</w:t>
      </w:r>
    </w:p>
    <w:p w14:paraId="1696366E" w14:textId="77777777" w:rsidR="00F44FDF" w:rsidRPr="00DE35E8" w:rsidRDefault="00F44FDF" w:rsidP="001C4E6E">
      <w:pPr>
        <w:keepNext/>
        <w:keepLines/>
        <w:spacing w:before="100" w:beforeAutospacing="1"/>
        <w:ind w:left="142"/>
        <w:jc w:val="both"/>
        <w:rPr>
          <w:rFonts w:ascii="Arial" w:hAnsi="Arial" w:cs="Arial"/>
        </w:rPr>
      </w:pPr>
      <w:r>
        <w:rPr>
          <w:rFonts w:ascii="Arial" w:hAnsi="Arial"/>
        </w:rPr>
        <w:t>Uiterlijk: helder, bewaard op 20º ± 2º C gedurende vierentwintig uur.</w:t>
      </w:r>
    </w:p>
    <w:p w14:paraId="1BB2CEF0" w14:textId="77777777" w:rsidR="00F44FDF" w:rsidRPr="00DE35E8" w:rsidRDefault="00F44FDF" w:rsidP="001C4E6E">
      <w:pPr>
        <w:keepNext/>
        <w:keepLines/>
        <w:ind w:left="142"/>
        <w:jc w:val="both"/>
        <w:rPr>
          <w:rFonts w:ascii="Arial" w:hAnsi="Arial" w:cs="Arial"/>
        </w:rPr>
      </w:pPr>
      <w:r>
        <w:rPr>
          <w:rFonts w:ascii="Arial" w:hAnsi="Arial"/>
        </w:rPr>
        <w:t>Geur en smaak: neutraal, zonder verschijnselen van ranzigheid, alteratie of besmetting.</w:t>
      </w:r>
    </w:p>
    <w:p w14:paraId="35B990C6" w14:textId="77777777" w:rsidR="00F44FDF" w:rsidRPr="00DE35E8" w:rsidRDefault="00F44FDF" w:rsidP="001C4E6E">
      <w:pPr>
        <w:pStyle w:val="Default"/>
        <w:keepNext/>
        <w:keepLines/>
        <w:ind w:left="142"/>
        <w:rPr>
          <w:color w:val="auto"/>
        </w:rPr>
      </w:pPr>
      <w:r>
        <w:rPr>
          <w:color w:val="auto"/>
        </w:rPr>
        <w:t>Vochtigheid en vluchtige stoffen: ≤ 0,1 per 100.</w:t>
      </w:r>
    </w:p>
    <w:p w14:paraId="2AF3CFA0" w14:textId="77777777" w:rsidR="00F44FDF" w:rsidRPr="00DE35E8" w:rsidRDefault="00F44FDF" w:rsidP="00B503A1">
      <w:pPr>
        <w:pStyle w:val="Default"/>
        <w:ind w:left="142"/>
        <w:rPr>
          <w:color w:val="auto"/>
        </w:rPr>
      </w:pPr>
      <w:r>
        <w:rPr>
          <w:color w:val="auto"/>
        </w:rPr>
        <w:t>Niet in petroleumether oplosbare onzuiverheden: ≤ 0,05 per 100.</w:t>
      </w:r>
    </w:p>
    <w:p w14:paraId="667102D7" w14:textId="77777777" w:rsidR="00F44FDF" w:rsidRPr="00DE35E8" w:rsidRDefault="00F44FDF" w:rsidP="00B503A1">
      <w:pPr>
        <w:pStyle w:val="Default"/>
        <w:ind w:left="142"/>
        <w:rPr>
          <w:color w:val="auto"/>
        </w:rPr>
      </w:pPr>
      <w:r>
        <w:rPr>
          <w:color w:val="auto"/>
        </w:rPr>
        <w:t>Zeepresten: Negatief.</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Olie uit afvallen van olijven.</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Uiterlijk: helder, bewaard op 20º ± 2º C gedurende vierentwintig uur.</w:t>
      </w:r>
    </w:p>
    <w:p w14:paraId="40031B46" w14:textId="77777777" w:rsidR="00F44FDF" w:rsidRPr="00DE35E8" w:rsidRDefault="00F44FDF" w:rsidP="00B503A1">
      <w:pPr>
        <w:pStyle w:val="Default"/>
        <w:ind w:left="142"/>
        <w:jc w:val="both"/>
        <w:rPr>
          <w:color w:val="auto"/>
        </w:rPr>
      </w:pPr>
      <w:r>
        <w:rPr>
          <w:color w:val="auto"/>
        </w:rPr>
        <w:t xml:space="preserve">Geur en smaak: eigen en kenmerkende aroma's van de in het mengsel gebruikte olijfolie van eerste persing. Er mogen geen aanwijzingen voor alteratie of besmetting zijn, noch defecten die niet eigen zijn aan de gebruikte olijfolie van eerste persing. </w:t>
      </w:r>
    </w:p>
    <w:p w14:paraId="523A1A0E" w14:textId="77777777" w:rsidR="00F44FDF" w:rsidRPr="00DE35E8" w:rsidRDefault="00F44FDF" w:rsidP="00B503A1">
      <w:pPr>
        <w:pStyle w:val="Default"/>
        <w:ind w:left="142"/>
        <w:rPr>
          <w:color w:val="auto"/>
        </w:rPr>
      </w:pPr>
      <w:r>
        <w:rPr>
          <w:color w:val="auto"/>
        </w:rPr>
        <w:t>Vochtigheid en vluchtige stoffen: ≤ 0,1 per 100.</w:t>
      </w:r>
    </w:p>
    <w:p w14:paraId="1A066BD2" w14:textId="77777777" w:rsidR="00F44FDF" w:rsidRPr="00DE35E8" w:rsidRDefault="00F44FDF" w:rsidP="00B503A1">
      <w:pPr>
        <w:pStyle w:val="Default"/>
        <w:ind w:left="142"/>
        <w:rPr>
          <w:color w:val="auto"/>
        </w:rPr>
      </w:pPr>
      <w:r>
        <w:rPr>
          <w:color w:val="auto"/>
        </w:rPr>
        <w:t>Niet in petroleumether oplosbare onzuiverheden: ≤ 0,05 per 100.</w:t>
      </w:r>
    </w:p>
    <w:p w14:paraId="03631DE0" w14:textId="77777777" w:rsidR="00F44FDF" w:rsidRPr="00DE35E8" w:rsidRDefault="00F44FDF" w:rsidP="00B503A1">
      <w:pPr>
        <w:pStyle w:val="Default"/>
        <w:ind w:left="142"/>
        <w:rPr>
          <w:color w:val="auto"/>
        </w:rPr>
      </w:pPr>
      <w:r>
        <w:rPr>
          <w:color w:val="auto"/>
        </w:rPr>
        <w:t>Zeepresten: Negatief.</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t>Bladzijde</w:t>
    </w:r>
    <w:r>
      <w:rPr>
        <w:color w:val="8496B0"/>
      </w:rPr>
      <w:t xml:space="preserve">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4E6E"/>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nl-NL"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nl-NL"/>
    </w:rPr>
  </w:style>
  <w:style w:type="character" w:customStyle="1" w:styleId="BodyTextIndent3Char">
    <w:name w:val="Body Text Indent 3 Char"/>
    <w:basedOn w:val="DefaultParagraphFont"/>
    <w:link w:val="BodyTextIndent3"/>
    <w:rsid w:val="00EE7990"/>
    <w:rPr>
      <w:sz w:val="16"/>
      <w:szCs w:val="16"/>
      <w:lang w:val="nl-NL"/>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Olijfol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l.wikipedia.org/wiki/Olij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6335</Words>
  <Characters>37021</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2020-10-02T15:05:00Z</dcterms:modified>
</cp:coreProperties>
</file>