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79E79" w14:textId="129E3ABC" w:rsidR="006D5B21" w:rsidRDefault="006D5B21" w:rsidP="00B503A1">
      <w:pPr>
        <w:pStyle w:val="PlainText"/>
        <w:jc w:val="center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</w:rPr>
        <w:t>1. ------IND- 2020 0581 E-- PL- ------ 20201001 --- --- PROJET</w:t>
      </w:r>
    </w:p>
    <w:p w14:paraId="0FA6D1DD" w14:textId="77777777" w:rsidR="001C6414" w:rsidRPr="006D5B21" w:rsidRDefault="001C6414" w:rsidP="00B503A1">
      <w:pPr>
        <w:jc w:val="both"/>
        <w:rPr>
          <w:rFonts w:ascii="Arial" w:hAnsi="Arial" w:cs="Arial"/>
          <w:bCs/>
          <w:caps/>
          <w:lang w:val="fi-FI"/>
        </w:rPr>
      </w:pPr>
    </w:p>
    <w:p w14:paraId="6BB81A77" w14:textId="06B15CC4" w:rsidR="009C4D64" w:rsidRPr="00DE35E8" w:rsidRDefault="009C4D64" w:rsidP="00B503A1">
      <w:pPr>
        <w:jc w:val="both"/>
        <w:rPr>
          <w:rFonts w:ascii="Arial" w:hAnsi="Arial" w:cs="Arial"/>
        </w:rPr>
      </w:pPr>
      <w:r>
        <w:rPr>
          <w:rFonts w:ascii="Arial" w:hAnsi="Arial"/>
          <w:caps/>
        </w:rPr>
        <w:t>PROJEKT DEKRETU KRÓLEWSKIEGO nr …/2020 z dnia .... w sprawie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PRZYJĘCIA NORMY JAKOŚCIOWEJ DLA OLIWY Z OLIWEK I OLIWY Z WYTŁOCZYN Z OLIWEK.</w:t>
      </w:r>
    </w:p>
    <w:p w14:paraId="3FAFF845" w14:textId="30D28629" w:rsidR="004145C3" w:rsidRPr="00DE35E8" w:rsidRDefault="004145C3" w:rsidP="00B503A1">
      <w:pPr>
        <w:jc w:val="center"/>
        <w:rPr>
          <w:rFonts w:ascii="Arial" w:hAnsi="Arial" w:cs="Arial"/>
        </w:rPr>
      </w:pPr>
    </w:p>
    <w:p w14:paraId="3D265B70" w14:textId="77777777" w:rsidR="00090536" w:rsidRPr="00DE35E8" w:rsidRDefault="00090536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Hiszpania jest największym producentem i eksporterem oliwy z oliwek na świecie. Uprawa drzew oliwnych i produkcja oliwy z oliwek stanowią sektor o ogromnym znaczeniu pod względem gospodarczym, społecznym i handlowym w naszym kraju i na rynkach międzynarodowych, przy wciąż rosnącym popycie. Celem niniejszego dekretu królewskiego jest aktualizacja przepisów w celu dostosowania ich do obecnej sytuacji w sektorze oraz rozwoju technologicznego poprzez promowanie wysokiej jakości oliwy z oliwek jako jednego z podstawowych filarów rozwoju tego sektora.</w:t>
      </w:r>
    </w:p>
    <w:p w14:paraId="038EA252" w14:textId="1FF8948F" w:rsidR="00090536" w:rsidRPr="00DE35E8" w:rsidRDefault="00090536" w:rsidP="00B503A1">
      <w:pPr>
        <w:pStyle w:val="Pa6"/>
        <w:spacing w:before="100" w:beforeAutospacing="1" w:after="100" w:afterAutospacing="1" w:line="240" w:lineRule="auto"/>
        <w:jc w:val="both"/>
        <w:rPr>
          <w:rFonts w:cs="Arial"/>
        </w:rPr>
      </w:pPr>
      <w:r>
        <w:rPr>
          <w:rStyle w:val="Strong"/>
          <w:b w:val="0"/>
        </w:rPr>
        <w:t>W Hiszpanii</w:t>
      </w:r>
      <w:r>
        <w:rPr>
          <w:rStyle w:val="Strong"/>
        </w:rPr>
        <w:t xml:space="preserve"> </w:t>
      </w:r>
      <w:r>
        <w:t>przepisy dotyczące oliwy z oliwek zawarto w rozdziale XVI sekcja 2 dekretu nr 2484/1967 z dnia 21 września w sprawie przyjęcia tekstu hiszpańskiego kodeksu żywnościowego. Przepisy wykonawcze i szczegółowe regulacje dotyczące tej kwestii wprowadzono dekretem królewskim nr 308/1983 z dnia 25 stycznia w sprawie przyjęcia przepisów techniczno-sanitarnych dotyczących roślinnych olejów spożywczych.</w:t>
      </w:r>
    </w:p>
    <w:p w14:paraId="11F5D3F9" w14:textId="1E67EC52" w:rsidR="00090536" w:rsidRPr="00F46522" w:rsidRDefault="00090536" w:rsidP="00B503A1">
      <w:pPr>
        <w:spacing w:after="240"/>
        <w:jc w:val="both"/>
        <w:rPr>
          <w:rFonts w:ascii="Arial" w:hAnsi="Arial" w:cs="Arial"/>
          <w:spacing w:val="-4"/>
        </w:rPr>
      </w:pPr>
      <w:r w:rsidRPr="00F46522">
        <w:rPr>
          <w:rFonts w:ascii="Arial" w:hAnsi="Arial"/>
          <w:spacing w:val="-4"/>
        </w:rPr>
        <w:t xml:space="preserve">W Unii Europejskiej przepisy dotyczące oliwy z oliwek i oliwy z wytłoczyn z oliwek zharmonizowano rozporządzeniem Komisji (EWG) nr 2568/91 z dnia 11 lipca 1991 r. w sprawie właściwości oliwy z oliwek i oliwy z wytłoczyn oliwek oraz w sprawie odpowiednich metod analizy, a także rozporządzeniem Parlamentu Europejskiego i Rady (UE) nr 1308/2013 z dnia 17 grudnia 2013 r. ustanawiającym wspólną organizację rynków produktów rolnych oraz uchylającym rozporządzenia Rady (EWG) nr 922/72, (EWG) nr 234/79, (WE) nr 1037/2001 i (WE) nr 1234/2007. W wymienionych rozporządzeniach ustanawia się nazwy, definicje, charakterystyczne cechy fizykochemiczne i organoleptyczne oraz metody pobierania próbek i analizy tych produktów. </w:t>
      </w:r>
    </w:p>
    <w:p w14:paraId="1ED1A311" w14:textId="19B278A3" w:rsidR="00090536" w:rsidRPr="00DE35E8" w:rsidRDefault="00090536" w:rsidP="00B503A1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Style w:val="Strong"/>
          <w:rFonts w:ascii="Arial" w:hAnsi="Arial" w:cs="Arial"/>
          <w:b w:val="0"/>
        </w:rPr>
      </w:pPr>
      <w:r>
        <w:rPr>
          <w:rFonts w:ascii="Arial" w:hAnsi="Arial"/>
        </w:rPr>
        <w:t xml:space="preserve">Jednocześnie w drodze rozporządzenia wykonawczego Komisji (UE) nr 29/2012 z dnia 13 stycznia 2012 r. w sprawie norm handlowych w odniesieniu do oliwy z oliwek ustanowiono przepisy wykonawcze dotyczące norm wprowadzania do obrotu i procedury współpracy administracyjnej między Komisją i państwami członkowskimi dotyczącej norm jakości mających zastosowanie do tych produktów. Wspomniane rozporządzenie uchyla rozporządzenie (WE) nr 1019/2002, które wdrożono w naszym kraju wraz z przepisami uzupełniającymi w drodze dekretu królewskiego nr 1431/2003 </w:t>
      </w:r>
      <w:r>
        <w:rPr>
          <w:rStyle w:val="Strong"/>
          <w:rFonts w:ascii="Arial" w:hAnsi="Arial"/>
          <w:b w:val="0"/>
        </w:rPr>
        <w:t>z dnia 21 listopada w sprawie ustanowienia określonych zasad wprowadzania do obrotu w sektorze oliwy z oliwek i oliwy z wytłoczyn z oliwek.</w:t>
      </w:r>
    </w:p>
    <w:p w14:paraId="6B699213" w14:textId="6ECAC799" w:rsidR="00090536" w:rsidRPr="00F46522" w:rsidRDefault="00090536" w:rsidP="00F46522">
      <w:pPr>
        <w:pStyle w:val="Default"/>
        <w:keepNext/>
        <w:keepLines/>
        <w:spacing w:before="100" w:beforeAutospacing="1" w:after="100" w:afterAutospacing="1"/>
        <w:jc w:val="both"/>
        <w:rPr>
          <w:color w:val="auto"/>
          <w:spacing w:val="-4"/>
        </w:rPr>
      </w:pPr>
      <w:r w:rsidRPr="00F46522">
        <w:rPr>
          <w:color w:val="auto"/>
          <w:spacing w:val="-4"/>
        </w:rPr>
        <w:lastRenderedPageBreak/>
        <w:t>We wspomnianym dekrecie królewskim nr 308/1983 z dnia 25 stycznia wielokrotnie wprowadzano zmiany. Ponadto ze względu na rozwój warunków produkcji i konsumpcji w ciągu tych prawie czterdziestu lat konieczne jest zastąpienie go nowym aktem prawnym, dotyczącym szczegółowo oliwy z oliwek i oliwy z wytłoczyn z oliwek z uwagi na ich wyjątkowy charakter i znaczenie, jakie te produkty mają dla naszego kraju. Przyjęcie odrębnej normy, rozpatrującej przedmiotowe produkty oddzielnie od innych olejów roślinnych, przyczyni się do lepszego dostosowania systemów produkcji i kontroli wewnętrznej oraz norm dotyczących pakowania i etykietowania do norm europejskich oraz do zmieniających się kryteriów i postępu technologicznego. Oprócz aktualizacji treści, normę poddano uporządkowaniu i uproszczeniu poprzez usunięcie z niej kwestii higieniczno-sanitarnych, które uwzględniono i zharmonizowano we wspólnotowych przepisach horyzontalnych mających zastosowanie w przedmiotowej dziedzinie.</w:t>
      </w:r>
    </w:p>
    <w:p w14:paraId="7A8064F9" w14:textId="1DD88362" w:rsidR="00090536" w:rsidRPr="00DE35E8" w:rsidRDefault="00090536" w:rsidP="00B503A1">
      <w:pPr>
        <w:pStyle w:val="Default"/>
        <w:jc w:val="both"/>
        <w:rPr>
          <w:color w:val="auto"/>
        </w:rPr>
      </w:pPr>
      <w:r>
        <w:rPr>
          <w:color w:val="auto"/>
        </w:rPr>
        <w:t>W konsekwencji konieczne jest uchylenie treści rozdziału XVI sekcja 2 hiszpańskiego kodeksu żywnościowego przyjętego dekretem nr 2484/1967 z dnia 21 września, a tym samym uchylenie wspomnianego dekretu królewskiego nr 308/1983 z dnia 25 stycznia w kwestiach dotyczących oliwy z oliwek i oliwy z wytłoczyn z oliwek. Poza tym problemem regulacji w tej dziedzinie było rozproszenie przepisów. Rozwiązano go przez połączenie przepisów mających zastosowanie do oliwy z oliwek i oliwy z wytłoczyn z oliwek, wobec czego należy uchylić wspomniane normy, co zwiększy pewność prawa.</w:t>
      </w:r>
    </w:p>
    <w:p w14:paraId="715A8282" w14:textId="77777777" w:rsidR="00842CEA" w:rsidRPr="00DE35E8" w:rsidRDefault="00842CEA" w:rsidP="00B503A1">
      <w:pPr>
        <w:pStyle w:val="Default"/>
        <w:jc w:val="both"/>
        <w:rPr>
          <w:color w:val="auto"/>
        </w:rPr>
      </w:pPr>
    </w:p>
    <w:p w14:paraId="2AAEAF13" w14:textId="1659977A" w:rsidR="00090536" w:rsidRPr="00DE35E8" w:rsidRDefault="00090536" w:rsidP="00B503A1">
      <w:pPr>
        <w:pStyle w:val="Default"/>
        <w:jc w:val="both"/>
        <w:rPr>
          <w:color w:val="auto"/>
        </w:rPr>
      </w:pPr>
      <w:r>
        <w:rPr>
          <w:color w:val="auto"/>
        </w:rPr>
        <w:t xml:space="preserve">Niniejsza norma będzie miała zastosowanie do każdej oliwy z oliwek i oliwy z wytłoczyn z oliwek wytworzonej i wprowadzanej do obrotu w Hiszpanii, bez uszczerbku dla konieczności poszanowania unijnej klauzuli wzajemnego uznawania. </w:t>
      </w:r>
    </w:p>
    <w:p w14:paraId="0A7F473E" w14:textId="77777777" w:rsidR="00090536" w:rsidRPr="00DE35E8" w:rsidRDefault="00090536" w:rsidP="00B503A1">
      <w:pPr>
        <w:pStyle w:val="Default"/>
        <w:jc w:val="both"/>
        <w:rPr>
          <w:color w:val="auto"/>
        </w:rPr>
      </w:pPr>
    </w:p>
    <w:p w14:paraId="55AE692A" w14:textId="6D3F8A27" w:rsidR="003A288D" w:rsidRPr="00DE35E8" w:rsidRDefault="00090536" w:rsidP="00B503A1">
      <w:pPr>
        <w:pStyle w:val="Default"/>
        <w:spacing w:after="240"/>
        <w:jc w:val="both"/>
        <w:rPr>
          <w:color w:val="auto"/>
        </w:rPr>
      </w:pPr>
      <w:r>
        <w:rPr>
          <w:color w:val="auto"/>
        </w:rPr>
        <w:t xml:space="preserve">W celu ochrony i promowania oliwy z oliwek i oliwy z wytłoczyn z oliwek, a także unikania ewentualnych nieuczciwych praktyk, konieczne jest wprowadzenie w tej normie określonych obowiązków dla podmiotów tego sektora w odniesieniu do instalacji, niedozwolonych praktyk, dokumentów towarzyszących i identyfikowalności produktów. </w:t>
      </w:r>
      <w:r>
        <w:rPr>
          <w:color w:val="auto"/>
          <w:shd w:val="clear" w:color="auto" w:fill="FFFFFF"/>
        </w:rPr>
        <w:t xml:space="preserve">Te obowiązki i zakazy muszą mieć zastosowanie do wszystkich podmiotów, za które uznaje się osoby fizyczne lub prawne uczestniczące w dowolnym etapie produkcji i wprowadzania do obrotu oliwy z oliwek i oliwy z wytłoczyn z oliwek, włączając m.in. ośrodki skupu oliwek, spółdzielnie czy olejarnie mobilne. </w:t>
      </w:r>
    </w:p>
    <w:p w14:paraId="6681DADD" w14:textId="6743B4E5" w:rsidR="00090536" w:rsidRPr="00DE35E8" w:rsidRDefault="00936DB3" w:rsidP="00B503A1">
      <w:pPr>
        <w:pStyle w:val="Default"/>
        <w:spacing w:after="240"/>
        <w:jc w:val="both"/>
        <w:rPr>
          <w:color w:val="auto"/>
        </w:rPr>
      </w:pPr>
      <w:r>
        <w:rPr>
          <w:color w:val="auto"/>
        </w:rPr>
        <w:t>Na podstawie art. 7a rozporządzenia (EWG) nr 2568/91 i bez uszczerbku dla przepisów rozporządzenia (WE) nr 178/2002 wprowadza się obowiązek utrzymywania znormalizowanego systemu identyfikowalności pozwalającego na łatwe zlokalizowanie produktów i kładzie się nacisk na prawidłową ich identyfikację na wszystkich etapach produkcji, transportu i wprowadzania do obrotu oliwy będącej przedmiotem normy.</w:t>
      </w:r>
    </w:p>
    <w:p w14:paraId="68207B54" w14:textId="584FF1FA" w:rsidR="005C2C0C" w:rsidRPr="00DE35E8" w:rsidRDefault="00661336" w:rsidP="00B503A1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System identyfikowalności przyczyni się do promocji wysokiej jakości żywności, zwiększenia zaufania konsumentów, odróżnienia produktów od innych podobnych produktów, odzyskania i wzmocnienia pozycji na rynku oraz zagwarantowania, w stosownych przypadkach, selektywnego wycofania produktów.</w:t>
      </w:r>
    </w:p>
    <w:p w14:paraId="62E2BA1C" w14:textId="01475CC0" w:rsidR="005C2C0C" w:rsidRPr="00DE35E8" w:rsidRDefault="00265AB7" w:rsidP="00B503A1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Aby ułatwić podmiotom wypełnienie obowiązków zawartych w normie, a właściwym organom ich kontrolę, należy wdrożyć system informatyczny gromadzący dane na temat przemieszczania oliwy z oliwek i oliwy z wytłoczyn z oliwek. </w:t>
      </w:r>
    </w:p>
    <w:p w14:paraId="59D4EB37" w14:textId="593CC95A" w:rsidR="002C76F1" w:rsidRPr="00F46522" w:rsidRDefault="002C76F1" w:rsidP="00B503A1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pacing w:val="-4"/>
        </w:rPr>
      </w:pPr>
      <w:r w:rsidRPr="00F46522">
        <w:rPr>
          <w:rFonts w:ascii="Arial" w:hAnsi="Arial"/>
          <w:spacing w:val="-4"/>
        </w:rPr>
        <w:lastRenderedPageBreak/>
        <w:t>Jeśli chodzi o informacje na temat żywności oraz wartości tolerancji w ramach kontroli rzeczywistej zawartości opakowania, nadal będą obowiązywać przepisy rozporządzenia Parlamentu Europejskiego i Rady (UE) nr 1169/2011 z dnia 25 października 2011 r. w sprawie przekazywania konsumentom informacji na temat żywności oraz dekretu królewskiego nr 1801/2008 z dnia 3 listopada ustanawiającego normy dotyczące nominalnych ilości produktów pakowanych i kontroli ich rzeczywistej zawartości.</w:t>
      </w:r>
    </w:p>
    <w:p w14:paraId="0C057730" w14:textId="6B25078C" w:rsidR="005C2C0C" w:rsidRPr="00DE35E8" w:rsidRDefault="005C2C0C" w:rsidP="00B503A1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W zgodzie z kierunkami polityki Unii Europejskiej w dziedzinie zrównoważonego rozwoju, w szczególności dotyczących ograniczenia stosowania tworzyw sztucznych, za pośrednictwem niniejszej normy ogranicza się stosowanie tego materiału do pakowania niektórych produktów, których wizerunkowi mogłyby ponadto szkodzić określone sposoby prezentacji, takie jak opakowania z tworzywa sztucznego.</w:t>
      </w:r>
    </w:p>
    <w:p w14:paraId="5DE3D78E" w14:textId="63551FB9" w:rsidR="00E94757" w:rsidRPr="00DE35E8" w:rsidRDefault="00E94757" w:rsidP="00B503A1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Mając na uwadze znaczenie współpracy i współdziałania między organami administracji publicznej, należy ustanowić plan kontroli szczegółowych w celu weryfikacji identyfikowalności w sektorze oliwy z oliwek i oliwy z wytłoczyn z oliwek, który będą mogły wprowadzić w życie organy właściwe do spraw kontroli jakości i ochrony przed oszustwami i który zostanie przyjęty przez Komitet Koordynacyjny ds. Jakości Żywności. </w:t>
      </w:r>
    </w:p>
    <w:p w14:paraId="1AAAE751" w14:textId="1C165D2B" w:rsidR="00661336" w:rsidRPr="00DE35E8" w:rsidRDefault="00661336" w:rsidP="00B503A1">
      <w:pPr>
        <w:pStyle w:val="Default"/>
        <w:jc w:val="both"/>
        <w:rPr>
          <w:color w:val="auto"/>
        </w:rPr>
      </w:pPr>
      <w:r>
        <w:rPr>
          <w:color w:val="auto"/>
        </w:rPr>
        <w:t xml:space="preserve">Ponadto w celu poprawy przejrzystości informacji dotyczących kontroli zgodności oliwy z oliwek przeprowadzanych przez właściwe organy, Ministerstwo Rolnictwa, Rybołówstwa i Gospodarki Żywnościowej opracuje i opublikuje sprawozdanie podsumowujące wyniki przeprowadzonych działań. </w:t>
      </w:r>
    </w:p>
    <w:p w14:paraId="5C403AE3" w14:textId="77777777" w:rsidR="00090536" w:rsidRPr="00DE35E8" w:rsidRDefault="00090536" w:rsidP="00B503A1">
      <w:pPr>
        <w:jc w:val="both"/>
        <w:rPr>
          <w:rFonts w:ascii="Arial" w:hAnsi="Arial" w:cs="Arial"/>
        </w:rPr>
      </w:pPr>
    </w:p>
    <w:p w14:paraId="751C7C27" w14:textId="77777777" w:rsidR="00090536" w:rsidRPr="00DE35E8" w:rsidRDefault="00090536" w:rsidP="00B503A1">
      <w:pPr>
        <w:pStyle w:val="Pa6"/>
        <w:spacing w:before="100" w:beforeAutospacing="1" w:after="100" w:afterAutospacing="1" w:line="240" w:lineRule="auto"/>
        <w:jc w:val="both"/>
        <w:rPr>
          <w:rFonts w:cs="Arial"/>
        </w:rPr>
      </w:pPr>
      <w:r>
        <w:t>Niniejszy dekret królewski poddano procedurze przewidzianej w dyrektywie Parlamentu Europejskiego i Rady (UE) 2015/1535 z dnia 9 września 2015 r. ustanawiającej procedurę udzielania informacji w dziedzinie przepisów technicznych oraz zasad dotyczących usług społeczeństwa informacyjnego i w dekrecie królewskim nr 1337/1999 z dnia 31 lipca w sprawie uregulowania przekazywania informacji w dziedzinie norm i przepisów technicznych oraz zasad dotyczących usług społeczeństwa informacyjnego.</w:t>
      </w:r>
    </w:p>
    <w:p w14:paraId="438C14E9" w14:textId="1E6F66D7" w:rsidR="001B6D0C" w:rsidRPr="00DE35E8" w:rsidRDefault="001B6D0C" w:rsidP="00F46522">
      <w:pPr>
        <w:pStyle w:val="Default"/>
        <w:keepNext/>
        <w:keepLines/>
        <w:spacing w:after="240"/>
        <w:jc w:val="both"/>
        <w:rPr>
          <w:color w:val="auto"/>
        </w:rPr>
      </w:pPr>
      <w:r>
        <w:rPr>
          <w:color w:val="auto"/>
        </w:rPr>
        <w:lastRenderedPageBreak/>
        <w:t>Treść niniejszego dekretu królewskiego jest zgodna z zasadami dobrego stanowienia prawa zawartymi w art. 129 ustawy nr 39/2015 z dnia 1 października o powszechnym postępowaniu administracyjnym organów administracji publicznej. Wobec powyższego, zgodnie z zasadami konieczności i skuteczności, ustanowienie niniejszej normy jest uzasadnione koniecznością odpowiedniego uregulowania sektora oliwy z oliwek i oliwy z wytłoczyn z oliwek, a najodpowiedniejszą formą realizacji tego celu jest uchylenie dekretu królewskiego nr 308/1983 z dnia 25 stycznia w sprawie przyjęcia przepisów techniczno-sanitarnych dotyczących roślinnych olejów spożywczych w części odnoszącej się do oliwy z oliwek i oliwy z wytłoczyn z oliwek oraz przyjęcie nowej normy jakości regulującej szczegółowo oliwę z oliwek i oliwę z wytłoczyn z oliwek. Przy opracowywaniu regulacji uwzględniono również zasady skuteczności i proporcjonalności poprzez ograniczenie obciążeń administracyjnych do minimalnego poziomu koniecznego do realizacji wyznaczonych celów. W myśl zasady przejrzystości oprócz procedury konsultacji publicznej i informacji publicznej w procesie opracowania tego przepisu zasięgnięto opinii wspólnot autonomicznych, a także podmiotów reprezentujących zainteresowane sektory i konsumentów, oraz uzyskano wymagane sprawozdanie Międzyresortowej Komisji ds. Przepisów Żywnościowych. Ponadto dekret królewski jest zgodny z zasadą pewności prawa przez zachowanie spójności z pozostałą częścią mającego zastosowanie porządku prawnego i pozostawienie podmiotom koniecznych okresów przejściowych na dostosowanie się do normy.</w:t>
      </w:r>
    </w:p>
    <w:p w14:paraId="3D00D5D8" w14:textId="1874EDBD" w:rsidR="00090536" w:rsidRPr="00DE35E8" w:rsidRDefault="00090536" w:rsidP="00B503A1">
      <w:pPr>
        <w:pStyle w:val="Pa6"/>
        <w:spacing w:before="100" w:beforeAutospacing="1" w:after="100" w:afterAutospacing="1" w:line="240" w:lineRule="auto"/>
        <w:jc w:val="both"/>
        <w:rPr>
          <w:rFonts w:cs="Arial"/>
        </w:rPr>
      </w:pPr>
      <w:r>
        <w:t xml:space="preserve">Niniejszy dekret królewski wydaje się na mocy przepisu art. 149 ust. 1 pkt 13 Konstytucji Hiszpańskiej, która przyznaje Państwu wyłączne uprawnienia do regulowania podstaw i koordynacji planowania ogólnego działalności gospodarczej. </w:t>
      </w:r>
    </w:p>
    <w:p w14:paraId="2B5EAD10" w14:textId="77777777" w:rsidR="00B776A3" w:rsidRPr="00DE35E8" w:rsidRDefault="00B776A3" w:rsidP="00B503A1">
      <w:pPr>
        <w:pStyle w:val="Default"/>
        <w:spacing w:after="240"/>
        <w:jc w:val="both"/>
        <w:rPr>
          <w:color w:val="auto"/>
        </w:rPr>
      </w:pPr>
      <w:r>
        <w:rPr>
          <w:color w:val="auto"/>
        </w:rPr>
        <w:t>Ponadto ustawa nr 28/2015 z dnia 30 lipca o ochronie jakości żywności tworzy podstawę prawną w dziedzinie ochrony jakości środków spożywczych, stanowiąc podstawowe przepisy w tym zakresie. W czwartym przepisie końcowym tej ustawy upoważniono rząd do przyjęcia norm jakości środków spożywczych. Normy te umożliwiają zapewnienie i utrzymanie jakości środków spożywczych oferowanych na rynku, gdyż ich charakterystyka i kategoryzacja ułatwia konsumentowi wybór, umożliwiając mu porównanie i wybór środków spożywczych najbardziej zgodnych z jego upodobaniami lub potrzebami.</w:t>
      </w:r>
    </w:p>
    <w:p w14:paraId="641893D6" w14:textId="010C894B" w:rsidR="00090536" w:rsidRPr="00DE35E8" w:rsidRDefault="00090536" w:rsidP="00B503A1">
      <w:pPr>
        <w:pStyle w:val="Default"/>
        <w:jc w:val="both"/>
        <w:rPr>
          <w:color w:val="auto"/>
        </w:rPr>
      </w:pPr>
      <w:r>
        <w:rPr>
          <w:color w:val="auto"/>
        </w:rPr>
        <w:t xml:space="preserve">Na tej podstawie, na wniosek Ministra Rolnictwa, Rybołówstwa i Gospodarki Żywnościowej, Ministra Konsumentów i Ministra Przemysłu, Handlu i Turystyki, za zgodą Rady Państwa oraz po rozpatrzeniu sprawy przez Radę Ministrów na posiedzeniu w dniu ... r., </w:t>
      </w:r>
    </w:p>
    <w:p w14:paraId="2CDA62AF" w14:textId="77777777" w:rsidR="00090536" w:rsidRPr="00DE35E8" w:rsidRDefault="00090536" w:rsidP="00B503A1">
      <w:pPr>
        <w:jc w:val="center"/>
        <w:rPr>
          <w:rFonts w:ascii="Arial" w:hAnsi="Arial" w:cs="Arial"/>
        </w:rPr>
      </w:pPr>
    </w:p>
    <w:p w14:paraId="2285A358" w14:textId="77777777" w:rsidR="004145C3" w:rsidRPr="00DE35E8" w:rsidRDefault="004145C3" w:rsidP="00B503A1">
      <w:pPr>
        <w:jc w:val="center"/>
        <w:rPr>
          <w:rFonts w:ascii="Arial" w:hAnsi="Arial" w:cs="Arial"/>
          <w:i/>
        </w:rPr>
      </w:pPr>
    </w:p>
    <w:p w14:paraId="0A5DBBC1" w14:textId="77777777" w:rsidR="00B3676C" w:rsidRPr="00DE35E8" w:rsidRDefault="00B3676C" w:rsidP="00B503A1">
      <w:pPr>
        <w:jc w:val="both"/>
        <w:rPr>
          <w:rFonts w:ascii="Arial" w:hAnsi="Arial" w:cs="Arial"/>
          <w:b/>
        </w:rPr>
      </w:pPr>
    </w:p>
    <w:p w14:paraId="39908C20" w14:textId="77777777" w:rsidR="00A87A15" w:rsidRPr="00DE35E8" w:rsidRDefault="00A87A15" w:rsidP="00B503A1">
      <w:pPr>
        <w:pStyle w:val="Default"/>
        <w:jc w:val="both"/>
        <w:rPr>
          <w:color w:val="auto"/>
        </w:rPr>
      </w:pPr>
    </w:p>
    <w:p w14:paraId="795C6DC1" w14:textId="77777777" w:rsidR="00A87A15" w:rsidRPr="00DE35E8" w:rsidRDefault="00A87A15" w:rsidP="00B503A1">
      <w:pPr>
        <w:pStyle w:val="Default"/>
        <w:jc w:val="both"/>
        <w:rPr>
          <w:color w:val="auto"/>
        </w:rPr>
      </w:pPr>
    </w:p>
    <w:p w14:paraId="1F6AF6E6" w14:textId="22397854" w:rsidR="009C4D64" w:rsidRPr="00DE35E8" w:rsidRDefault="009C4D64" w:rsidP="00B503A1">
      <w:pPr>
        <w:pStyle w:val="Default"/>
        <w:keepNext/>
        <w:jc w:val="center"/>
        <w:rPr>
          <w:b/>
          <w:color w:val="auto"/>
        </w:rPr>
      </w:pPr>
      <w:r>
        <w:rPr>
          <w:color w:val="auto"/>
        </w:rPr>
        <w:lastRenderedPageBreak/>
        <w:t>ZARZĄDZAM, CO NASTĘPUJE:</w:t>
      </w:r>
    </w:p>
    <w:p w14:paraId="658EA294" w14:textId="77777777" w:rsidR="009C4D64" w:rsidRPr="00DE35E8" w:rsidRDefault="009C4D64" w:rsidP="00B503A1">
      <w:pPr>
        <w:keepNext/>
        <w:rPr>
          <w:rFonts w:ascii="Arial" w:hAnsi="Arial" w:cs="Arial"/>
        </w:rPr>
      </w:pPr>
    </w:p>
    <w:p w14:paraId="16AC18E0" w14:textId="77777777" w:rsidR="009C4D64" w:rsidRPr="00DE35E8" w:rsidRDefault="009C4D64" w:rsidP="00B503A1">
      <w:pPr>
        <w:keepNext/>
        <w:jc w:val="center"/>
        <w:rPr>
          <w:rFonts w:ascii="Arial" w:hAnsi="Arial" w:cs="Arial"/>
          <w:b/>
        </w:rPr>
      </w:pPr>
    </w:p>
    <w:p w14:paraId="2A99D082" w14:textId="6E1EACD8" w:rsidR="009C4D64" w:rsidRPr="00DE35E8" w:rsidRDefault="009C4D64" w:rsidP="00F46522">
      <w:pPr>
        <w:keepNext/>
        <w:keepLines/>
        <w:spacing w:before="100" w:beforeAutospacing="1" w:after="100" w:afterAutospacing="1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 xml:space="preserve">Artykuł 1. </w:t>
      </w:r>
      <w:r>
        <w:rPr>
          <w:rFonts w:ascii="Arial" w:hAnsi="Arial"/>
          <w:i/>
        </w:rPr>
        <w:t>Cel.</w:t>
      </w:r>
    </w:p>
    <w:p w14:paraId="18AA2374" w14:textId="79920B46" w:rsidR="004C7904" w:rsidRPr="00DE35E8" w:rsidRDefault="00A87A15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Celem niniejszego dekretu królewskiego jest ustanowienie normy jakościowej dla oliwy z oliwek i oliwy z wytłoczyn z oliwek. </w:t>
      </w:r>
    </w:p>
    <w:p w14:paraId="72CC39D6" w14:textId="77777777" w:rsidR="009C4D64" w:rsidRPr="00DE35E8" w:rsidRDefault="009C4D64" w:rsidP="00B503A1">
      <w:pPr>
        <w:spacing w:before="360" w:after="36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>Artykuł 2.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i/>
        </w:rPr>
        <w:t>Zakres stosowania.</w:t>
      </w:r>
    </w:p>
    <w:p w14:paraId="23E022F8" w14:textId="72729C9D" w:rsidR="004C7904" w:rsidRPr="00DE35E8" w:rsidRDefault="004C7904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Niniejsza norma ma zastosowanie do każdej oliwy z oliwek i oliwy z wytłoczyn z oliwek wytworzonej i wprowadzanej do obrotu w Hiszpanii, bez uszczerbku dla przepisów klauzuli wzajemnego uznawania. </w:t>
      </w:r>
    </w:p>
    <w:p w14:paraId="29C213E0" w14:textId="6716E66D" w:rsidR="004C7904" w:rsidRPr="00DE35E8" w:rsidRDefault="0057137A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Jednocześnie ma ona zastosowanie do podmiotów wytwarzających lub wprowadzających do obrotu oliwę z oliwek i oliwę z wytłoczyn z oliwek w Hiszpanii. </w:t>
      </w:r>
    </w:p>
    <w:p w14:paraId="7A10942A" w14:textId="4AD932FE" w:rsidR="00AB71F9" w:rsidRPr="00DE35E8" w:rsidRDefault="00AB71F9" w:rsidP="00B503A1">
      <w:pPr>
        <w:spacing w:before="360" w:after="360"/>
        <w:jc w:val="both"/>
        <w:rPr>
          <w:rFonts w:ascii="Arial" w:hAnsi="Arial" w:cs="Arial"/>
          <w:b/>
          <w:i/>
        </w:rPr>
      </w:pPr>
      <w:r>
        <w:rPr>
          <w:rFonts w:ascii="Arial" w:hAnsi="Arial"/>
          <w:b/>
        </w:rPr>
        <w:t>Artykuł 3.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i/>
        </w:rPr>
        <w:t>Nazwy i definicje produktów.</w:t>
      </w:r>
    </w:p>
    <w:p w14:paraId="04579D1D" w14:textId="12EFF7DC" w:rsidR="006938AC" w:rsidRPr="00DE35E8" w:rsidRDefault="009F53DF" w:rsidP="00B503A1">
      <w:pPr>
        <w:spacing w:before="360" w:after="3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 Definicje i nazwy poszczególnych kategorii produktów, do których klasyfikują się oliwa z oliwek i oliwa z wytłoczyn z oliwek, odpowiadają tym ustanowionym w części VIII załącznika VII do rozporządzenia Parlamentu Europejskiego i Rady (UE) nr 1308/2013 z dnia 17 grudnia 2013 r. ustanawiającego wspólną organizację rynków produktów rolnych oraz uchylającego rozporządzenia Rady (EWG) nr 922/72, (EWG) nr 234/79, (WE) nr 1037/2001 i (WE) nr 1234/2007 oraz w przepisach europejskich, które są przepisami wykonawczymi do tego rozporządzenia lub je zastępują. </w:t>
      </w:r>
    </w:p>
    <w:p w14:paraId="4124E3B2" w14:textId="615BC4F3" w:rsidR="00C4361C" w:rsidRPr="00DE35E8" w:rsidRDefault="0057137A" w:rsidP="00B503A1">
      <w:pPr>
        <w:keepNext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2. Do celów niniejszego dekretu królewskiego przyjmuje się następujące definicje:</w:t>
      </w:r>
    </w:p>
    <w:p w14:paraId="367FE3EC" w14:textId="28BA55D0" w:rsidR="00B56228" w:rsidRPr="00DE35E8" w:rsidRDefault="009F53DF" w:rsidP="00B503A1">
      <w:pPr>
        <w:spacing w:after="1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a) „ośrodek skupu lub odbioru oliwek” oznacza instalację przeznaczoną do skupu lub odbioru oliwek od różnych rolników w celu dostarczenia ich do olejarni lub zakładu przetwórstwa oliwek bez jakiegokolwiek przetwarzania owoców; </w:t>
      </w:r>
    </w:p>
    <w:p w14:paraId="015DB5A6" w14:textId="4A9CCC71" w:rsidR="00565790" w:rsidRPr="00DE35E8" w:rsidRDefault="009F53DF" w:rsidP="00B503A1">
      <w:pPr>
        <w:spacing w:before="100" w:beforeAutospacing="1" w:after="100" w:afterAutospacing="1"/>
        <w:jc w:val="both"/>
        <w:rPr>
          <w:rFonts w:ascii="Arial" w:eastAsiaTheme="minorHAnsi" w:hAnsi="Arial" w:cs="Arial"/>
        </w:rPr>
      </w:pPr>
      <w:r>
        <w:rPr>
          <w:rFonts w:ascii="Arial" w:hAnsi="Arial"/>
        </w:rPr>
        <w:t xml:space="preserve">b) „olejarnia” oznacza młyn lub zakład, w którym otrzymuje się </w:t>
      </w:r>
      <w:hyperlink r:id="rId8" w:tooltip="Oliwa z oliwek" w:history="1">
        <w:r>
          <w:rPr>
            <w:rFonts w:ascii="Arial" w:hAnsi="Arial"/>
          </w:rPr>
          <w:t>oliwę</w:t>
        </w:r>
      </w:hyperlink>
      <w:r>
        <w:rPr>
          <w:rFonts w:ascii="Arial" w:hAnsi="Arial"/>
        </w:rPr>
        <w:t xml:space="preserve"> z oliwek z pierwszego tłoczenia metodami mechanicznymi lub fizycznymi poprzez rozdrabnianie </w:t>
      </w:r>
      <w:hyperlink r:id="rId9" w:tooltip="Oliwka" w:history="1">
        <w:r>
          <w:rPr>
            <w:rFonts w:ascii="Arial" w:hAnsi="Arial"/>
          </w:rPr>
          <w:t>oliwek</w:t>
        </w:r>
      </w:hyperlink>
      <w:r>
        <w:rPr>
          <w:rFonts w:ascii="Arial" w:hAnsi="Arial"/>
        </w:rPr>
        <w:t xml:space="preserve">, całych i surowych owoców drzewa </w:t>
      </w:r>
      <w:r>
        <w:rPr>
          <w:rFonts w:ascii="Arial" w:hAnsi="Arial"/>
          <w:i/>
        </w:rPr>
        <w:t xml:space="preserve">Olea europaea </w:t>
      </w:r>
      <w:r>
        <w:rPr>
          <w:rFonts w:ascii="Arial" w:hAnsi="Arial"/>
        </w:rPr>
        <w:t>L.</w:t>
      </w:r>
      <w:r>
        <w:t>;</w:t>
      </w:r>
      <w:r>
        <w:rPr>
          <w:rFonts w:ascii="Arial" w:hAnsi="Arial"/>
        </w:rPr>
        <w:t xml:space="preserve"> </w:t>
      </w:r>
    </w:p>
    <w:p w14:paraId="6DF57DBF" w14:textId="0F735F15" w:rsidR="00565790" w:rsidRPr="00DE35E8" w:rsidRDefault="009F53DF" w:rsidP="00B503A1">
      <w:pPr>
        <w:spacing w:before="100" w:beforeAutospacing="1" w:after="100" w:afterAutospacing="1"/>
        <w:jc w:val="both"/>
        <w:rPr>
          <w:rFonts w:ascii="Arial" w:eastAsiaTheme="minorHAnsi" w:hAnsi="Arial" w:cs="Arial"/>
        </w:rPr>
      </w:pPr>
      <w:r>
        <w:rPr>
          <w:rFonts w:ascii="Arial" w:hAnsi="Arial"/>
        </w:rPr>
        <w:t xml:space="preserve">c) „olejarnia mobilna” oznacza olejarnię, która jest przemieszczana w celu rozdrabniania oliwek, całych i surowych owoców drzewa </w:t>
      </w:r>
      <w:r>
        <w:rPr>
          <w:rFonts w:ascii="Arial" w:hAnsi="Arial"/>
          <w:i/>
        </w:rPr>
        <w:t>Olea europaea</w:t>
      </w:r>
      <w:r>
        <w:rPr>
          <w:rFonts w:ascii="Arial" w:hAnsi="Arial"/>
        </w:rPr>
        <w:t xml:space="preserve"> L., na miejscu, aby uzyskać oliwę z oliwek z pierwszego tłoczenia, i która nie posiada określonej lub stałej lokalizacji fizycznej; </w:t>
      </w:r>
    </w:p>
    <w:p w14:paraId="56A37EFF" w14:textId="5E1B1792" w:rsidR="00FF501B" w:rsidRPr="00DE35E8" w:rsidRDefault="009F53DF" w:rsidP="00B503A1">
      <w:pPr>
        <w:spacing w:before="100" w:beforeAutospacing="1" w:after="100" w:afterAutospacing="1"/>
        <w:jc w:val="both"/>
        <w:rPr>
          <w:rFonts w:ascii="Arial" w:eastAsia="Arial Unicode MS" w:hAnsi="Arial" w:cs="Arial"/>
        </w:rPr>
      </w:pPr>
      <w:r>
        <w:rPr>
          <w:rFonts w:ascii="Arial" w:hAnsi="Arial"/>
        </w:rPr>
        <w:t>d) „rozlewnia oliwy” oznacza zakład lub instalację, gdzie prowadzi się pakowanie oliwy z oliwek i oliwy z wytłoczyn z oliwek przeznaczonej do spożycia przez ludzi;</w:t>
      </w:r>
    </w:p>
    <w:p w14:paraId="6BBED170" w14:textId="2DE4052A" w:rsidR="00565790" w:rsidRPr="00DE35E8" w:rsidRDefault="009F53DF" w:rsidP="00B503A1">
      <w:pPr>
        <w:spacing w:after="120"/>
        <w:jc w:val="both"/>
        <w:rPr>
          <w:rFonts w:ascii="Arial" w:eastAsia="Arial Unicode MS" w:hAnsi="Arial" w:cs="Arial"/>
        </w:rPr>
      </w:pPr>
      <w:r>
        <w:rPr>
          <w:rFonts w:ascii="Arial" w:hAnsi="Arial"/>
        </w:rPr>
        <w:t>e) „rafineria” oznacza zakład lub instalację, gdzie prowadzi się rafinowanie oliwy z oliwek i oliwy z wytłoczyn z oliwek przeznaczonej do spożycia przez ludzi;</w:t>
      </w:r>
    </w:p>
    <w:p w14:paraId="58F6AC21" w14:textId="6150E025" w:rsidR="00565790" w:rsidRPr="00DE35E8" w:rsidRDefault="009F53DF" w:rsidP="00B503A1">
      <w:pPr>
        <w:spacing w:after="120"/>
        <w:jc w:val="both"/>
        <w:rPr>
          <w:rFonts w:ascii="Arial" w:eastAsia="Arial Unicode MS" w:hAnsi="Arial" w:cs="Arial"/>
        </w:rPr>
      </w:pPr>
      <w:r>
        <w:rPr>
          <w:rFonts w:ascii="Arial" w:hAnsi="Arial"/>
        </w:rPr>
        <w:lastRenderedPageBreak/>
        <w:t xml:space="preserve">f) „ekstraktor wytłoczyn” oznacza zakład lub instalację przeznaczone do otrzymywania za pomocą procesów fizycznych lub chemicznych surowej oliwy z wytłoczyn z oliwek. Definicja ta obejmuje instalacje, w których prowadzi się tylko działalność w zakresie suszenia tłustych wilgotnych wytłoczyn pochodzących z rozdrabniania całych surowych oliwek; </w:t>
      </w:r>
    </w:p>
    <w:p w14:paraId="60ACFDD6" w14:textId="4E7B9285" w:rsidR="009F100F" w:rsidRPr="00DE35E8" w:rsidRDefault="000B53F1" w:rsidP="00B503A1">
      <w:pPr>
        <w:spacing w:after="1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g) „magazyn” oznacza zakład, w którym nie prowadzi się żadnego przetwarzania produktu i który służy jedynie do wspólnego przechowywania przez różne podmioty z sektora; </w:t>
      </w:r>
    </w:p>
    <w:p w14:paraId="19E848F8" w14:textId="66411F98" w:rsidR="00ED3163" w:rsidRPr="00DE35E8" w:rsidRDefault="000B53F1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h) „podmiot” oznacza osobę fizyczną lub prawną prowadzącą działalność w sektorze i na rynku oliwy z oliwek i oliwy z wytłoczyn z oliwek, łącznie z producentami oliwek odbierającymi luzem swoją oliwę z olejarni i każdą osobą, która kupuje lub odbiera luzem oliwę z oliwek z pierwszego tłoczenia z olejarni. Jednocześnie za podmioty uważa się zakłady przetwórstwa i kondycjonowania oliwek, w przypadku gdy używają całych i surowych owoców drzewa </w:t>
      </w:r>
      <w:r>
        <w:rPr>
          <w:rFonts w:ascii="Arial" w:hAnsi="Arial"/>
          <w:i/>
        </w:rPr>
        <w:t>Olea europaea</w:t>
      </w:r>
      <w:r>
        <w:rPr>
          <w:rFonts w:ascii="Arial" w:hAnsi="Arial"/>
        </w:rPr>
        <w:t xml:space="preserve"> L., nie przetwarzając ich, w celu późniejszego przetworzenia na oliwę;</w:t>
      </w:r>
    </w:p>
    <w:p w14:paraId="091A10F9" w14:textId="1E8EB6C5" w:rsidR="009F100F" w:rsidRPr="00DE35E8" w:rsidRDefault="000B53F1" w:rsidP="00B503A1">
      <w:pPr>
        <w:spacing w:before="100" w:beforeAutospacing="1" w:after="100" w:afterAutospacing="1"/>
        <w:jc w:val="both"/>
        <w:rPr>
          <w:rFonts w:ascii="Arial" w:eastAsia="Arial Unicode MS" w:hAnsi="Arial" w:cs="Arial"/>
        </w:rPr>
      </w:pPr>
      <w:r>
        <w:rPr>
          <w:rFonts w:ascii="Arial" w:hAnsi="Arial"/>
        </w:rPr>
        <w:t xml:space="preserve">i) „podmiot nieposiadający instalacji” oznacza osobę fizyczną lub prawną nieposiadającą własnej instalacji, działającą w sektorze i na rynku oliwy z oliwek i oliwy z wytłoczyn z oliwek; </w:t>
      </w:r>
    </w:p>
    <w:p w14:paraId="108CD9F9" w14:textId="0570D52D" w:rsidR="006060D4" w:rsidRPr="00DE35E8" w:rsidRDefault="000B53F1" w:rsidP="00B503A1">
      <w:pPr>
        <w:spacing w:before="100" w:beforeAutospacing="1" w:after="100" w:afterAutospacing="1"/>
        <w:jc w:val="both"/>
        <w:rPr>
          <w:rFonts w:ascii="Arial" w:eastAsia="Arial Unicode MS" w:hAnsi="Arial" w:cs="Arial"/>
        </w:rPr>
      </w:pPr>
      <w:r>
        <w:rPr>
          <w:rFonts w:ascii="Arial" w:hAnsi="Arial"/>
        </w:rPr>
        <w:t>j) „producent oliwek” oznacza osobę fizyczną lub prawną będącą właścicielem gospodarstwa oliwnego, w którym produkuje się oliwki (</w:t>
      </w:r>
      <w:r>
        <w:rPr>
          <w:rFonts w:ascii="Arial" w:hAnsi="Arial"/>
          <w:i/>
        </w:rPr>
        <w:t>Olea europaea</w:t>
      </w:r>
      <w:r>
        <w:rPr>
          <w:rFonts w:ascii="Arial" w:hAnsi="Arial"/>
        </w:rPr>
        <w:t xml:space="preserve"> L.) w celu ich przetwarzania na oliwę z oliwek uzyskiwaną poprzez rozdrabnianie należących do tej osoby oliwek za pomocą olejarni świadczącej na jej rzecz usługę rozdrabniania; </w:t>
      </w:r>
    </w:p>
    <w:p w14:paraId="3E2AF171" w14:textId="27467AC6" w:rsidR="009F100F" w:rsidRPr="00DE35E8" w:rsidRDefault="000B53F1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k) „proces rafinowania” oznacza dowolny proces, któremu poddaje się oliwę z oliwek i surową oliwę z wytłoczyn z oliwek, inny niż proces otrzymywania za pomocą procesów fizycznych i klarowanie poprzez przemywanie, sedymentację, wirowanie lub filtrowanie; </w:t>
      </w:r>
    </w:p>
    <w:p w14:paraId="112B1E4D" w14:textId="0B647C76" w:rsidR="007F72E8" w:rsidRPr="00DE35E8" w:rsidRDefault="000B53F1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l) „proces ciągły” oznacza proces zachodzący bez przerw i przejść między poszczególnymi czynnościami, w którym dopuszcza się jednak występowanie podajników lub zbiorników pośrednich umożliwiających zachowanie ciągłości operacji, przy zachowaniu maksymalnego dopuszczalnego czasu pozostawania masy w podajniku lub zbiorniku pośrednim, zawsze w obrębie tego samego zakładu, wynoszącego 12 godzin; </w:t>
      </w:r>
    </w:p>
    <w:p w14:paraId="1D843538" w14:textId="29078067" w:rsidR="00254EF8" w:rsidRPr="00DE35E8" w:rsidRDefault="000B53F1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m) „konsument końcowy” oznacza ostatecznego konsumenta środka spożywczego, który nie wykorzystuje żywności w ramach działalności przedsiębiorstwa spożywczego;</w:t>
      </w:r>
    </w:p>
    <w:p w14:paraId="17AE3914" w14:textId="1FD5B87A" w:rsidR="00254EF8" w:rsidRPr="00DE35E8" w:rsidRDefault="000B53F1" w:rsidP="00B503A1">
      <w:pPr>
        <w:spacing w:before="100" w:beforeAutospacing="1" w:after="100" w:afterAutospacing="1"/>
        <w:jc w:val="both"/>
        <w:rPr>
          <w:rFonts w:ascii="Arial" w:hAnsi="Arial" w:cs="Arial"/>
          <w:bCs/>
        </w:rPr>
      </w:pPr>
      <w:r>
        <w:rPr>
          <w:rFonts w:ascii="Arial" w:hAnsi="Arial"/>
        </w:rPr>
        <w:t>n) „zakład żywienia zbiorowego” oznacza wszelkie zakłady (w tym pojazdy oraz nieruchome lub ruchome punkty sprzedaży), takie jak restauracje, stołówki, szkoły, szpitale i przedsiębiorstwa świadczące usługi gastronomiczne,</w:t>
      </w:r>
      <w:r>
        <w:t xml:space="preserve"> </w:t>
      </w:r>
      <w:r>
        <w:rPr>
          <w:rFonts w:ascii="Arial" w:hAnsi="Arial"/>
        </w:rPr>
        <w:t xml:space="preserve">lub inne ośrodki społeczne, w których w ramach prowadzenia działalności gospodarczej przygotowuje się żywność gotową do spożycia przez konsumenta końcowego. </w:t>
      </w:r>
    </w:p>
    <w:p w14:paraId="5C76E170" w14:textId="3C169CC6" w:rsidR="005135A8" w:rsidRPr="00DE35E8" w:rsidRDefault="00C132A2" w:rsidP="00F46522">
      <w:pPr>
        <w:keepNext/>
        <w:keepLines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  <w:b/>
        </w:rPr>
        <w:lastRenderedPageBreak/>
        <w:t xml:space="preserve">Artykuł 4. </w:t>
      </w:r>
      <w:r>
        <w:rPr>
          <w:rFonts w:ascii="Arial" w:hAnsi="Arial"/>
          <w:i/>
        </w:rPr>
        <w:t>Obowiązki w zakresie identyfikowalności.</w:t>
      </w:r>
      <w:r>
        <w:rPr>
          <w:rFonts w:ascii="Arial" w:hAnsi="Arial"/>
        </w:rPr>
        <w:t xml:space="preserve"> </w:t>
      </w:r>
    </w:p>
    <w:p w14:paraId="754C341E" w14:textId="1EE6A430" w:rsidR="000444CA" w:rsidRPr="00DE35E8" w:rsidRDefault="00936DB3" w:rsidP="00B503A1">
      <w:pPr>
        <w:spacing w:before="360" w:after="3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 Podmioty, w szczególności posiadające instalacje, muszą obowiązkowo posiadać w miejscu, w którym znajdują się produkty, system rejestrów identyfikowalności zgodnie z przepisami zawartymi w załączniku I. </w:t>
      </w:r>
    </w:p>
    <w:p w14:paraId="09C457D0" w14:textId="58FE3649" w:rsidR="00FF489D" w:rsidRPr="00DE35E8" w:rsidRDefault="00066154" w:rsidP="00B503A1">
      <w:pPr>
        <w:spacing w:before="360" w:after="360"/>
        <w:jc w:val="both"/>
        <w:rPr>
          <w:rFonts w:ascii="Arial" w:hAnsi="Arial" w:cs="Arial"/>
        </w:rPr>
      </w:pPr>
      <w:r>
        <w:rPr>
          <w:rFonts w:ascii="Arial" w:hAnsi="Arial"/>
        </w:rPr>
        <w:t>Zapisy w tych rejestrach powinny odbywać się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w czasie rzeczywistym. </w:t>
      </w:r>
    </w:p>
    <w:p w14:paraId="092F6554" w14:textId="11358C79" w:rsidR="009867F2" w:rsidRPr="00DE35E8" w:rsidRDefault="009867F2" w:rsidP="00B503A1">
      <w:pPr>
        <w:spacing w:before="360" w:after="360"/>
        <w:jc w:val="both"/>
        <w:rPr>
          <w:rFonts w:ascii="Arial" w:hAnsi="Arial" w:cs="Arial"/>
          <w:highlight w:val="lightGray"/>
        </w:rPr>
      </w:pPr>
      <w:r>
        <w:rPr>
          <w:rFonts w:ascii="Arial" w:hAnsi="Arial"/>
        </w:rPr>
        <w:t xml:space="preserve">Niezależnie od przepisów powyższych akapitów i bez uszczerbku dla zgodności z przepisami rozporządzenia (WE) nr 178/2002 Parlamentu Europejskiego i Rady z dnia 28 stycznia 2002 r. ustanawiającego ogólne zasady i wymagania prawa żywnościowego, powołującego Europejski Urząd ds. Bezpieczeństwa Żywności oraz ustanawiającego procedury w zakresie bezpieczeństwa żywności, obowiązek prowadzenia rejestrów w odniesieniu do wewnętrznego przemieszczania wymaganych w niniejszej normie nie dotyczy magazynów przeznaczonych wyłącznie do magazynowania i dystrybucji oliwy z oliwek i oliwy z wytłoczyn z oliwek zapakowanej i gotowej do sprzedaży konsumentowi końcowemu i punktów sprzedaży detalicznej. </w:t>
      </w:r>
    </w:p>
    <w:p w14:paraId="0A721231" w14:textId="24C51F98" w:rsidR="006822A7" w:rsidRPr="00DE35E8" w:rsidRDefault="000444CA" w:rsidP="00B503A1">
      <w:pPr>
        <w:spacing w:before="360" w:after="3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2. Podczas transportu oliwy z oliwek i oliwy z wytłoczyn z oliwek towarom musi obowiązkowo towarzyszyć, w każdym przypadku i przez cały czas, dokument zawierający co najmniej dane wymienione w załączniku II do niniejszego dekretu królewskiego i wskazujący jednoznacznie odpowiednią nazwę produktu zgodnie z mającymi zastosowanie przepisami. </w:t>
      </w:r>
    </w:p>
    <w:p w14:paraId="783F92B4" w14:textId="77777777" w:rsidR="006A2822" w:rsidRPr="00DE35E8" w:rsidRDefault="00F3403A" w:rsidP="00B503A1">
      <w:pPr>
        <w:spacing w:before="360" w:after="3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3. W przypadku transportu oliwy z oliwek i oliwy z wytłoczyn z oliwek podmioty muszą obowiązkowo przed dokonaniem przemieszczenia zgłaszać do systemu informatycznego uprawnionego do tego celu przez Ministerstwo Rolnictwa, Rybołówstwa i Gospodarki Żywnościowej dane, o których mowa w ust. 2.</w:t>
      </w:r>
    </w:p>
    <w:p w14:paraId="3498F0AB" w14:textId="1D74F94A" w:rsidR="006A2822" w:rsidRPr="00DE35E8" w:rsidRDefault="006A2822" w:rsidP="00B503A1">
      <w:pPr>
        <w:spacing w:after="240"/>
        <w:jc w:val="both"/>
        <w:rPr>
          <w:rFonts w:ascii="Arial" w:hAnsi="Arial" w:cs="Arial"/>
        </w:rPr>
      </w:pPr>
      <w:r>
        <w:rPr>
          <w:rFonts w:ascii="Arial" w:hAnsi="Arial"/>
          <w:shd w:val="clear" w:color="auto" w:fill="FFFFFF"/>
        </w:rPr>
        <w:t>4.</w:t>
      </w:r>
      <w:r>
        <w:rPr>
          <w:rFonts w:ascii="Arial" w:hAnsi="Arial"/>
        </w:rPr>
        <w:t xml:space="preserve"> Podmioty wymienione w art. 5 ust. 3 muszą obowiązkowo zgłaszać do systemu informatycznego, o którym mowa w poprzednim ustępie, przemieszczanie oliwy z oliwek i oliwy z wytłoczyn z oliwek zachodzące między olejarniami, rafineriami i ekstraktorami znajdującymi się w ich instalacji.</w:t>
      </w:r>
    </w:p>
    <w:p w14:paraId="6A5599D9" w14:textId="69C289D6" w:rsidR="006A2822" w:rsidRPr="00DE35E8" w:rsidRDefault="006A2822" w:rsidP="00B503A1">
      <w:pPr>
        <w:spacing w:before="360" w:after="3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/>
        </w:rPr>
        <w:t>Ponadto muszą co roku przekazywać do właściwego organu kontroli sprawozdanie z rejestrów identyfikowalności, o których mowa w ust. 1, w którym w przejrzysty sposób są przedstawione wejścia, wyjścia i przemieszczenia wewnętrzne dla każdej kategorii oliwy, którą produkują, przechowują lub wprowadzają do obrotu.</w:t>
      </w:r>
    </w:p>
    <w:p w14:paraId="6FD8B5F6" w14:textId="5B2EAD7B" w:rsidR="00130EB2" w:rsidRPr="00DE35E8" w:rsidRDefault="00F1760D" w:rsidP="00B503A1">
      <w:pPr>
        <w:spacing w:before="360" w:after="36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 xml:space="preserve">Artykuł 5. </w:t>
      </w:r>
      <w:r>
        <w:rPr>
          <w:rFonts w:ascii="Arial" w:hAnsi="Arial"/>
          <w:i/>
        </w:rPr>
        <w:t xml:space="preserve">Szczególne obowiązki dotyczące instalacji. </w:t>
      </w:r>
    </w:p>
    <w:p w14:paraId="1C9356CC" w14:textId="14DEA81D" w:rsidR="00F275BA" w:rsidRPr="00DE35E8" w:rsidRDefault="00846C60" w:rsidP="00B503A1">
      <w:pPr>
        <w:spacing w:before="360" w:after="3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 Nowo budowane olejarnie, rafinerie i ekstraktory oliwy z wytłoczyn z oliwek muszą być rozmieszczone w sposób niezależny od siebie. W żadnym przypadku nie mogą być połączone przewodami przesyłowymi. </w:t>
      </w:r>
    </w:p>
    <w:p w14:paraId="46CEEEF6" w14:textId="76D68949" w:rsidR="000E44EE" w:rsidRPr="00DE35E8" w:rsidRDefault="00846C60" w:rsidP="00B503A1">
      <w:pPr>
        <w:spacing w:before="360" w:after="360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>2. Nowo budowane olejarnie, rafinerie i ekstraktory oliwy z wytłoczyn muszą być należycie odizolowane lub odseparowane od wszelkich zakładów lub pomieszczeń niezwiązanych z ich poszczególnymi funkcjami, a w szczególności przeznaczonych do produkcji, przetwórstwa, przechowywania luzem i kondycjonowania tłuszczów zwierzęcych lub roślinnych oraz smarów i olejów przemysłowych lub mineralnych.</w:t>
      </w:r>
    </w:p>
    <w:p w14:paraId="6A54E281" w14:textId="0A6B0DE1" w:rsidR="00240127" w:rsidRPr="00DE35E8" w:rsidRDefault="000E44EE" w:rsidP="00B503A1">
      <w:pPr>
        <w:spacing w:after="240"/>
        <w:jc w:val="both"/>
        <w:rPr>
          <w:rFonts w:ascii="Arial" w:hAnsi="Arial" w:cs="Arial"/>
        </w:rPr>
      </w:pPr>
      <w:r>
        <w:rPr>
          <w:rFonts w:ascii="Arial" w:hAnsi="Arial"/>
        </w:rPr>
        <w:t>3. Z obowiązków określonych w ust. 1 i 2 niniejszego artykułu zwolnione są olejarnie, rafinerie i ekstraktory oliwy z wytłoczyn, które już działały w momencie wejścia w życie niniejszej normy.</w:t>
      </w:r>
    </w:p>
    <w:p w14:paraId="5D720B27" w14:textId="1F5DACCF" w:rsidR="00B53FC3" w:rsidRPr="00DE35E8" w:rsidRDefault="00240127" w:rsidP="00B503A1">
      <w:pPr>
        <w:spacing w:after="240"/>
        <w:jc w:val="both"/>
        <w:rPr>
          <w:rFonts w:ascii="Arial" w:hAnsi="Arial" w:cs="Arial"/>
        </w:rPr>
      </w:pPr>
      <w:r>
        <w:rPr>
          <w:rFonts w:ascii="Arial" w:hAnsi="Arial"/>
        </w:rPr>
        <w:t>4. Olejarnie lub inne zakłady należące do podmiotu z sektora powinny zaklasyfikować zgodnie z nazwami ustanowionymi w przepisach europejskich każdą oliwę wysyłaną z zakładu.</w:t>
      </w:r>
    </w:p>
    <w:p w14:paraId="1DFBB585" w14:textId="67BB3B44" w:rsidR="00C211C4" w:rsidRPr="00DE35E8" w:rsidRDefault="00240127" w:rsidP="00B503A1">
      <w:pPr>
        <w:spacing w:after="240"/>
        <w:jc w:val="both"/>
        <w:rPr>
          <w:rFonts w:ascii="Arial" w:hAnsi="Arial" w:cs="Arial"/>
        </w:rPr>
      </w:pPr>
      <w:r>
        <w:rPr>
          <w:rFonts w:ascii="Arial" w:hAnsi="Arial"/>
        </w:rPr>
        <w:t>5. W rozlewniach oliwy przewody przesyłowe i główne zbiorniki oliwy regulowanej niniejszą normą muszą być odpowiednio przygotowane w celu uniknięcia zanieczyszczeń krzyżowych.</w:t>
      </w:r>
    </w:p>
    <w:p w14:paraId="7BAD271D" w14:textId="34E0E7A0" w:rsidR="00B73E9D" w:rsidRPr="00DE35E8" w:rsidRDefault="00B73E9D" w:rsidP="00B503A1">
      <w:pPr>
        <w:spacing w:before="360" w:after="36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>Artykuł 6</w:t>
      </w:r>
      <w:r>
        <w:rPr>
          <w:rFonts w:ascii="Arial" w:hAnsi="Arial"/>
          <w:i/>
        </w:rPr>
        <w:t>. Szczególne obowiązki dotyczące oliwy.</w:t>
      </w:r>
    </w:p>
    <w:p w14:paraId="10B470BB" w14:textId="2765D6EF" w:rsidR="0057137A" w:rsidRPr="00DE35E8" w:rsidRDefault="00C76FA9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 Oliwa z oliwek i oliwa z wytłoczyn z oliwek objęta zakresem niniejszego przepisu musi oprócz fizykochemicznych i organoleptycznych cech charakterystycznych ustanowionych w normach Unii Europejskiej regulujących tę dziedzinę posiadać cechy charakterystyczne wymienione w załączniku III. </w:t>
      </w:r>
    </w:p>
    <w:p w14:paraId="5EEE7451" w14:textId="72DA2172" w:rsidR="00475590" w:rsidRPr="00DE35E8" w:rsidRDefault="0057137A" w:rsidP="00B503A1">
      <w:pPr>
        <w:spacing w:before="100" w:beforeAutospacing="1" w:after="100" w:afterAutospacing="1"/>
        <w:jc w:val="both"/>
        <w:rPr>
          <w:rFonts w:ascii="Arial" w:hAnsi="Arial" w:cs="Arial"/>
          <w:iCs/>
        </w:rPr>
      </w:pPr>
      <w:r>
        <w:rPr>
          <w:rFonts w:ascii="Arial" w:hAnsi="Arial"/>
        </w:rPr>
        <w:t>Te produkty mogą pochodzić wyłącznie z całego owocu drzewa oliwnego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>(</w:t>
      </w:r>
      <w:r>
        <w:rPr>
          <w:rFonts w:ascii="Arial" w:hAnsi="Arial"/>
          <w:i/>
        </w:rPr>
        <w:t xml:space="preserve">Olea europaea </w:t>
      </w:r>
      <w:r>
        <w:rPr>
          <w:rFonts w:ascii="Arial" w:hAnsi="Arial"/>
        </w:rPr>
        <w:t>L.</w:t>
      </w:r>
      <w:r>
        <w:rPr>
          <w:rFonts w:ascii="Arial" w:hAnsi="Arial"/>
          <w:i/>
        </w:rPr>
        <w:t xml:space="preserve">), </w:t>
      </w:r>
      <w:r>
        <w:rPr>
          <w:rFonts w:ascii="Arial" w:hAnsi="Arial"/>
        </w:rPr>
        <w:t xml:space="preserve">niepoddanego żadnemu procesowi przetwarzania, z wyjątkiem czyszczenia lub niezasadowej kąpieli oliwek. </w:t>
      </w:r>
    </w:p>
    <w:p w14:paraId="1F3A677C" w14:textId="6040F6E4" w:rsidR="00BE4276" w:rsidRPr="00DE35E8" w:rsidRDefault="0057137A" w:rsidP="00B503A1">
      <w:pPr>
        <w:spacing w:before="360" w:beforeAutospacing="1" w:after="36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2. Oliwa lampante musi zostać poddana uprzedniej rafinacji, aby mogła być przeznaczona do spożycia przez ludzi. </w:t>
      </w:r>
    </w:p>
    <w:p w14:paraId="097A7FE6" w14:textId="088927FF" w:rsidR="003335F1" w:rsidRPr="00DE35E8" w:rsidRDefault="008C2F75" w:rsidP="00B503A1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3. Oliwa z oliwek i oliwa z wytłoczyn z oliwek zawsze musi być zabezpieczona przed niekorzystnym działaniem warunków atmosferycznych, które mogą zmieniać jej fizykochemiczne i organoleptyczne cechy charakterystyczne. W związku z tym należy zagwarantować jej przechowywanie, transportowanie i wprowadzanie do obrotu, chroniąc przed światłem i ciepłem. </w:t>
      </w:r>
    </w:p>
    <w:p w14:paraId="2782ECB5" w14:textId="77F209DE" w:rsidR="003335F1" w:rsidRPr="00DE35E8" w:rsidRDefault="003335F1" w:rsidP="00B503A1">
      <w:pPr>
        <w:spacing w:before="360" w:after="36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>Artykuł 7</w:t>
      </w:r>
      <w:r>
        <w:rPr>
          <w:rFonts w:ascii="Arial" w:hAnsi="Arial"/>
          <w:i/>
        </w:rPr>
        <w:t>. Szczególne obowiązki dotyczące opakowań.</w:t>
      </w:r>
    </w:p>
    <w:p w14:paraId="2C06BA6A" w14:textId="30A0B825" w:rsidR="00726853" w:rsidRPr="00DE35E8" w:rsidRDefault="008C2F75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 Opakowania, w których prezentuje się oliwę, muszą być czyste, wykonane z materiałów odpowiednich do kontaktu z żywnością i chroniących oliwę przed procesami utleniania, zgodnie z obowiązującymi przepisami higieniczno-sanitarnymi. W żadnym przypadku wspomniane opakowania nie mogą zmieniać cech zawartości ani przenosić obcych smaków lub zapachów, ani też powodować zmian w produkcie. Zawsze muszą być zabezpieczone zgodnie z art. 6 ust. 3. </w:t>
      </w:r>
    </w:p>
    <w:p w14:paraId="6BC4FA7E" w14:textId="29C05CFB" w:rsidR="003A3F5F" w:rsidRPr="00DE35E8" w:rsidRDefault="008C2F75" w:rsidP="00F46522">
      <w:pPr>
        <w:keepNext/>
        <w:keepLines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2. Opakowania oliwy z oliwek i oliwy z wytłoczyn z oliwek przeznaczone do sprzedaży lub przekazania konsumentowi końcowemu, łącznie z opakowaniami przekazywanymi przez tłocznie do producentów na potrzeby konsumpcji, a także dostarczane do zakładów żywienia zbiorowego, muszą być wyposażone w zamknięcie nienadające się do ponownego użycia i opatrzone etykietą zgodnie z obowiązującymi przepisami. </w:t>
      </w:r>
    </w:p>
    <w:p w14:paraId="0A2AD994" w14:textId="02AC4A07" w:rsidR="0035653C" w:rsidRPr="00DE35E8" w:rsidRDefault="00BA5254" w:rsidP="00B503A1">
      <w:pPr>
        <w:spacing w:after="240"/>
        <w:jc w:val="both"/>
        <w:rPr>
          <w:rFonts w:ascii="Arial" w:hAnsi="Arial" w:cs="Arial"/>
        </w:rPr>
      </w:pPr>
      <w:r>
        <w:rPr>
          <w:rFonts w:ascii="Arial" w:hAnsi="Arial"/>
        </w:rPr>
        <w:t>3. Opakowania przeznaczone do sprzedaży konsumentowi końcowemu, łącznie z opakowaniami dostarczanymi przez olejarnie do producentów na potrzeby konsumpcji, mają pojemność wynoszącą maksymalnie pięć litrów. Natomiast oliwę dostarczaną do zakładów żywienia zbiorowego można wprowadzać do obrotu w opakowaniach o pojemności wynoszącej dziesięć, dwadzieścia, dwadzieścia pięć lub pięćdziesiąt litrów.</w:t>
      </w:r>
    </w:p>
    <w:p w14:paraId="55C9795C" w14:textId="20FCBB59" w:rsidR="00B56228" w:rsidRPr="00DE35E8" w:rsidRDefault="00BA5254" w:rsidP="00B503A1">
      <w:pPr>
        <w:pStyle w:val="Default"/>
        <w:spacing w:before="160"/>
        <w:jc w:val="both"/>
        <w:rPr>
          <w:color w:val="auto"/>
        </w:rPr>
      </w:pPr>
      <w:r>
        <w:rPr>
          <w:color w:val="auto"/>
        </w:rPr>
        <w:t>4. Opakowania udostępniane konsumentom końcowym w zakładach żywienia zbiorowego posiadają zabezpieczenie uniemożliwiające ich ponowne użycie po zużyciu pierwotnej zawartości.</w:t>
      </w:r>
    </w:p>
    <w:p w14:paraId="46F158CC" w14:textId="77777777" w:rsidR="00BA5254" w:rsidRPr="00DE35E8" w:rsidRDefault="00BA5254" w:rsidP="00B503A1">
      <w:pPr>
        <w:pStyle w:val="Default"/>
        <w:spacing w:before="160"/>
        <w:ind w:firstLine="40"/>
        <w:jc w:val="both"/>
        <w:rPr>
          <w:color w:val="auto"/>
        </w:rPr>
      </w:pPr>
    </w:p>
    <w:p w14:paraId="4F00C5D9" w14:textId="1AAC1582" w:rsidR="00EB1B12" w:rsidRPr="00DE35E8" w:rsidRDefault="00717999" w:rsidP="00B503A1">
      <w:pPr>
        <w:pStyle w:val="Default"/>
        <w:spacing w:before="160"/>
        <w:jc w:val="both"/>
        <w:rPr>
          <w:i/>
          <w:color w:val="auto"/>
        </w:rPr>
      </w:pPr>
      <w:r>
        <w:rPr>
          <w:b/>
          <w:color w:val="auto"/>
        </w:rPr>
        <w:t>Artykuł 8.</w:t>
      </w:r>
      <w:r>
        <w:rPr>
          <w:b/>
          <w:i/>
          <w:color w:val="auto"/>
        </w:rPr>
        <w:t xml:space="preserve"> </w:t>
      </w:r>
      <w:r>
        <w:rPr>
          <w:i/>
          <w:color w:val="auto"/>
        </w:rPr>
        <w:t>Praktyki zabronione.</w:t>
      </w:r>
    </w:p>
    <w:p w14:paraId="1F06941B" w14:textId="56C1DD57" w:rsidR="008C2F75" w:rsidRPr="00DE35E8" w:rsidRDefault="00AF1F55" w:rsidP="00B503A1">
      <w:pPr>
        <w:keepNext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1. Zabrania się:</w:t>
      </w:r>
    </w:p>
    <w:p w14:paraId="4ACC8937" w14:textId="15632DE9" w:rsidR="00EB1B12" w:rsidRPr="00DE35E8" w:rsidRDefault="008C2F75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a) produkowania w celu wprowadzania do obrotu na rynku krajowym mieszanin oliwy z oliwek i oliwy z wytłoczyn z oliwek z innymi olejami lub tłuszczami pochodzenia roślinnego. Wspomnianych mieszanin nie można wprowadzać do obrotu pod żadną z nazw środka spożywczego, o których mowa w rozporządzeniu Parlamentu Europejskiego i Rady (UE) nr 1169/2011 z dnia 25 października 2011 r. w sprawie przekazywania konsumentom informacji na temat żywności; </w:t>
      </w:r>
    </w:p>
    <w:p w14:paraId="24AAF4C2" w14:textId="695BA2C5" w:rsidR="00AF1F55" w:rsidRPr="00DE35E8" w:rsidRDefault="008C2F75" w:rsidP="00B503A1">
      <w:pPr>
        <w:jc w:val="both"/>
        <w:rPr>
          <w:rFonts w:ascii="Arial" w:hAnsi="Arial" w:cs="Arial"/>
        </w:rPr>
      </w:pPr>
      <w:r>
        <w:rPr>
          <w:rFonts w:ascii="Arial" w:hAnsi="Arial"/>
        </w:rPr>
        <w:t>b) używania określenia „z pierwszego tłoczenia” (hiszp. „virgen”) lub „najwyższej jakości z pierwszego tłoczenia” (hiszp. „virgen extra”) na etykietach środków spożywczych o wyglądzie oleistym, które można pomylić z oliwami z oliwek objętymi niniejszą normą, takich jak oleje, dodatki do potraw, przyprawy i produkty podobne. Zakaz ten nie dotyczy wykazu składników danego produktu;</w:t>
      </w:r>
    </w:p>
    <w:p w14:paraId="45D15D36" w14:textId="77777777" w:rsidR="009C125E" w:rsidRPr="00DE35E8" w:rsidRDefault="009C125E" w:rsidP="00B503A1">
      <w:pPr>
        <w:jc w:val="both"/>
        <w:rPr>
          <w:rFonts w:ascii="Arial" w:hAnsi="Arial" w:cs="Arial"/>
        </w:rPr>
      </w:pPr>
    </w:p>
    <w:p w14:paraId="14A04D6D" w14:textId="4482FBC4" w:rsidR="009C125E" w:rsidRPr="00DE35E8" w:rsidDel="00B56228" w:rsidRDefault="008C2F75" w:rsidP="00B503A1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c) wprowadzania do obrotu za pomocą kanału handlu detalicznego oliwy z oliwek najwyższej jakości z pierwszego tłoczenia w opakowaniach z tworzywa sztucznego; </w:t>
      </w:r>
    </w:p>
    <w:p w14:paraId="2732D679" w14:textId="52D1E80B" w:rsidR="00BF4307" w:rsidRPr="00DE35E8" w:rsidRDefault="008C2F75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d) przelewania oliwy z oliwek lub oliwy z wytłoczyn z oliwek lub ponownego napełniania pojemników lub opakowań przeznaczonych dla konsumenta końcowego w zakładach żywienia zbiorowego; </w:t>
      </w:r>
    </w:p>
    <w:p w14:paraId="31ED4097" w14:textId="3B96FFF4" w:rsidR="00BF4307" w:rsidRPr="00DE35E8" w:rsidRDefault="008C2F75" w:rsidP="00B503A1">
      <w:pPr>
        <w:spacing w:after="24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e) zmiany klasyfikacji uprzednio poddanych klasyfikacji mieszanin oliwy z oliwek z pierwszego tłoczenia na wyższą kategorię niż najniższa kategoria oliwy użytej do przygotowania mieszaniny; </w:t>
      </w:r>
    </w:p>
    <w:p w14:paraId="611AC074" w14:textId="0B18B814" w:rsidR="006636F3" w:rsidRPr="00DE35E8" w:rsidRDefault="00D734B4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f) posiadania w olejarniach, magazynach i rozlewniach oliwy z oliwek z pierwszego tłoczenia instalacji i specjalnych środków technicznych służących do dezodoryzacji lub innego etapu lub innej formy rafinowania oliwy;</w:t>
      </w:r>
    </w:p>
    <w:p w14:paraId="714C49F8" w14:textId="3C6858FF" w:rsidR="00BF4307" w:rsidRPr="00DE35E8" w:rsidRDefault="00D734B4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g) odbierania przez olejarnie lub przetwarzania w nich wytłoczyn pochodzących z innych olejarni lub oliwek lub ich pozostałości z zakładów przetwórstwa, poddanych procesom niedozwolonym w produkcji oliwy z oliwek z pierwszego tłoczenia lub oliwy na jej bazie, ani jakiegokolwiek surowca używanego do otrzymania oleju, innego niż całe surowe owoce drzewa oliwnego; </w:t>
      </w:r>
    </w:p>
    <w:p w14:paraId="03D24DD3" w14:textId="3016EF3F" w:rsidR="00032401" w:rsidRPr="00DE35E8" w:rsidRDefault="00D734B4" w:rsidP="00B503A1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/>
        </w:rPr>
        <w:t>h) składowania, przechowywania i transportu oliwy z oliwek i oliwy z wytłoczyn z oliwek nieposiadających odpowiedniego oznakowania z właściwą kategorią produktu, z wyjątkiem olejarni, w przypadku których klasyfikację nadaje się przed wysyłką oliwy.</w:t>
      </w:r>
      <w:r>
        <w:rPr>
          <w:rFonts w:ascii="Arial" w:hAnsi="Arial"/>
          <w:b/>
        </w:rPr>
        <w:t xml:space="preserve"> </w:t>
      </w:r>
    </w:p>
    <w:p w14:paraId="2A835608" w14:textId="634DEB0E" w:rsidR="00717999" w:rsidRPr="00DE35E8" w:rsidRDefault="00D734B4" w:rsidP="00B503A1">
      <w:pPr>
        <w:keepNext/>
        <w:spacing w:after="360"/>
        <w:jc w:val="both"/>
        <w:rPr>
          <w:rFonts w:ascii="Arial" w:hAnsi="Arial" w:cs="Arial"/>
        </w:rPr>
      </w:pPr>
      <w:r>
        <w:rPr>
          <w:rFonts w:ascii="Arial" w:hAnsi="Arial"/>
        </w:rPr>
        <w:t>2. W instalacjach zdefiniowanych w art. 3 przeznaczonych do otrzymywania oliwy z oliwek i oliwy z wytłoczyn z oliwek zakazuje się:</w:t>
      </w:r>
    </w:p>
    <w:p w14:paraId="0B8837F1" w14:textId="34E1F9E6" w:rsidR="00717999" w:rsidRPr="00DE35E8" w:rsidRDefault="00717999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a) zasadowej kąpieli oliwek w olejarniach; </w:t>
      </w:r>
    </w:p>
    <w:p w14:paraId="36AC27DB" w14:textId="4E1B8977" w:rsidR="00720E11" w:rsidRPr="00DE35E8" w:rsidRDefault="00717999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b) ekstrakcji lub rafinacji oliwy z oliwek i oliwy z wytłoczyn z oliwek za pomocą procedur, rozpuszczalników lub dodatków technologicznych innych niż dozwolone, a także dodawania olejów przemysłowych, mineralnych, estryfikowanych lub syntetycznych;</w:t>
      </w:r>
    </w:p>
    <w:p w14:paraId="5DD6466F" w14:textId="2BDC9653" w:rsidR="00717999" w:rsidRPr="00DE35E8" w:rsidRDefault="00717999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c) przeprowadzania procesów estryfikacji lub innych praktyk, które mogą zmienić strukturę kwasów tłuszczowych oliwy;</w:t>
      </w:r>
    </w:p>
    <w:p w14:paraId="00590405" w14:textId="33AD29C3" w:rsidR="00717999" w:rsidRPr="00DE35E8" w:rsidRDefault="00351F40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d) poddawania oliwy działaniu powietrza, tlenu, ozonu lub innych substancji chemicznych o działaniu utleniającym z wyjątkiem czynności koniecznych przy pompowaniu podczas przewożenia, zobojętniania opakowań i zbiorników oraz homogenizacji za pomocą azotu lub innych gazów obojętnych, bez uszczerbku dla przepisów Unii Europejskiej;</w:t>
      </w:r>
    </w:p>
    <w:p w14:paraId="0FF80538" w14:textId="7A3E1D13" w:rsidR="001F4E6F" w:rsidRPr="00DE35E8" w:rsidRDefault="00351F40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e) posiadania w instalacjach przeznaczonych do ekstrakcji, rafinowania, pakowania lub przechowywania luzem oliwy z oliwek i oliwy z wytłoczyn z oliwek gliceryny, tłuszczów lub olejów zwierzęcych, roślinnych, przemysłowych lub syntetycznych i innych substancji niedozwolonych</w:t>
      </w:r>
      <w:r>
        <w:rPr>
          <w:rFonts w:ascii="Arial" w:hAnsi="Arial"/>
          <w:sz w:val="28"/>
        </w:rPr>
        <w:t xml:space="preserve">, </w:t>
      </w:r>
      <w:r>
        <w:rPr>
          <w:rFonts w:ascii="Arial" w:hAnsi="Arial"/>
        </w:rPr>
        <w:t xml:space="preserve">których stosowanie nie jest dozwolone ani uzasadnione, lub manipulowania nimi; </w:t>
      </w:r>
    </w:p>
    <w:p w14:paraId="4D4D20E0" w14:textId="6EA35953" w:rsidR="00FD5872" w:rsidRPr="00DE35E8" w:rsidRDefault="00FD5872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f) w olejarniach – ponownego odwirowania w procesie nieciągłym masy pochodzącej z systemów do uzyskiwania oliwy z oliwek z pierwszego tłoczenia, aby nie dopuścić do jej fermentacji. Ponowne odwirowanie masy pochodzącej z systemów do uzyskiwania oliwy z oliwek z pierwszego tłoczenia można stosować jedynie po jej miksowaniu w temperaturze kontrolowanej, w procesie ciągłym. W żadnym wypadku nie zezwala się na ponowne odwirowanie masy lub wytłoczyn pochodzących ze zbiorników do przechowywania innych niż opisane w art. 3 ust. 2 lit. l). </w:t>
      </w:r>
    </w:p>
    <w:p w14:paraId="11933B30" w14:textId="3F3F5A51" w:rsidR="00B573B8" w:rsidRPr="00DE35E8" w:rsidRDefault="00B573B8" w:rsidP="00F46522">
      <w:pPr>
        <w:keepNext/>
        <w:keepLines/>
        <w:spacing w:before="360" w:after="36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lastRenderedPageBreak/>
        <w:t>Artykuł 9.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i/>
        </w:rPr>
        <w:t>Kontrola urzędowa, koordynacja i system sankcji.</w:t>
      </w:r>
    </w:p>
    <w:p w14:paraId="413DF876" w14:textId="7EC39A9F" w:rsidR="004F4E66" w:rsidRPr="00F46522" w:rsidRDefault="00A27CF4" w:rsidP="00F46522">
      <w:pPr>
        <w:keepNext/>
        <w:keepLines/>
        <w:spacing w:before="100" w:beforeAutospacing="1" w:after="100" w:afterAutospacing="1"/>
        <w:jc w:val="both"/>
        <w:rPr>
          <w:rFonts w:ascii="Arial" w:hAnsi="Arial" w:cs="Arial"/>
          <w:spacing w:val="-4"/>
        </w:rPr>
      </w:pPr>
      <w:r w:rsidRPr="00F46522">
        <w:rPr>
          <w:rFonts w:ascii="Arial" w:hAnsi="Arial"/>
          <w:spacing w:val="-4"/>
        </w:rPr>
        <w:t xml:space="preserve">1. Właściwe organy kontroli urzędowej przeprowadzają co najmniej jedną kontrolę zgodności na każdy wprowadzony do obrotu tysiąc ton oliwy z oliwek i oliwy z wytłoczyn z oliwek w celu sprawdzenia jej cech jakości zgodnie z przepisami rozporządzenia Komisji (EWG) nr 2568/91 z dnia 11 lipca 1991 r. w sprawie właściwości oliwy z oliwek i oliwy z wytłoczyn oliwek oraz w sprawie odpowiednich metod analizy. </w:t>
      </w:r>
    </w:p>
    <w:p w14:paraId="5A0CC751" w14:textId="0139CAA0" w:rsidR="00A27CF4" w:rsidRPr="00DE35E8" w:rsidRDefault="00A27CF4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2. Do pobierania próbek i analizy stosuje się metody analizy określone dla każdego produktu w przepisach Unii Europejskiej lub, w przypadku ich braku, w przepisach krajowych lub przepisach wspólnoty autonomicznej.</w:t>
      </w:r>
    </w:p>
    <w:p w14:paraId="374757DA" w14:textId="2ACBCB79" w:rsidR="00A27CF4" w:rsidRPr="00DE35E8" w:rsidRDefault="00A27CF4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3. Sprawdzanie zgodności z kategorią zadeklarowaną na etykiecie oliwy z oliwek z pierwszego tłoczenia odbywa się w laboratoriach urzędowych zatwierdzonych do tego celu i dotyczy charakterystycznych cech fizykochemicznych w powiązaniu z cechami organoleptycznymi oliwy, ocenianymi przez zespoły osób oceniających upoważnionych do kontroli urzędowej zgodnie z przepisami dekretu królewskiego nr 227/2008 z dnia 15 lutego w sprawie ustanowienia podstawowych norm dotyczących zespołów osób oceniających jakość oliwy z oliwek z pierwszego tłoczenia. </w:t>
      </w:r>
    </w:p>
    <w:p w14:paraId="3A16849D" w14:textId="14DD9724" w:rsidR="00FC72C5" w:rsidRPr="00DE35E8" w:rsidRDefault="00B53FC3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4. Bez uszczerbku dla kontroli ustanowionych w przepisach Unii Europejskiej, o których mowa w ust. 1, Ministerstwo Rolnictwa, Rybołówstwa i Gospodarki Żywnościowej zajmuje się koordynacją planu kontroli szczegółowych w celu weryfikacji identyfikowalności w sektorze oliwy z oliwek i oliwy z wytłoczyn z oliwek, o którym mowa w art. 4. W tym planie należy uwzględnić kontrole szczegółowe, o których mowa w art. 5 ust. 3. </w:t>
      </w:r>
    </w:p>
    <w:p w14:paraId="0CEE0216" w14:textId="0046C74F" w:rsidR="00991F21" w:rsidRPr="00DE35E8" w:rsidRDefault="00F14BA3" w:rsidP="00B503A1">
      <w:pPr>
        <w:pStyle w:val="Default"/>
        <w:spacing w:after="240"/>
        <w:jc w:val="both"/>
        <w:rPr>
          <w:color w:val="auto"/>
        </w:rPr>
      </w:pPr>
      <w:r>
        <w:rPr>
          <w:color w:val="auto"/>
        </w:rPr>
        <w:t>5. Informacje o wynikach kontroli zgodności przeprowadzonych zgodnie z ust. 1 przekazuje się do dnia 1 maja każdego roku w formacie ustanowionym przez Ministerstwo Rolnictwa, Rybołówstwa i Gospodarki Żywnościowej.</w:t>
      </w:r>
    </w:p>
    <w:p w14:paraId="351F7865" w14:textId="3658DAA5" w:rsidR="00991F21" w:rsidRPr="00DE35E8" w:rsidRDefault="00F14BA3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6. Wszystkie zebrane informacje przedstawia się w sprawozdaniu rocznym na temat kontroli urzędowych publikowanym przez administrację generalną państwa na wniosek Ministerstwa Rolnictwa, Rybołówstwa i Gospodarki Żywnościowej. </w:t>
      </w:r>
    </w:p>
    <w:p w14:paraId="29C3D5B3" w14:textId="04798B97" w:rsidR="00F14BA3" w:rsidRPr="00DE35E8" w:rsidRDefault="00F14BA3" w:rsidP="00B503A1">
      <w:pPr>
        <w:pStyle w:val="Default"/>
        <w:spacing w:after="240"/>
        <w:jc w:val="both"/>
        <w:rPr>
          <w:color w:val="auto"/>
        </w:rPr>
      </w:pPr>
      <w:r>
        <w:rPr>
          <w:color w:val="auto"/>
        </w:rPr>
        <w:t>7. Plan kontroli szczegółowych należy poddać pod dyskusję w ramach Komitetu Koordynacyjnego ds. Jakości Żywności. Musi on zawierać co najmniej plan działań kontrolnych oraz protokół organizacji kampanii inspekcyjnych, z uwzględnieniem wyników kontroli zgodności przeprowadzonych we wspólnotach autonomicznych, a także danych zawartych w systemie informacji o rynkach olejów podlegającym Ministerstwu Rolnictwa, Rybołówstwa i Gospodarki Żywnościowej. Plan poddaje się corocznemu przeglądowi w ramach Komitetu ds. Koordynacji Jakości Żywności.</w:t>
      </w:r>
    </w:p>
    <w:p w14:paraId="2DAC617D" w14:textId="78604F4C" w:rsidR="00A31337" w:rsidRPr="00DE35E8" w:rsidRDefault="000E44EE" w:rsidP="00B503A1">
      <w:pPr>
        <w:jc w:val="both"/>
        <w:rPr>
          <w:rFonts w:ascii="Arial" w:hAnsi="Arial" w:cs="Arial"/>
        </w:rPr>
      </w:pPr>
      <w:r>
        <w:rPr>
          <w:rFonts w:ascii="Arial" w:hAnsi="Arial"/>
        </w:rPr>
        <w:t>8. Sankcja nakładane w wyniku przeprowadzonych kontroli muszą być skuteczne, proporcjonalne i odstraszające.</w:t>
      </w:r>
    </w:p>
    <w:p w14:paraId="0B018C2C" w14:textId="1B7A0391" w:rsidR="00CA039D" w:rsidRPr="00DE35E8" w:rsidRDefault="00033181" w:rsidP="00F46522">
      <w:pPr>
        <w:pStyle w:val="sangrado"/>
        <w:keepNext/>
        <w:keepLines/>
        <w:jc w:val="both"/>
        <w:rPr>
          <w:rFonts w:ascii="Arial" w:hAnsi="Arial" w:cs="Arial"/>
        </w:rPr>
      </w:pPr>
      <w:r>
        <w:rPr>
          <w:rFonts w:ascii="Arial" w:hAnsi="Arial"/>
          <w:b/>
        </w:rPr>
        <w:lastRenderedPageBreak/>
        <w:t xml:space="preserve">Pierwszy przepis dodatkowy. </w:t>
      </w:r>
      <w:r>
        <w:rPr>
          <w:rFonts w:ascii="Arial" w:hAnsi="Arial"/>
          <w:i/>
        </w:rPr>
        <w:t>Klauzula wzajemnego uznawania.</w:t>
      </w:r>
      <w:r>
        <w:rPr>
          <w:rFonts w:ascii="Arial" w:hAnsi="Arial"/>
        </w:rPr>
        <w:t xml:space="preserve"> </w:t>
      </w:r>
    </w:p>
    <w:p w14:paraId="72CD943F" w14:textId="00DA64AE" w:rsidR="00331B68" w:rsidRPr="00DE35E8" w:rsidRDefault="00331B68" w:rsidP="00F46522">
      <w:pPr>
        <w:keepNext/>
        <w:keepLines/>
        <w:spacing w:before="360" w:after="360"/>
        <w:jc w:val="both"/>
        <w:rPr>
          <w:rFonts w:ascii="Arial" w:hAnsi="Arial" w:cs="Arial"/>
        </w:rPr>
      </w:pPr>
      <w:r>
        <w:rPr>
          <w:rFonts w:ascii="Arial" w:hAnsi="Arial"/>
        </w:rPr>
        <w:t>Towary wprowadzone legalnie do obrotu w innym państwie członkowskim Unii Europejskiej lub w Turcji lub pochodzące z państwa należącego do Europejskiego Stowarzyszenia Wolnego Handlu i będącego stroną Porozumienia o Europejskim Obszarze Gospodarczym uważa się za zgodne z niniejszym dekretem królewskim. Stosowanie niniejszego dekretu królewskiego podlega rozporządzeniu Parlamentu Europejskiego i Rady (UE) 2019/515 z dnia 19 marca 2019 r. w sprawie wzajemnego uznawania towarów zgodnie z prawem wprowadzonych do obrotu w innym państwie członkowskim oraz uchylającemu rozporządzenie (WE) nr 764/2008.</w:t>
      </w:r>
    </w:p>
    <w:p w14:paraId="11A480EE" w14:textId="0586197C" w:rsidR="00D734B4" w:rsidRPr="00DE35E8" w:rsidRDefault="00D734B4" w:rsidP="00B503A1">
      <w:pPr>
        <w:spacing w:before="360" w:after="36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/>
          <w:b/>
        </w:rPr>
        <w:t xml:space="preserve">Drugi przepis dodatkowy. </w:t>
      </w:r>
      <w:r>
        <w:rPr>
          <w:rFonts w:ascii="Arial" w:hAnsi="Arial"/>
          <w:i/>
        </w:rPr>
        <w:t>System informatyczny.</w:t>
      </w:r>
    </w:p>
    <w:p w14:paraId="1C1C6B38" w14:textId="29BDE441" w:rsidR="003011C3" w:rsidRPr="00DE35E8" w:rsidRDefault="00D734B4" w:rsidP="00B503A1">
      <w:pPr>
        <w:spacing w:before="360" w:after="360"/>
        <w:jc w:val="both"/>
        <w:rPr>
          <w:rFonts w:ascii="Arial" w:hAnsi="Arial" w:cs="Arial"/>
          <w:bCs/>
        </w:rPr>
      </w:pPr>
      <w:r>
        <w:rPr>
          <w:rFonts w:ascii="Arial" w:hAnsi="Arial"/>
        </w:rPr>
        <w:t xml:space="preserve">Aby ułatwić podmiotom wypełnianie obowiązku zgłaszania wprowadzonego w art. 4 ust. 3, a właściwym organom dostęp do informacji i kontroli oliwy z oliwek i oliwy z wytłoczyn z oliwek, Ministerstwo Rolnictwa, Rybołówstwa i Gospodarki Żywnościowej opracowuje oprogramowanie komputerowe. </w:t>
      </w:r>
    </w:p>
    <w:p w14:paraId="7BC1536B" w14:textId="47607053" w:rsidR="00D734B4" w:rsidRPr="00DE35E8" w:rsidRDefault="00190979" w:rsidP="00B503A1">
      <w:pPr>
        <w:spacing w:before="360" w:after="360"/>
        <w:jc w:val="both"/>
        <w:rPr>
          <w:rFonts w:ascii="Arial" w:hAnsi="Arial" w:cs="Arial"/>
          <w:b/>
        </w:rPr>
      </w:pPr>
      <w:r>
        <w:rPr>
          <w:rFonts w:ascii="Arial" w:hAnsi="Arial"/>
        </w:rPr>
        <w:t>Dostęp do tego systemu mają dostęp podmioty odpowiedzialne za dokonane zgłoszenie, właściwe organy do celów kontroli, a także państwowe organy egzekwowania prawa.</w:t>
      </w:r>
    </w:p>
    <w:p w14:paraId="3A8FCD87" w14:textId="576C551D" w:rsidR="00846C60" w:rsidRPr="00DE35E8" w:rsidRDefault="00846C60" w:rsidP="00B503A1">
      <w:pPr>
        <w:spacing w:before="360" w:after="36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 xml:space="preserve">Przepis przejściowy. </w:t>
      </w:r>
      <w:r>
        <w:rPr>
          <w:rFonts w:ascii="Arial" w:hAnsi="Arial"/>
          <w:i/>
        </w:rPr>
        <w:t>Okres przejściowy.</w:t>
      </w:r>
    </w:p>
    <w:p w14:paraId="3EAAB453" w14:textId="1E1247B8" w:rsidR="007E5AA1" w:rsidRPr="00DE35E8" w:rsidRDefault="007E5AA1" w:rsidP="00B503A1">
      <w:pPr>
        <w:spacing w:before="360" w:after="3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Przepisy art. 4 ust. 3 nie są obowiązkowe do czasu wdrożenia systemu informatycznego, o którym mowa. </w:t>
      </w:r>
    </w:p>
    <w:p w14:paraId="77B08C6A" w14:textId="2EEB1F8F" w:rsidR="0051003B" w:rsidRPr="00DE35E8" w:rsidRDefault="001E411F" w:rsidP="00B503A1">
      <w:pPr>
        <w:spacing w:before="360" w:after="3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Przepisy art. 8 ust. 1 lit. c) mają zastosowanie od dnia 1 stycznia 2024 r. w odniesieniu do opakowań o pojemności do jednego litra, a od dnia 1 stycznia 2025 r. do pozostałych opakowań. </w:t>
      </w:r>
    </w:p>
    <w:p w14:paraId="0471D644" w14:textId="77777777" w:rsidR="00BD3ECA" w:rsidRPr="00DE35E8" w:rsidRDefault="00BD3ECA" w:rsidP="00B503A1">
      <w:pPr>
        <w:pStyle w:val="Pa10"/>
        <w:spacing w:before="100" w:beforeAutospacing="1" w:after="100" w:afterAutospacing="1" w:line="240" w:lineRule="auto"/>
        <w:jc w:val="both"/>
        <w:rPr>
          <w:rFonts w:cs="Arial"/>
          <w:b/>
        </w:rPr>
      </w:pPr>
      <w:r>
        <w:rPr>
          <w:b/>
        </w:rPr>
        <w:t>Przepis uchylający.</w:t>
      </w:r>
      <w:r>
        <w:t xml:space="preserve"> </w:t>
      </w:r>
      <w:r>
        <w:rPr>
          <w:i/>
        </w:rPr>
        <w:t>Uchylenie przepisów.</w:t>
      </w:r>
    </w:p>
    <w:p w14:paraId="0B4DC85E" w14:textId="47883455" w:rsidR="00BD3ECA" w:rsidRPr="00DE35E8" w:rsidRDefault="00107E79" w:rsidP="00B503A1">
      <w:pPr>
        <w:pStyle w:val="Default"/>
        <w:keepNext/>
        <w:spacing w:before="100" w:beforeAutospacing="1" w:after="100" w:afterAutospacing="1"/>
        <w:jc w:val="both"/>
        <w:rPr>
          <w:color w:val="auto"/>
        </w:rPr>
      </w:pPr>
      <w:r>
        <w:rPr>
          <w:color w:val="auto"/>
        </w:rPr>
        <w:t>Uchyla się wszelkie przepisy o randze równej lub niższej, które są sprzeczne z przepisami niniejszego dekretu królewskiego, w szczególności:</w:t>
      </w:r>
    </w:p>
    <w:p w14:paraId="420C7E36" w14:textId="637B8EBE" w:rsidR="00BD3ECA" w:rsidRPr="00DE35E8" w:rsidRDefault="00F07691" w:rsidP="00B503A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/>
        </w:rPr>
        <w:t>a) dekret królewski nr 3000/1979 z dnia 7 grudnia w sprawie regulacji procesów przemysłowych w sektorze oliwy z oliwek;</w:t>
      </w:r>
    </w:p>
    <w:p w14:paraId="4DFBE278" w14:textId="6B97D74A" w:rsidR="00B55D8E" w:rsidRPr="00DE35E8" w:rsidRDefault="00F07691" w:rsidP="00B503A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b) dekret królewski nr 308/1983 z dnia 25 stycznia w sprawie przyjęcia przepisów techniczno-sanitarnych dotyczących roślinnych olejów spożywczych w części dotyczącej oliwy z oliwek i oliwy z wytłoczyn z oliwek; </w:t>
      </w:r>
    </w:p>
    <w:p w14:paraId="7452C311" w14:textId="55A1BD1C" w:rsidR="00BD3ECA" w:rsidRPr="00DE35E8" w:rsidRDefault="00F07691" w:rsidP="00B503A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/>
        </w:rPr>
        <w:t>c) dekret królewski nr 259/1985 z dnia 20 lutego w sprawie uzupełnienia przepisów techniczno-sanitarnych dotyczących roślinnych olejów spożywczych o stosowanie ustalania zawartości erytrodiolu w oliwie z oliwek;</w:t>
      </w:r>
    </w:p>
    <w:p w14:paraId="26126122" w14:textId="3FF6F549" w:rsidR="00BD3ECA" w:rsidRPr="00DE35E8" w:rsidRDefault="00F07691" w:rsidP="00B503A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/>
        </w:rPr>
        <w:t>d) dekret królewski nr 2551/1986 z dnia 21 listopada w sprawie regulacji produkcji i wprowadzania do obrotu rafinowanej oliwy z wytłoczyn z oliwek i oliwy z oliwek;</w:t>
      </w:r>
    </w:p>
    <w:p w14:paraId="2A2515DE" w14:textId="5BB4081A" w:rsidR="00BD3ECA" w:rsidRPr="00DE35E8" w:rsidRDefault="00F07691" w:rsidP="00B503A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</w:rPr>
      </w:pPr>
      <w:r>
        <w:rPr>
          <w:rFonts w:ascii="Arial" w:hAnsi="Arial"/>
        </w:rPr>
        <w:lastRenderedPageBreak/>
        <w:t>e) dekret królewski nr 538/1993 z dnia 12 kwietnia w sprawie zmiany określonych przepisów dotyczących wymogów przemysłowych w produkcji i przemieszczaniu jadalnych olejów roślinnych i handlu nimi;</w:t>
      </w:r>
    </w:p>
    <w:p w14:paraId="359C9A53" w14:textId="4DE1DBE4" w:rsidR="00E52BD4" w:rsidRPr="00DE35E8" w:rsidRDefault="00F07691" w:rsidP="00B503A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/>
        </w:rPr>
        <w:t>f) dekret królewski nr 1431/2003 z dnia 21 listopada w sprawie ustanowienia określonych zasad wprowadzania do obrotu w sektorze oliwy z oliwek i oliwy z wytłoczyn z oliwek;</w:t>
      </w:r>
    </w:p>
    <w:p w14:paraId="7274F84D" w14:textId="164614B6" w:rsidR="00BD3ECA" w:rsidRPr="00DE35E8" w:rsidRDefault="00F07691" w:rsidP="00B503A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/>
        </w:rPr>
        <w:t>g) rozporządzenie z dnia 12 grudnia 1984 r. w sprawie dostarczania oliwy z oliwek z pierwszego tłoczenia przez olejarnie do producentów na potrzeby konsumpcji własnej;</w:t>
      </w:r>
    </w:p>
    <w:p w14:paraId="0C668B1A" w14:textId="540A245E" w:rsidR="00BD3ECA" w:rsidRPr="00DE35E8" w:rsidRDefault="00F07691" w:rsidP="00B503A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/>
        </w:rPr>
        <w:t>h) rozporządzenie nr APA/1343/2004 z dnia 7 maja w sprawie uregulowania ogólnego rejestru określonych zakładów upoważnionych do wprowadzania do obrotu oliwy z oliwek.</w:t>
      </w:r>
    </w:p>
    <w:p w14:paraId="0C0394C1" w14:textId="77777777" w:rsidR="00BD3ECA" w:rsidRPr="00DE35E8" w:rsidRDefault="00BD3ECA" w:rsidP="00B503A1">
      <w:pPr>
        <w:pStyle w:val="Pa8"/>
        <w:spacing w:before="100" w:beforeAutospacing="1" w:after="100" w:afterAutospacing="1" w:line="240" w:lineRule="auto"/>
        <w:jc w:val="both"/>
        <w:rPr>
          <w:rFonts w:cs="Arial"/>
          <w:b/>
        </w:rPr>
      </w:pPr>
      <w:r>
        <w:rPr>
          <w:b/>
        </w:rPr>
        <w:t xml:space="preserve">Pierwszy przepis końcowy. </w:t>
      </w:r>
      <w:r>
        <w:rPr>
          <w:i/>
        </w:rPr>
        <w:t>Przypisanie kompetencji.</w:t>
      </w:r>
    </w:p>
    <w:p w14:paraId="065FE4CD" w14:textId="3D71B84F" w:rsidR="002805CD" w:rsidRPr="002209F6" w:rsidRDefault="002805CD" w:rsidP="00B503A1">
      <w:pPr>
        <w:pStyle w:val="Pa6"/>
        <w:spacing w:before="100" w:beforeAutospacing="1" w:after="100" w:afterAutospacing="1" w:line="240" w:lineRule="auto"/>
        <w:jc w:val="both"/>
        <w:rPr>
          <w:rFonts w:eastAsia="Arial Unicode MS" w:cs="Arial"/>
        </w:rPr>
      </w:pPr>
      <w:r>
        <w:t xml:space="preserve">Niniejszy dekret królewski wydaje się na mocy przepisu art. 149 ust. 1 pkt 13 Konstytucji Hiszpańskiej, która przyznaje Państwu wyłączne uprawnienia do regulowania podstaw i koordynacji planowania ogólnego działalności gospodarczej. </w:t>
      </w:r>
    </w:p>
    <w:p w14:paraId="17E22D3D" w14:textId="77777777" w:rsidR="00107E79" w:rsidRPr="00DE35E8" w:rsidRDefault="00107E79" w:rsidP="00B503A1">
      <w:pPr>
        <w:pStyle w:val="Pa6"/>
        <w:spacing w:before="100" w:beforeAutospacing="1" w:after="100" w:afterAutospacing="1" w:line="240" w:lineRule="auto"/>
        <w:jc w:val="both"/>
        <w:rPr>
          <w:rFonts w:cs="Arial"/>
        </w:rPr>
      </w:pPr>
      <w:r>
        <w:rPr>
          <w:b/>
        </w:rPr>
        <w:t xml:space="preserve">Drugi przepis końcowy. </w:t>
      </w:r>
      <w:r>
        <w:rPr>
          <w:i/>
        </w:rPr>
        <w:t>Zmiana</w:t>
      </w:r>
      <w:r>
        <w:rPr>
          <w:b/>
          <w:i/>
        </w:rPr>
        <w:t xml:space="preserve"> </w:t>
      </w:r>
      <w:r>
        <w:rPr>
          <w:i/>
        </w:rPr>
        <w:t>dekretu nr 2484/1967 z 21 września w sprawie przyjęcia treści hiszpańskiego kodeksu żywnościowego.</w:t>
      </w:r>
    </w:p>
    <w:p w14:paraId="4F4C7805" w14:textId="77777777" w:rsidR="009F52EF" w:rsidRPr="00DE35E8" w:rsidRDefault="00107E79" w:rsidP="00B503A1">
      <w:pPr>
        <w:pStyle w:val="Default"/>
        <w:jc w:val="both"/>
        <w:rPr>
          <w:color w:val="auto"/>
        </w:rPr>
      </w:pPr>
      <w:r>
        <w:rPr>
          <w:color w:val="auto"/>
        </w:rPr>
        <w:t>Rozdział XVI sekcja 2 dekretu nr 2484/1967 z 21 września w sprawie przyjęcia treści hiszpańskiego kodeksu żywnościowego otrzymuje następujące brzmienie:</w:t>
      </w:r>
    </w:p>
    <w:p w14:paraId="34DBDB48" w14:textId="77777777" w:rsidR="009F52EF" w:rsidRPr="00DE35E8" w:rsidRDefault="009F52EF" w:rsidP="00B503A1">
      <w:pPr>
        <w:pStyle w:val="Default"/>
        <w:jc w:val="both"/>
        <w:rPr>
          <w:color w:val="auto"/>
        </w:rPr>
      </w:pPr>
    </w:p>
    <w:p w14:paraId="5AEE43D1" w14:textId="43A53B2C" w:rsidR="00107E79" w:rsidRPr="00DE35E8" w:rsidRDefault="00107E79" w:rsidP="00B503A1">
      <w:pPr>
        <w:pStyle w:val="Default"/>
        <w:jc w:val="both"/>
        <w:rPr>
          <w:i/>
          <w:color w:val="auto"/>
        </w:rPr>
      </w:pPr>
      <w:r>
        <w:rPr>
          <w:i/>
          <w:color w:val="auto"/>
        </w:rPr>
        <w:t>„Oliwa z oliwek i oliwa z wytłoczyn z oliwek podlega przepisom dekretu królewskiego nr xxxx/2020 z dnia ... w sprawie</w:t>
      </w:r>
      <w:r>
        <w:rPr>
          <w:b/>
          <w:i/>
          <w:color w:val="auto"/>
        </w:rPr>
        <w:t xml:space="preserve"> </w:t>
      </w:r>
      <w:r>
        <w:rPr>
          <w:i/>
          <w:color w:val="auto"/>
        </w:rPr>
        <w:t>przyjęcia normy jakościowej dla oliwy z oliwek i oliwy z wytłoczyn z oliwek.”</w:t>
      </w:r>
    </w:p>
    <w:p w14:paraId="4EB88564" w14:textId="77777777" w:rsidR="00107E79" w:rsidRPr="00DE35E8" w:rsidRDefault="00107E79" w:rsidP="00B503A1">
      <w:pPr>
        <w:pStyle w:val="Default"/>
        <w:rPr>
          <w:color w:val="auto"/>
        </w:rPr>
      </w:pPr>
    </w:p>
    <w:p w14:paraId="4AA77CDA" w14:textId="717819E4" w:rsidR="00BD3ECA" w:rsidRPr="00DE35E8" w:rsidRDefault="00BD3ECA" w:rsidP="00B503A1">
      <w:pPr>
        <w:pStyle w:val="Pa8"/>
        <w:spacing w:before="100" w:beforeAutospacing="1" w:after="100" w:afterAutospacing="1" w:line="240" w:lineRule="auto"/>
        <w:jc w:val="both"/>
        <w:rPr>
          <w:rFonts w:cs="Arial"/>
          <w:b/>
        </w:rPr>
      </w:pPr>
      <w:r>
        <w:rPr>
          <w:b/>
        </w:rPr>
        <w:t xml:space="preserve">Trzeci przepis końcowy. </w:t>
      </w:r>
      <w:r>
        <w:rPr>
          <w:i/>
        </w:rPr>
        <w:t>Wejście w życie</w:t>
      </w:r>
      <w:r>
        <w:t>.</w:t>
      </w:r>
    </w:p>
    <w:p w14:paraId="0036CA90" w14:textId="0CA26AD1" w:rsidR="00160F55" w:rsidRPr="00DE35E8" w:rsidRDefault="00BD3ECA" w:rsidP="00B503A1">
      <w:pPr>
        <w:pStyle w:val="Default"/>
        <w:spacing w:before="100" w:beforeAutospacing="1" w:after="100" w:afterAutospacing="1"/>
        <w:jc w:val="both"/>
        <w:rPr>
          <w:color w:val="auto"/>
        </w:rPr>
      </w:pPr>
      <w:r>
        <w:rPr>
          <w:color w:val="auto"/>
        </w:rPr>
        <w:t>Niniejszy dekret królewski wchodzi w życie w dniu 2 stycznia 2021 r.</w:t>
      </w:r>
    </w:p>
    <w:p w14:paraId="03D94E0D" w14:textId="510598C7" w:rsidR="00BD3ECA" w:rsidRPr="00DE35E8" w:rsidRDefault="00F006FD" w:rsidP="00B503A1">
      <w:pPr>
        <w:pStyle w:val="Default"/>
        <w:spacing w:before="100" w:beforeAutospacing="1" w:after="100" w:afterAutospacing="1"/>
        <w:jc w:val="both"/>
        <w:rPr>
          <w:color w:val="auto"/>
        </w:rPr>
      </w:pPr>
      <w:r>
        <w:rPr>
          <w:color w:val="auto"/>
        </w:rPr>
        <w:t>Wydano w Madrycie, w dniu ... ... 2020 r.</w:t>
      </w:r>
    </w:p>
    <w:p w14:paraId="662C4351" w14:textId="6FFA95A6" w:rsidR="00527443" w:rsidRPr="00DE35E8" w:rsidRDefault="00484361" w:rsidP="00B503A1">
      <w:pPr>
        <w:pStyle w:val="Default"/>
        <w:pageBreakBefore/>
        <w:tabs>
          <w:tab w:val="left" w:pos="6765"/>
          <w:tab w:val="right" w:pos="9070"/>
        </w:tabs>
        <w:spacing w:before="100" w:beforeAutospacing="1" w:after="100" w:afterAutospacing="1"/>
        <w:jc w:val="center"/>
        <w:rPr>
          <w:color w:val="auto"/>
        </w:rPr>
      </w:pPr>
      <w:r>
        <w:rPr>
          <w:color w:val="auto"/>
        </w:rPr>
        <w:lastRenderedPageBreak/>
        <w:t>ZAŁĄCZNIK I</w:t>
      </w:r>
    </w:p>
    <w:p w14:paraId="6E2F434E" w14:textId="7427919D" w:rsidR="00484361" w:rsidRPr="00DE35E8" w:rsidRDefault="00484361" w:rsidP="00B503A1">
      <w:pPr>
        <w:pStyle w:val="Default"/>
        <w:tabs>
          <w:tab w:val="left" w:pos="6765"/>
          <w:tab w:val="right" w:pos="9070"/>
        </w:tabs>
        <w:spacing w:before="100" w:beforeAutospacing="1" w:after="100" w:afterAutospacing="1"/>
        <w:jc w:val="center"/>
        <w:rPr>
          <w:b/>
          <w:color w:val="auto"/>
        </w:rPr>
      </w:pPr>
      <w:r>
        <w:rPr>
          <w:b/>
          <w:color w:val="auto"/>
        </w:rPr>
        <w:t xml:space="preserve">Rejestry identyfikowalności </w:t>
      </w:r>
    </w:p>
    <w:p w14:paraId="3AFC0661" w14:textId="5F43CE6A" w:rsidR="00485D89" w:rsidRPr="00DE35E8" w:rsidRDefault="00485D89" w:rsidP="00B503A1">
      <w:pPr>
        <w:spacing w:before="360"/>
        <w:jc w:val="both"/>
        <w:rPr>
          <w:rFonts w:ascii="Arial" w:eastAsia="Calibri" w:hAnsi="Arial" w:cs="Arial"/>
          <w:b/>
        </w:rPr>
      </w:pPr>
      <w:r>
        <w:rPr>
          <w:rFonts w:ascii="Arial" w:hAnsi="Arial"/>
          <w:b/>
        </w:rPr>
        <w:t>Część A. Ogólne warunki dotyczące rejestrów.</w:t>
      </w:r>
    </w:p>
    <w:p w14:paraId="718D860F" w14:textId="70B59E53" w:rsidR="00485D89" w:rsidRPr="00DE35E8" w:rsidRDefault="00485D89" w:rsidP="00B503A1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W wewnętrznym rejestrze identyfikowalności należy zapisywać co najmniej następujące operacje: otrzymanie oliwy, ekstrahowanie, rafinowanie, klasyfikację, zmianę zbiornika, mieszanie oliw, rozlewanie oliwy.</w:t>
      </w:r>
    </w:p>
    <w:p w14:paraId="5D5CF0F2" w14:textId="77777777" w:rsidR="00485D89" w:rsidRPr="00DE35E8" w:rsidRDefault="00485D89" w:rsidP="00B503A1">
      <w:pPr>
        <w:pStyle w:val="ListParagraph"/>
        <w:spacing w:before="100" w:beforeAutospacing="1" w:after="100" w:afterAutospacing="1"/>
        <w:ind w:left="360"/>
        <w:jc w:val="both"/>
        <w:rPr>
          <w:rFonts w:ascii="Arial" w:hAnsi="Arial" w:cs="Arial"/>
        </w:rPr>
      </w:pPr>
    </w:p>
    <w:p w14:paraId="51946BB9" w14:textId="0179120A" w:rsidR="00485D89" w:rsidRPr="00DE35E8" w:rsidRDefault="00485D89" w:rsidP="00B503A1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Każdy produkt należy wpisać do rejestru wejść z identyfikatorem uprzednio nadanym mu przez dostawcę. W przypadku ośrodków skupu lub odbioru, olejarni i zakładów przetwórstwa oliwek należy podać numer działki i obszaru w ewidencji gruntów, z których pochodzą oliwki, i ich właściciela. </w:t>
      </w:r>
    </w:p>
    <w:p w14:paraId="45F5830E" w14:textId="77777777" w:rsidR="00485D89" w:rsidRPr="00DE35E8" w:rsidRDefault="00485D89" w:rsidP="00B503A1">
      <w:pPr>
        <w:pStyle w:val="ListParagraph"/>
        <w:spacing w:before="100" w:beforeAutospacing="1" w:after="100" w:afterAutospacing="1"/>
        <w:ind w:left="360"/>
        <w:jc w:val="both"/>
        <w:rPr>
          <w:rFonts w:ascii="Arial" w:hAnsi="Arial" w:cs="Arial"/>
        </w:rPr>
      </w:pPr>
    </w:p>
    <w:p w14:paraId="76B18AAC" w14:textId="099C5022" w:rsidR="00485D89" w:rsidRPr="00DE35E8" w:rsidRDefault="00485D89" w:rsidP="00B503A1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W rejestrach wejść i wyjść należy wskazać wewnętrzne miejsce przeznaczenia lub zastosowanie produktu (magazyn, zbiornik, podajnik, linia przetwarzania itp.) lub jego pochodzenie. Jednocześnie należy podać saldo zawartości w zbiorniku wejściowym lub wyjściowym.</w:t>
      </w:r>
    </w:p>
    <w:p w14:paraId="1421D97B" w14:textId="77777777" w:rsidR="00485D89" w:rsidRPr="00DE35E8" w:rsidRDefault="00485D89" w:rsidP="00B503A1">
      <w:pPr>
        <w:pStyle w:val="ListParagraph"/>
        <w:spacing w:before="100" w:beforeAutospacing="1" w:after="100" w:afterAutospacing="1"/>
        <w:ind w:left="360"/>
        <w:jc w:val="both"/>
        <w:rPr>
          <w:rFonts w:ascii="Arial" w:hAnsi="Arial" w:cs="Arial"/>
        </w:rPr>
      </w:pPr>
    </w:p>
    <w:p w14:paraId="71A0F3DC" w14:textId="61E30660" w:rsidR="00485D89" w:rsidRPr="00DE35E8" w:rsidRDefault="00485D89" w:rsidP="00B503A1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W rejestrach wejść i wyjść należy wyraźnie podać dokumenty towarzyszące dotyczące każdego przemieszczenia towarów.</w:t>
      </w:r>
    </w:p>
    <w:p w14:paraId="46B83742" w14:textId="77777777" w:rsidR="00485D89" w:rsidRPr="00DE35E8" w:rsidRDefault="00485D89" w:rsidP="00B503A1">
      <w:pPr>
        <w:pStyle w:val="ListParagraph"/>
        <w:spacing w:before="100" w:beforeAutospacing="1" w:after="100" w:afterAutospacing="1"/>
        <w:jc w:val="both"/>
        <w:rPr>
          <w:rFonts w:ascii="Arial" w:hAnsi="Arial" w:cs="Arial"/>
        </w:rPr>
      </w:pPr>
    </w:p>
    <w:p w14:paraId="242CAE07" w14:textId="3D301271" w:rsidR="00485D89" w:rsidRPr="00DE35E8" w:rsidRDefault="00485D89" w:rsidP="00B503A1">
      <w:pPr>
        <w:pStyle w:val="ListParagraph"/>
        <w:spacing w:after="240"/>
        <w:ind w:left="3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Rejestry wejść i wyjść należy uzupełniać w przypadku zmiany własności towaru (nawet w przypadku, gdy nie zachodzi przemieszczenie fizyczne) lub dokonania jego fizycznego przemieszczenia. </w:t>
      </w:r>
    </w:p>
    <w:p w14:paraId="611D0E38" w14:textId="77777777" w:rsidR="00485D89" w:rsidRPr="00DE35E8" w:rsidRDefault="00485D89" w:rsidP="00B503A1">
      <w:pPr>
        <w:pStyle w:val="ListParagraph"/>
        <w:spacing w:before="240" w:after="240"/>
        <w:ind w:left="360"/>
        <w:jc w:val="both"/>
        <w:rPr>
          <w:rFonts w:ascii="Arial" w:hAnsi="Arial" w:cs="Arial"/>
        </w:rPr>
      </w:pPr>
    </w:p>
    <w:p w14:paraId="32B765B8" w14:textId="44B0EFF9" w:rsidR="00485D89" w:rsidRPr="00DE35E8" w:rsidRDefault="00485D89" w:rsidP="00B503A1">
      <w:pPr>
        <w:pStyle w:val="ListParagraph"/>
        <w:numPr>
          <w:ilvl w:val="0"/>
          <w:numId w:val="4"/>
        </w:numPr>
        <w:spacing w:before="24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Wyrażenia, które mają później zostać umieszczone na etykiecie produktów, takie jak partia, pierwsze tłoczenie na zimno, ekstrakcja na zimno, rok zbioru, odmiana itp., należy odpowiednio zarejestrować w taki sposób, by można je było zweryfikować we wszystkich dokumentach dotyczących danego produktu. </w:t>
      </w:r>
    </w:p>
    <w:p w14:paraId="40C6027C" w14:textId="77777777" w:rsidR="00485D89" w:rsidRPr="00DE35E8" w:rsidRDefault="00485D89" w:rsidP="00B503A1">
      <w:pPr>
        <w:pStyle w:val="ListParagraph"/>
        <w:rPr>
          <w:rFonts w:ascii="Arial" w:hAnsi="Arial" w:cs="Arial"/>
        </w:rPr>
      </w:pPr>
    </w:p>
    <w:p w14:paraId="075A2332" w14:textId="7AE98831" w:rsidR="00485D89" w:rsidRPr="00DE35E8" w:rsidRDefault="00485D89" w:rsidP="00B503A1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W danych identyfikacyjnych każdego produktu musi występować powiązanie między danymi identyfikacyjnymi zbiornika, w którym jest on przechowywany, a informacją zapisaną w rejestrach. Obowiązek ten należy stosować bez uszczerbku dla różnic w cechach wynikających z naturalnych zmian zachodzących w produktach. Takie zmiany należy zapisywać w rejestrze, jeśli podmiot o nich wie. </w:t>
      </w:r>
    </w:p>
    <w:p w14:paraId="3468FE99" w14:textId="77777777" w:rsidR="00485D89" w:rsidRPr="00DE35E8" w:rsidRDefault="00485D89" w:rsidP="00B503A1">
      <w:pPr>
        <w:ind w:firstLine="142"/>
        <w:jc w:val="both"/>
        <w:rPr>
          <w:rFonts w:ascii="Arial" w:eastAsia="Calibri" w:hAnsi="Arial" w:cs="Arial"/>
          <w:b/>
        </w:rPr>
      </w:pPr>
    </w:p>
    <w:p w14:paraId="6D0F2B23" w14:textId="063F4063" w:rsidR="00484361" w:rsidRPr="00DE35E8" w:rsidRDefault="009F27E3" w:rsidP="00B503A1">
      <w:pPr>
        <w:keepNext/>
        <w:ind w:firstLine="142"/>
        <w:jc w:val="both"/>
        <w:rPr>
          <w:rFonts w:ascii="Arial" w:eastAsia="Calibri" w:hAnsi="Arial" w:cs="Arial"/>
          <w:b/>
        </w:rPr>
      </w:pPr>
      <w:r>
        <w:rPr>
          <w:rFonts w:ascii="Arial" w:hAnsi="Arial"/>
          <w:b/>
        </w:rPr>
        <w:t>Część B. Kategoria produktów, którą należy podać w poszczególnych</w:t>
      </w:r>
      <w:r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b/>
        </w:rPr>
        <w:t>rejestrach.</w:t>
      </w:r>
    </w:p>
    <w:p w14:paraId="79F6C842" w14:textId="77777777" w:rsidR="00484361" w:rsidRPr="00DE35E8" w:rsidRDefault="00484361" w:rsidP="00B503A1">
      <w:pPr>
        <w:pStyle w:val="ListParagraph"/>
        <w:keepNext/>
        <w:ind w:left="142"/>
        <w:jc w:val="both"/>
        <w:rPr>
          <w:rFonts w:ascii="Arial" w:hAnsi="Arial" w:cs="Arial"/>
          <w:i/>
        </w:rPr>
      </w:pPr>
    </w:p>
    <w:p w14:paraId="0B6D9792" w14:textId="57C28E67" w:rsidR="00484361" w:rsidRPr="00DE35E8" w:rsidRDefault="00DE35E8" w:rsidP="00B503A1">
      <w:pPr>
        <w:keepNext/>
        <w:ind w:left="142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>a) Oliwki.</w:t>
      </w:r>
    </w:p>
    <w:p w14:paraId="065C7ECE" w14:textId="63838FF4" w:rsidR="00484361" w:rsidRPr="00DE35E8" w:rsidRDefault="00484361" w:rsidP="00B503A1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Oliwki do produkcji oliwy. </w:t>
      </w:r>
    </w:p>
    <w:p w14:paraId="3A54F136" w14:textId="77777777" w:rsidR="00484361" w:rsidRPr="00DE35E8" w:rsidRDefault="00484361" w:rsidP="00B503A1">
      <w:pPr>
        <w:ind w:left="142"/>
        <w:contextualSpacing/>
        <w:rPr>
          <w:rFonts w:ascii="Arial" w:hAnsi="Arial" w:cs="Arial"/>
          <w:i/>
        </w:rPr>
      </w:pPr>
    </w:p>
    <w:p w14:paraId="67B6728A" w14:textId="77DA3D67" w:rsidR="00484361" w:rsidRPr="00DE35E8" w:rsidRDefault="00DE35E8" w:rsidP="00B503A1">
      <w:pPr>
        <w:keepNext/>
        <w:ind w:left="142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>b) Oliwa z oliwek.</w:t>
      </w:r>
    </w:p>
    <w:p w14:paraId="5D5514BD" w14:textId="5ECD610E" w:rsidR="00484361" w:rsidRPr="00DE35E8" w:rsidRDefault="00484361" w:rsidP="00B503A1">
      <w:pPr>
        <w:pStyle w:val="CM42"/>
        <w:numPr>
          <w:ilvl w:val="0"/>
          <w:numId w:val="2"/>
        </w:numPr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Oliwa nieklasyfikowana </w:t>
      </w:r>
    </w:p>
    <w:p w14:paraId="1C6CDB8D" w14:textId="77777777" w:rsidR="00484361" w:rsidRPr="00DE35E8" w:rsidRDefault="00484361" w:rsidP="00B503A1">
      <w:pPr>
        <w:pStyle w:val="CM42"/>
        <w:numPr>
          <w:ilvl w:val="0"/>
          <w:numId w:val="2"/>
        </w:numPr>
        <w:contextualSpacing/>
        <w:rPr>
          <w:rFonts w:ascii="Arial" w:hAnsi="Arial" w:cs="Arial"/>
        </w:rPr>
      </w:pPr>
      <w:r>
        <w:rPr>
          <w:rFonts w:ascii="Arial" w:hAnsi="Arial"/>
        </w:rPr>
        <w:t>Oliwa z oliwek najwyższej jakości z pierwszego tłoczenia.</w:t>
      </w:r>
    </w:p>
    <w:p w14:paraId="172F6533" w14:textId="7B9FEC86" w:rsidR="00484361" w:rsidRPr="00DE35E8" w:rsidRDefault="00484361" w:rsidP="00B503A1">
      <w:pPr>
        <w:pStyle w:val="CM42"/>
        <w:numPr>
          <w:ilvl w:val="0"/>
          <w:numId w:val="2"/>
        </w:numPr>
        <w:contextualSpacing/>
        <w:rPr>
          <w:rFonts w:ascii="Arial" w:hAnsi="Arial" w:cs="Arial"/>
        </w:rPr>
      </w:pPr>
      <w:r>
        <w:rPr>
          <w:rFonts w:ascii="Arial" w:hAnsi="Arial"/>
        </w:rPr>
        <w:t>Oliwa z oliwek z pierwszego tłoczenia.</w:t>
      </w:r>
    </w:p>
    <w:p w14:paraId="104A191E" w14:textId="24A39C02" w:rsidR="00484361" w:rsidRPr="00DE35E8" w:rsidRDefault="00484361" w:rsidP="00B503A1">
      <w:pPr>
        <w:pStyle w:val="CM42"/>
        <w:numPr>
          <w:ilvl w:val="0"/>
          <w:numId w:val="2"/>
        </w:numPr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Oliwa lampante. </w:t>
      </w:r>
    </w:p>
    <w:p w14:paraId="05B2413C" w14:textId="77777777" w:rsidR="00484361" w:rsidRPr="00DE35E8" w:rsidRDefault="00484361" w:rsidP="00B503A1">
      <w:pPr>
        <w:pStyle w:val="CM42"/>
        <w:numPr>
          <w:ilvl w:val="0"/>
          <w:numId w:val="2"/>
        </w:numPr>
        <w:contextualSpacing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Rafinowana oliwa z oliwek. </w:t>
      </w:r>
    </w:p>
    <w:p w14:paraId="227D4A27" w14:textId="29B464A5" w:rsidR="00484361" w:rsidRPr="00DE35E8" w:rsidRDefault="00484361" w:rsidP="00B503A1">
      <w:pPr>
        <w:pStyle w:val="CM42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t>Oliwa z oliwek – składająca się z rafinowanej oliwy z oliwek i oliwy z oliwek z pierwszego tłoczenia.</w:t>
      </w:r>
    </w:p>
    <w:p w14:paraId="3B928C37" w14:textId="77777777" w:rsidR="00484361" w:rsidRPr="00DE35E8" w:rsidRDefault="00484361" w:rsidP="00B503A1">
      <w:pPr>
        <w:rPr>
          <w:rFonts w:ascii="Arial" w:hAnsi="Arial" w:cs="Arial"/>
          <w:lang w:eastAsia="en-US"/>
        </w:rPr>
      </w:pPr>
    </w:p>
    <w:p w14:paraId="0019EFDA" w14:textId="200688A7" w:rsidR="00484361" w:rsidRPr="00DE35E8" w:rsidRDefault="00DE35E8" w:rsidP="00B503A1">
      <w:pPr>
        <w:keepNext/>
        <w:ind w:left="142"/>
        <w:jc w:val="both"/>
        <w:rPr>
          <w:rFonts w:ascii="Arial" w:hAnsi="Arial" w:cs="Arial"/>
        </w:rPr>
      </w:pPr>
      <w:r>
        <w:rPr>
          <w:rFonts w:ascii="Arial" w:hAnsi="Arial"/>
          <w:i/>
        </w:rPr>
        <w:t>c) Oliwa z wytłoczyn z oliwek.</w:t>
      </w:r>
      <w:r>
        <w:rPr>
          <w:rFonts w:ascii="Arial" w:hAnsi="Arial"/>
        </w:rPr>
        <w:t xml:space="preserve"> </w:t>
      </w:r>
    </w:p>
    <w:p w14:paraId="7E1337D0" w14:textId="5F3642CC" w:rsidR="00484361" w:rsidRPr="00DE35E8" w:rsidRDefault="00484361" w:rsidP="00B503A1">
      <w:pPr>
        <w:pStyle w:val="CM42"/>
        <w:numPr>
          <w:ilvl w:val="0"/>
          <w:numId w:val="2"/>
        </w:numPr>
        <w:contextualSpacing/>
        <w:rPr>
          <w:rFonts w:ascii="Arial" w:hAnsi="Arial" w:cs="Arial"/>
        </w:rPr>
      </w:pPr>
      <w:r>
        <w:rPr>
          <w:rFonts w:ascii="Arial" w:hAnsi="Arial"/>
        </w:rPr>
        <w:t>Surowa oliwa z wytłoczyn z oliwek.</w:t>
      </w:r>
    </w:p>
    <w:p w14:paraId="42511A8E" w14:textId="77777777" w:rsidR="00484361" w:rsidRPr="00DE35E8" w:rsidRDefault="00484361" w:rsidP="00B503A1">
      <w:pPr>
        <w:pStyle w:val="CM43"/>
        <w:numPr>
          <w:ilvl w:val="0"/>
          <w:numId w:val="2"/>
        </w:numPr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Rafinowana oliwa z wytłoczyn z oliwek. </w:t>
      </w:r>
    </w:p>
    <w:p w14:paraId="3C7481BE" w14:textId="77777777" w:rsidR="00484361" w:rsidRPr="00DE35E8" w:rsidRDefault="00484361" w:rsidP="00B503A1">
      <w:pPr>
        <w:pStyle w:val="CM43"/>
        <w:numPr>
          <w:ilvl w:val="0"/>
          <w:numId w:val="2"/>
        </w:numPr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Oliwa z wytłoczyn z oliwek. </w:t>
      </w:r>
    </w:p>
    <w:p w14:paraId="5CA22CCA" w14:textId="77777777" w:rsidR="00484361" w:rsidRPr="00DE35E8" w:rsidRDefault="00484361" w:rsidP="00B503A1">
      <w:pPr>
        <w:rPr>
          <w:rFonts w:ascii="Arial" w:hAnsi="Arial" w:cs="Arial"/>
          <w:lang w:eastAsia="en-US"/>
        </w:rPr>
      </w:pPr>
    </w:p>
    <w:p w14:paraId="549D2842" w14:textId="019C4435" w:rsidR="00484361" w:rsidRPr="00DE35E8" w:rsidRDefault="00DE35E8" w:rsidP="00B503A1">
      <w:pPr>
        <w:keepNext/>
        <w:ind w:left="142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>d) Produkty uboczne ze wszystkich instalacji, za pomocą których można otrzymać olej.</w:t>
      </w:r>
    </w:p>
    <w:p w14:paraId="22AAFA9B" w14:textId="77777777" w:rsidR="00484361" w:rsidRPr="00DE35E8" w:rsidRDefault="00484361" w:rsidP="00B503A1">
      <w:pPr>
        <w:ind w:hanging="142"/>
        <w:jc w:val="both"/>
        <w:rPr>
          <w:rFonts w:ascii="Arial" w:hAnsi="Arial" w:cs="Arial"/>
        </w:rPr>
      </w:pPr>
    </w:p>
    <w:p w14:paraId="145CCEFF" w14:textId="3B030B40" w:rsidR="00484361" w:rsidRPr="00DE35E8" w:rsidRDefault="00DE35E8" w:rsidP="00B503A1">
      <w:pPr>
        <w:keepNext/>
        <w:ind w:left="142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>e) Pozostałe jadalne oleje roślinne.</w:t>
      </w:r>
    </w:p>
    <w:p w14:paraId="477DD970" w14:textId="77777777" w:rsidR="00484361" w:rsidRPr="00DE35E8" w:rsidRDefault="00484361" w:rsidP="00B503A1">
      <w:pPr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W przypadku zakładów i podmiotów, które oprócz pracy z oliwą z oliwek i oliwą z wytłoczyn z oliwek wytwarzają, rafinują, magazynują lub rozlewają pozostałe jadalne oleje roślinne. </w:t>
      </w:r>
    </w:p>
    <w:p w14:paraId="5FA18D30" w14:textId="3C3D1D64" w:rsidR="00484361" w:rsidRPr="00DE35E8" w:rsidRDefault="009F27E3" w:rsidP="00B503A1">
      <w:pPr>
        <w:keepNext/>
        <w:spacing w:before="100" w:beforeAutospacing="1" w:after="100" w:afterAutospacing="1"/>
        <w:jc w:val="both"/>
        <w:rPr>
          <w:rFonts w:ascii="Arial" w:eastAsia="Calibri" w:hAnsi="Arial" w:cs="Arial"/>
          <w:b/>
        </w:rPr>
      </w:pPr>
      <w:r>
        <w:rPr>
          <w:rFonts w:ascii="Arial" w:hAnsi="Arial"/>
          <w:b/>
        </w:rPr>
        <w:t>Część C. Informacje, które muszą zawierać rejestry wejść i wyjść.</w:t>
      </w:r>
    </w:p>
    <w:p w14:paraId="53B25609" w14:textId="49367A8D" w:rsidR="00484361" w:rsidRPr="00DE35E8" w:rsidRDefault="00484361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a) Dane identyfikacyjne dokumentu towarzyszącego, w stosownych przypadkach.</w:t>
      </w:r>
    </w:p>
    <w:p w14:paraId="7B9B6AD0" w14:textId="7ED8B725" w:rsidR="00484361" w:rsidRPr="00DE35E8" w:rsidRDefault="00484361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b) Dane identyfikacyjne sprzedawcy lub dostawcy: nazwisko lub nazwa, adres, identyfikator podatkowy i adres zakładu, z którego pochodzi produkt. W odniesieniu do zakładu należy również podać nazwę i identyfikator podatkowy, jeśli są one inne niż dane sprzedawcy lub dostawcy. </w:t>
      </w:r>
    </w:p>
    <w:p w14:paraId="145D9BB6" w14:textId="538165C5" w:rsidR="00484361" w:rsidRPr="00DE35E8" w:rsidRDefault="00484361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c) Dane identyfikacyjne nabywcy lub odbiorcy, łącznie z punktem sprzedaży detalicznej, który jest ostatnim odbiorcą oliwy w opakowaniu: nazwisko lub nazwa, adres, identyfikator podatkowy i adres zakładu docelowego. W odniesieniu do zakładu należy również podać nazwisko lub nazwę i identyfikator podatkowy, jeśli są one inne niż dane nabywcy lub odbiorcy. </w:t>
      </w:r>
    </w:p>
    <w:p w14:paraId="662B4931" w14:textId="77777777" w:rsidR="00484361" w:rsidRPr="00F46522" w:rsidRDefault="00484361" w:rsidP="00B503A1">
      <w:pPr>
        <w:spacing w:before="100" w:beforeAutospacing="1" w:after="100" w:afterAutospacing="1"/>
        <w:jc w:val="both"/>
        <w:rPr>
          <w:rFonts w:ascii="Arial" w:hAnsi="Arial" w:cs="Arial"/>
          <w:spacing w:val="-4"/>
        </w:rPr>
      </w:pPr>
      <w:r w:rsidRPr="00F46522">
        <w:rPr>
          <w:rFonts w:ascii="Arial" w:hAnsi="Arial"/>
          <w:spacing w:val="-4"/>
        </w:rPr>
        <w:t xml:space="preserve">d) Dane identyfikacyjne produktu: nazwa, partia, ilość i cechy uznane za istotne do celów identyfikacji, takie jak postać luzem, w opakowaniu, etykieta, stan wilgotny lub suchy. </w:t>
      </w:r>
    </w:p>
    <w:p w14:paraId="25A3BFDC" w14:textId="77777777" w:rsidR="00484361" w:rsidRPr="00DE35E8" w:rsidRDefault="00484361" w:rsidP="00B503A1">
      <w:pPr>
        <w:spacing w:before="100" w:beforeAutospacing="1" w:after="100" w:afterAutospacing="1"/>
        <w:jc w:val="both"/>
        <w:rPr>
          <w:rFonts w:ascii="Arial" w:hAnsi="Arial" w:cs="Arial"/>
          <w:strike/>
        </w:rPr>
      </w:pPr>
      <w:r>
        <w:rPr>
          <w:rFonts w:ascii="Arial" w:hAnsi="Arial"/>
        </w:rPr>
        <w:t>e) Dane identyfikacyjne miejsca pochodzenia produktu: kraj pochodzenia. Do celów spełnienia, w stosownych przypadkach, wymogów ustanowionych w art. 4 rozporządzenia wykonawczego Komisji (UE) nr 29/2012 z dnia 13 stycznia 2012 r. w rejestrze wpisuje się Hiszpanię, państwo członkowskie, Unię Europejską lub nazwę państwa trzeciego, zgodnie z przepisami tego rozporządzenia.</w:t>
      </w:r>
    </w:p>
    <w:p w14:paraId="16041359" w14:textId="04AB9B43" w:rsidR="00484361" w:rsidRPr="00DE35E8" w:rsidRDefault="00484361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f) Cechy charakterystyczne produktu, które zamierza się podać na etykiecie.</w:t>
      </w:r>
    </w:p>
    <w:p w14:paraId="3566E831" w14:textId="77777777" w:rsidR="00484361" w:rsidRPr="00DE35E8" w:rsidRDefault="00484361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g) Data operacji.</w:t>
      </w:r>
    </w:p>
    <w:p w14:paraId="47E675BE" w14:textId="77777777" w:rsidR="00484361" w:rsidRPr="00DE35E8" w:rsidRDefault="00484361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h) Dane identyfikacyjne przewoźnika: przedsiębiorstwo (nazwa, adres, identyfikator podatkowy), typ pojazdu i jego numer rejestracyjny lub inna forma, w stosownych przypadkach, prawnej identyfikacji środka transportu.</w:t>
      </w:r>
    </w:p>
    <w:p w14:paraId="6F3FE0F9" w14:textId="6A409A75" w:rsidR="00484361" w:rsidRPr="00DE35E8" w:rsidRDefault="00DA31DD" w:rsidP="00B503A1">
      <w:pPr>
        <w:keepNext/>
        <w:spacing w:before="100" w:beforeAutospacing="1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Część D. Informacje, które powinien zawierać wewnętrzny rejestr identyfikowalności.</w:t>
      </w:r>
    </w:p>
    <w:p w14:paraId="00A6A054" w14:textId="77777777" w:rsidR="00484361" w:rsidRPr="00DE35E8" w:rsidRDefault="00484361" w:rsidP="00B503A1">
      <w:pPr>
        <w:keepNext/>
        <w:jc w:val="both"/>
        <w:rPr>
          <w:rFonts w:ascii="Arial" w:hAnsi="Arial" w:cs="Arial"/>
        </w:rPr>
      </w:pPr>
    </w:p>
    <w:p w14:paraId="13617156" w14:textId="77777777" w:rsidR="00484361" w:rsidRPr="00DE35E8" w:rsidRDefault="00484361" w:rsidP="00B503A1">
      <w:pPr>
        <w:keepNext/>
        <w:jc w:val="both"/>
        <w:rPr>
          <w:rFonts w:ascii="Arial" w:hAnsi="Arial" w:cs="Arial"/>
        </w:rPr>
      </w:pPr>
      <w:r>
        <w:rPr>
          <w:rFonts w:ascii="Arial" w:hAnsi="Arial"/>
        </w:rPr>
        <w:t>Wewnętrzny system identyfikowalności zawiera co najmniej następujące informacje:</w:t>
      </w:r>
    </w:p>
    <w:p w14:paraId="1C45BA46" w14:textId="77777777" w:rsidR="00484361" w:rsidRPr="00DE35E8" w:rsidRDefault="00484361" w:rsidP="00B503A1">
      <w:pPr>
        <w:keepNext/>
        <w:spacing w:before="100" w:beforeAutospacing="1" w:after="240"/>
        <w:contextualSpacing/>
        <w:jc w:val="both"/>
        <w:rPr>
          <w:rFonts w:ascii="Arial" w:hAnsi="Arial" w:cs="Arial"/>
        </w:rPr>
      </w:pPr>
    </w:p>
    <w:p w14:paraId="3A07E017" w14:textId="54DBBE26" w:rsidR="00484361" w:rsidRPr="00DE35E8" w:rsidRDefault="00484361" w:rsidP="00B503A1">
      <w:pPr>
        <w:spacing w:before="100" w:beforeAutospacing="1" w:after="240"/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t>a) Przeprowadzona operacja lub praktyka.</w:t>
      </w:r>
    </w:p>
    <w:p w14:paraId="5B2CAD94" w14:textId="77777777" w:rsidR="00484361" w:rsidRPr="00DE35E8" w:rsidRDefault="00484361" w:rsidP="00B503A1">
      <w:pPr>
        <w:spacing w:before="100" w:beforeAutospacing="1" w:after="240"/>
        <w:contextualSpacing/>
        <w:jc w:val="both"/>
        <w:rPr>
          <w:rFonts w:ascii="Arial" w:hAnsi="Arial" w:cs="Arial"/>
        </w:rPr>
      </w:pPr>
    </w:p>
    <w:p w14:paraId="5C0BF968" w14:textId="77777777" w:rsidR="00484361" w:rsidRPr="00DE35E8" w:rsidRDefault="00484361" w:rsidP="00B503A1">
      <w:pPr>
        <w:spacing w:before="100" w:beforeAutospacing="1" w:after="240"/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b) Dane identyfikacyjne produktów wyjściowych: nazwa, partia (w stosownych przypadkach), ilość. </w:t>
      </w:r>
    </w:p>
    <w:p w14:paraId="526BE12C" w14:textId="77777777" w:rsidR="00484361" w:rsidRPr="00DE35E8" w:rsidRDefault="00484361" w:rsidP="00B503A1">
      <w:pPr>
        <w:spacing w:before="100" w:beforeAutospacing="1" w:after="240"/>
        <w:contextualSpacing/>
        <w:jc w:val="both"/>
        <w:rPr>
          <w:rFonts w:ascii="Arial" w:hAnsi="Arial" w:cs="Arial"/>
        </w:rPr>
      </w:pPr>
    </w:p>
    <w:p w14:paraId="0FAA3F63" w14:textId="2AF5C43D" w:rsidR="00484361" w:rsidRPr="00DE35E8" w:rsidRDefault="00484361" w:rsidP="00B503A1">
      <w:pPr>
        <w:spacing w:before="100" w:beforeAutospacing="1" w:after="240"/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c) Dane identyfikacyjne produktów otrzymanych: nazwa, partia (w stosownych przypadkach), ilość. </w:t>
      </w:r>
    </w:p>
    <w:p w14:paraId="114E69BF" w14:textId="77777777" w:rsidR="00484361" w:rsidRPr="00DE35E8" w:rsidRDefault="00484361" w:rsidP="00B503A1">
      <w:pPr>
        <w:spacing w:before="100" w:beforeAutospacing="1" w:after="240"/>
        <w:contextualSpacing/>
        <w:jc w:val="both"/>
        <w:rPr>
          <w:rFonts w:ascii="Arial" w:hAnsi="Arial" w:cs="Arial"/>
        </w:rPr>
      </w:pPr>
    </w:p>
    <w:p w14:paraId="083B8162" w14:textId="77777777" w:rsidR="00484361" w:rsidRPr="00DE35E8" w:rsidRDefault="00484361" w:rsidP="00B503A1">
      <w:pPr>
        <w:spacing w:before="100" w:beforeAutospacing="1" w:after="240"/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t>d) Data operacji oraz, w stosownych przypadkach, godzina.</w:t>
      </w:r>
    </w:p>
    <w:p w14:paraId="6DDF3A88" w14:textId="77777777" w:rsidR="00484361" w:rsidRPr="00DE35E8" w:rsidRDefault="00484361" w:rsidP="00B503A1">
      <w:pPr>
        <w:jc w:val="both"/>
        <w:rPr>
          <w:rFonts w:ascii="Arial" w:hAnsi="Arial" w:cs="Arial"/>
        </w:rPr>
      </w:pPr>
    </w:p>
    <w:p w14:paraId="27D55A82" w14:textId="262A2876" w:rsidR="00484361" w:rsidRPr="00DE35E8" w:rsidRDefault="00484361" w:rsidP="00B503A1">
      <w:pPr>
        <w:jc w:val="both"/>
        <w:rPr>
          <w:rFonts w:ascii="Arial" w:hAnsi="Arial" w:cs="Arial"/>
        </w:rPr>
      </w:pPr>
      <w:r>
        <w:rPr>
          <w:rFonts w:ascii="Arial" w:hAnsi="Arial"/>
        </w:rPr>
        <w:t>e) Wewnętrzne miejsce pochodzenia produktów wyjściowych (magazyn, zbiornik, podajnik, linia przetwarzania itp.). Saldo zawartości w zbiorniku lub zbiornikach, z których pochodzi produkt.</w:t>
      </w:r>
    </w:p>
    <w:p w14:paraId="3EFE04AB" w14:textId="77777777" w:rsidR="00484361" w:rsidRPr="00DE35E8" w:rsidRDefault="00484361" w:rsidP="00B503A1">
      <w:pPr>
        <w:jc w:val="both"/>
        <w:rPr>
          <w:rFonts w:ascii="Arial" w:hAnsi="Arial" w:cs="Arial"/>
        </w:rPr>
      </w:pPr>
    </w:p>
    <w:p w14:paraId="3205ECFD" w14:textId="3537B89D" w:rsidR="00484361" w:rsidRPr="00DE35E8" w:rsidRDefault="00CA3437" w:rsidP="00B503A1">
      <w:pPr>
        <w:jc w:val="both"/>
        <w:rPr>
          <w:rFonts w:ascii="Arial" w:hAnsi="Arial" w:cs="Arial"/>
        </w:rPr>
      </w:pPr>
      <w:r>
        <w:rPr>
          <w:rFonts w:ascii="Arial" w:hAnsi="Arial"/>
        </w:rPr>
        <w:t>f) Wewnętrzne miejsce przeznaczenia produktów otrzymanych (magazyn, zbiornik, podajnik, linia przetwarzania itp.). Saldo zawartości w zbiorniku lub zbiornikach przeznaczenia.</w:t>
      </w:r>
    </w:p>
    <w:p w14:paraId="1E0AD74F" w14:textId="45F98849" w:rsidR="00527443" w:rsidRPr="00DE35E8" w:rsidRDefault="0007779F" w:rsidP="00B503A1">
      <w:pPr>
        <w:pStyle w:val="Default"/>
        <w:keepNext/>
        <w:tabs>
          <w:tab w:val="left" w:pos="6765"/>
          <w:tab w:val="right" w:pos="9070"/>
        </w:tabs>
        <w:spacing w:before="100" w:beforeAutospacing="1" w:after="100" w:afterAutospacing="1"/>
        <w:jc w:val="center"/>
        <w:rPr>
          <w:color w:val="auto"/>
        </w:rPr>
      </w:pPr>
      <w:r>
        <w:rPr>
          <w:color w:val="auto"/>
        </w:rPr>
        <w:t>ZAŁĄCZNIK II</w:t>
      </w:r>
    </w:p>
    <w:p w14:paraId="4DC11A5E" w14:textId="186B9DDA" w:rsidR="0007779F" w:rsidRPr="00DE35E8" w:rsidRDefault="00527443" w:rsidP="00B503A1">
      <w:pPr>
        <w:pStyle w:val="Default"/>
        <w:keepNext/>
        <w:tabs>
          <w:tab w:val="left" w:pos="6765"/>
          <w:tab w:val="right" w:pos="9070"/>
        </w:tabs>
        <w:spacing w:before="100" w:beforeAutospacing="1" w:after="100" w:afterAutospacing="1"/>
        <w:jc w:val="center"/>
        <w:rPr>
          <w:b/>
          <w:color w:val="auto"/>
        </w:rPr>
      </w:pPr>
      <w:r>
        <w:rPr>
          <w:b/>
          <w:color w:val="auto"/>
        </w:rPr>
        <w:t>Minimalne informacje zawarte w dokumencie towarzyszącym podczas transportu</w:t>
      </w:r>
    </w:p>
    <w:p w14:paraId="1DA8041F" w14:textId="3F430D4F" w:rsidR="00EE7990" w:rsidRPr="00DE35E8" w:rsidRDefault="009F27E3" w:rsidP="00B503A1">
      <w:pPr>
        <w:pStyle w:val="Default"/>
        <w:keepNext/>
        <w:tabs>
          <w:tab w:val="left" w:pos="6765"/>
          <w:tab w:val="right" w:pos="9070"/>
        </w:tabs>
        <w:spacing w:before="100" w:beforeAutospacing="1" w:after="100" w:afterAutospacing="1"/>
        <w:rPr>
          <w:b/>
          <w:color w:val="auto"/>
        </w:rPr>
      </w:pPr>
      <w:r>
        <w:rPr>
          <w:b/>
          <w:color w:val="auto"/>
        </w:rPr>
        <w:t xml:space="preserve">A. Dane identyfikacyjne produktu: </w:t>
      </w:r>
    </w:p>
    <w:p w14:paraId="0CCB8999" w14:textId="38244525" w:rsidR="00494357" w:rsidRPr="00DE35E8" w:rsidRDefault="00FC72C5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- dane identyfikacyjne produktu: nazwa zgodna z mającymi zastosowanie przepisami, partia, ilość i cechy uznane za istotne do celów identyfikacji, takie jak postać luzem, w opakowaniu, etykieta, stan wilgotny lub suchy, </w:t>
      </w:r>
    </w:p>
    <w:p w14:paraId="776A6D19" w14:textId="627D7348" w:rsidR="00494357" w:rsidRPr="00DE35E8" w:rsidRDefault="00FC72C5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- dane identyfikacyjne miejsca pochodzenia produktu: kraj pochodzenia, </w:t>
      </w:r>
    </w:p>
    <w:p w14:paraId="18369A5C" w14:textId="5FE69858" w:rsidR="00B43CE6" w:rsidRPr="00DE35E8" w:rsidRDefault="00FC72C5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- dla produktów luzem: inne dobrowolne oznaczenia, które mają później zostać umieszczone na etykiecie, takie jak odmiana, rok zbioru, ekstrakcja na zimno, pierwsze tłoczenie na zimno, produkcja ekologiczna itp., </w:t>
      </w:r>
    </w:p>
    <w:p w14:paraId="0ED38799" w14:textId="376107C8" w:rsidR="004936CE" w:rsidRPr="00DE35E8" w:rsidRDefault="00FC72C5" w:rsidP="00B503A1">
      <w:pPr>
        <w:pStyle w:val="Default"/>
        <w:tabs>
          <w:tab w:val="left" w:pos="6765"/>
          <w:tab w:val="right" w:pos="9070"/>
        </w:tabs>
        <w:spacing w:before="100" w:beforeAutospacing="1" w:after="100" w:afterAutospacing="1"/>
        <w:rPr>
          <w:color w:val="auto"/>
        </w:rPr>
      </w:pPr>
      <w:r>
        <w:rPr>
          <w:color w:val="auto"/>
        </w:rPr>
        <w:t>- ilość produktu.</w:t>
      </w:r>
    </w:p>
    <w:p w14:paraId="0101D6BB" w14:textId="277E9C68" w:rsidR="0007779F" w:rsidRPr="00DE35E8" w:rsidRDefault="009F27E3" w:rsidP="00B503A1">
      <w:pPr>
        <w:pStyle w:val="Default"/>
        <w:keepNext/>
        <w:tabs>
          <w:tab w:val="left" w:pos="6765"/>
          <w:tab w:val="right" w:pos="9070"/>
        </w:tabs>
        <w:spacing w:before="100" w:beforeAutospacing="1" w:after="100" w:afterAutospacing="1"/>
        <w:rPr>
          <w:b/>
          <w:color w:val="auto"/>
        </w:rPr>
      </w:pPr>
      <w:r>
        <w:rPr>
          <w:b/>
          <w:color w:val="auto"/>
        </w:rPr>
        <w:t xml:space="preserve">B. Dane miejsca pochodzenia towaru: </w:t>
      </w:r>
    </w:p>
    <w:p w14:paraId="00276DE0" w14:textId="77777777" w:rsidR="006400A7" w:rsidRPr="00DE35E8" w:rsidRDefault="00494357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Dane identyfikacyjne sprzedawcy lub dostawcy: nazwisko lub nazwa, adres, identyfikator podatkowy i adres zakładu, z którego pochodzi produkt. </w:t>
      </w:r>
    </w:p>
    <w:p w14:paraId="47A1EED0" w14:textId="34D23AD3" w:rsidR="00494357" w:rsidRPr="00DE35E8" w:rsidRDefault="00EE422C" w:rsidP="00B503A1">
      <w:pPr>
        <w:spacing w:before="100" w:beforeAutospacing="1" w:after="100" w:afterAutospacing="1"/>
        <w:jc w:val="both"/>
        <w:rPr>
          <w:rFonts w:ascii="Arial" w:hAnsi="Arial" w:cs="Arial"/>
          <w:strike/>
        </w:rPr>
      </w:pPr>
      <w:r>
        <w:rPr>
          <w:rFonts w:ascii="Arial" w:hAnsi="Arial"/>
        </w:rPr>
        <w:t>W odniesieniu do zakładu należy również podać nazwę i identyfikator podatkowy, jeśli są one inne niż dane sprzedawcy lub dostawcy.</w:t>
      </w:r>
      <w:r>
        <w:rPr>
          <w:rFonts w:ascii="Arial" w:hAnsi="Arial"/>
          <w:strike/>
        </w:rPr>
        <w:t xml:space="preserve"> </w:t>
      </w:r>
    </w:p>
    <w:p w14:paraId="73A0AD8C" w14:textId="3D82D2A7" w:rsidR="0007779F" w:rsidRPr="00DE35E8" w:rsidRDefault="009F27E3" w:rsidP="00B503A1">
      <w:pPr>
        <w:pStyle w:val="Default"/>
        <w:keepNext/>
        <w:tabs>
          <w:tab w:val="left" w:pos="6765"/>
          <w:tab w:val="right" w:pos="9070"/>
        </w:tabs>
        <w:spacing w:before="100" w:beforeAutospacing="1" w:after="100" w:afterAutospacing="1"/>
        <w:rPr>
          <w:b/>
          <w:color w:val="auto"/>
        </w:rPr>
      </w:pPr>
      <w:r>
        <w:rPr>
          <w:b/>
          <w:color w:val="auto"/>
        </w:rPr>
        <w:lastRenderedPageBreak/>
        <w:t xml:space="preserve">C. Dane transportu: </w:t>
      </w:r>
    </w:p>
    <w:p w14:paraId="7CE66301" w14:textId="239BAB3B" w:rsidR="0007779F" w:rsidRPr="00DE35E8" w:rsidRDefault="0007779F" w:rsidP="00B503A1">
      <w:pPr>
        <w:pStyle w:val="Default"/>
        <w:tabs>
          <w:tab w:val="left" w:pos="6765"/>
          <w:tab w:val="right" w:pos="9070"/>
        </w:tabs>
        <w:spacing w:before="100" w:beforeAutospacing="1" w:after="100" w:afterAutospacing="1"/>
        <w:jc w:val="both"/>
        <w:rPr>
          <w:color w:val="auto"/>
        </w:rPr>
      </w:pPr>
      <w:r>
        <w:rPr>
          <w:color w:val="auto"/>
        </w:rPr>
        <w:t>Dane identyfikacyjne przedsiębiorstwa przewozowego i użytego środka transportu oraz data transportu.</w:t>
      </w:r>
    </w:p>
    <w:p w14:paraId="6A6D6E3A" w14:textId="0ECBDA4F" w:rsidR="00494357" w:rsidRPr="00DE35E8" w:rsidRDefault="009F27E3" w:rsidP="00B503A1">
      <w:pPr>
        <w:keepNext/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D. Dane miejsca przeznaczenia towaru: </w:t>
      </w:r>
    </w:p>
    <w:p w14:paraId="518F49D9" w14:textId="7572094F" w:rsidR="006400A7" w:rsidRPr="00DE35E8" w:rsidRDefault="00494357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Dane identyfikacyjne nabywcy lub odbiorcy, łącznie z punktem sprzedaży detalicznej, który jest ostatnim odbiorcą oliwy w opakowaniu: nazwisko lub nazwa, adres, identyfikator podatkowy i adres zakładu docelowego. W odniesieniu do zakładu należy również podać nazwisko lub nazwę i identyfikator podatkowy, jeśli są one inne niż dane nabywcy lub odbiorcy. </w:t>
      </w:r>
    </w:p>
    <w:p w14:paraId="7A7B7947" w14:textId="77777777" w:rsidR="00F44FDF" w:rsidRPr="00DE35E8" w:rsidRDefault="00F44FDF" w:rsidP="00B503A1">
      <w:pPr>
        <w:pStyle w:val="Pa10"/>
        <w:keepNext/>
        <w:spacing w:before="100" w:beforeAutospacing="1" w:after="100" w:afterAutospacing="1" w:line="240" w:lineRule="auto"/>
        <w:jc w:val="center"/>
        <w:rPr>
          <w:rFonts w:cs="Arial"/>
        </w:rPr>
      </w:pPr>
      <w:r>
        <w:t>ZAŁĄCZNIK III</w:t>
      </w:r>
    </w:p>
    <w:p w14:paraId="6DE89D44" w14:textId="77777777" w:rsidR="00F44FDF" w:rsidRPr="00DE35E8" w:rsidRDefault="00F44FDF" w:rsidP="00B503A1">
      <w:pPr>
        <w:pStyle w:val="Pa10"/>
        <w:keepNext/>
        <w:spacing w:before="100" w:beforeAutospacing="1" w:after="100" w:afterAutospacing="1" w:line="240" w:lineRule="auto"/>
        <w:jc w:val="center"/>
        <w:rPr>
          <w:rFonts w:cs="Arial"/>
          <w:b/>
        </w:rPr>
      </w:pPr>
      <w:r>
        <w:rPr>
          <w:b/>
        </w:rPr>
        <w:t>Wygląd i cechy charakterystyczne oliwy</w:t>
      </w:r>
    </w:p>
    <w:p w14:paraId="0FE618F1" w14:textId="42CE3EA2" w:rsidR="00F44FDF" w:rsidRPr="00DE35E8" w:rsidRDefault="00F44FDF" w:rsidP="00B503A1">
      <w:pPr>
        <w:keepNext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a) Oliwa z oliwek najwyższej jakości z pierwszego tłoczenia i oliwa z pierwszego tłoczenia filtrowana.</w:t>
      </w:r>
    </w:p>
    <w:p w14:paraId="095783EF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Wilgotność i substancje lotne: ≤ 0,2%.</w:t>
      </w:r>
    </w:p>
    <w:p w14:paraId="7D6D2C01" w14:textId="5C332848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 xml:space="preserve">Zanieczyszczenia nierozpuszczalne w eterze naftowym: ≤ 0,1%. </w:t>
      </w:r>
    </w:p>
    <w:p w14:paraId="603E2DCE" w14:textId="6E01F0E5" w:rsidR="00F44FDF" w:rsidRPr="00DE35E8" w:rsidRDefault="00F44FDF" w:rsidP="00B503A1">
      <w:pPr>
        <w:keepNext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b) Oliwa z oliwek – składająca się z rafinowanej oliwy z oliwek i oliwy z oliwek z pierwszego tłoczenia.</w:t>
      </w:r>
    </w:p>
    <w:p w14:paraId="4C701306" w14:textId="77777777" w:rsidR="00F44FDF" w:rsidRPr="00DE35E8" w:rsidRDefault="00F44FDF" w:rsidP="00B503A1">
      <w:pPr>
        <w:spacing w:before="100" w:beforeAutospacing="1"/>
        <w:ind w:left="142"/>
        <w:jc w:val="both"/>
        <w:rPr>
          <w:rFonts w:ascii="Arial" w:hAnsi="Arial" w:cs="Arial"/>
        </w:rPr>
      </w:pPr>
      <w:r>
        <w:rPr>
          <w:rFonts w:ascii="Arial" w:hAnsi="Arial"/>
        </w:rPr>
        <w:t>Wygląd: klarowna, klarowność utrzymująca się w temp. 20ºC ± 2ºC przez 24 godziny.</w:t>
      </w:r>
    </w:p>
    <w:p w14:paraId="0296A932" w14:textId="77777777" w:rsidR="00F44FDF" w:rsidRPr="00DE35E8" w:rsidRDefault="00F44FDF" w:rsidP="00B503A1">
      <w:pPr>
        <w:ind w:left="142"/>
        <w:jc w:val="both"/>
        <w:rPr>
          <w:rFonts w:ascii="Arial" w:hAnsi="Arial" w:cs="Arial"/>
        </w:rPr>
      </w:pPr>
      <w:r>
        <w:rPr>
          <w:rFonts w:ascii="Arial" w:hAnsi="Arial"/>
        </w:rPr>
        <w:t>Zapach i smak: typowe i charakterystyczne aromaty dla oliwy z oliwek z pierwszego tłoczenia użytej w mieszaninie. Nie wykazuje zmian ani zanieczyszczeń, ani wad wykraczających poza typowe cechy użytej oliwy z oliwek z pierwszego tłoczenia.</w:t>
      </w:r>
    </w:p>
    <w:p w14:paraId="68E598BC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Wilgotność i substancje lotne: ≤ 0,1%.</w:t>
      </w:r>
    </w:p>
    <w:p w14:paraId="4B215FA1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Zanieczyszczenia nierozpuszczalne w eterze naftowym: ≤ 0,05%.</w:t>
      </w:r>
    </w:p>
    <w:p w14:paraId="5A5E9394" w14:textId="77777777" w:rsidR="00F44FDF" w:rsidRPr="00DE35E8" w:rsidRDefault="00F44FDF" w:rsidP="00B503A1">
      <w:pPr>
        <w:pStyle w:val="Default"/>
        <w:spacing w:after="240"/>
        <w:ind w:left="142"/>
        <w:rPr>
          <w:color w:val="auto"/>
        </w:rPr>
      </w:pPr>
      <w:r>
        <w:rPr>
          <w:color w:val="auto"/>
        </w:rPr>
        <w:t xml:space="preserve">Pozostałości mydła: Wynik negatywny. </w:t>
      </w:r>
    </w:p>
    <w:p w14:paraId="79508AC6" w14:textId="77777777" w:rsidR="00F44FDF" w:rsidRPr="00DE35E8" w:rsidRDefault="00F44FDF" w:rsidP="00B503A1">
      <w:pPr>
        <w:keepNext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c) Rafinowana oliwa z oliwek:</w:t>
      </w:r>
    </w:p>
    <w:p w14:paraId="21E8D15B" w14:textId="77777777" w:rsidR="00F44FDF" w:rsidRPr="00DE35E8" w:rsidRDefault="00F44FDF" w:rsidP="00B503A1">
      <w:pPr>
        <w:spacing w:before="100" w:beforeAutospacing="1"/>
        <w:ind w:left="142"/>
        <w:jc w:val="both"/>
        <w:rPr>
          <w:rFonts w:ascii="Arial" w:hAnsi="Arial" w:cs="Arial"/>
        </w:rPr>
      </w:pPr>
      <w:r>
        <w:rPr>
          <w:rFonts w:ascii="Arial" w:hAnsi="Arial"/>
        </w:rPr>
        <w:t>Wygląd: klarowna, klarowność utrzymująca się w temp. 20ºC ± 2ºC przez 24 godziny.</w:t>
      </w:r>
    </w:p>
    <w:p w14:paraId="7BB45A9C" w14:textId="77777777" w:rsidR="00F44FDF" w:rsidRPr="00DE35E8" w:rsidRDefault="00F44FDF" w:rsidP="00B503A1">
      <w:pPr>
        <w:ind w:left="142"/>
        <w:jc w:val="both"/>
        <w:rPr>
          <w:rFonts w:ascii="Arial" w:hAnsi="Arial" w:cs="Arial"/>
        </w:rPr>
      </w:pPr>
      <w:r>
        <w:rPr>
          <w:rFonts w:ascii="Arial" w:hAnsi="Arial"/>
        </w:rPr>
        <w:t>Zapach i smak: neutralna, niewykazująca oznak jełczenia, zmian lub zanieczyszczenia.</w:t>
      </w:r>
    </w:p>
    <w:p w14:paraId="5105089C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Wilgotność i substancje lotne: ≤ 0,1%.</w:t>
      </w:r>
    </w:p>
    <w:p w14:paraId="49281EEA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Zanieczyszczenia nierozpuszczalne w eterze naftowym: ≤ 0,05%.</w:t>
      </w:r>
    </w:p>
    <w:p w14:paraId="2336D379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Pozostałości mydła: Wynik negatywny.</w:t>
      </w:r>
    </w:p>
    <w:p w14:paraId="095B81FB" w14:textId="77777777" w:rsidR="00F44FDF" w:rsidRPr="00DE35E8" w:rsidRDefault="00F44FDF" w:rsidP="00B503A1">
      <w:pPr>
        <w:keepNext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>d) Rafinowana oliwa z wytłoczyn z oliwek.</w:t>
      </w:r>
    </w:p>
    <w:p w14:paraId="1696366E" w14:textId="77777777" w:rsidR="00F44FDF" w:rsidRPr="00DE35E8" w:rsidRDefault="00F44FDF" w:rsidP="00F46522">
      <w:pPr>
        <w:keepNext/>
        <w:keepLines/>
        <w:spacing w:before="100" w:beforeAutospacing="1"/>
        <w:ind w:left="142"/>
        <w:jc w:val="both"/>
        <w:rPr>
          <w:rFonts w:ascii="Arial" w:hAnsi="Arial" w:cs="Arial"/>
        </w:rPr>
      </w:pPr>
      <w:r>
        <w:rPr>
          <w:rFonts w:ascii="Arial" w:hAnsi="Arial"/>
        </w:rPr>
        <w:t>Wygląd: klarowna, klarowność utrzymująca się w temp. 20ºC ± 2ºC przez 24 godziny.</w:t>
      </w:r>
    </w:p>
    <w:p w14:paraId="1BB2CEF0" w14:textId="77777777" w:rsidR="00F44FDF" w:rsidRPr="00DE35E8" w:rsidRDefault="00F44FDF" w:rsidP="00F46522">
      <w:pPr>
        <w:keepNext/>
        <w:keepLines/>
        <w:ind w:left="142"/>
        <w:jc w:val="both"/>
        <w:rPr>
          <w:rFonts w:ascii="Arial" w:hAnsi="Arial" w:cs="Arial"/>
        </w:rPr>
      </w:pPr>
      <w:r>
        <w:rPr>
          <w:rFonts w:ascii="Arial" w:hAnsi="Arial"/>
        </w:rPr>
        <w:t>Zapach i smak: neutralna, niewykazująca oznak jełczenia, zmian lub zanieczyszczenia.</w:t>
      </w:r>
    </w:p>
    <w:p w14:paraId="35B990C6" w14:textId="77777777" w:rsidR="00F44FDF" w:rsidRPr="00DE35E8" w:rsidRDefault="00F44FDF" w:rsidP="00F46522">
      <w:pPr>
        <w:pStyle w:val="Default"/>
        <w:keepNext/>
        <w:keepLines/>
        <w:ind w:left="142"/>
        <w:rPr>
          <w:color w:val="auto"/>
        </w:rPr>
      </w:pPr>
      <w:r>
        <w:rPr>
          <w:color w:val="auto"/>
        </w:rPr>
        <w:t>Wilgotność i substancje lotne: ≤ 0,1%.</w:t>
      </w:r>
    </w:p>
    <w:p w14:paraId="2AF3CFA0" w14:textId="77777777" w:rsidR="00F44FDF" w:rsidRPr="00DE35E8" w:rsidRDefault="00F44FDF" w:rsidP="00F46522">
      <w:pPr>
        <w:pStyle w:val="Default"/>
        <w:keepNext/>
        <w:keepLines/>
        <w:ind w:left="142"/>
        <w:rPr>
          <w:color w:val="auto"/>
        </w:rPr>
      </w:pPr>
      <w:r>
        <w:rPr>
          <w:color w:val="auto"/>
        </w:rPr>
        <w:t>Zanieczyszczenia nierozpuszczalne w eterze naftowym: ≤ 0,05%.</w:t>
      </w:r>
    </w:p>
    <w:p w14:paraId="667102D7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Pozostałości mydła: Wynik negatywny.</w:t>
      </w:r>
    </w:p>
    <w:p w14:paraId="1886EA85" w14:textId="77777777" w:rsidR="00F44FDF" w:rsidRPr="00DE35E8" w:rsidRDefault="00F44FDF" w:rsidP="00B503A1">
      <w:pPr>
        <w:keepNext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e) Oliwa z wytłoczyn z oliwek.</w:t>
      </w:r>
    </w:p>
    <w:p w14:paraId="0ADF9FD3" w14:textId="77777777" w:rsidR="00F44FDF" w:rsidRPr="00DE35E8" w:rsidRDefault="00F44FDF" w:rsidP="00B503A1">
      <w:pPr>
        <w:spacing w:before="100" w:beforeAutospacing="1"/>
        <w:ind w:left="142"/>
        <w:jc w:val="both"/>
        <w:rPr>
          <w:rFonts w:ascii="Arial" w:hAnsi="Arial" w:cs="Arial"/>
        </w:rPr>
      </w:pPr>
      <w:r>
        <w:rPr>
          <w:rFonts w:ascii="Arial" w:hAnsi="Arial"/>
        </w:rPr>
        <w:t>Wygląd: klarowna, klarowność utrzymująca się w temp. 20ºC ± 2ºC przez 24 godziny.</w:t>
      </w:r>
    </w:p>
    <w:p w14:paraId="40031B46" w14:textId="77777777" w:rsidR="00F44FDF" w:rsidRPr="00DE35E8" w:rsidRDefault="00F44FDF" w:rsidP="00B503A1">
      <w:pPr>
        <w:pStyle w:val="Default"/>
        <w:ind w:left="142"/>
        <w:jc w:val="both"/>
        <w:rPr>
          <w:color w:val="auto"/>
        </w:rPr>
      </w:pPr>
      <w:r>
        <w:rPr>
          <w:color w:val="auto"/>
        </w:rPr>
        <w:t xml:space="preserve">Zapach i smak: typowe i charakterystyczne aromaty dla oliwy z oliwek z pierwszego tłoczenia użytej w mieszaninie. Nie wykazuje zmian ani zanieczyszczeń, ani wad wykraczających poza typowe cechy użytej oliwy z oliwek z pierwszego tłoczenia. </w:t>
      </w:r>
    </w:p>
    <w:p w14:paraId="523A1A0E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Wilgotność i substancje lotne: ≤ 0,1%.</w:t>
      </w:r>
    </w:p>
    <w:p w14:paraId="1A066BD2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Zanieczyszczenia nierozpuszczalne w eterze naftowym: ≤ 0,05%.</w:t>
      </w:r>
    </w:p>
    <w:p w14:paraId="03631DE0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Pozostałości mydła: Wynik negatywny.</w:t>
      </w:r>
    </w:p>
    <w:sectPr w:rsidR="00F44FDF" w:rsidRPr="00DE35E8" w:rsidSect="001420A7">
      <w:footerReference w:type="default" r:id="rId10"/>
      <w:footerReference w:type="first" r:id="rId11"/>
      <w:type w:val="continuous"/>
      <w:pgSz w:w="11906" w:h="16838" w:code="9"/>
      <w:pgMar w:top="1418" w:right="1418" w:bottom="1418" w:left="1418" w:header="289" w:footer="10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50D89" w14:textId="77777777" w:rsidR="00631FB1" w:rsidRDefault="00631FB1">
      <w:r>
        <w:separator/>
      </w:r>
    </w:p>
  </w:endnote>
  <w:endnote w:type="continuationSeparator" w:id="0">
    <w:p w14:paraId="48FCF748" w14:textId="77777777" w:rsidR="00631FB1" w:rsidRDefault="00631FB1">
      <w:r>
        <w:continuationSeparator/>
      </w:r>
    </w:p>
  </w:endnote>
  <w:endnote w:type="continuationNotice" w:id="1">
    <w:p w14:paraId="4FC324FF" w14:textId="77777777" w:rsidR="00631FB1" w:rsidRDefault="00631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ABFBA" w14:textId="150F4AF6" w:rsidR="0057137A" w:rsidRDefault="0057137A" w:rsidP="00171CCA">
    <w:pPr>
      <w:tabs>
        <w:tab w:val="center" w:pos="4550"/>
        <w:tab w:val="left" w:pos="5818"/>
      </w:tabs>
      <w:ind w:right="260"/>
      <w:jc w:val="right"/>
    </w:pPr>
    <w:r>
      <w:rPr>
        <w:color w:val="8496B0"/>
      </w:rPr>
      <w:t xml:space="preserve">Strona </w:t>
    </w:r>
    <w:r w:rsidRPr="00F61249">
      <w:rPr>
        <w:color w:val="323E4F"/>
      </w:rPr>
      <w:fldChar w:fldCharType="begin"/>
    </w:r>
    <w:r w:rsidRPr="00F61249">
      <w:rPr>
        <w:color w:val="323E4F"/>
      </w:rPr>
      <w:instrText>PAGE   \* MERGEFORMAT</w:instrText>
    </w:r>
    <w:r w:rsidRPr="00F61249">
      <w:rPr>
        <w:color w:val="323E4F"/>
      </w:rPr>
      <w:fldChar w:fldCharType="separate"/>
    </w:r>
    <w:r w:rsidR="002209F6">
      <w:rPr>
        <w:color w:val="323E4F"/>
      </w:rPr>
      <w:t>12</w:t>
    </w:r>
    <w:r w:rsidRPr="00F61249">
      <w:rPr>
        <w:color w:val="323E4F"/>
      </w:rPr>
      <w:fldChar w:fldCharType="end"/>
    </w:r>
    <w:r>
      <w:rPr>
        <w:color w:val="323E4F"/>
      </w:rPr>
      <w:t xml:space="preserve"> | </w:t>
    </w:r>
    <w:r w:rsidRPr="00F61249">
      <w:rPr>
        <w:color w:val="323E4F"/>
      </w:rPr>
      <w:fldChar w:fldCharType="begin"/>
    </w:r>
    <w:r w:rsidRPr="00F61249">
      <w:rPr>
        <w:color w:val="323E4F"/>
      </w:rPr>
      <w:instrText>NUMPAGES  \* Arabic  \* MERGEFORMAT</w:instrText>
    </w:r>
    <w:r w:rsidRPr="00F61249">
      <w:rPr>
        <w:color w:val="323E4F"/>
      </w:rPr>
      <w:fldChar w:fldCharType="separate"/>
    </w:r>
    <w:r w:rsidR="002209F6">
      <w:rPr>
        <w:color w:val="323E4F"/>
      </w:rPr>
      <w:t>17</w:t>
    </w:r>
    <w:r w:rsidRPr="00F61249">
      <w:rPr>
        <w:color w:val="323E4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9A84E" w14:textId="05B47CE1" w:rsidR="0057137A" w:rsidRPr="00621B3D" w:rsidRDefault="0057137A" w:rsidP="009E3783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12700" w14:textId="77777777" w:rsidR="00631FB1" w:rsidRDefault="00631FB1">
      <w:r>
        <w:separator/>
      </w:r>
    </w:p>
  </w:footnote>
  <w:footnote w:type="continuationSeparator" w:id="0">
    <w:p w14:paraId="43E91750" w14:textId="77777777" w:rsidR="00631FB1" w:rsidRDefault="00631FB1">
      <w:r>
        <w:continuationSeparator/>
      </w:r>
    </w:p>
  </w:footnote>
  <w:footnote w:type="continuationNotice" w:id="1">
    <w:p w14:paraId="34E0121E" w14:textId="77777777" w:rsidR="00631FB1" w:rsidRDefault="00631F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03BF6"/>
    <w:multiLevelType w:val="hybridMultilevel"/>
    <w:tmpl w:val="51604DDE"/>
    <w:lvl w:ilvl="0" w:tplc="283CE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5246"/>
    <w:multiLevelType w:val="hybridMultilevel"/>
    <w:tmpl w:val="49A83D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72C8"/>
    <w:multiLevelType w:val="hybridMultilevel"/>
    <w:tmpl w:val="10F4C1A6"/>
    <w:lvl w:ilvl="0" w:tplc="B1BADD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945640"/>
    <w:multiLevelType w:val="hybridMultilevel"/>
    <w:tmpl w:val="D0E0CB22"/>
    <w:lvl w:ilvl="0" w:tplc="0C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E72B1F"/>
    <w:multiLevelType w:val="hybridMultilevel"/>
    <w:tmpl w:val="2F763C4A"/>
    <w:lvl w:ilvl="0" w:tplc="624A3E0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CF6743A"/>
    <w:multiLevelType w:val="hybridMultilevel"/>
    <w:tmpl w:val="E2A8E842"/>
    <w:lvl w:ilvl="0" w:tplc="9624541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853E5"/>
    <w:multiLevelType w:val="hybridMultilevel"/>
    <w:tmpl w:val="E7C2AA8C"/>
    <w:lvl w:ilvl="0" w:tplc="AD52C1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F78B0"/>
    <w:multiLevelType w:val="hybridMultilevel"/>
    <w:tmpl w:val="A7F6F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F097E"/>
    <w:multiLevelType w:val="hybridMultilevel"/>
    <w:tmpl w:val="66D8E556"/>
    <w:lvl w:ilvl="0" w:tplc="C4A237A8">
      <w:start w:val="1"/>
      <w:numFmt w:val="lowerLetter"/>
      <w:lvlText w:val="%1)"/>
      <w:lvlJc w:val="left"/>
      <w:pPr>
        <w:ind w:left="502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3A35298"/>
    <w:multiLevelType w:val="multilevel"/>
    <w:tmpl w:val="3ADEA386"/>
    <w:lvl w:ilvl="0">
      <w:start w:val="1"/>
      <w:numFmt w:val="decimal"/>
      <w:pStyle w:val="Apartado"/>
      <w:suff w:val="space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0" w15:restartNumberingAfterBreak="0">
    <w:nsid w:val="65FB2278"/>
    <w:multiLevelType w:val="hybridMultilevel"/>
    <w:tmpl w:val="3496C122"/>
    <w:lvl w:ilvl="0" w:tplc="C1A43872">
      <w:start w:val="3"/>
      <w:numFmt w:val="bullet"/>
      <w:lvlText w:val="-"/>
      <w:lvlJc w:val="left"/>
      <w:pPr>
        <w:ind w:left="786" w:hanging="360"/>
      </w:pPr>
      <w:rPr>
        <w:rFonts w:ascii="Georgia" w:eastAsia="Georgia" w:hAnsi="Georgia" w:cs="Georg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C726E"/>
    <w:multiLevelType w:val="hybridMultilevel"/>
    <w:tmpl w:val="98BCE8D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6A118F"/>
    <w:multiLevelType w:val="hybridMultilevel"/>
    <w:tmpl w:val="F1ECA694"/>
    <w:lvl w:ilvl="0" w:tplc="13169E5E">
      <w:start w:val="5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75A74FC5"/>
    <w:multiLevelType w:val="hybridMultilevel"/>
    <w:tmpl w:val="C83AFA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2"/>
  </w:num>
  <w:num w:numId="5">
    <w:abstractNumId w:val="12"/>
  </w:num>
  <w:num w:numId="6">
    <w:abstractNumId w:val="11"/>
  </w:num>
  <w:num w:numId="7">
    <w:abstractNumId w:val="3"/>
  </w:num>
  <w:num w:numId="8">
    <w:abstractNumId w:val="13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  <w:num w:numId="13">
    <w:abstractNumId w:val="4"/>
  </w:num>
  <w:num w:numId="1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CC5"/>
    <w:rsid w:val="0000091F"/>
    <w:rsid w:val="000010B6"/>
    <w:rsid w:val="0000170D"/>
    <w:rsid w:val="00001774"/>
    <w:rsid w:val="00001821"/>
    <w:rsid w:val="0000189E"/>
    <w:rsid w:val="00001AFC"/>
    <w:rsid w:val="00003192"/>
    <w:rsid w:val="00003321"/>
    <w:rsid w:val="00003C43"/>
    <w:rsid w:val="000061BF"/>
    <w:rsid w:val="00006E49"/>
    <w:rsid w:val="000125A8"/>
    <w:rsid w:val="00012804"/>
    <w:rsid w:val="00013345"/>
    <w:rsid w:val="00013B30"/>
    <w:rsid w:val="0001472D"/>
    <w:rsid w:val="00015AF4"/>
    <w:rsid w:val="0001659F"/>
    <w:rsid w:val="00020B18"/>
    <w:rsid w:val="00021F99"/>
    <w:rsid w:val="000228D0"/>
    <w:rsid w:val="000231C0"/>
    <w:rsid w:val="000307FA"/>
    <w:rsid w:val="00030B12"/>
    <w:rsid w:val="00032401"/>
    <w:rsid w:val="00032804"/>
    <w:rsid w:val="00032E4D"/>
    <w:rsid w:val="00033181"/>
    <w:rsid w:val="00034163"/>
    <w:rsid w:val="00034EC0"/>
    <w:rsid w:val="00035038"/>
    <w:rsid w:val="0003510D"/>
    <w:rsid w:val="00035AA4"/>
    <w:rsid w:val="00035C11"/>
    <w:rsid w:val="000362FA"/>
    <w:rsid w:val="00036972"/>
    <w:rsid w:val="000369B7"/>
    <w:rsid w:val="00036F65"/>
    <w:rsid w:val="00037E18"/>
    <w:rsid w:val="000401C0"/>
    <w:rsid w:val="00040958"/>
    <w:rsid w:val="000424A3"/>
    <w:rsid w:val="0004276D"/>
    <w:rsid w:val="00042B0E"/>
    <w:rsid w:val="000444CA"/>
    <w:rsid w:val="00044A5F"/>
    <w:rsid w:val="00045560"/>
    <w:rsid w:val="00045BA1"/>
    <w:rsid w:val="00045FF5"/>
    <w:rsid w:val="00046351"/>
    <w:rsid w:val="000464F0"/>
    <w:rsid w:val="0004691F"/>
    <w:rsid w:val="00046DB8"/>
    <w:rsid w:val="000478CF"/>
    <w:rsid w:val="000478EB"/>
    <w:rsid w:val="00047C2A"/>
    <w:rsid w:val="0005005E"/>
    <w:rsid w:val="000532D8"/>
    <w:rsid w:val="000565EA"/>
    <w:rsid w:val="000609B0"/>
    <w:rsid w:val="00060B7F"/>
    <w:rsid w:val="00061819"/>
    <w:rsid w:val="00062C42"/>
    <w:rsid w:val="0006387E"/>
    <w:rsid w:val="00064015"/>
    <w:rsid w:val="0006515E"/>
    <w:rsid w:val="00065517"/>
    <w:rsid w:val="00065592"/>
    <w:rsid w:val="00065EB0"/>
    <w:rsid w:val="00066154"/>
    <w:rsid w:val="00066ECC"/>
    <w:rsid w:val="00067E7C"/>
    <w:rsid w:val="00070C53"/>
    <w:rsid w:val="00071648"/>
    <w:rsid w:val="00072EB9"/>
    <w:rsid w:val="0007360C"/>
    <w:rsid w:val="000773C3"/>
    <w:rsid w:val="0007779F"/>
    <w:rsid w:val="0008180D"/>
    <w:rsid w:val="000824B8"/>
    <w:rsid w:val="0008253C"/>
    <w:rsid w:val="00082DDF"/>
    <w:rsid w:val="000842C8"/>
    <w:rsid w:val="00084640"/>
    <w:rsid w:val="00084BD8"/>
    <w:rsid w:val="00086D3C"/>
    <w:rsid w:val="00086E51"/>
    <w:rsid w:val="00087CAC"/>
    <w:rsid w:val="00090536"/>
    <w:rsid w:val="000907F0"/>
    <w:rsid w:val="00090DE5"/>
    <w:rsid w:val="00090F85"/>
    <w:rsid w:val="000927D6"/>
    <w:rsid w:val="00093D45"/>
    <w:rsid w:val="00094F50"/>
    <w:rsid w:val="00094FE2"/>
    <w:rsid w:val="000950CE"/>
    <w:rsid w:val="00095F96"/>
    <w:rsid w:val="00096B8F"/>
    <w:rsid w:val="000A2D62"/>
    <w:rsid w:val="000A4F07"/>
    <w:rsid w:val="000B10E0"/>
    <w:rsid w:val="000B12D4"/>
    <w:rsid w:val="000B18AF"/>
    <w:rsid w:val="000B2071"/>
    <w:rsid w:val="000B20B1"/>
    <w:rsid w:val="000B4B5B"/>
    <w:rsid w:val="000B53F1"/>
    <w:rsid w:val="000B5970"/>
    <w:rsid w:val="000B61B1"/>
    <w:rsid w:val="000B6A17"/>
    <w:rsid w:val="000B6CAF"/>
    <w:rsid w:val="000B6D10"/>
    <w:rsid w:val="000B7E7B"/>
    <w:rsid w:val="000C0347"/>
    <w:rsid w:val="000C0E4B"/>
    <w:rsid w:val="000C1AA8"/>
    <w:rsid w:val="000C31CA"/>
    <w:rsid w:val="000D081F"/>
    <w:rsid w:val="000D3AFA"/>
    <w:rsid w:val="000D3BF3"/>
    <w:rsid w:val="000D3DB1"/>
    <w:rsid w:val="000D4523"/>
    <w:rsid w:val="000D4B07"/>
    <w:rsid w:val="000D7913"/>
    <w:rsid w:val="000D7DE8"/>
    <w:rsid w:val="000D7FEB"/>
    <w:rsid w:val="000E0C83"/>
    <w:rsid w:val="000E1390"/>
    <w:rsid w:val="000E3CA6"/>
    <w:rsid w:val="000E44EE"/>
    <w:rsid w:val="000E5876"/>
    <w:rsid w:val="000F15D7"/>
    <w:rsid w:val="000F190F"/>
    <w:rsid w:val="000F223B"/>
    <w:rsid w:val="000F2D75"/>
    <w:rsid w:val="000F345B"/>
    <w:rsid w:val="000F4114"/>
    <w:rsid w:val="000F5695"/>
    <w:rsid w:val="000F589B"/>
    <w:rsid w:val="000F6AF7"/>
    <w:rsid w:val="000F71BF"/>
    <w:rsid w:val="000F7912"/>
    <w:rsid w:val="00100438"/>
    <w:rsid w:val="00100CF7"/>
    <w:rsid w:val="00101AEC"/>
    <w:rsid w:val="00101CA0"/>
    <w:rsid w:val="0010208E"/>
    <w:rsid w:val="00102323"/>
    <w:rsid w:val="00103BB6"/>
    <w:rsid w:val="001042A5"/>
    <w:rsid w:val="00105E96"/>
    <w:rsid w:val="00106526"/>
    <w:rsid w:val="001068CC"/>
    <w:rsid w:val="00106A9B"/>
    <w:rsid w:val="00107E79"/>
    <w:rsid w:val="00113AF5"/>
    <w:rsid w:val="00113E25"/>
    <w:rsid w:val="0011441C"/>
    <w:rsid w:val="0011544E"/>
    <w:rsid w:val="00115574"/>
    <w:rsid w:val="0011725C"/>
    <w:rsid w:val="0011757E"/>
    <w:rsid w:val="00117D32"/>
    <w:rsid w:val="00120816"/>
    <w:rsid w:val="00120900"/>
    <w:rsid w:val="00122661"/>
    <w:rsid w:val="001232AA"/>
    <w:rsid w:val="001252D9"/>
    <w:rsid w:val="00126449"/>
    <w:rsid w:val="0012660E"/>
    <w:rsid w:val="001305B6"/>
    <w:rsid w:val="00130EB2"/>
    <w:rsid w:val="0013224D"/>
    <w:rsid w:val="00135965"/>
    <w:rsid w:val="001364AB"/>
    <w:rsid w:val="00136D08"/>
    <w:rsid w:val="00137A8A"/>
    <w:rsid w:val="00137F91"/>
    <w:rsid w:val="00141016"/>
    <w:rsid w:val="001420A7"/>
    <w:rsid w:val="001428E6"/>
    <w:rsid w:val="00143A35"/>
    <w:rsid w:val="0014419E"/>
    <w:rsid w:val="00145530"/>
    <w:rsid w:val="00145FA3"/>
    <w:rsid w:val="001463A5"/>
    <w:rsid w:val="00146BC2"/>
    <w:rsid w:val="00146D9B"/>
    <w:rsid w:val="00147C5C"/>
    <w:rsid w:val="00150B8F"/>
    <w:rsid w:val="00150FA7"/>
    <w:rsid w:val="00151334"/>
    <w:rsid w:val="00151451"/>
    <w:rsid w:val="0015241B"/>
    <w:rsid w:val="0015465D"/>
    <w:rsid w:val="00154D2A"/>
    <w:rsid w:val="001553E6"/>
    <w:rsid w:val="0015632A"/>
    <w:rsid w:val="00156ACE"/>
    <w:rsid w:val="0015724C"/>
    <w:rsid w:val="00157686"/>
    <w:rsid w:val="00157CD4"/>
    <w:rsid w:val="0016023E"/>
    <w:rsid w:val="00160C71"/>
    <w:rsid w:val="00160F55"/>
    <w:rsid w:val="00161522"/>
    <w:rsid w:val="0016260B"/>
    <w:rsid w:val="001643B0"/>
    <w:rsid w:val="00165985"/>
    <w:rsid w:val="00167776"/>
    <w:rsid w:val="00167ADE"/>
    <w:rsid w:val="00171CCA"/>
    <w:rsid w:val="00171EC3"/>
    <w:rsid w:val="0017244E"/>
    <w:rsid w:val="001736F7"/>
    <w:rsid w:val="00173FA1"/>
    <w:rsid w:val="001742B8"/>
    <w:rsid w:val="001749DC"/>
    <w:rsid w:val="00176068"/>
    <w:rsid w:val="001769C9"/>
    <w:rsid w:val="00180B41"/>
    <w:rsid w:val="00181029"/>
    <w:rsid w:val="00182013"/>
    <w:rsid w:val="00182368"/>
    <w:rsid w:val="001829F2"/>
    <w:rsid w:val="00183FDE"/>
    <w:rsid w:val="001846B6"/>
    <w:rsid w:val="00186871"/>
    <w:rsid w:val="001876B7"/>
    <w:rsid w:val="00190979"/>
    <w:rsid w:val="00190F1E"/>
    <w:rsid w:val="0019190E"/>
    <w:rsid w:val="0019348F"/>
    <w:rsid w:val="001943BA"/>
    <w:rsid w:val="00194432"/>
    <w:rsid w:val="00194682"/>
    <w:rsid w:val="00195482"/>
    <w:rsid w:val="00195A66"/>
    <w:rsid w:val="00197F7D"/>
    <w:rsid w:val="001A0CCB"/>
    <w:rsid w:val="001A2371"/>
    <w:rsid w:val="001A2719"/>
    <w:rsid w:val="001A2D71"/>
    <w:rsid w:val="001A35F3"/>
    <w:rsid w:val="001A3722"/>
    <w:rsid w:val="001A5640"/>
    <w:rsid w:val="001A68BC"/>
    <w:rsid w:val="001A713D"/>
    <w:rsid w:val="001B1BC8"/>
    <w:rsid w:val="001B2691"/>
    <w:rsid w:val="001B2AFF"/>
    <w:rsid w:val="001B4CF9"/>
    <w:rsid w:val="001B4EA6"/>
    <w:rsid w:val="001B59C5"/>
    <w:rsid w:val="001B5C43"/>
    <w:rsid w:val="001B6D0C"/>
    <w:rsid w:val="001C0B5F"/>
    <w:rsid w:val="001C21A4"/>
    <w:rsid w:val="001C6414"/>
    <w:rsid w:val="001C7625"/>
    <w:rsid w:val="001D1A3F"/>
    <w:rsid w:val="001D1F98"/>
    <w:rsid w:val="001D31FE"/>
    <w:rsid w:val="001D5D77"/>
    <w:rsid w:val="001D734B"/>
    <w:rsid w:val="001E3D94"/>
    <w:rsid w:val="001E411F"/>
    <w:rsid w:val="001E6173"/>
    <w:rsid w:val="001F08ED"/>
    <w:rsid w:val="001F37E7"/>
    <w:rsid w:val="001F3A12"/>
    <w:rsid w:val="001F3B48"/>
    <w:rsid w:val="001F4094"/>
    <w:rsid w:val="001F4E6F"/>
    <w:rsid w:val="001F5260"/>
    <w:rsid w:val="001F5E23"/>
    <w:rsid w:val="001F5FD9"/>
    <w:rsid w:val="001F732F"/>
    <w:rsid w:val="001F7491"/>
    <w:rsid w:val="002036CA"/>
    <w:rsid w:val="002038D6"/>
    <w:rsid w:val="00204D4C"/>
    <w:rsid w:val="0020526C"/>
    <w:rsid w:val="002079F8"/>
    <w:rsid w:val="00210F29"/>
    <w:rsid w:val="00212024"/>
    <w:rsid w:val="00212097"/>
    <w:rsid w:val="002132E8"/>
    <w:rsid w:val="00213758"/>
    <w:rsid w:val="002142CB"/>
    <w:rsid w:val="00215165"/>
    <w:rsid w:val="00216DFB"/>
    <w:rsid w:val="002209F6"/>
    <w:rsid w:val="0022198A"/>
    <w:rsid w:val="00225C90"/>
    <w:rsid w:val="00227A8E"/>
    <w:rsid w:val="00227C79"/>
    <w:rsid w:val="00232186"/>
    <w:rsid w:val="002324D7"/>
    <w:rsid w:val="002329BD"/>
    <w:rsid w:val="00234AA1"/>
    <w:rsid w:val="00235516"/>
    <w:rsid w:val="00236202"/>
    <w:rsid w:val="002371A9"/>
    <w:rsid w:val="002379C0"/>
    <w:rsid w:val="00240127"/>
    <w:rsid w:val="00241084"/>
    <w:rsid w:val="002417C2"/>
    <w:rsid w:val="00243DE4"/>
    <w:rsid w:val="00245B8E"/>
    <w:rsid w:val="00245EB0"/>
    <w:rsid w:val="00246E62"/>
    <w:rsid w:val="00247BEB"/>
    <w:rsid w:val="002513DD"/>
    <w:rsid w:val="002514A8"/>
    <w:rsid w:val="0025183A"/>
    <w:rsid w:val="00252BBB"/>
    <w:rsid w:val="0025349E"/>
    <w:rsid w:val="00254EF8"/>
    <w:rsid w:val="00255008"/>
    <w:rsid w:val="00260A6B"/>
    <w:rsid w:val="00262849"/>
    <w:rsid w:val="00263ACB"/>
    <w:rsid w:val="002649FB"/>
    <w:rsid w:val="00264C0B"/>
    <w:rsid w:val="00264EB1"/>
    <w:rsid w:val="0026502B"/>
    <w:rsid w:val="00265AB7"/>
    <w:rsid w:val="00265DD8"/>
    <w:rsid w:val="00266E17"/>
    <w:rsid w:val="00266F50"/>
    <w:rsid w:val="002674DB"/>
    <w:rsid w:val="00267F2F"/>
    <w:rsid w:val="002734BB"/>
    <w:rsid w:val="002746C2"/>
    <w:rsid w:val="002766C9"/>
    <w:rsid w:val="00276829"/>
    <w:rsid w:val="002768D6"/>
    <w:rsid w:val="002805CD"/>
    <w:rsid w:val="00282C91"/>
    <w:rsid w:val="00284F6D"/>
    <w:rsid w:val="00285452"/>
    <w:rsid w:val="00285CB6"/>
    <w:rsid w:val="00287109"/>
    <w:rsid w:val="00287E25"/>
    <w:rsid w:val="00291E45"/>
    <w:rsid w:val="00293196"/>
    <w:rsid w:val="0029541E"/>
    <w:rsid w:val="002958A0"/>
    <w:rsid w:val="00296E85"/>
    <w:rsid w:val="002975B3"/>
    <w:rsid w:val="002978D0"/>
    <w:rsid w:val="00297A11"/>
    <w:rsid w:val="00297EE6"/>
    <w:rsid w:val="002A0B88"/>
    <w:rsid w:val="002A0CA8"/>
    <w:rsid w:val="002A27F3"/>
    <w:rsid w:val="002A3D78"/>
    <w:rsid w:val="002A5503"/>
    <w:rsid w:val="002A59BC"/>
    <w:rsid w:val="002A6395"/>
    <w:rsid w:val="002A6F90"/>
    <w:rsid w:val="002B1127"/>
    <w:rsid w:val="002B1F39"/>
    <w:rsid w:val="002B26B0"/>
    <w:rsid w:val="002B383F"/>
    <w:rsid w:val="002B6C27"/>
    <w:rsid w:val="002B777A"/>
    <w:rsid w:val="002C1205"/>
    <w:rsid w:val="002C1A5B"/>
    <w:rsid w:val="002C1EFC"/>
    <w:rsid w:val="002C3F4C"/>
    <w:rsid w:val="002C54F7"/>
    <w:rsid w:val="002C563F"/>
    <w:rsid w:val="002C598E"/>
    <w:rsid w:val="002C5AED"/>
    <w:rsid w:val="002C5C17"/>
    <w:rsid w:val="002C5DC6"/>
    <w:rsid w:val="002C6A91"/>
    <w:rsid w:val="002C76F1"/>
    <w:rsid w:val="002D011A"/>
    <w:rsid w:val="002D1EFB"/>
    <w:rsid w:val="002D21C6"/>
    <w:rsid w:val="002D5B63"/>
    <w:rsid w:val="002D6098"/>
    <w:rsid w:val="002D646E"/>
    <w:rsid w:val="002D6502"/>
    <w:rsid w:val="002E0255"/>
    <w:rsid w:val="002E05F4"/>
    <w:rsid w:val="002E1061"/>
    <w:rsid w:val="002E3133"/>
    <w:rsid w:val="002E3B1C"/>
    <w:rsid w:val="002E3E41"/>
    <w:rsid w:val="002E4014"/>
    <w:rsid w:val="002E607B"/>
    <w:rsid w:val="002E79E9"/>
    <w:rsid w:val="002E7B1F"/>
    <w:rsid w:val="002F06F7"/>
    <w:rsid w:val="002F0C62"/>
    <w:rsid w:val="002F12CD"/>
    <w:rsid w:val="002F39C5"/>
    <w:rsid w:val="002F464D"/>
    <w:rsid w:val="002F4AED"/>
    <w:rsid w:val="002F55A7"/>
    <w:rsid w:val="002F5833"/>
    <w:rsid w:val="002F583F"/>
    <w:rsid w:val="002F5EE8"/>
    <w:rsid w:val="002F71BC"/>
    <w:rsid w:val="002F7DC1"/>
    <w:rsid w:val="00300B23"/>
    <w:rsid w:val="003011C3"/>
    <w:rsid w:val="003012EE"/>
    <w:rsid w:val="003023F6"/>
    <w:rsid w:val="00303FFF"/>
    <w:rsid w:val="00304E19"/>
    <w:rsid w:val="00304E33"/>
    <w:rsid w:val="00307B37"/>
    <w:rsid w:val="00307D66"/>
    <w:rsid w:val="003109B6"/>
    <w:rsid w:val="00310BFA"/>
    <w:rsid w:val="00311D9E"/>
    <w:rsid w:val="003154C9"/>
    <w:rsid w:val="00316476"/>
    <w:rsid w:val="00321E6E"/>
    <w:rsid w:val="00321F37"/>
    <w:rsid w:val="00322E21"/>
    <w:rsid w:val="00323DDA"/>
    <w:rsid w:val="00324748"/>
    <w:rsid w:val="00324DD4"/>
    <w:rsid w:val="0032606E"/>
    <w:rsid w:val="00326D6E"/>
    <w:rsid w:val="003305EC"/>
    <w:rsid w:val="00330BCE"/>
    <w:rsid w:val="00331B68"/>
    <w:rsid w:val="00332B01"/>
    <w:rsid w:val="003335F1"/>
    <w:rsid w:val="003340FE"/>
    <w:rsid w:val="00334B5B"/>
    <w:rsid w:val="00335625"/>
    <w:rsid w:val="003362BF"/>
    <w:rsid w:val="003370AB"/>
    <w:rsid w:val="00340A80"/>
    <w:rsid w:val="00340C1F"/>
    <w:rsid w:val="003411F5"/>
    <w:rsid w:val="00341968"/>
    <w:rsid w:val="003422B3"/>
    <w:rsid w:val="0034439B"/>
    <w:rsid w:val="00345065"/>
    <w:rsid w:val="00345916"/>
    <w:rsid w:val="00346174"/>
    <w:rsid w:val="00351269"/>
    <w:rsid w:val="00351F40"/>
    <w:rsid w:val="00352791"/>
    <w:rsid w:val="00352F7C"/>
    <w:rsid w:val="00354657"/>
    <w:rsid w:val="00354EFF"/>
    <w:rsid w:val="0035653C"/>
    <w:rsid w:val="0035719D"/>
    <w:rsid w:val="00360461"/>
    <w:rsid w:val="003604AD"/>
    <w:rsid w:val="00363670"/>
    <w:rsid w:val="0036389E"/>
    <w:rsid w:val="00364288"/>
    <w:rsid w:val="0036524D"/>
    <w:rsid w:val="0036569C"/>
    <w:rsid w:val="00367C19"/>
    <w:rsid w:val="00372435"/>
    <w:rsid w:val="00373351"/>
    <w:rsid w:val="003733FD"/>
    <w:rsid w:val="0037449C"/>
    <w:rsid w:val="00375B2D"/>
    <w:rsid w:val="00375EC1"/>
    <w:rsid w:val="0037688E"/>
    <w:rsid w:val="00377596"/>
    <w:rsid w:val="003804A3"/>
    <w:rsid w:val="00380D3B"/>
    <w:rsid w:val="00381BD1"/>
    <w:rsid w:val="00381F6D"/>
    <w:rsid w:val="003822F6"/>
    <w:rsid w:val="003853A8"/>
    <w:rsid w:val="00386130"/>
    <w:rsid w:val="00386F96"/>
    <w:rsid w:val="00387626"/>
    <w:rsid w:val="00390283"/>
    <w:rsid w:val="003914CA"/>
    <w:rsid w:val="003954F9"/>
    <w:rsid w:val="00395A8A"/>
    <w:rsid w:val="00395FE5"/>
    <w:rsid w:val="003960B4"/>
    <w:rsid w:val="00397AD4"/>
    <w:rsid w:val="00397DE4"/>
    <w:rsid w:val="003A04B7"/>
    <w:rsid w:val="003A0AB2"/>
    <w:rsid w:val="003A288D"/>
    <w:rsid w:val="003A35C2"/>
    <w:rsid w:val="003A3C31"/>
    <w:rsid w:val="003A3F5F"/>
    <w:rsid w:val="003A4E2E"/>
    <w:rsid w:val="003A59F3"/>
    <w:rsid w:val="003A6532"/>
    <w:rsid w:val="003A67CF"/>
    <w:rsid w:val="003A7BD8"/>
    <w:rsid w:val="003B0D91"/>
    <w:rsid w:val="003B1B70"/>
    <w:rsid w:val="003B27A5"/>
    <w:rsid w:val="003B416D"/>
    <w:rsid w:val="003B43C5"/>
    <w:rsid w:val="003B4AFA"/>
    <w:rsid w:val="003B56B5"/>
    <w:rsid w:val="003B64F2"/>
    <w:rsid w:val="003B77E4"/>
    <w:rsid w:val="003C195F"/>
    <w:rsid w:val="003C2BAC"/>
    <w:rsid w:val="003C2FB6"/>
    <w:rsid w:val="003C335A"/>
    <w:rsid w:val="003C35F6"/>
    <w:rsid w:val="003C4384"/>
    <w:rsid w:val="003C45F5"/>
    <w:rsid w:val="003C5AA8"/>
    <w:rsid w:val="003C7F06"/>
    <w:rsid w:val="003D0ED6"/>
    <w:rsid w:val="003D21DB"/>
    <w:rsid w:val="003D29A6"/>
    <w:rsid w:val="003D34D5"/>
    <w:rsid w:val="003D412A"/>
    <w:rsid w:val="003D44D4"/>
    <w:rsid w:val="003D4A74"/>
    <w:rsid w:val="003D56BD"/>
    <w:rsid w:val="003D5AD8"/>
    <w:rsid w:val="003D5B44"/>
    <w:rsid w:val="003D5FF0"/>
    <w:rsid w:val="003D693F"/>
    <w:rsid w:val="003D7272"/>
    <w:rsid w:val="003E0618"/>
    <w:rsid w:val="003E0B4A"/>
    <w:rsid w:val="003E0E58"/>
    <w:rsid w:val="003E31C9"/>
    <w:rsid w:val="003E3B2D"/>
    <w:rsid w:val="003E4009"/>
    <w:rsid w:val="003E4824"/>
    <w:rsid w:val="003E4A33"/>
    <w:rsid w:val="003E5ACB"/>
    <w:rsid w:val="003E6FEC"/>
    <w:rsid w:val="003E70E6"/>
    <w:rsid w:val="003F2187"/>
    <w:rsid w:val="003F31DB"/>
    <w:rsid w:val="003F3947"/>
    <w:rsid w:val="003F54B4"/>
    <w:rsid w:val="003F5788"/>
    <w:rsid w:val="003F61B7"/>
    <w:rsid w:val="003F62ED"/>
    <w:rsid w:val="00400AED"/>
    <w:rsid w:val="00401529"/>
    <w:rsid w:val="0040379A"/>
    <w:rsid w:val="00403F95"/>
    <w:rsid w:val="00404227"/>
    <w:rsid w:val="004051A5"/>
    <w:rsid w:val="00405556"/>
    <w:rsid w:val="004065EE"/>
    <w:rsid w:val="00406B5D"/>
    <w:rsid w:val="0041264E"/>
    <w:rsid w:val="00412CDE"/>
    <w:rsid w:val="00413D2F"/>
    <w:rsid w:val="00413E81"/>
    <w:rsid w:val="004145C3"/>
    <w:rsid w:val="00416746"/>
    <w:rsid w:val="004207E1"/>
    <w:rsid w:val="00421E97"/>
    <w:rsid w:val="00421ECF"/>
    <w:rsid w:val="0042371C"/>
    <w:rsid w:val="00423BF9"/>
    <w:rsid w:val="00425202"/>
    <w:rsid w:val="00426689"/>
    <w:rsid w:val="00426E4E"/>
    <w:rsid w:val="0043108A"/>
    <w:rsid w:val="00432726"/>
    <w:rsid w:val="00434B95"/>
    <w:rsid w:val="00434F0E"/>
    <w:rsid w:val="004354B1"/>
    <w:rsid w:val="00441AC5"/>
    <w:rsid w:val="00444097"/>
    <w:rsid w:val="004458CC"/>
    <w:rsid w:val="0044687A"/>
    <w:rsid w:val="004508A2"/>
    <w:rsid w:val="00450DB4"/>
    <w:rsid w:val="004516D3"/>
    <w:rsid w:val="00455825"/>
    <w:rsid w:val="004567C3"/>
    <w:rsid w:val="00456B64"/>
    <w:rsid w:val="00456EB5"/>
    <w:rsid w:val="0046111A"/>
    <w:rsid w:val="00462D96"/>
    <w:rsid w:val="00463355"/>
    <w:rsid w:val="004638BD"/>
    <w:rsid w:val="00464B1B"/>
    <w:rsid w:val="00465DE3"/>
    <w:rsid w:val="004676C0"/>
    <w:rsid w:val="004727E7"/>
    <w:rsid w:val="0047382D"/>
    <w:rsid w:val="00475590"/>
    <w:rsid w:val="004822C8"/>
    <w:rsid w:val="00482E67"/>
    <w:rsid w:val="00483FA9"/>
    <w:rsid w:val="00484361"/>
    <w:rsid w:val="00484D3D"/>
    <w:rsid w:val="00484D49"/>
    <w:rsid w:val="004859E7"/>
    <w:rsid w:val="00485D89"/>
    <w:rsid w:val="00486B31"/>
    <w:rsid w:val="00486C56"/>
    <w:rsid w:val="00487F34"/>
    <w:rsid w:val="004908A8"/>
    <w:rsid w:val="0049129A"/>
    <w:rsid w:val="0049166D"/>
    <w:rsid w:val="0049366D"/>
    <w:rsid w:val="004936CE"/>
    <w:rsid w:val="00493D4F"/>
    <w:rsid w:val="00494357"/>
    <w:rsid w:val="004970B3"/>
    <w:rsid w:val="004A0561"/>
    <w:rsid w:val="004A069D"/>
    <w:rsid w:val="004A0CB3"/>
    <w:rsid w:val="004A1728"/>
    <w:rsid w:val="004A263F"/>
    <w:rsid w:val="004A3C8B"/>
    <w:rsid w:val="004A4ECF"/>
    <w:rsid w:val="004A5A71"/>
    <w:rsid w:val="004A5C03"/>
    <w:rsid w:val="004A5C8C"/>
    <w:rsid w:val="004A5E8A"/>
    <w:rsid w:val="004A5FBC"/>
    <w:rsid w:val="004A6378"/>
    <w:rsid w:val="004A7973"/>
    <w:rsid w:val="004A7E20"/>
    <w:rsid w:val="004B00A3"/>
    <w:rsid w:val="004B4CA1"/>
    <w:rsid w:val="004B5794"/>
    <w:rsid w:val="004B5C4B"/>
    <w:rsid w:val="004B5CF0"/>
    <w:rsid w:val="004B67FC"/>
    <w:rsid w:val="004B6C85"/>
    <w:rsid w:val="004C0EED"/>
    <w:rsid w:val="004C2293"/>
    <w:rsid w:val="004C2A5A"/>
    <w:rsid w:val="004C2AE9"/>
    <w:rsid w:val="004C2ED9"/>
    <w:rsid w:val="004C30F3"/>
    <w:rsid w:val="004C35EE"/>
    <w:rsid w:val="004C5C80"/>
    <w:rsid w:val="004C6584"/>
    <w:rsid w:val="004C7904"/>
    <w:rsid w:val="004D0954"/>
    <w:rsid w:val="004D1C18"/>
    <w:rsid w:val="004D1DD6"/>
    <w:rsid w:val="004D33FD"/>
    <w:rsid w:val="004D34D3"/>
    <w:rsid w:val="004D3932"/>
    <w:rsid w:val="004D464B"/>
    <w:rsid w:val="004D5CBF"/>
    <w:rsid w:val="004D6436"/>
    <w:rsid w:val="004D7295"/>
    <w:rsid w:val="004D797B"/>
    <w:rsid w:val="004E066E"/>
    <w:rsid w:val="004E0A47"/>
    <w:rsid w:val="004E0CD9"/>
    <w:rsid w:val="004E1FE4"/>
    <w:rsid w:val="004E22F6"/>
    <w:rsid w:val="004E2CD4"/>
    <w:rsid w:val="004E358C"/>
    <w:rsid w:val="004E3DE6"/>
    <w:rsid w:val="004E50AC"/>
    <w:rsid w:val="004E589B"/>
    <w:rsid w:val="004E5F2B"/>
    <w:rsid w:val="004F1075"/>
    <w:rsid w:val="004F2681"/>
    <w:rsid w:val="004F2B6A"/>
    <w:rsid w:val="004F37DD"/>
    <w:rsid w:val="004F4B9D"/>
    <w:rsid w:val="004F4E66"/>
    <w:rsid w:val="004F6E13"/>
    <w:rsid w:val="004F7C37"/>
    <w:rsid w:val="0050073D"/>
    <w:rsid w:val="0050113F"/>
    <w:rsid w:val="00502DE1"/>
    <w:rsid w:val="00503B3B"/>
    <w:rsid w:val="00504028"/>
    <w:rsid w:val="0050711A"/>
    <w:rsid w:val="005074BA"/>
    <w:rsid w:val="0051003B"/>
    <w:rsid w:val="00511A83"/>
    <w:rsid w:val="005135A8"/>
    <w:rsid w:val="00513CD3"/>
    <w:rsid w:val="00514027"/>
    <w:rsid w:val="00515019"/>
    <w:rsid w:val="00516DE5"/>
    <w:rsid w:val="00517B00"/>
    <w:rsid w:val="0052072E"/>
    <w:rsid w:val="00523128"/>
    <w:rsid w:val="00523206"/>
    <w:rsid w:val="00524383"/>
    <w:rsid w:val="00524D0D"/>
    <w:rsid w:val="005250B9"/>
    <w:rsid w:val="005252FD"/>
    <w:rsid w:val="00527443"/>
    <w:rsid w:val="00527A1A"/>
    <w:rsid w:val="00527FC0"/>
    <w:rsid w:val="005318B3"/>
    <w:rsid w:val="00531AA3"/>
    <w:rsid w:val="0053208B"/>
    <w:rsid w:val="00532B2C"/>
    <w:rsid w:val="00532C4A"/>
    <w:rsid w:val="00533C11"/>
    <w:rsid w:val="005359E5"/>
    <w:rsid w:val="00535CB9"/>
    <w:rsid w:val="0053641F"/>
    <w:rsid w:val="0053775A"/>
    <w:rsid w:val="00540DE6"/>
    <w:rsid w:val="0054285B"/>
    <w:rsid w:val="005430EA"/>
    <w:rsid w:val="00543E39"/>
    <w:rsid w:val="00545198"/>
    <w:rsid w:val="00545C07"/>
    <w:rsid w:val="005466EB"/>
    <w:rsid w:val="00546F26"/>
    <w:rsid w:val="00546F29"/>
    <w:rsid w:val="00547EB5"/>
    <w:rsid w:val="00547FE2"/>
    <w:rsid w:val="00551299"/>
    <w:rsid w:val="00552BED"/>
    <w:rsid w:val="00552E7C"/>
    <w:rsid w:val="00553D3A"/>
    <w:rsid w:val="00554EE6"/>
    <w:rsid w:val="00555DEC"/>
    <w:rsid w:val="005560B7"/>
    <w:rsid w:val="0055678C"/>
    <w:rsid w:val="00557416"/>
    <w:rsid w:val="00557776"/>
    <w:rsid w:val="005606E6"/>
    <w:rsid w:val="00564BA4"/>
    <w:rsid w:val="00565613"/>
    <w:rsid w:val="00565790"/>
    <w:rsid w:val="0057137A"/>
    <w:rsid w:val="005732CE"/>
    <w:rsid w:val="005739B7"/>
    <w:rsid w:val="00574C39"/>
    <w:rsid w:val="005755F4"/>
    <w:rsid w:val="005819AF"/>
    <w:rsid w:val="00581DC5"/>
    <w:rsid w:val="0058203E"/>
    <w:rsid w:val="00584616"/>
    <w:rsid w:val="00584AF8"/>
    <w:rsid w:val="00584EC3"/>
    <w:rsid w:val="00585264"/>
    <w:rsid w:val="00587B90"/>
    <w:rsid w:val="00590ED4"/>
    <w:rsid w:val="00592194"/>
    <w:rsid w:val="00592F2D"/>
    <w:rsid w:val="005935E8"/>
    <w:rsid w:val="00595947"/>
    <w:rsid w:val="00595B38"/>
    <w:rsid w:val="005A02C7"/>
    <w:rsid w:val="005A101C"/>
    <w:rsid w:val="005A7A37"/>
    <w:rsid w:val="005B0058"/>
    <w:rsid w:val="005B0831"/>
    <w:rsid w:val="005B0AF6"/>
    <w:rsid w:val="005B118F"/>
    <w:rsid w:val="005B165C"/>
    <w:rsid w:val="005B1ABB"/>
    <w:rsid w:val="005B3A50"/>
    <w:rsid w:val="005B4335"/>
    <w:rsid w:val="005B4C94"/>
    <w:rsid w:val="005B4EC9"/>
    <w:rsid w:val="005B732C"/>
    <w:rsid w:val="005B7507"/>
    <w:rsid w:val="005C0D65"/>
    <w:rsid w:val="005C2062"/>
    <w:rsid w:val="005C20AF"/>
    <w:rsid w:val="005C2C0C"/>
    <w:rsid w:val="005C3667"/>
    <w:rsid w:val="005C4218"/>
    <w:rsid w:val="005C62BC"/>
    <w:rsid w:val="005C6F98"/>
    <w:rsid w:val="005D05B0"/>
    <w:rsid w:val="005D0C16"/>
    <w:rsid w:val="005D0E1B"/>
    <w:rsid w:val="005D1186"/>
    <w:rsid w:val="005D1312"/>
    <w:rsid w:val="005D13CD"/>
    <w:rsid w:val="005D1B16"/>
    <w:rsid w:val="005D1FF0"/>
    <w:rsid w:val="005D2A10"/>
    <w:rsid w:val="005D39B2"/>
    <w:rsid w:val="005D3A4D"/>
    <w:rsid w:val="005D3A99"/>
    <w:rsid w:val="005D5B2C"/>
    <w:rsid w:val="005E0751"/>
    <w:rsid w:val="005E1D22"/>
    <w:rsid w:val="005E2737"/>
    <w:rsid w:val="005E3552"/>
    <w:rsid w:val="005E38BA"/>
    <w:rsid w:val="005E461E"/>
    <w:rsid w:val="005E69F6"/>
    <w:rsid w:val="005E7A10"/>
    <w:rsid w:val="005F0165"/>
    <w:rsid w:val="005F0581"/>
    <w:rsid w:val="005F2CEF"/>
    <w:rsid w:val="005F3D24"/>
    <w:rsid w:val="005F4576"/>
    <w:rsid w:val="005F6702"/>
    <w:rsid w:val="005F77D6"/>
    <w:rsid w:val="00600A35"/>
    <w:rsid w:val="00602E43"/>
    <w:rsid w:val="006034D6"/>
    <w:rsid w:val="00604312"/>
    <w:rsid w:val="00604559"/>
    <w:rsid w:val="006050D0"/>
    <w:rsid w:val="0060519F"/>
    <w:rsid w:val="006055A2"/>
    <w:rsid w:val="006060D4"/>
    <w:rsid w:val="006063E9"/>
    <w:rsid w:val="00606ECC"/>
    <w:rsid w:val="00610398"/>
    <w:rsid w:val="00611BF5"/>
    <w:rsid w:val="00612948"/>
    <w:rsid w:val="006139D6"/>
    <w:rsid w:val="00613CCC"/>
    <w:rsid w:val="006148E7"/>
    <w:rsid w:val="006151B2"/>
    <w:rsid w:val="00616F4A"/>
    <w:rsid w:val="00617DAB"/>
    <w:rsid w:val="00620E2F"/>
    <w:rsid w:val="00623B48"/>
    <w:rsid w:val="00623BD8"/>
    <w:rsid w:val="00625D6E"/>
    <w:rsid w:val="006268CF"/>
    <w:rsid w:val="00627AF7"/>
    <w:rsid w:val="006311E5"/>
    <w:rsid w:val="006317D8"/>
    <w:rsid w:val="00631F92"/>
    <w:rsid w:val="00631FB1"/>
    <w:rsid w:val="00632150"/>
    <w:rsid w:val="00632F84"/>
    <w:rsid w:val="006332E5"/>
    <w:rsid w:val="00633A68"/>
    <w:rsid w:val="00634224"/>
    <w:rsid w:val="00635DF4"/>
    <w:rsid w:val="006371A5"/>
    <w:rsid w:val="006400A7"/>
    <w:rsid w:val="00642605"/>
    <w:rsid w:val="006439A2"/>
    <w:rsid w:val="006440FD"/>
    <w:rsid w:val="00644FE2"/>
    <w:rsid w:val="00646C42"/>
    <w:rsid w:val="00647D9C"/>
    <w:rsid w:val="00650715"/>
    <w:rsid w:val="006508A4"/>
    <w:rsid w:val="0065418B"/>
    <w:rsid w:val="00654406"/>
    <w:rsid w:val="0065639C"/>
    <w:rsid w:val="006570BE"/>
    <w:rsid w:val="00657723"/>
    <w:rsid w:val="006605B4"/>
    <w:rsid w:val="00661336"/>
    <w:rsid w:val="006617EF"/>
    <w:rsid w:val="00662510"/>
    <w:rsid w:val="006627D2"/>
    <w:rsid w:val="006636F3"/>
    <w:rsid w:val="00666FF7"/>
    <w:rsid w:val="00667B6A"/>
    <w:rsid w:val="006713B4"/>
    <w:rsid w:val="006738DD"/>
    <w:rsid w:val="00673948"/>
    <w:rsid w:val="00675305"/>
    <w:rsid w:val="00677CA9"/>
    <w:rsid w:val="00677DEC"/>
    <w:rsid w:val="00677F38"/>
    <w:rsid w:val="006800DE"/>
    <w:rsid w:val="00680EE2"/>
    <w:rsid w:val="0068140B"/>
    <w:rsid w:val="006816CA"/>
    <w:rsid w:val="00681791"/>
    <w:rsid w:val="006822A7"/>
    <w:rsid w:val="00683C78"/>
    <w:rsid w:val="00683FA9"/>
    <w:rsid w:val="00684155"/>
    <w:rsid w:val="00684845"/>
    <w:rsid w:val="0069156A"/>
    <w:rsid w:val="00691719"/>
    <w:rsid w:val="00692795"/>
    <w:rsid w:val="00692B66"/>
    <w:rsid w:val="006933F6"/>
    <w:rsid w:val="006938AC"/>
    <w:rsid w:val="00694CCC"/>
    <w:rsid w:val="00695A60"/>
    <w:rsid w:val="00696C1E"/>
    <w:rsid w:val="006A012A"/>
    <w:rsid w:val="006A02E5"/>
    <w:rsid w:val="006A091A"/>
    <w:rsid w:val="006A1232"/>
    <w:rsid w:val="006A14C0"/>
    <w:rsid w:val="006A2822"/>
    <w:rsid w:val="006A2DF5"/>
    <w:rsid w:val="006A3826"/>
    <w:rsid w:val="006A67B5"/>
    <w:rsid w:val="006A7181"/>
    <w:rsid w:val="006A75DD"/>
    <w:rsid w:val="006B0AA7"/>
    <w:rsid w:val="006B0BBE"/>
    <w:rsid w:val="006B0E8B"/>
    <w:rsid w:val="006B0F71"/>
    <w:rsid w:val="006B1402"/>
    <w:rsid w:val="006B466B"/>
    <w:rsid w:val="006B6CE7"/>
    <w:rsid w:val="006C0B01"/>
    <w:rsid w:val="006C0F14"/>
    <w:rsid w:val="006C22CE"/>
    <w:rsid w:val="006C27CF"/>
    <w:rsid w:val="006C3098"/>
    <w:rsid w:val="006C38E4"/>
    <w:rsid w:val="006C5602"/>
    <w:rsid w:val="006D0A24"/>
    <w:rsid w:val="006D5B21"/>
    <w:rsid w:val="006D7EFA"/>
    <w:rsid w:val="006E12F1"/>
    <w:rsid w:val="006E24BD"/>
    <w:rsid w:val="006E3E3B"/>
    <w:rsid w:val="006E5F99"/>
    <w:rsid w:val="006E7ED3"/>
    <w:rsid w:val="006F3273"/>
    <w:rsid w:val="006F6018"/>
    <w:rsid w:val="006F683F"/>
    <w:rsid w:val="00700059"/>
    <w:rsid w:val="00704BA5"/>
    <w:rsid w:val="00706C1B"/>
    <w:rsid w:val="00710BC7"/>
    <w:rsid w:val="00710BEC"/>
    <w:rsid w:val="00710D40"/>
    <w:rsid w:val="0071362D"/>
    <w:rsid w:val="0071411B"/>
    <w:rsid w:val="00717999"/>
    <w:rsid w:val="00717AF6"/>
    <w:rsid w:val="00720504"/>
    <w:rsid w:val="007207A4"/>
    <w:rsid w:val="00720E11"/>
    <w:rsid w:val="007213FD"/>
    <w:rsid w:val="0072408A"/>
    <w:rsid w:val="007249DE"/>
    <w:rsid w:val="00725179"/>
    <w:rsid w:val="00726853"/>
    <w:rsid w:val="00726D93"/>
    <w:rsid w:val="00731428"/>
    <w:rsid w:val="00731B91"/>
    <w:rsid w:val="00731C98"/>
    <w:rsid w:val="007335D3"/>
    <w:rsid w:val="0073550F"/>
    <w:rsid w:val="0073578A"/>
    <w:rsid w:val="00736E90"/>
    <w:rsid w:val="0074004E"/>
    <w:rsid w:val="007432D2"/>
    <w:rsid w:val="00745C4C"/>
    <w:rsid w:val="00750321"/>
    <w:rsid w:val="007521BE"/>
    <w:rsid w:val="00753AFD"/>
    <w:rsid w:val="00755553"/>
    <w:rsid w:val="00756CAB"/>
    <w:rsid w:val="00757BCF"/>
    <w:rsid w:val="0076064B"/>
    <w:rsid w:val="00762427"/>
    <w:rsid w:val="00763C7E"/>
    <w:rsid w:val="00764253"/>
    <w:rsid w:val="00764D90"/>
    <w:rsid w:val="0076534E"/>
    <w:rsid w:val="007654C6"/>
    <w:rsid w:val="007658A6"/>
    <w:rsid w:val="007670DA"/>
    <w:rsid w:val="0077088A"/>
    <w:rsid w:val="007709ED"/>
    <w:rsid w:val="007712F7"/>
    <w:rsid w:val="0077198E"/>
    <w:rsid w:val="00773C79"/>
    <w:rsid w:val="0077400D"/>
    <w:rsid w:val="00774255"/>
    <w:rsid w:val="00774D36"/>
    <w:rsid w:val="00775202"/>
    <w:rsid w:val="00782835"/>
    <w:rsid w:val="00783045"/>
    <w:rsid w:val="0078306D"/>
    <w:rsid w:val="00783263"/>
    <w:rsid w:val="00785490"/>
    <w:rsid w:val="00786746"/>
    <w:rsid w:val="00786BCE"/>
    <w:rsid w:val="00787069"/>
    <w:rsid w:val="0078768D"/>
    <w:rsid w:val="00787904"/>
    <w:rsid w:val="007902FB"/>
    <w:rsid w:val="00791296"/>
    <w:rsid w:val="00794580"/>
    <w:rsid w:val="00794F21"/>
    <w:rsid w:val="00795313"/>
    <w:rsid w:val="007954A5"/>
    <w:rsid w:val="00795FB6"/>
    <w:rsid w:val="00797B92"/>
    <w:rsid w:val="00797BC4"/>
    <w:rsid w:val="00797C26"/>
    <w:rsid w:val="007A185A"/>
    <w:rsid w:val="007A30FC"/>
    <w:rsid w:val="007A4C9D"/>
    <w:rsid w:val="007A506E"/>
    <w:rsid w:val="007A5AF5"/>
    <w:rsid w:val="007A5F18"/>
    <w:rsid w:val="007A62A5"/>
    <w:rsid w:val="007A64AD"/>
    <w:rsid w:val="007A6934"/>
    <w:rsid w:val="007A7099"/>
    <w:rsid w:val="007A7395"/>
    <w:rsid w:val="007A7B2B"/>
    <w:rsid w:val="007B01EC"/>
    <w:rsid w:val="007B09E6"/>
    <w:rsid w:val="007B0CAD"/>
    <w:rsid w:val="007B0E87"/>
    <w:rsid w:val="007B1445"/>
    <w:rsid w:val="007B34A1"/>
    <w:rsid w:val="007B3B92"/>
    <w:rsid w:val="007B458B"/>
    <w:rsid w:val="007B469A"/>
    <w:rsid w:val="007B49C8"/>
    <w:rsid w:val="007B4E86"/>
    <w:rsid w:val="007B6F90"/>
    <w:rsid w:val="007B7C4A"/>
    <w:rsid w:val="007C0BBC"/>
    <w:rsid w:val="007C1291"/>
    <w:rsid w:val="007C1BE5"/>
    <w:rsid w:val="007C1E78"/>
    <w:rsid w:val="007C2732"/>
    <w:rsid w:val="007C3757"/>
    <w:rsid w:val="007C4D17"/>
    <w:rsid w:val="007C53C0"/>
    <w:rsid w:val="007D22F9"/>
    <w:rsid w:val="007D2D8B"/>
    <w:rsid w:val="007D40F6"/>
    <w:rsid w:val="007D4A9F"/>
    <w:rsid w:val="007D4CC9"/>
    <w:rsid w:val="007E5AA1"/>
    <w:rsid w:val="007E62AF"/>
    <w:rsid w:val="007E697C"/>
    <w:rsid w:val="007F07CA"/>
    <w:rsid w:val="007F0930"/>
    <w:rsid w:val="007F1A57"/>
    <w:rsid w:val="007F620D"/>
    <w:rsid w:val="007F6D99"/>
    <w:rsid w:val="007F72E8"/>
    <w:rsid w:val="00800D28"/>
    <w:rsid w:val="0080481F"/>
    <w:rsid w:val="00804C50"/>
    <w:rsid w:val="00804DFA"/>
    <w:rsid w:val="00804E76"/>
    <w:rsid w:val="00805172"/>
    <w:rsid w:val="00810038"/>
    <w:rsid w:val="00811455"/>
    <w:rsid w:val="0081155D"/>
    <w:rsid w:val="008129B5"/>
    <w:rsid w:val="008129EE"/>
    <w:rsid w:val="00812D35"/>
    <w:rsid w:val="0081724D"/>
    <w:rsid w:val="00817333"/>
    <w:rsid w:val="008173E9"/>
    <w:rsid w:val="0082200A"/>
    <w:rsid w:val="00822E68"/>
    <w:rsid w:val="00826FE5"/>
    <w:rsid w:val="0082740B"/>
    <w:rsid w:val="0082755E"/>
    <w:rsid w:val="00831D96"/>
    <w:rsid w:val="0083314C"/>
    <w:rsid w:val="00833345"/>
    <w:rsid w:val="0083361B"/>
    <w:rsid w:val="00833FB0"/>
    <w:rsid w:val="008342FB"/>
    <w:rsid w:val="0083576C"/>
    <w:rsid w:val="008368F5"/>
    <w:rsid w:val="00836978"/>
    <w:rsid w:val="0084151F"/>
    <w:rsid w:val="00841CB8"/>
    <w:rsid w:val="00841EBE"/>
    <w:rsid w:val="00842CEA"/>
    <w:rsid w:val="00842CFC"/>
    <w:rsid w:val="008431A8"/>
    <w:rsid w:val="0084343E"/>
    <w:rsid w:val="008450C3"/>
    <w:rsid w:val="00845D72"/>
    <w:rsid w:val="00845F86"/>
    <w:rsid w:val="008460DD"/>
    <w:rsid w:val="00846C60"/>
    <w:rsid w:val="00846EA7"/>
    <w:rsid w:val="0084711D"/>
    <w:rsid w:val="00847190"/>
    <w:rsid w:val="0084784D"/>
    <w:rsid w:val="00852775"/>
    <w:rsid w:val="00853745"/>
    <w:rsid w:val="008538B5"/>
    <w:rsid w:val="0085553B"/>
    <w:rsid w:val="00856178"/>
    <w:rsid w:val="00860BD5"/>
    <w:rsid w:val="0086113C"/>
    <w:rsid w:val="00861633"/>
    <w:rsid w:val="00861771"/>
    <w:rsid w:val="0086200E"/>
    <w:rsid w:val="00862260"/>
    <w:rsid w:val="0086302B"/>
    <w:rsid w:val="00863F9C"/>
    <w:rsid w:val="00864DD9"/>
    <w:rsid w:val="00864F17"/>
    <w:rsid w:val="0086576A"/>
    <w:rsid w:val="0086670A"/>
    <w:rsid w:val="00866B23"/>
    <w:rsid w:val="00867293"/>
    <w:rsid w:val="00867D72"/>
    <w:rsid w:val="00867EB4"/>
    <w:rsid w:val="00870175"/>
    <w:rsid w:val="00873912"/>
    <w:rsid w:val="00873958"/>
    <w:rsid w:val="008745E7"/>
    <w:rsid w:val="00874FEC"/>
    <w:rsid w:val="008754FF"/>
    <w:rsid w:val="00875DCB"/>
    <w:rsid w:val="00876227"/>
    <w:rsid w:val="00877CB6"/>
    <w:rsid w:val="00877EDA"/>
    <w:rsid w:val="00881580"/>
    <w:rsid w:val="008841B3"/>
    <w:rsid w:val="00885385"/>
    <w:rsid w:val="008854A4"/>
    <w:rsid w:val="0088631B"/>
    <w:rsid w:val="00887B1C"/>
    <w:rsid w:val="00887DC7"/>
    <w:rsid w:val="008901F6"/>
    <w:rsid w:val="00890D03"/>
    <w:rsid w:val="00892CB8"/>
    <w:rsid w:val="008953BD"/>
    <w:rsid w:val="008957AD"/>
    <w:rsid w:val="00895BA6"/>
    <w:rsid w:val="008A14E7"/>
    <w:rsid w:val="008A28D5"/>
    <w:rsid w:val="008A777C"/>
    <w:rsid w:val="008B5D3D"/>
    <w:rsid w:val="008B757A"/>
    <w:rsid w:val="008C03B3"/>
    <w:rsid w:val="008C2235"/>
    <w:rsid w:val="008C2F75"/>
    <w:rsid w:val="008C2FFA"/>
    <w:rsid w:val="008C3B8A"/>
    <w:rsid w:val="008C3BCE"/>
    <w:rsid w:val="008C3F38"/>
    <w:rsid w:val="008C5D55"/>
    <w:rsid w:val="008D058D"/>
    <w:rsid w:val="008D0D26"/>
    <w:rsid w:val="008D2D7D"/>
    <w:rsid w:val="008D69A0"/>
    <w:rsid w:val="008D6BA2"/>
    <w:rsid w:val="008D6F82"/>
    <w:rsid w:val="008E10B7"/>
    <w:rsid w:val="008E3D92"/>
    <w:rsid w:val="008E4233"/>
    <w:rsid w:val="008E4C34"/>
    <w:rsid w:val="008E630E"/>
    <w:rsid w:val="008E6D73"/>
    <w:rsid w:val="008E725E"/>
    <w:rsid w:val="008F15C1"/>
    <w:rsid w:val="008F4ECA"/>
    <w:rsid w:val="008F5871"/>
    <w:rsid w:val="008F7BBC"/>
    <w:rsid w:val="0090059B"/>
    <w:rsid w:val="00900A93"/>
    <w:rsid w:val="00900AE1"/>
    <w:rsid w:val="00900D0D"/>
    <w:rsid w:val="009016D6"/>
    <w:rsid w:val="009025D5"/>
    <w:rsid w:val="00902D7A"/>
    <w:rsid w:val="0090630B"/>
    <w:rsid w:val="009115F2"/>
    <w:rsid w:val="0091349A"/>
    <w:rsid w:val="00914A0E"/>
    <w:rsid w:val="00915ED4"/>
    <w:rsid w:val="009161A3"/>
    <w:rsid w:val="00922CC9"/>
    <w:rsid w:val="009239DA"/>
    <w:rsid w:val="009240A0"/>
    <w:rsid w:val="00924841"/>
    <w:rsid w:val="00925AFC"/>
    <w:rsid w:val="00925FB8"/>
    <w:rsid w:val="00927813"/>
    <w:rsid w:val="00927BB8"/>
    <w:rsid w:val="0093003E"/>
    <w:rsid w:val="009303F9"/>
    <w:rsid w:val="0093058A"/>
    <w:rsid w:val="00930C4B"/>
    <w:rsid w:val="00933E2F"/>
    <w:rsid w:val="009355DC"/>
    <w:rsid w:val="0093686F"/>
    <w:rsid w:val="009369E8"/>
    <w:rsid w:val="00936B7E"/>
    <w:rsid w:val="00936DB3"/>
    <w:rsid w:val="0093704E"/>
    <w:rsid w:val="00940AE9"/>
    <w:rsid w:val="0094398D"/>
    <w:rsid w:val="00944F7E"/>
    <w:rsid w:val="009463A5"/>
    <w:rsid w:val="00946949"/>
    <w:rsid w:val="00946CF8"/>
    <w:rsid w:val="009527AE"/>
    <w:rsid w:val="00953CB2"/>
    <w:rsid w:val="00954C3E"/>
    <w:rsid w:val="0095509D"/>
    <w:rsid w:val="009571B9"/>
    <w:rsid w:val="00957575"/>
    <w:rsid w:val="00957CD1"/>
    <w:rsid w:val="00957EDD"/>
    <w:rsid w:val="00960F7D"/>
    <w:rsid w:val="0096177C"/>
    <w:rsid w:val="00962C4D"/>
    <w:rsid w:val="00963ADA"/>
    <w:rsid w:val="00964A2F"/>
    <w:rsid w:val="00965456"/>
    <w:rsid w:val="009706AB"/>
    <w:rsid w:val="009727B8"/>
    <w:rsid w:val="00972C07"/>
    <w:rsid w:val="00972F14"/>
    <w:rsid w:val="00974A07"/>
    <w:rsid w:val="00974A96"/>
    <w:rsid w:val="0097594E"/>
    <w:rsid w:val="0097739F"/>
    <w:rsid w:val="00984285"/>
    <w:rsid w:val="009867F2"/>
    <w:rsid w:val="0098686D"/>
    <w:rsid w:val="00987BD3"/>
    <w:rsid w:val="0099012D"/>
    <w:rsid w:val="00991F21"/>
    <w:rsid w:val="00992B35"/>
    <w:rsid w:val="00993900"/>
    <w:rsid w:val="00993DA7"/>
    <w:rsid w:val="009A0D42"/>
    <w:rsid w:val="009A1061"/>
    <w:rsid w:val="009A1D65"/>
    <w:rsid w:val="009A269C"/>
    <w:rsid w:val="009A382E"/>
    <w:rsid w:val="009A3F44"/>
    <w:rsid w:val="009A54A3"/>
    <w:rsid w:val="009A684B"/>
    <w:rsid w:val="009A6956"/>
    <w:rsid w:val="009B108E"/>
    <w:rsid w:val="009B2F4F"/>
    <w:rsid w:val="009B3149"/>
    <w:rsid w:val="009B342D"/>
    <w:rsid w:val="009B3F51"/>
    <w:rsid w:val="009B51AF"/>
    <w:rsid w:val="009B61FF"/>
    <w:rsid w:val="009B6B1B"/>
    <w:rsid w:val="009C0803"/>
    <w:rsid w:val="009C125E"/>
    <w:rsid w:val="009C26AC"/>
    <w:rsid w:val="009C40C3"/>
    <w:rsid w:val="009C4D64"/>
    <w:rsid w:val="009C6B66"/>
    <w:rsid w:val="009C6F5A"/>
    <w:rsid w:val="009C73EA"/>
    <w:rsid w:val="009D0B73"/>
    <w:rsid w:val="009D1673"/>
    <w:rsid w:val="009D169B"/>
    <w:rsid w:val="009D179E"/>
    <w:rsid w:val="009D31B4"/>
    <w:rsid w:val="009D43BA"/>
    <w:rsid w:val="009E0447"/>
    <w:rsid w:val="009E2053"/>
    <w:rsid w:val="009E361D"/>
    <w:rsid w:val="009E3783"/>
    <w:rsid w:val="009E3A3C"/>
    <w:rsid w:val="009E5309"/>
    <w:rsid w:val="009E59CF"/>
    <w:rsid w:val="009F100F"/>
    <w:rsid w:val="009F18B8"/>
    <w:rsid w:val="009F27E3"/>
    <w:rsid w:val="009F28B3"/>
    <w:rsid w:val="009F32EB"/>
    <w:rsid w:val="009F52EF"/>
    <w:rsid w:val="009F53DF"/>
    <w:rsid w:val="009F63F3"/>
    <w:rsid w:val="009F69FA"/>
    <w:rsid w:val="009F71DD"/>
    <w:rsid w:val="00A00007"/>
    <w:rsid w:val="00A0080D"/>
    <w:rsid w:val="00A00BCD"/>
    <w:rsid w:val="00A00EB0"/>
    <w:rsid w:val="00A04193"/>
    <w:rsid w:val="00A04CDD"/>
    <w:rsid w:val="00A10071"/>
    <w:rsid w:val="00A1088A"/>
    <w:rsid w:val="00A10B03"/>
    <w:rsid w:val="00A147C8"/>
    <w:rsid w:val="00A1534D"/>
    <w:rsid w:val="00A160AD"/>
    <w:rsid w:val="00A1753C"/>
    <w:rsid w:val="00A17899"/>
    <w:rsid w:val="00A21632"/>
    <w:rsid w:val="00A2174E"/>
    <w:rsid w:val="00A21B57"/>
    <w:rsid w:val="00A223EC"/>
    <w:rsid w:val="00A242E3"/>
    <w:rsid w:val="00A247A9"/>
    <w:rsid w:val="00A249C2"/>
    <w:rsid w:val="00A24F31"/>
    <w:rsid w:val="00A254AC"/>
    <w:rsid w:val="00A261E6"/>
    <w:rsid w:val="00A265C8"/>
    <w:rsid w:val="00A265E1"/>
    <w:rsid w:val="00A27CF4"/>
    <w:rsid w:val="00A27D63"/>
    <w:rsid w:val="00A31337"/>
    <w:rsid w:val="00A34B48"/>
    <w:rsid w:val="00A357DA"/>
    <w:rsid w:val="00A36CB1"/>
    <w:rsid w:val="00A3715E"/>
    <w:rsid w:val="00A37248"/>
    <w:rsid w:val="00A373A2"/>
    <w:rsid w:val="00A37925"/>
    <w:rsid w:val="00A401EA"/>
    <w:rsid w:val="00A4303A"/>
    <w:rsid w:val="00A43779"/>
    <w:rsid w:val="00A460F8"/>
    <w:rsid w:val="00A46944"/>
    <w:rsid w:val="00A46ED1"/>
    <w:rsid w:val="00A52D85"/>
    <w:rsid w:val="00A533BE"/>
    <w:rsid w:val="00A534F5"/>
    <w:rsid w:val="00A5377A"/>
    <w:rsid w:val="00A5380B"/>
    <w:rsid w:val="00A53A08"/>
    <w:rsid w:val="00A5458A"/>
    <w:rsid w:val="00A557AF"/>
    <w:rsid w:val="00A576E2"/>
    <w:rsid w:val="00A619C8"/>
    <w:rsid w:val="00A649CC"/>
    <w:rsid w:val="00A65F94"/>
    <w:rsid w:val="00A663D0"/>
    <w:rsid w:val="00A66DC6"/>
    <w:rsid w:val="00A66E9C"/>
    <w:rsid w:val="00A674C4"/>
    <w:rsid w:val="00A67F14"/>
    <w:rsid w:val="00A70147"/>
    <w:rsid w:val="00A70734"/>
    <w:rsid w:val="00A70D09"/>
    <w:rsid w:val="00A74610"/>
    <w:rsid w:val="00A7554B"/>
    <w:rsid w:val="00A75D60"/>
    <w:rsid w:val="00A7627B"/>
    <w:rsid w:val="00A81382"/>
    <w:rsid w:val="00A816CA"/>
    <w:rsid w:val="00A818E3"/>
    <w:rsid w:val="00A82C28"/>
    <w:rsid w:val="00A8361D"/>
    <w:rsid w:val="00A83A40"/>
    <w:rsid w:val="00A83B84"/>
    <w:rsid w:val="00A83FF9"/>
    <w:rsid w:val="00A84DFC"/>
    <w:rsid w:val="00A87A15"/>
    <w:rsid w:val="00A87B53"/>
    <w:rsid w:val="00A922A0"/>
    <w:rsid w:val="00A92EC9"/>
    <w:rsid w:val="00A92EDF"/>
    <w:rsid w:val="00A932A6"/>
    <w:rsid w:val="00A93680"/>
    <w:rsid w:val="00A94030"/>
    <w:rsid w:val="00A9403A"/>
    <w:rsid w:val="00A965A1"/>
    <w:rsid w:val="00A96CAB"/>
    <w:rsid w:val="00A97772"/>
    <w:rsid w:val="00AA237F"/>
    <w:rsid w:val="00AA2515"/>
    <w:rsid w:val="00AA2AC1"/>
    <w:rsid w:val="00AA538A"/>
    <w:rsid w:val="00AA69B8"/>
    <w:rsid w:val="00AA6DDD"/>
    <w:rsid w:val="00AA708D"/>
    <w:rsid w:val="00AA798E"/>
    <w:rsid w:val="00AB0D7A"/>
    <w:rsid w:val="00AB16CE"/>
    <w:rsid w:val="00AB16DF"/>
    <w:rsid w:val="00AB17A7"/>
    <w:rsid w:val="00AB1EAB"/>
    <w:rsid w:val="00AB2CD7"/>
    <w:rsid w:val="00AB3467"/>
    <w:rsid w:val="00AB53AC"/>
    <w:rsid w:val="00AB71F9"/>
    <w:rsid w:val="00AB721D"/>
    <w:rsid w:val="00AB7531"/>
    <w:rsid w:val="00AC0034"/>
    <w:rsid w:val="00AC032E"/>
    <w:rsid w:val="00AC0586"/>
    <w:rsid w:val="00AC0909"/>
    <w:rsid w:val="00AC0B28"/>
    <w:rsid w:val="00AC0DB4"/>
    <w:rsid w:val="00AC1D9A"/>
    <w:rsid w:val="00AC2313"/>
    <w:rsid w:val="00AC28EC"/>
    <w:rsid w:val="00AC418B"/>
    <w:rsid w:val="00AC562D"/>
    <w:rsid w:val="00AC7889"/>
    <w:rsid w:val="00AD17E1"/>
    <w:rsid w:val="00AD2D61"/>
    <w:rsid w:val="00AD4A67"/>
    <w:rsid w:val="00AD4CAD"/>
    <w:rsid w:val="00AD4F62"/>
    <w:rsid w:val="00AD5338"/>
    <w:rsid w:val="00AD5635"/>
    <w:rsid w:val="00AE0A46"/>
    <w:rsid w:val="00AE0D64"/>
    <w:rsid w:val="00AE0EFB"/>
    <w:rsid w:val="00AE2A7A"/>
    <w:rsid w:val="00AE2C75"/>
    <w:rsid w:val="00AE37A7"/>
    <w:rsid w:val="00AE39FC"/>
    <w:rsid w:val="00AE3AC4"/>
    <w:rsid w:val="00AE4FBB"/>
    <w:rsid w:val="00AE5718"/>
    <w:rsid w:val="00AE601E"/>
    <w:rsid w:val="00AE625B"/>
    <w:rsid w:val="00AE629B"/>
    <w:rsid w:val="00AE73B2"/>
    <w:rsid w:val="00AE744C"/>
    <w:rsid w:val="00AF024C"/>
    <w:rsid w:val="00AF1F55"/>
    <w:rsid w:val="00AF219E"/>
    <w:rsid w:val="00AF3677"/>
    <w:rsid w:val="00AF47C5"/>
    <w:rsid w:val="00AF4BB0"/>
    <w:rsid w:val="00AF5E39"/>
    <w:rsid w:val="00AF6884"/>
    <w:rsid w:val="00B019A6"/>
    <w:rsid w:val="00B01D03"/>
    <w:rsid w:val="00B04DD3"/>
    <w:rsid w:val="00B04E1F"/>
    <w:rsid w:val="00B04EA4"/>
    <w:rsid w:val="00B12674"/>
    <w:rsid w:val="00B155D7"/>
    <w:rsid w:val="00B15800"/>
    <w:rsid w:val="00B15E79"/>
    <w:rsid w:val="00B16806"/>
    <w:rsid w:val="00B1752F"/>
    <w:rsid w:val="00B1773A"/>
    <w:rsid w:val="00B177B4"/>
    <w:rsid w:val="00B17EE5"/>
    <w:rsid w:val="00B2051E"/>
    <w:rsid w:val="00B21578"/>
    <w:rsid w:val="00B218F2"/>
    <w:rsid w:val="00B22085"/>
    <w:rsid w:val="00B24D7E"/>
    <w:rsid w:val="00B24F26"/>
    <w:rsid w:val="00B25826"/>
    <w:rsid w:val="00B25D5E"/>
    <w:rsid w:val="00B263A5"/>
    <w:rsid w:val="00B30F34"/>
    <w:rsid w:val="00B331B0"/>
    <w:rsid w:val="00B3325A"/>
    <w:rsid w:val="00B33725"/>
    <w:rsid w:val="00B35176"/>
    <w:rsid w:val="00B3676C"/>
    <w:rsid w:val="00B37BC0"/>
    <w:rsid w:val="00B4073A"/>
    <w:rsid w:val="00B4183F"/>
    <w:rsid w:val="00B43CE6"/>
    <w:rsid w:val="00B443A4"/>
    <w:rsid w:val="00B44A5A"/>
    <w:rsid w:val="00B454BD"/>
    <w:rsid w:val="00B47A00"/>
    <w:rsid w:val="00B503A1"/>
    <w:rsid w:val="00B5342F"/>
    <w:rsid w:val="00B539F6"/>
    <w:rsid w:val="00B53FC3"/>
    <w:rsid w:val="00B554B6"/>
    <w:rsid w:val="00B55698"/>
    <w:rsid w:val="00B55D8E"/>
    <w:rsid w:val="00B56228"/>
    <w:rsid w:val="00B57101"/>
    <w:rsid w:val="00B573B8"/>
    <w:rsid w:val="00B578F3"/>
    <w:rsid w:val="00B6006A"/>
    <w:rsid w:val="00B60C39"/>
    <w:rsid w:val="00B611E8"/>
    <w:rsid w:val="00B62267"/>
    <w:rsid w:val="00B62EBE"/>
    <w:rsid w:val="00B63DFA"/>
    <w:rsid w:val="00B645BE"/>
    <w:rsid w:val="00B64DB6"/>
    <w:rsid w:val="00B65296"/>
    <w:rsid w:val="00B66D2A"/>
    <w:rsid w:val="00B70F9C"/>
    <w:rsid w:val="00B7134C"/>
    <w:rsid w:val="00B71EF3"/>
    <w:rsid w:val="00B721A1"/>
    <w:rsid w:val="00B731C2"/>
    <w:rsid w:val="00B7369B"/>
    <w:rsid w:val="00B73E9D"/>
    <w:rsid w:val="00B7493C"/>
    <w:rsid w:val="00B74F77"/>
    <w:rsid w:val="00B75BA8"/>
    <w:rsid w:val="00B776A3"/>
    <w:rsid w:val="00B77862"/>
    <w:rsid w:val="00B80377"/>
    <w:rsid w:val="00B80B39"/>
    <w:rsid w:val="00B81681"/>
    <w:rsid w:val="00B8271F"/>
    <w:rsid w:val="00B82D10"/>
    <w:rsid w:val="00B83660"/>
    <w:rsid w:val="00B840DF"/>
    <w:rsid w:val="00B845FB"/>
    <w:rsid w:val="00B84A66"/>
    <w:rsid w:val="00B8593B"/>
    <w:rsid w:val="00B8774F"/>
    <w:rsid w:val="00B879FB"/>
    <w:rsid w:val="00B87EFC"/>
    <w:rsid w:val="00B9076F"/>
    <w:rsid w:val="00B91483"/>
    <w:rsid w:val="00B9162F"/>
    <w:rsid w:val="00B949C0"/>
    <w:rsid w:val="00B95E0E"/>
    <w:rsid w:val="00B96329"/>
    <w:rsid w:val="00B968B3"/>
    <w:rsid w:val="00B96930"/>
    <w:rsid w:val="00B97839"/>
    <w:rsid w:val="00B97B5B"/>
    <w:rsid w:val="00BA0C48"/>
    <w:rsid w:val="00BA1889"/>
    <w:rsid w:val="00BA2684"/>
    <w:rsid w:val="00BA2F1D"/>
    <w:rsid w:val="00BA44F2"/>
    <w:rsid w:val="00BA46EA"/>
    <w:rsid w:val="00BA4CAD"/>
    <w:rsid w:val="00BA5254"/>
    <w:rsid w:val="00BA5705"/>
    <w:rsid w:val="00BA5F6E"/>
    <w:rsid w:val="00BA65B5"/>
    <w:rsid w:val="00BA7257"/>
    <w:rsid w:val="00BA72C3"/>
    <w:rsid w:val="00BA77B1"/>
    <w:rsid w:val="00BB0241"/>
    <w:rsid w:val="00BB0F4A"/>
    <w:rsid w:val="00BB177E"/>
    <w:rsid w:val="00BB49FE"/>
    <w:rsid w:val="00BB5F97"/>
    <w:rsid w:val="00BB69EE"/>
    <w:rsid w:val="00BB6EB3"/>
    <w:rsid w:val="00BB7177"/>
    <w:rsid w:val="00BB72D0"/>
    <w:rsid w:val="00BC001F"/>
    <w:rsid w:val="00BC4C91"/>
    <w:rsid w:val="00BC6417"/>
    <w:rsid w:val="00BC6C60"/>
    <w:rsid w:val="00BC7437"/>
    <w:rsid w:val="00BC7E20"/>
    <w:rsid w:val="00BD079E"/>
    <w:rsid w:val="00BD0CC1"/>
    <w:rsid w:val="00BD14EE"/>
    <w:rsid w:val="00BD1D25"/>
    <w:rsid w:val="00BD2329"/>
    <w:rsid w:val="00BD2E81"/>
    <w:rsid w:val="00BD389C"/>
    <w:rsid w:val="00BD38BE"/>
    <w:rsid w:val="00BD3ECA"/>
    <w:rsid w:val="00BD5116"/>
    <w:rsid w:val="00BD6860"/>
    <w:rsid w:val="00BD7B8B"/>
    <w:rsid w:val="00BD7F41"/>
    <w:rsid w:val="00BE06B0"/>
    <w:rsid w:val="00BE09F0"/>
    <w:rsid w:val="00BE1141"/>
    <w:rsid w:val="00BE3D14"/>
    <w:rsid w:val="00BE4276"/>
    <w:rsid w:val="00BE451C"/>
    <w:rsid w:val="00BE4A29"/>
    <w:rsid w:val="00BE4A30"/>
    <w:rsid w:val="00BE5EDB"/>
    <w:rsid w:val="00BE73FF"/>
    <w:rsid w:val="00BF07F1"/>
    <w:rsid w:val="00BF0AC4"/>
    <w:rsid w:val="00BF1DB6"/>
    <w:rsid w:val="00BF23B8"/>
    <w:rsid w:val="00BF355E"/>
    <w:rsid w:val="00BF36D3"/>
    <w:rsid w:val="00BF3D6D"/>
    <w:rsid w:val="00BF4307"/>
    <w:rsid w:val="00BF44B7"/>
    <w:rsid w:val="00BF48FC"/>
    <w:rsid w:val="00BF5111"/>
    <w:rsid w:val="00BF571D"/>
    <w:rsid w:val="00BF6221"/>
    <w:rsid w:val="00BF6230"/>
    <w:rsid w:val="00C018C6"/>
    <w:rsid w:val="00C01D23"/>
    <w:rsid w:val="00C02CAF"/>
    <w:rsid w:val="00C03D5A"/>
    <w:rsid w:val="00C0454D"/>
    <w:rsid w:val="00C04DC4"/>
    <w:rsid w:val="00C05D23"/>
    <w:rsid w:val="00C05F83"/>
    <w:rsid w:val="00C069E1"/>
    <w:rsid w:val="00C06E42"/>
    <w:rsid w:val="00C0722A"/>
    <w:rsid w:val="00C10DF8"/>
    <w:rsid w:val="00C132A2"/>
    <w:rsid w:val="00C13A62"/>
    <w:rsid w:val="00C14426"/>
    <w:rsid w:val="00C159B6"/>
    <w:rsid w:val="00C15CFF"/>
    <w:rsid w:val="00C17D05"/>
    <w:rsid w:val="00C20C21"/>
    <w:rsid w:val="00C211C4"/>
    <w:rsid w:val="00C217B0"/>
    <w:rsid w:val="00C21C42"/>
    <w:rsid w:val="00C228C2"/>
    <w:rsid w:val="00C23834"/>
    <w:rsid w:val="00C23BB8"/>
    <w:rsid w:val="00C23ECF"/>
    <w:rsid w:val="00C263B4"/>
    <w:rsid w:val="00C26687"/>
    <w:rsid w:val="00C2708C"/>
    <w:rsid w:val="00C30CE5"/>
    <w:rsid w:val="00C3100B"/>
    <w:rsid w:val="00C36228"/>
    <w:rsid w:val="00C36D21"/>
    <w:rsid w:val="00C407C9"/>
    <w:rsid w:val="00C4361C"/>
    <w:rsid w:val="00C438D6"/>
    <w:rsid w:val="00C446B7"/>
    <w:rsid w:val="00C47CAA"/>
    <w:rsid w:val="00C503AB"/>
    <w:rsid w:val="00C5122A"/>
    <w:rsid w:val="00C52166"/>
    <w:rsid w:val="00C53541"/>
    <w:rsid w:val="00C5484B"/>
    <w:rsid w:val="00C54DA9"/>
    <w:rsid w:val="00C55CCD"/>
    <w:rsid w:val="00C55D9E"/>
    <w:rsid w:val="00C56626"/>
    <w:rsid w:val="00C57575"/>
    <w:rsid w:val="00C604A5"/>
    <w:rsid w:val="00C60849"/>
    <w:rsid w:val="00C6426F"/>
    <w:rsid w:val="00C64812"/>
    <w:rsid w:val="00C64B93"/>
    <w:rsid w:val="00C651AC"/>
    <w:rsid w:val="00C65BEF"/>
    <w:rsid w:val="00C66594"/>
    <w:rsid w:val="00C666C4"/>
    <w:rsid w:val="00C67D01"/>
    <w:rsid w:val="00C7033C"/>
    <w:rsid w:val="00C70F6D"/>
    <w:rsid w:val="00C71F33"/>
    <w:rsid w:val="00C73181"/>
    <w:rsid w:val="00C76FA9"/>
    <w:rsid w:val="00C80168"/>
    <w:rsid w:val="00C801E6"/>
    <w:rsid w:val="00C83945"/>
    <w:rsid w:val="00C84242"/>
    <w:rsid w:val="00C85309"/>
    <w:rsid w:val="00C86117"/>
    <w:rsid w:val="00C865E9"/>
    <w:rsid w:val="00C873B1"/>
    <w:rsid w:val="00C87F37"/>
    <w:rsid w:val="00C91C7F"/>
    <w:rsid w:val="00C929CD"/>
    <w:rsid w:val="00C93C0D"/>
    <w:rsid w:val="00C959F9"/>
    <w:rsid w:val="00C95D58"/>
    <w:rsid w:val="00C961C5"/>
    <w:rsid w:val="00C96563"/>
    <w:rsid w:val="00C97865"/>
    <w:rsid w:val="00C97B55"/>
    <w:rsid w:val="00CA039D"/>
    <w:rsid w:val="00CA0494"/>
    <w:rsid w:val="00CA1160"/>
    <w:rsid w:val="00CA23CE"/>
    <w:rsid w:val="00CA3437"/>
    <w:rsid w:val="00CA445A"/>
    <w:rsid w:val="00CA536D"/>
    <w:rsid w:val="00CA5E47"/>
    <w:rsid w:val="00CA6437"/>
    <w:rsid w:val="00CB2C58"/>
    <w:rsid w:val="00CB2F15"/>
    <w:rsid w:val="00CB3290"/>
    <w:rsid w:val="00CB330C"/>
    <w:rsid w:val="00CB331D"/>
    <w:rsid w:val="00CB35AF"/>
    <w:rsid w:val="00CB3AC6"/>
    <w:rsid w:val="00CB529A"/>
    <w:rsid w:val="00CB55C2"/>
    <w:rsid w:val="00CB56D3"/>
    <w:rsid w:val="00CB623C"/>
    <w:rsid w:val="00CB69E7"/>
    <w:rsid w:val="00CB7D46"/>
    <w:rsid w:val="00CC0C77"/>
    <w:rsid w:val="00CC1DFB"/>
    <w:rsid w:val="00CC205C"/>
    <w:rsid w:val="00CC2707"/>
    <w:rsid w:val="00CC3DE8"/>
    <w:rsid w:val="00CC552E"/>
    <w:rsid w:val="00CC75DF"/>
    <w:rsid w:val="00CD0A1A"/>
    <w:rsid w:val="00CD1337"/>
    <w:rsid w:val="00CD1DD1"/>
    <w:rsid w:val="00CD237A"/>
    <w:rsid w:val="00CD2B7D"/>
    <w:rsid w:val="00CD3835"/>
    <w:rsid w:val="00CD4C8E"/>
    <w:rsid w:val="00CD537F"/>
    <w:rsid w:val="00CD5745"/>
    <w:rsid w:val="00CD63FA"/>
    <w:rsid w:val="00CD7DC3"/>
    <w:rsid w:val="00CE11DB"/>
    <w:rsid w:val="00CE4929"/>
    <w:rsid w:val="00CE55C5"/>
    <w:rsid w:val="00CE67A7"/>
    <w:rsid w:val="00CE76F1"/>
    <w:rsid w:val="00CF08B5"/>
    <w:rsid w:val="00CF36C6"/>
    <w:rsid w:val="00CF3709"/>
    <w:rsid w:val="00CF647B"/>
    <w:rsid w:val="00CF683D"/>
    <w:rsid w:val="00CF712D"/>
    <w:rsid w:val="00CF7D1F"/>
    <w:rsid w:val="00D00940"/>
    <w:rsid w:val="00D0098A"/>
    <w:rsid w:val="00D04710"/>
    <w:rsid w:val="00D06520"/>
    <w:rsid w:val="00D10A57"/>
    <w:rsid w:val="00D10C62"/>
    <w:rsid w:val="00D1249E"/>
    <w:rsid w:val="00D12F28"/>
    <w:rsid w:val="00D13300"/>
    <w:rsid w:val="00D13D95"/>
    <w:rsid w:val="00D151C6"/>
    <w:rsid w:val="00D17DB3"/>
    <w:rsid w:val="00D17FBA"/>
    <w:rsid w:val="00D20D01"/>
    <w:rsid w:val="00D214A5"/>
    <w:rsid w:val="00D21769"/>
    <w:rsid w:val="00D21CCB"/>
    <w:rsid w:val="00D233DD"/>
    <w:rsid w:val="00D23F5C"/>
    <w:rsid w:val="00D2446B"/>
    <w:rsid w:val="00D249F3"/>
    <w:rsid w:val="00D24B69"/>
    <w:rsid w:val="00D25F1D"/>
    <w:rsid w:val="00D260BB"/>
    <w:rsid w:val="00D3004A"/>
    <w:rsid w:val="00D30792"/>
    <w:rsid w:val="00D30A30"/>
    <w:rsid w:val="00D30C7F"/>
    <w:rsid w:val="00D30FF7"/>
    <w:rsid w:val="00D31846"/>
    <w:rsid w:val="00D31A09"/>
    <w:rsid w:val="00D349B4"/>
    <w:rsid w:val="00D3596E"/>
    <w:rsid w:val="00D37CC5"/>
    <w:rsid w:val="00D41A7D"/>
    <w:rsid w:val="00D42D51"/>
    <w:rsid w:val="00D46A1F"/>
    <w:rsid w:val="00D50727"/>
    <w:rsid w:val="00D50E0E"/>
    <w:rsid w:val="00D521C6"/>
    <w:rsid w:val="00D52E3D"/>
    <w:rsid w:val="00D53017"/>
    <w:rsid w:val="00D54AB2"/>
    <w:rsid w:val="00D57079"/>
    <w:rsid w:val="00D57726"/>
    <w:rsid w:val="00D57AE7"/>
    <w:rsid w:val="00D57C61"/>
    <w:rsid w:val="00D60A6D"/>
    <w:rsid w:val="00D61C03"/>
    <w:rsid w:val="00D6243F"/>
    <w:rsid w:val="00D62B8A"/>
    <w:rsid w:val="00D62D9D"/>
    <w:rsid w:val="00D63ECB"/>
    <w:rsid w:val="00D644E4"/>
    <w:rsid w:val="00D648A7"/>
    <w:rsid w:val="00D661E9"/>
    <w:rsid w:val="00D663F1"/>
    <w:rsid w:val="00D66609"/>
    <w:rsid w:val="00D666EF"/>
    <w:rsid w:val="00D66A2F"/>
    <w:rsid w:val="00D67088"/>
    <w:rsid w:val="00D70E2B"/>
    <w:rsid w:val="00D70F5B"/>
    <w:rsid w:val="00D71D71"/>
    <w:rsid w:val="00D7218D"/>
    <w:rsid w:val="00D721A6"/>
    <w:rsid w:val="00D7266D"/>
    <w:rsid w:val="00D72E98"/>
    <w:rsid w:val="00D734B4"/>
    <w:rsid w:val="00D7459B"/>
    <w:rsid w:val="00D746A6"/>
    <w:rsid w:val="00D75473"/>
    <w:rsid w:val="00D76073"/>
    <w:rsid w:val="00D76206"/>
    <w:rsid w:val="00D76FB8"/>
    <w:rsid w:val="00D77282"/>
    <w:rsid w:val="00D775C4"/>
    <w:rsid w:val="00D77999"/>
    <w:rsid w:val="00D80205"/>
    <w:rsid w:val="00D80907"/>
    <w:rsid w:val="00D81206"/>
    <w:rsid w:val="00D817B0"/>
    <w:rsid w:val="00D81C31"/>
    <w:rsid w:val="00D82199"/>
    <w:rsid w:val="00D85760"/>
    <w:rsid w:val="00D86C52"/>
    <w:rsid w:val="00D872EB"/>
    <w:rsid w:val="00D909FB"/>
    <w:rsid w:val="00D914CC"/>
    <w:rsid w:val="00D91971"/>
    <w:rsid w:val="00D91D2C"/>
    <w:rsid w:val="00D94857"/>
    <w:rsid w:val="00D95957"/>
    <w:rsid w:val="00D95AEE"/>
    <w:rsid w:val="00D970C9"/>
    <w:rsid w:val="00D97921"/>
    <w:rsid w:val="00DA082A"/>
    <w:rsid w:val="00DA0F3C"/>
    <w:rsid w:val="00DA2883"/>
    <w:rsid w:val="00DA2CE1"/>
    <w:rsid w:val="00DA31DD"/>
    <w:rsid w:val="00DA5F8A"/>
    <w:rsid w:val="00DA64E6"/>
    <w:rsid w:val="00DA682B"/>
    <w:rsid w:val="00DA7903"/>
    <w:rsid w:val="00DB0DB1"/>
    <w:rsid w:val="00DB336F"/>
    <w:rsid w:val="00DB372D"/>
    <w:rsid w:val="00DB4028"/>
    <w:rsid w:val="00DB6135"/>
    <w:rsid w:val="00DB61F9"/>
    <w:rsid w:val="00DB6C7C"/>
    <w:rsid w:val="00DC05D9"/>
    <w:rsid w:val="00DC1DF1"/>
    <w:rsid w:val="00DC22C3"/>
    <w:rsid w:val="00DC417D"/>
    <w:rsid w:val="00DC4399"/>
    <w:rsid w:val="00DC4641"/>
    <w:rsid w:val="00DD1F74"/>
    <w:rsid w:val="00DD281A"/>
    <w:rsid w:val="00DD61B9"/>
    <w:rsid w:val="00DD7E04"/>
    <w:rsid w:val="00DD7EA5"/>
    <w:rsid w:val="00DE058C"/>
    <w:rsid w:val="00DE10DF"/>
    <w:rsid w:val="00DE2E54"/>
    <w:rsid w:val="00DE35E8"/>
    <w:rsid w:val="00DE4F4C"/>
    <w:rsid w:val="00DE5BA5"/>
    <w:rsid w:val="00DE68C3"/>
    <w:rsid w:val="00DE6A05"/>
    <w:rsid w:val="00DE6A16"/>
    <w:rsid w:val="00DE6C43"/>
    <w:rsid w:val="00DE6F02"/>
    <w:rsid w:val="00DE74E7"/>
    <w:rsid w:val="00DF38B9"/>
    <w:rsid w:val="00DF39BF"/>
    <w:rsid w:val="00DF3AC6"/>
    <w:rsid w:val="00DF7C58"/>
    <w:rsid w:val="00DF7D43"/>
    <w:rsid w:val="00E01D59"/>
    <w:rsid w:val="00E061F2"/>
    <w:rsid w:val="00E076DE"/>
    <w:rsid w:val="00E10A5A"/>
    <w:rsid w:val="00E11474"/>
    <w:rsid w:val="00E11B1C"/>
    <w:rsid w:val="00E11CDE"/>
    <w:rsid w:val="00E13A8A"/>
    <w:rsid w:val="00E13ED8"/>
    <w:rsid w:val="00E1634B"/>
    <w:rsid w:val="00E20981"/>
    <w:rsid w:val="00E23E5D"/>
    <w:rsid w:val="00E2403A"/>
    <w:rsid w:val="00E2437A"/>
    <w:rsid w:val="00E256E7"/>
    <w:rsid w:val="00E30D47"/>
    <w:rsid w:val="00E31EE9"/>
    <w:rsid w:val="00E32D69"/>
    <w:rsid w:val="00E334D2"/>
    <w:rsid w:val="00E34CCB"/>
    <w:rsid w:val="00E360B2"/>
    <w:rsid w:val="00E36DED"/>
    <w:rsid w:val="00E412F7"/>
    <w:rsid w:val="00E41BB6"/>
    <w:rsid w:val="00E42261"/>
    <w:rsid w:val="00E43495"/>
    <w:rsid w:val="00E434CD"/>
    <w:rsid w:val="00E446C6"/>
    <w:rsid w:val="00E45D2F"/>
    <w:rsid w:val="00E461A1"/>
    <w:rsid w:val="00E466CF"/>
    <w:rsid w:val="00E5103E"/>
    <w:rsid w:val="00E51102"/>
    <w:rsid w:val="00E52BD4"/>
    <w:rsid w:val="00E52DE8"/>
    <w:rsid w:val="00E55A2D"/>
    <w:rsid w:val="00E564C0"/>
    <w:rsid w:val="00E6095B"/>
    <w:rsid w:val="00E614C8"/>
    <w:rsid w:val="00E624BE"/>
    <w:rsid w:val="00E6395B"/>
    <w:rsid w:val="00E63ADD"/>
    <w:rsid w:val="00E652A8"/>
    <w:rsid w:val="00E66573"/>
    <w:rsid w:val="00E6705B"/>
    <w:rsid w:val="00E6739F"/>
    <w:rsid w:val="00E67FF4"/>
    <w:rsid w:val="00E70708"/>
    <w:rsid w:val="00E72367"/>
    <w:rsid w:val="00E72877"/>
    <w:rsid w:val="00E746C2"/>
    <w:rsid w:val="00E75EED"/>
    <w:rsid w:val="00E80402"/>
    <w:rsid w:val="00E809B8"/>
    <w:rsid w:val="00E82440"/>
    <w:rsid w:val="00E82531"/>
    <w:rsid w:val="00E83069"/>
    <w:rsid w:val="00E834DB"/>
    <w:rsid w:val="00E83B1D"/>
    <w:rsid w:val="00E840ED"/>
    <w:rsid w:val="00E84A0F"/>
    <w:rsid w:val="00E870A6"/>
    <w:rsid w:val="00E87279"/>
    <w:rsid w:val="00E87B96"/>
    <w:rsid w:val="00E90650"/>
    <w:rsid w:val="00E91B44"/>
    <w:rsid w:val="00E91EC6"/>
    <w:rsid w:val="00E942AB"/>
    <w:rsid w:val="00E94757"/>
    <w:rsid w:val="00E966D9"/>
    <w:rsid w:val="00E967CA"/>
    <w:rsid w:val="00EA001F"/>
    <w:rsid w:val="00EA210D"/>
    <w:rsid w:val="00EA2EB9"/>
    <w:rsid w:val="00EA377A"/>
    <w:rsid w:val="00EA4BD2"/>
    <w:rsid w:val="00EA66F4"/>
    <w:rsid w:val="00EB0BEE"/>
    <w:rsid w:val="00EB1285"/>
    <w:rsid w:val="00EB1B12"/>
    <w:rsid w:val="00EB1FDC"/>
    <w:rsid w:val="00EB2811"/>
    <w:rsid w:val="00EB2CFC"/>
    <w:rsid w:val="00EB35A3"/>
    <w:rsid w:val="00EB4107"/>
    <w:rsid w:val="00EB5722"/>
    <w:rsid w:val="00EB5DE7"/>
    <w:rsid w:val="00EB7A0B"/>
    <w:rsid w:val="00EB7B2D"/>
    <w:rsid w:val="00EC1E01"/>
    <w:rsid w:val="00EC268B"/>
    <w:rsid w:val="00EC47A1"/>
    <w:rsid w:val="00EC4A9E"/>
    <w:rsid w:val="00EC4C59"/>
    <w:rsid w:val="00EC5411"/>
    <w:rsid w:val="00EC5882"/>
    <w:rsid w:val="00EC5B5E"/>
    <w:rsid w:val="00EC5CD8"/>
    <w:rsid w:val="00EC5DB5"/>
    <w:rsid w:val="00EC6ECC"/>
    <w:rsid w:val="00EC7501"/>
    <w:rsid w:val="00EC7E2A"/>
    <w:rsid w:val="00ED0AC4"/>
    <w:rsid w:val="00ED160C"/>
    <w:rsid w:val="00ED3163"/>
    <w:rsid w:val="00ED33B7"/>
    <w:rsid w:val="00ED35CD"/>
    <w:rsid w:val="00ED3FC8"/>
    <w:rsid w:val="00ED42AD"/>
    <w:rsid w:val="00ED53FB"/>
    <w:rsid w:val="00ED5C6C"/>
    <w:rsid w:val="00ED6BE7"/>
    <w:rsid w:val="00ED73AC"/>
    <w:rsid w:val="00EE04F5"/>
    <w:rsid w:val="00EE19B4"/>
    <w:rsid w:val="00EE422C"/>
    <w:rsid w:val="00EE4710"/>
    <w:rsid w:val="00EE49A8"/>
    <w:rsid w:val="00EE7597"/>
    <w:rsid w:val="00EE7990"/>
    <w:rsid w:val="00EF1C85"/>
    <w:rsid w:val="00EF2269"/>
    <w:rsid w:val="00EF2EFA"/>
    <w:rsid w:val="00EF33A2"/>
    <w:rsid w:val="00EF48FA"/>
    <w:rsid w:val="00EF4A01"/>
    <w:rsid w:val="00EF5B08"/>
    <w:rsid w:val="00EF7464"/>
    <w:rsid w:val="00EF7C00"/>
    <w:rsid w:val="00F00277"/>
    <w:rsid w:val="00F006FD"/>
    <w:rsid w:val="00F009E2"/>
    <w:rsid w:val="00F00DD6"/>
    <w:rsid w:val="00F018DF"/>
    <w:rsid w:val="00F02D80"/>
    <w:rsid w:val="00F0466F"/>
    <w:rsid w:val="00F0583C"/>
    <w:rsid w:val="00F06097"/>
    <w:rsid w:val="00F06107"/>
    <w:rsid w:val="00F07691"/>
    <w:rsid w:val="00F07D20"/>
    <w:rsid w:val="00F13572"/>
    <w:rsid w:val="00F13BDE"/>
    <w:rsid w:val="00F13C36"/>
    <w:rsid w:val="00F14269"/>
    <w:rsid w:val="00F14BA3"/>
    <w:rsid w:val="00F14FA2"/>
    <w:rsid w:val="00F1760D"/>
    <w:rsid w:val="00F2028F"/>
    <w:rsid w:val="00F21EBD"/>
    <w:rsid w:val="00F22ED3"/>
    <w:rsid w:val="00F231AB"/>
    <w:rsid w:val="00F238F9"/>
    <w:rsid w:val="00F244EB"/>
    <w:rsid w:val="00F246CF"/>
    <w:rsid w:val="00F24924"/>
    <w:rsid w:val="00F2592D"/>
    <w:rsid w:val="00F27138"/>
    <w:rsid w:val="00F275BA"/>
    <w:rsid w:val="00F304C2"/>
    <w:rsid w:val="00F321E1"/>
    <w:rsid w:val="00F3240B"/>
    <w:rsid w:val="00F32640"/>
    <w:rsid w:val="00F33C35"/>
    <w:rsid w:val="00F3403A"/>
    <w:rsid w:val="00F3405D"/>
    <w:rsid w:val="00F3686C"/>
    <w:rsid w:val="00F37279"/>
    <w:rsid w:val="00F4134C"/>
    <w:rsid w:val="00F41B4A"/>
    <w:rsid w:val="00F4242F"/>
    <w:rsid w:val="00F431BD"/>
    <w:rsid w:val="00F43A1C"/>
    <w:rsid w:val="00F43C72"/>
    <w:rsid w:val="00F43F56"/>
    <w:rsid w:val="00F44E8D"/>
    <w:rsid w:val="00F44FDF"/>
    <w:rsid w:val="00F46522"/>
    <w:rsid w:val="00F466B1"/>
    <w:rsid w:val="00F466BA"/>
    <w:rsid w:val="00F47009"/>
    <w:rsid w:val="00F4753F"/>
    <w:rsid w:val="00F502D0"/>
    <w:rsid w:val="00F537BB"/>
    <w:rsid w:val="00F5505F"/>
    <w:rsid w:val="00F550C5"/>
    <w:rsid w:val="00F5600E"/>
    <w:rsid w:val="00F56917"/>
    <w:rsid w:val="00F56CBB"/>
    <w:rsid w:val="00F577C7"/>
    <w:rsid w:val="00F6011D"/>
    <w:rsid w:val="00F61244"/>
    <w:rsid w:val="00F61249"/>
    <w:rsid w:val="00F62659"/>
    <w:rsid w:val="00F626B3"/>
    <w:rsid w:val="00F63018"/>
    <w:rsid w:val="00F64BEF"/>
    <w:rsid w:val="00F67319"/>
    <w:rsid w:val="00F6739F"/>
    <w:rsid w:val="00F676DF"/>
    <w:rsid w:val="00F70EB2"/>
    <w:rsid w:val="00F724C5"/>
    <w:rsid w:val="00F735DE"/>
    <w:rsid w:val="00F738AA"/>
    <w:rsid w:val="00F75C33"/>
    <w:rsid w:val="00F77B86"/>
    <w:rsid w:val="00F80217"/>
    <w:rsid w:val="00F81BFF"/>
    <w:rsid w:val="00F81E8E"/>
    <w:rsid w:val="00F82904"/>
    <w:rsid w:val="00F85537"/>
    <w:rsid w:val="00F8750B"/>
    <w:rsid w:val="00F8756C"/>
    <w:rsid w:val="00F90016"/>
    <w:rsid w:val="00F90A1A"/>
    <w:rsid w:val="00F90DCF"/>
    <w:rsid w:val="00F90EDD"/>
    <w:rsid w:val="00F92186"/>
    <w:rsid w:val="00F9296E"/>
    <w:rsid w:val="00F93680"/>
    <w:rsid w:val="00F93BD6"/>
    <w:rsid w:val="00F94AB9"/>
    <w:rsid w:val="00F94AEF"/>
    <w:rsid w:val="00F95309"/>
    <w:rsid w:val="00F9556B"/>
    <w:rsid w:val="00F96ACD"/>
    <w:rsid w:val="00FA1527"/>
    <w:rsid w:val="00FA1895"/>
    <w:rsid w:val="00FA29AB"/>
    <w:rsid w:val="00FA2C55"/>
    <w:rsid w:val="00FA5BF9"/>
    <w:rsid w:val="00FA653D"/>
    <w:rsid w:val="00FA6A71"/>
    <w:rsid w:val="00FA6C47"/>
    <w:rsid w:val="00FA71D7"/>
    <w:rsid w:val="00FA729B"/>
    <w:rsid w:val="00FB2FD9"/>
    <w:rsid w:val="00FB37C9"/>
    <w:rsid w:val="00FB481F"/>
    <w:rsid w:val="00FB78A1"/>
    <w:rsid w:val="00FC0749"/>
    <w:rsid w:val="00FC09F0"/>
    <w:rsid w:val="00FC210D"/>
    <w:rsid w:val="00FC272B"/>
    <w:rsid w:val="00FC3DEF"/>
    <w:rsid w:val="00FC4663"/>
    <w:rsid w:val="00FC4C95"/>
    <w:rsid w:val="00FC4D75"/>
    <w:rsid w:val="00FC59A2"/>
    <w:rsid w:val="00FC685D"/>
    <w:rsid w:val="00FC72C5"/>
    <w:rsid w:val="00FC74B8"/>
    <w:rsid w:val="00FC7546"/>
    <w:rsid w:val="00FD0218"/>
    <w:rsid w:val="00FD3942"/>
    <w:rsid w:val="00FD40B8"/>
    <w:rsid w:val="00FD547D"/>
    <w:rsid w:val="00FD5872"/>
    <w:rsid w:val="00FD7008"/>
    <w:rsid w:val="00FD7A3D"/>
    <w:rsid w:val="00FE2E0E"/>
    <w:rsid w:val="00FE32E4"/>
    <w:rsid w:val="00FE377D"/>
    <w:rsid w:val="00FE37C7"/>
    <w:rsid w:val="00FE39CD"/>
    <w:rsid w:val="00FE3BFE"/>
    <w:rsid w:val="00FE44D4"/>
    <w:rsid w:val="00FE5105"/>
    <w:rsid w:val="00FE7AA8"/>
    <w:rsid w:val="00FE7AD9"/>
    <w:rsid w:val="00FE7F14"/>
    <w:rsid w:val="00FF06D4"/>
    <w:rsid w:val="00FF1845"/>
    <w:rsid w:val="00FF1E96"/>
    <w:rsid w:val="00FF2EC3"/>
    <w:rsid w:val="00FF390A"/>
    <w:rsid w:val="00FF489D"/>
    <w:rsid w:val="00FF501B"/>
    <w:rsid w:val="00FF623A"/>
    <w:rsid w:val="00FF625C"/>
    <w:rsid w:val="00FF7368"/>
    <w:rsid w:val="00FF7C82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0EE966"/>
  <w15:docId w15:val="{B1878AAF-A052-4A39-98B2-AB897FF2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670A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9A269C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62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1">
    <w:name w:val="Pa11"/>
    <w:basedOn w:val="Default"/>
    <w:next w:val="Default"/>
    <w:rsid w:val="00876227"/>
    <w:pPr>
      <w:spacing w:line="1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876227"/>
    <w:pPr>
      <w:spacing w:line="20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rsid w:val="00876227"/>
    <w:pPr>
      <w:spacing w:line="20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rsid w:val="00876227"/>
    <w:pPr>
      <w:spacing w:line="20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rsid w:val="00876227"/>
    <w:pPr>
      <w:spacing w:line="40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876227"/>
    <w:pPr>
      <w:spacing w:line="20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876227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876227"/>
    <w:pPr>
      <w:spacing w:line="20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rsid w:val="00876227"/>
    <w:pPr>
      <w:spacing w:line="20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rsid w:val="00876227"/>
    <w:pPr>
      <w:spacing w:line="16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rsid w:val="00876227"/>
    <w:pPr>
      <w:spacing w:line="18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rsid w:val="00876227"/>
    <w:pPr>
      <w:spacing w:line="18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rsid w:val="00A460F8"/>
    <w:pPr>
      <w:spacing w:line="14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A460F8"/>
    <w:pPr>
      <w:spacing w:line="201" w:lineRule="atLeast"/>
    </w:pPr>
    <w:rPr>
      <w:rFonts w:cs="Times New Roman"/>
      <w:color w:val="auto"/>
    </w:rPr>
  </w:style>
  <w:style w:type="paragraph" w:customStyle="1" w:styleId="sangrado">
    <w:name w:val="sangrado"/>
    <w:basedOn w:val="Normal"/>
    <w:rsid w:val="00A460F8"/>
    <w:pPr>
      <w:spacing w:before="100" w:beforeAutospacing="1" w:after="100" w:afterAutospacing="1"/>
    </w:pPr>
  </w:style>
  <w:style w:type="character" w:customStyle="1" w:styleId="A6">
    <w:name w:val="A6"/>
    <w:rsid w:val="00F80217"/>
    <w:rPr>
      <w:rFonts w:cs="Arial"/>
      <w:b/>
      <w:bCs/>
      <w:color w:val="FFFFFF"/>
      <w:sz w:val="16"/>
      <w:szCs w:val="16"/>
    </w:rPr>
  </w:style>
  <w:style w:type="paragraph" w:customStyle="1" w:styleId="Pa23">
    <w:name w:val="Pa23"/>
    <w:basedOn w:val="Default"/>
    <w:next w:val="Default"/>
    <w:rsid w:val="00F80217"/>
    <w:pPr>
      <w:spacing w:line="161" w:lineRule="atLeast"/>
    </w:pPr>
    <w:rPr>
      <w:rFonts w:cs="Times New Roman"/>
      <w:color w:val="auto"/>
    </w:rPr>
  </w:style>
  <w:style w:type="character" w:styleId="Strong">
    <w:name w:val="Strong"/>
    <w:qFormat/>
    <w:rsid w:val="00036972"/>
    <w:rPr>
      <w:b/>
      <w:bCs/>
    </w:rPr>
  </w:style>
  <w:style w:type="table" w:styleId="TableGrid">
    <w:name w:val="Table Grid"/>
    <w:basedOn w:val="TableNormal"/>
    <w:rsid w:val="009E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E3783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rsid w:val="009E3783"/>
    <w:pPr>
      <w:tabs>
        <w:tab w:val="center" w:pos="4252"/>
        <w:tab w:val="right" w:pos="8504"/>
      </w:tabs>
    </w:pPr>
  </w:style>
  <w:style w:type="paragraph" w:customStyle="1" w:styleId="sangradoarticulo">
    <w:name w:val="sangrado_articulo"/>
    <w:basedOn w:val="Normal"/>
    <w:rsid w:val="009E3783"/>
    <w:pPr>
      <w:spacing w:before="100" w:beforeAutospacing="1" w:after="100" w:afterAutospacing="1"/>
    </w:pPr>
  </w:style>
  <w:style w:type="paragraph" w:customStyle="1" w:styleId="sangrado2">
    <w:name w:val="sangrado_2"/>
    <w:basedOn w:val="Normal"/>
    <w:rsid w:val="009E3783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9E3783"/>
    <w:pPr>
      <w:spacing w:after="120" w:line="480" w:lineRule="auto"/>
      <w:ind w:left="283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9E3783"/>
    <w:pPr>
      <w:spacing w:after="120"/>
      <w:ind w:left="283"/>
    </w:pPr>
    <w:rPr>
      <w:sz w:val="16"/>
      <w:szCs w:val="16"/>
    </w:rPr>
  </w:style>
  <w:style w:type="character" w:customStyle="1" w:styleId="HeaderChar">
    <w:name w:val="Header Char"/>
    <w:link w:val="Header"/>
    <w:uiPriority w:val="99"/>
    <w:rsid w:val="009A6956"/>
    <w:rPr>
      <w:sz w:val="24"/>
      <w:szCs w:val="24"/>
    </w:rPr>
  </w:style>
  <w:style w:type="paragraph" w:styleId="BalloonText">
    <w:name w:val="Balloon Text"/>
    <w:basedOn w:val="Normal"/>
    <w:link w:val="BalloonTextChar"/>
    <w:rsid w:val="009A6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A6956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semiHidden/>
    <w:locked/>
    <w:rsid w:val="009A269C"/>
    <w:rPr>
      <w:rFonts w:ascii="Arial" w:hAnsi="Arial" w:cs="Arial"/>
      <w:b/>
      <w:bCs/>
      <w:sz w:val="24"/>
      <w:szCs w:val="24"/>
      <w:lang w:val="pl-PL" w:eastAsia="es-ES" w:bidi="ar-SA"/>
    </w:rPr>
  </w:style>
  <w:style w:type="paragraph" w:styleId="BodyText3">
    <w:name w:val="Body Text 3"/>
    <w:basedOn w:val="Normal"/>
    <w:link w:val="BodyText3Char"/>
    <w:rsid w:val="00511A8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11A83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511A83"/>
    <w:rPr>
      <w:rFonts w:eastAsia="Calibri"/>
    </w:rPr>
  </w:style>
  <w:style w:type="paragraph" w:styleId="NoSpacing">
    <w:name w:val="No Spacing"/>
    <w:uiPriority w:val="1"/>
    <w:qFormat/>
    <w:rsid w:val="00511A8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11A83"/>
    <w:pPr>
      <w:ind w:left="720"/>
      <w:contextualSpacing/>
    </w:pPr>
  </w:style>
  <w:style w:type="character" w:customStyle="1" w:styleId="ApartadoCarCar">
    <w:name w:val="Apartado Car Car"/>
    <w:link w:val="Apartado"/>
    <w:locked/>
    <w:rsid w:val="00511A83"/>
    <w:rPr>
      <w:rFonts w:ascii="Arial" w:hAnsi="Arial" w:cs="Arial"/>
      <w:sz w:val="24"/>
    </w:rPr>
  </w:style>
  <w:style w:type="paragraph" w:customStyle="1" w:styleId="Apartado">
    <w:name w:val="Apartado"/>
    <w:basedOn w:val="Normal"/>
    <w:link w:val="ApartadoCarCar"/>
    <w:rsid w:val="00511A83"/>
    <w:pPr>
      <w:numPr>
        <w:numId w:val="1"/>
      </w:numPr>
      <w:spacing w:before="240"/>
      <w:jc w:val="both"/>
    </w:pPr>
    <w:rPr>
      <w:rFonts w:ascii="Arial" w:hAnsi="Arial" w:cs="Arial"/>
      <w:szCs w:val="20"/>
    </w:rPr>
  </w:style>
  <w:style w:type="paragraph" w:customStyle="1" w:styleId="parrafo1">
    <w:name w:val="parrafo1"/>
    <w:basedOn w:val="Normal"/>
    <w:uiPriority w:val="99"/>
    <w:rsid w:val="00511A83"/>
    <w:pPr>
      <w:spacing w:before="180" w:after="180"/>
      <w:ind w:firstLine="360"/>
      <w:jc w:val="both"/>
    </w:pPr>
  </w:style>
  <w:style w:type="paragraph" w:customStyle="1" w:styleId="CM42">
    <w:name w:val="CM4+2"/>
    <w:basedOn w:val="Normal"/>
    <w:next w:val="Normal"/>
    <w:uiPriority w:val="99"/>
    <w:rsid w:val="00511A83"/>
    <w:pPr>
      <w:autoSpaceDE w:val="0"/>
      <w:autoSpaceDN w:val="0"/>
      <w:adjustRightInd w:val="0"/>
    </w:pPr>
    <w:rPr>
      <w:rFonts w:ascii="EUAlbertina" w:eastAsia="Calibri" w:hAnsi="EUAlbertina"/>
      <w:lang w:eastAsia="en-US"/>
    </w:rPr>
  </w:style>
  <w:style w:type="paragraph" w:customStyle="1" w:styleId="CM43">
    <w:name w:val="CM4+3"/>
    <w:basedOn w:val="Normal"/>
    <w:next w:val="Normal"/>
    <w:uiPriority w:val="99"/>
    <w:rsid w:val="00511A83"/>
    <w:pPr>
      <w:autoSpaceDE w:val="0"/>
      <w:autoSpaceDN w:val="0"/>
      <w:adjustRightInd w:val="0"/>
    </w:pPr>
    <w:rPr>
      <w:rFonts w:ascii="EUAlbertina" w:eastAsia="Calibri" w:hAnsi="EUAlbertina"/>
      <w:lang w:eastAsia="en-US"/>
    </w:rPr>
  </w:style>
  <w:style w:type="character" w:styleId="CommentReference">
    <w:name w:val="annotation reference"/>
    <w:rsid w:val="001868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68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6871"/>
  </w:style>
  <w:style w:type="paragraph" w:styleId="CommentSubject">
    <w:name w:val="annotation subject"/>
    <w:basedOn w:val="CommentText"/>
    <w:next w:val="CommentText"/>
    <w:link w:val="CommentSubjectChar"/>
    <w:rsid w:val="00186871"/>
    <w:rPr>
      <w:b/>
      <w:bCs/>
    </w:rPr>
  </w:style>
  <w:style w:type="character" w:customStyle="1" w:styleId="CommentSubjectChar">
    <w:name w:val="Comment Subject Char"/>
    <w:link w:val="CommentSubject"/>
    <w:rsid w:val="00186871"/>
    <w:rPr>
      <w:b/>
      <w:bCs/>
    </w:rPr>
  </w:style>
  <w:style w:type="paragraph" w:styleId="Revision">
    <w:name w:val="Revision"/>
    <w:hidden/>
    <w:uiPriority w:val="99"/>
    <w:semiHidden/>
    <w:rsid w:val="0018687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12EE"/>
    <w:rPr>
      <w:color w:val="0000FF"/>
      <w:u w:val="single"/>
    </w:rPr>
  </w:style>
  <w:style w:type="character" w:styleId="FollowedHyperlink">
    <w:name w:val="FollowedHyperlink"/>
    <w:basedOn w:val="DefaultParagraphFont"/>
    <w:rsid w:val="003012EE"/>
    <w:rPr>
      <w:color w:val="954F72" w:themeColor="followedHyperlink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EE7990"/>
    <w:rPr>
      <w:lang w:val="pl-PL"/>
    </w:rPr>
  </w:style>
  <w:style w:type="character" w:customStyle="1" w:styleId="BodyTextIndent3Char">
    <w:name w:val="Body Text Indent 3 Char"/>
    <w:basedOn w:val="DefaultParagraphFont"/>
    <w:link w:val="BodyTextIndent3"/>
    <w:rsid w:val="00EE7990"/>
    <w:rPr>
      <w:sz w:val="16"/>
      <w:szCs w:val="16"/>
      <w:lang w:val="pl-PL"/>
    </w:rPr>
  </w:style>
  <w:style w:type="paragraph" w:customStyle="1" w:styleId="Prrafodelista1">
    <w:name w:val="Párrafo de lista1"/>
    <w:basedOn w:val="Normal"/>
    <w:rsid w:val="008622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00BCD"/>
    <w:rPr>
      <w:sz w:val="24"/>
      <w:szCs w:val="24"/>
    </w:rPr>
  </w:style>
  <w:style w:type="paragraph" w:styleId="BodyText">
    <w:name w:val="Body Text"/>
    <w:basedOn w:val="Normal"/>
    <w:link w:val="BodyTextChar"/>
    <w:rsid w:val="007A5A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5AF5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5B21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5B21"/>
    <w:rPr>
      <w:rFonts w:ascii="Calibri" w:eastAsia="Calibri" w:hAnsi="Calibri"/>
      <w:sz w:val="22"/>
      <w:szCs w:val="21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Olej_oliwkow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Oliwka_(owoc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707EE-DAFB-4690-A389-B7AB64AC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5507</Words>
  <Characters>35551</Characters>
  <Application>Microsoft Office Word</Application>
  <DocSecurity>0</DocSecurity>
  <Lines>296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REAL DECRETO …/2011, DE … DE …, POR EL QUE SE APRUEBA LA NORMA DE CALIDAD DE LOS ACEITES VEGETALES COMESTIBLES</vt:lpstr>
    </vt:vector>
  </TitlesOfParts>
  <Company>Ministerio de Agricultura, Pesca y Alimentación</Company>
  <LinksUpToDate>false</LinksUpToDate>
  <CharactersWithSpaces>40977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REAL DECRETO …/2011, DE … DE …, POR EL QUE SE APRUEBA LA NORMA DE CALIDAD DE LOS ACEITES VEGETALES COMESTIBLES</dc:title>
  <dc:subject/>
  <dc:creator>erubiosa</dc:creator>
  <cp:keywords/>
  <cp:lastModifiedBy>Diana STOICA</cp:lastModifiedBy>
  <cp:revision>8</cp:revision>
  <cp:lastPrinted>2020-02-12T17:05:00Z</cp:lastPrinted>
  <dcterms:created xsi:type="dcterms:W3CDTF">2020-09-08T10:26:00Z</dcterms:created>
  <dcterms:modified xsi:type="dcterms:W3CDTF">2020-10-02T15:06:00Z</dcterms:modified>
</cp:coreProperties>
</file>