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70" w:type="dxa"/>
          <w:right w:w="70" w:type="dxa"/>
        </w:tblCellMar>
        <w:tblLook w:val="0000" w:firstRow="0" w:lastRow="0" w:firstColumn="0" w:lastColumn="0" w:noHBand="0" w:noVBand="0"/>
      </w:tblPr>
      <w:tblGrid>
        <w:gridCol w:w="3047"/>
      </w:tblGrid>
      <w:tr w:rsidR="00567E99" w:rsidRPr="00DC6D3D" w14:paraId="4E7A0F03" w14:textId="77777777" w:rsidTr="00567E99">
        <w:tc>
          <w:tcPr>
            <w:tcW w:w="3047" w:type="dxa"/>
            <w:vAlign w:val="center"/>
          </w:tcPr>
          <w:p w14:paraId="5DA2ED64" w14:textId="77777777" w:rsidR="0047258D" w:rsidRPr="00DC6D3D" w:rsidRDefault="0047258D" w:rsidP="00700DB8">
            <w:pPr>
              <w:pStyle w:val="FootnoteText"/>
              <w:framePr w:hSpace="141" w:wrap="around" w:vAnchor="text" w:hAnchor="text" w:x="1131" w:y="1"/>
              <w:tabs>
                <w:tab w:val="left" w:pos="1021"/>
                <w:tab w:val="left" w:pos="8080"/>
              </w:tabs>
              <w:spacing w:before="0"/>
              <w:rPr>
                <w:lang w:val="es-ES"/>
              </w:rPr>
            </w:pPr>
          </w:p>
        </w:tc>
      </w:tr>
      <w:tr w:rsidR="00567E99" w:rsidRPr="00DC6D3D" w14:paraId="541EE02B" w14:textId="77777777" w:rsidTr="00567E99">
        <w:tc>
          <w:tcPr>
            <w:tcW w:w="3047" w:type="dxa"/>
            <w:vAlign w:val="center"/>
          </w:tcPr>
          <w:p w14:paraId="3B9EBF54" w14:textId="77777777" w:rsidR="0047258D" w:rsidRPr="00DC6D3D" w:rsidRDefault="0047258D" w:rsidP="00413042">
            <w:pPr>
              <w:pStyle w:val="FootnoteText"/>
              <w:framePr w:hSpace="141" w:wrap="around" w:vAnchor="text" w:hAnchor="text" w:x="1131" w:y="1"/>
              <w:tabs>
                <w:tab w:val="left" w:pos="1021"/>
                <w:tab w:val="left" w:pos="8080"/>
              </w:tabs>
              <w:spacing w:before="0"/>
              <w:jc w:val="left"/>
              <w:rPr>
                <w:rFonts w:ascii="Gill Sans MT" w:hAnsi="Gill Sans MT"/>
                <w:snapToGrid w:val="0"/>
                <w:sz w:val="18"/>
              </w:rPr>
            </w:pPr>
            <w:r>
              <w:rPr>
                <w:rFonts w:ascii="Gill Sans MT" w:hAnsi="Gill Sans MT"/>
                <w:snapToGrid w:val="0"/>
                <w:sz w:val="18"/>
              </w:rPr>
              <w:t>MINISTRY OF AGRICULTURE, FISHERIES AND FOOD</w:t>
            </w:r>
          </w:p>
        </w:tc>
      </w:tr>
      <w:tr w:rsidR="00567E99" w:rsidRPr="00DC6D3D" w14:paraId="450069A0" w14:textId="77777777" w:rsidTr="00567E99">
        <w:tc>
          <w:tcPr>
            <w:tcW w:w="3047" w:type="dxa"/>
          </w:tcPr>
          <w:p w14:paraId="3F8AA59E" w14:textId="77777777" w:rsidR="0047258D" w:rsidRPr="00DC6D3D" w:rsidRDefault="0047258D" w:rsidP="00700DB8">
            <w:pPr>
              <w:pStyle w:val="FootnoteText"/>
              <w:framePr w:hSpace="141" w:wrap="around" w:vAnchor="text" w:hAnchor="text" w:x="1131" w:y="1"/>
              <w:tabs>
                <w:tab w:val="left" w:pos="1021"/>
                <w:tab w:val="left" w:pos="8080"/>
              </w:tabs>
              <w:spacing w:before="0"/>
              <w:rPr>
                <w:lang w:val="es-ES"/>
              </w:rPr>
            </w:pPr>
          </w:p>
        </w:tc>
      </w:tr>
    </w:tbl>
    <w:tbl>
      <w:tblPr>
        <w:tblW w:w="0" w:type="auto"/>
        <w:tblLayout w:type="fixed"/>
        <w:tblCellMar>
          <w:left w:w="0" w:type="dxa"/>
          <w:right w:w="0" w:type="dxa"/>
        </w:tblCellMar>
        <w:tblLook w:val="0000" w:firstRow="0" w:lastRow="0" w:firstColumn="0" w:lastColumn="0" w:noHBand="0" w:noVBand="0"/>
      </w:tblPr>
      <w:tblGrid>
        <w:gridCol w:w="1418"/>
        <w:gridCol w:w="283"/>
        <w:gridCol w:w="2845"/>
      </w:tblGrid>
      <w:tr w:rsidR="00567E99" w:rsidRPr="00DC6D3D" w14:paraId="77B2F68B" w14:textId="77777777" w:rsidTr="00567E99">
        <w:tc>
          <w:tcPr>
            <w:tcW w:w="1418" w:type="dxa"/>
          </w:tcPr>
          <w:p w14:paraId="3BE1070D" w14:textId="77777777" w:rsidR="0047258D" w:rsidRPr="00DC6D3D" w:rsidRDefault="0047258D" w:rsidP="00A17334">
            <w:pPr>
              <w:pStyle w:val="FootnoteText"/>
              <w:framePr w:hSpace="142" w:wrap="around" w:vAnchor="text" w:hAnchor="margin" w:xAlign="right" w:y="1"/>
              <w:tabs>
                <w:tab w:val="left" w:pos="1021"/>
                <w:tab w:val="left" w:pos="8080"/>
              </w:tabs>
              <w:spacing w:before="0"/>
              <w:ind w:left="142"/>
              <w:jc w:val="right"/>
              <w:rPr>
                <w:rFonts w:ascii="Gill Sans MT" w:hAnsi="Gill Sans MT"/>
                <w:sz w:val="14"/>
                <w:lang w:val="es-ES"/>
              </w:rPr>
            </w:pPr>
          </w:p>
        </w:tc>
        <w:tc>
          <w:tcPr>
            <w:tcW w:w="283" w:type="dxa"/>
            <w:tcBorders>
              <w:right w:val="single" w:sz="4" w:space="0" w:color="auto"/>
            </w:tcBorders>
          </w:tcPr>
          <w:p w14:paraId="42D85517" w14:textId="77777777" w:rsidR="0047258D" w:rsidRPr="00DC6D3D" w:rsidRDefault="0047258D" w:rsidP="00A17334">
            <w:pPr>
              <w:pStyle w:val="FootnoteText"/>
              <w:framePr w:hSpace="142" w:wrap="around" w:vAnchor="text" w:hAnchor="margin" w:xAlign="right" w:y="1"/>
              <w:tabs>
                <w:tab w:val="left" w:pos="1021"/>
                <w:tab w:val="left" w:pos="8080"/>
              </w:tabs>
              <w:spacing w:before="0"/>
              <w:ind w:left="142"/>
              <w:jc w:val="right"/>
              <w:rPr>
                <w:rFonts w:ascii="Gill Sans MT" w:hAnsi="Gill Sans MT"/>
                <w:sz w:val="14"/>
                <w:lang w:val="es-ES"/>
              </w:rPr>
            </w:pPr>
          </w:p>
        </w:tc>
        <w:tc>
          <w:tcPr>
            <w:tcW w:w="2845" w:type="dxa"/>
            <w:tcBorders>
              <w:top w:val="single" w:sz="4" w:space="0" w:color="auto"/>
              <w:left w:val="single" w:sz="4" w:space="0" w:color="auto"/>
              <w:bottom w:val="single" w:sz="4" w:space="0" w:color="auto"/>
              <w:right w:val="single" w:sz="4" w:space="0" w:color="auto"/>
            </w:tcBorders>
            <w:vAlign w:val="center"/>
          </w:tcPr>
          <w:p w14:paraId="00452542" w14:textId="77777777" w:rsidR="0047258D" w:rsidRPr="00DC6D3D" w:rsidRDefault="00EB39A3" w:rsidP="008C40B7">
            <w:pPr>
              <w:pStyle w:val="FootnoteText"/>
              <w:framePr w:hSpace="142" w:wrap="around" w:vAnchor="text" w:hAnchor="margin" w:xAlign="right" w:y="1"/>
              <w:tabs>
                <w:tab w:val="left" w:pos="1021"/>
                <w:tab w:val="left" w:pos="8080"/>
              </w:tabs>
              <w:spacing w:after="120"/>
              <w:ind w:left="57" w:right="57"/>
              <w:jc w:val="left"/>
              <w:rPr>
                <w:rFonts w:ascii="Gill Sans MT" w:hAnsi="Gill Sans MT"/>
                <w:sz w:val="14"/>
              </w:rPr>
            </w:pPr>
            <w:r>
              <w:rPr>
                <w:rFonts w:ascii="Gill Sans MT" w:hAnsi="Gill Sans MT"/>
                <w:sz w:val="14"/>
              </w:rPr>
              <w:t>GENERAL SECRETARIAT OF AGRICULTURE AND FOOD</w:t>
            </w:r>
          </w:p>
        </w:tc>
      </w:tr>
      <w:tr w:rsidR="00567E99" w:rsidRPr="00DC6D3D" w14:paraId="7D51A51B" w14:textId="77777777" w:rsidTr="00567E99">
        <w:tc>
          <w:tcPr>
            <w:tcW w:w="1418" w:type="dxa"/>
          </w:tcPr>
          <w:p w14:paraId="27A91ABA" w14:textId="77777777" w:rsidR="0047258D" w:rsidRPr="00DC6D3D" w:rsidRDefault="0047258D" w:rsidP="00A17334">
            <w:pPr>
              <w:pStyle w:val="FootnoteText"/>
              <w:framePr w:hSpace="142" w:wrap="around" w:vAnchor="text" w:hAnchor="margin" w:xAlign="right" w:y="1"/>
              <w:tabs>
                <w:tab w:val="left" w:pos="1021"/>
                <w:tab w:val="left" w:pos="8080"/>
              </w:tabs>
              <w:spacing w:before="0"/>
              <w:ind w:left="142"/>
              <w:jc w:val="right"/>
              <w:rPr>
                <w:rFonts w:ascii="Gill Sans MT" w:hAnsi="Gill Sans MT"/>
                <w:sz w:val="14"/>
                <w:lang w:val="es-ES"/>
              </w:rPr>
            </w:pPr>
          </w:p>
        </w:tc>
        <w:tc>
          <w:tcPr>
            <w:tcW w:w="283" w:type="dxa"/>
          </w:tcPr>
          <w:p w14:paraId="1D73068C" w14:textId="77777777" w:rsidR="0047258D" w:rsidRPr="00DC6D3D" w:rsidRDefault="0047258D" w:rsidP="00A17334">
            <w:pPr>
              <w:pStyle w:val="FootnoteText"/>
              <w:framePr w:hSpace="142" w:wrap="around" w:vAnchor="text" w:hAnchor="margin" w:xAlign="right" w:y="1"/>
              <w:tabs>
                <w:tab w:val="left" w:pos="1021"/>
                <w:tab w:val="left" w:pos="8080"/>
              </w:tabs>
              <w:spacing w:before="0"/>
              <w:ind w:left="142"/>
              <w:jc w:val="right"/>
              <w:rPr>
                <w:rFonts w:ascii="Gill Sans MT" w:hAnsi="Gill Sans MT"/>
                <w:sz w:val="14"/>
                <w:lang w:val="es-ES"/>
              </w:rPr>
            </w:pPr>
          </w:p>
        </w:tc>
        <w:tc>
          <w:tcPr>
            <w:tcW w:w="2845" w:type="dxa"/>
            <w:tcBorders>
              <w:top w:val="single" w:sz="4" w:space="0" w:color="auto"/>
            </w:tcBorders>
          </w:tcPr>
          <w:p w14:paraId="60CEEC71" w14:textId="77777777" w:rsidR="0047258D" w:rsidRPr="00DC6D3D" w:rsidRDefault="0047258D" w:rsidP="00A17334">
            <w:pPr>
              <w:pStyle w:val="FootnoteText"/>
              <w:framePr w:hSpace="142" w:wrap="around" w:vAnchor="text" w:hAnchor="margin" w:xAlign="right" w:y="1"/>
              <w:tabs>
                <w:tab w:val="left" w:pos="1021"/>
                <w:tab w:val="left" w:pos="8080"/>
              </w:tabs>
              <w:spacing w:before="0"/>
              <w:ind w:left="142"/>
              <w:jc w:val="left"/>
              <w:rPr>
                <w:rFonts w:ascii="Gill Sans MT" w:hAnsi="Gill Sans MT"/>
                <w:sz w:val="14"/>
                <w:lang w:val="es-ES"/>
              </w:rPr>
            </w:pPr>
          </w:p>
        </w:tc>
      </w:tr>
      <w:tr w:rsidR="00567E99" w:rsidRPr="00DC6D3D" w14:paraId="4D034982" w14:textId="77777777" w:rsidTr="00567E99">
        <w:tc>
          <w:tcPr>
            <w:tcW w:w="1418" w:type="dxa"/>
          </w:tcPr>
          <w:p w14:paraId="4037F8E4" w14:textId="77777777" w:rsidR="00EB39A3" w:rsidRPr="00DC6D3D" w:rsidRDefault="00EB39A3" w:rsidP="00A17334">
            <w:pPr>
              <w:pStyle w:val="FootnoteText"/>
              <w:framePr w:hSpace="142" w:wrap="around" w:vAnchor="text" w:hAnchor="margin" w:xAlign="right" w:y="1"/>
              <w:tabs>
                <w:tab w:val="left" w:pos="1021"/>
                <w:tab w:val="left" w:pos="8080"/>
              </w:tabs>
              <w:spacing w:before="0"/>
              <w:ind w:left="142"/>
              <w:jc w:val="right"/>
              <w:rPr>
                <w:rFonts w:ascii="Gill Sans MT" w:hAnsi="Gill Sans MT"/>
                <w:sz w:val="14"/>
                <w:lang w:val="es-ES"/>
              </w:rPr>
            </w:pPr>
          </w:p>
        </w:tc>
        <w:tc>
          <w:tcPr>
            <w:tcW w:w="283" w:type="dxa"/>
          </w:tcPr>
          <w:p w14:paraId="3E5414E0" w14:textId="77777777" w:rsidR="00EB39A3" w:rsidRPr="00DC6D3D" w:rsidRDefault="00EB39A3" w:rsidP="00A17334">
            <w:pPr>
              <w:pStyle w:val="FootnoteText"/>
              <w:framePr w:hSpace="142" w:wrap="around" w:vAnchor="text" w:hAnchor="margin" w:xAlign="right" w:y="1"/>
              <w:tabs>
                <w:tab w:val="left" w:pos="1021"/>
                <w:tab w:val="left" w:pos="8080"/>
              </w:tabs>
              <w:spacing w:before="0"/>
              <w:ind w:left="142"/>
              <w:jc w:val="right"/>
              <w:rPr>
                <w:rFonts w:ascii="Gill Sans MT" w:hAnsi="Gill Sans MT"/>
                <w:sz w:val="14"/>
                <w:lang w:val="es-ES"/>
              </w:rPr>
            </w:pPr>
          </w:p>
        </w:tc>
        <w:tc>
          <w:tcPr>
            <w:tcW w:w="2845" w:type="dxa"/>
          </w:tcPr>
          <w:p w14:paraId="3AB1AB3E" w14:textId="77777777" w:rsidR="00EB39A3" w:rsidRPr="00DC6D3D" w:rsidRDefault="00EB39A3" w:rsidP="008C40B7">
            <w:pPr>
              <w:pStyle w:val="FootnoteText"/>
              <w:framePr w:hSpace="142" w:wrap="around" w:vAnchor="text" w:hAnchor="margin" w:xAlign="right" w:y="1"/>
              <w:tabs>
                <w:tab w:val="left" w:pos="1021"/>
                <w:tab w:val="left" w:pos="8080"/>
              </w:tabs>
              <w:ind w:left="113" w:right="113"/>
              <w:jc w:val="left"/>
              <w:rPr>
                <w:rFonts w:ascii="Gill Sans MT" w:hAnsi="Gill Sans MT"/>
                <w:sz w:val="14"/>
              </w:rPr>
            </w:pPr>
            <w:r>
              <w:rPr>
                <w:rFonts w:ascii="Gill Sans MT" w:hAnsi="Gill Sans MT"/>
                <w:sz w:val="14"/>
              </w:rPr>
              <w:t>DIRECTORATE-GENERAL FOR THE FOOD INDUSTRY</w:t>
            </w:r>
          </w:p>
        </w:tc>
      </w:tr>
    </w:tbl>
    <w:p w14:paraId="1227CDDB" w14:textId="77777777" w:rsidR="0047258D" w:rsidRPr="00DC6D3D" w:rsidRDefault="000A37B3" w:rsidP="00F71C6E">
      <w:r>
        <w:rPr>
          <w:noProof/>
        </w:rPr>
        <w:drawing>
          <wp:anchor distT="0" distB="0" distL="114300" distR="114300" simplePos="0" relativeHeight="251657728" behindDoc="0" locked="0" layoutInCell="0" allowOverlap="1" wp14:anchorId="6174618F" wp14:editId="48CFA5C2">
            <wp:simplePos x="0" y="0"/>
            <wp:positionH relativeFrom="column">
              <wp:posOffset>-288848</wp:posOffset>
            </wp:positionH>
            <wp:positionV relativeFrom="paragraph">
              <wp:posOffset>127</wp:posOffset>
            </wp:positionV>
            <wp:extent cx="838200" cy="876300"/>
            <wp:effectExtent l="19050" t="0" r="0" b="0"/>
            <wp:wrapTopAndBottom/>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cstate="print"/>
                    <a:srcRect/>
                    <a:stretch>
                      <a:fillRect/>
                    </a:stretch>
                  </pic:blipFill>
                  <pic:spPr bwMode="auto">
                    <a:xfrm>
                      <a:off x="0" y="0"/>
                      <a:ext cx="838200" cy="876300"/>
                    </a:xfrm>
                    <a:prstGeom prst="rect">
                      <a:avLst/>
                    </a:prstGeom>
                    <a:noFill/>
                    <a:ln w="9525">
                      <a:noFill/>
                      <a:miter lim="800000"/>
                      <a:headEnd/>
                      <a:tailEnd/>
                    </a:ln>
                  </pic:spPr>
                </pic:pic>
              </a:graphicData>
            </a:graphic>
          </wp:anchor>
        </w:drawing>
      </w:r>
    </w:p>
    <w:p w14:paraId="1C1104EE" w14:textId="77777777" w:rsidR="00E16F74" w:rsidRDefault="00E16F74" w:rsidP="00E16F74">
      <w:pPr>
        <w:pStyle w:val="PlainText"/>
        <w:jc w:val="center"/>
        <w:rPr>
          <w:rFonts w:ascii="Courier New" w:hAnsi="Courier New"/>
          <w:sz w:val="20"/>
          <w:szCs w:val="20"/>
        </w:rPr>
      </w:pPr>
      <w:r>
        <w:rPr>
          <w:rFonts w:ascii="Courier New" w:hAnsi="Courier New"/>
          <w:sz w:val="20"/>
          <w:szCs w:val="20"/>
        </w:rPr>
        <w:t>1. ------IND- 2020 0581 E-- EN- ------ 20201008 --- --- IMPACT</w:t>
      </w:r>
    </w:p>
    <w:p w14:paraId="53F6E50B" w14:textId="77777777" w:rsidR="00A96FD6" w:rsidRPr="00DC6D3D" w:rsidRDefault="00D52412" w:rsidP="00CF523F">
      <w:pPr>
        <w:pStyle w:val="EstiloTtulo1Izquierda0cmPrimeralnea0cm1"/>
        <w:numPr>
          <w:ilvl w:val="0"/>
          <w:numId w:val="0"/>
        </w:numPr>
      </w:pPr>
      <w:r>
        <w:t>REGULATORY IMPACT ANALYSIS REPORT FOR THE DRAFT ROYAL DECREE APPROVING THE QUALITY STANDARD FOR OLIVE AND OLIVE-POMACE OILS.</w:t>
      </w:r>
    </w:p>
    <w:p w14:paraId="41BDB4E2" w14:textId="77777777" w:rsidR="00D52412" w:rsidRPr="00DC6D3D" w:rsidRDefault="00D52412" w:rsidP="00C62737">
      <w:pPr>
        <w:pStyle w:val="Heading2"/>
        <w:numPr>
          <w:ilvl w:val="0"/>
          <w:numId w:val="0"/>
        </w:numPr>
        <w:spacing w:after="240"/>
      </w:pPr>
      <w:r>
        <w:t>EXECUTIVE SUMMARY:</w:t>
      </w:r>
    </w:p>
    <w:p w14:paraId="25D10C6F" w14:textId="77777777" w:rsidR="001F563E" w:rsidRPr="00DC6D3D" w:rsidRDefault="001F563E" w:rsidP="001F563E"/>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2713"/>
        <w:gridCol w:w="2750"/>
        <w:gridCol w:w="1072"/>
        <w:gridCol w:w="964"/>
        <w:gridCol w:w="1646"/>
      </w:tblGrid>
      <w:tr w:rsidR="00567E99" w:rsidRPr="00DC6D3D" w14:paraId="1495B57D" w14:textId="77777777" w:rsidTr="00905131">
        <w:tc>
          <w:tcPr>
            <w:tcW w:w="2713" w:type="dxa"/>
          </w:tcPr>
          <w:p w14:paraId="5FD6B8FE" w14:textId="77777777" w:rsidR="00D52412" w:rsidRPr="00DC6D3D" w:rsidRDefault="00D52412" w:rsidP="00724849">
            <w:pPr>
              <w:pStyle w:val="BodyTextIndent3"/>
              <w:spacing w:before="120"/>
              <w:ind w:left="0"/>
              <w:rPr>
                <w:rFonts w:ascii="Arial" w:hAnsi="Arial" w:cs="Arial"/>
                <w:b/>
                <w:sz w:val="22"/>
                <w:szCs w:val="22"/>
              </w:rPr>
            </w:pPr>
            <w:r>
              <w:rPr>
                <w:rFonts w:ascii="Arial" w:hAnsi="Arial"/>
                <w:b/>
                <w:sz w:val="22"/>
                <w:szCs w:val="22"/>
              </w:rPr>
              <w:t>Ministry/Proposing authority</w:t>
            </w:r>
          </w:p>
        </w:tc>
        <w:tc>
          <w:tcPr>
            <w:tcW w:w="3822" w:type="dxa"/>
            <w:gridSpan w:val="2"/>
          </w:tcPr>
          <w:p w14:paraId="4B83CABB" w14:textId="77777777" w:rsidR="00473014" w:rsidRPr="00DC6D3D" w:rsidRDefault="00D52412" w:rsidP="00724849">
            <w:pPr>
              <w:pStyle w:val="BodyTextIndent3"/>
              <w:spacing w:before="120"/>
              <w:ind w:left="0"/>
              <w:jc w:val="both"/>
              <w:rPr>
                <w:rFonts w:ascii="Arial" w:hAnsi="Arial" w:cs="Arial"/>
                <w:sz w:val="22"/>
                <w:szCs w:val="22"/>
              </w:rPr>
            </w:pPr>
            <w:r>
              <w:rPr>
                <w:rFonts w:ascii="Arial" w:hAnsi="Arial"/>
                <w:sz w:val="22"/>
                <w:szCs w:val="22"/>
              </w:rPr>
              <w:t>Ministry of Agriculture, Fisheries and Food (General Directorate of Health of Agricultural Production).</w:t>
            </w:r>
          </w:p>
        </w:tc>
        <w:tc>
          <w:tcPr>
            <w:tcW w:w="964" w:type="dxa"/>
          </w:tcPr>
          <w:p w14:paraId="1A053556" w14:textId="77777777" w:rsidR="00D52412" w:rsidRPr="00DC6D3D" w:rsidRDefault="00D52412" w:rsidP="00724849">
            <w:pPr>
              <w:pStyle w:val="BodyTextIndent3"/>
              <w:spacing w:before="120"/>
              <w:ind w:left="0"/>
              <w:jc w:val="both"/>
              <w:rPr>
                <w:rFonts w:ascii="Arial" w:hAnsi="Arial" w:cs="Arial"/>
                <w:b/>
                <w:sz w:val="22"/>
                <w:szCs w:val="22"/>
              </w:rPr>
            </w:pPr>
            <w:r>
              <w:rPr>
                <w:rFonts w:ascii="Arial" w:hAnsi="Arial"/>
                <w:b/>
                <w:sz w:val="22"/>
                <w:szCs w:val="22"/>
              </w:rPr>
              <w:t>Date</w:t>
            </w:r>
          </w:p>
        </w:tc>
        <w:tc>
          <w:tcPr>
            <w:tcW w:w="1646" w:type="dxa"/>
          </w:tcPr>
          <w:p w14:paraId="54DBF012" w14:textId="77777777" w:rsidR="00D52412" w:rsidRPr="00DC6D3D" w:rsidRDefault="001B780A" w:rsidP="00724849">
            <w:pPr>
              <w:pStyle w:val="BodyTextIndent3"/>
              <w:spacing w:before="120"/>
              <w:ind w:left="0"/>
              <w:jc w:val="both"/>
              <w:rPr>
                <w:rFonts w:ascii="Arial" w:hAnsi="Arial" w:cs="Arial"/>
                <w:sz w:val="22"/>
                <w:szCs w:val="22"/>
              </w:rPr>
            </w:pPr>
            <w:r>
              <w:rPr>
                <w:rFonts w:ascii="Arial" w:hAnsi="Arial"/>
                <w:sz w:val="22"/>
                <w:szCs w:val="22"/>
              </w:rPr>
              <w:t xml:space="preserve"> 27/08/2020</w:t>
            </w:r>
          </w:p>
        </w:tc>
      </w:tr>
      <w:tr w:rsidR="00567E99" w:rsidRPr="00DC6D3D" w14:paraId="58CBDED7" w14:textId="77777777" w:rsidTr="00905131">
        <w:tc>
          <w:tcPr>
            <w:tcW w:w="2713" w:type="dxa"/>
          </w:tcPr>
          <w:p w14:paraId="4E6032CF" w14:textId="77777777" w:rsidR="00D52412" w:rsidRPr="00DC6D3D" w:rsidRDefault="00D52412" w:rsidP="00724849">
            <w:pPr>
              <w:pStyle w:val="BodyTextIndent3"/>
              <w:spacing w:before="120"/>
              <w:ind w:left="0"/>
              <w:rPr>
                <w:rFonts w:ascii="Arial" w:hAnsi="Arial" w:cs="Arial"/>
                <w:b/>
                <w:sz w:val="22"/>
                <w:szCs w:val="22"/>
              </w:rPr>
            </w:pPr>
            <w:r>
              <w:rPr>
                <w:rFonts w:ascii="Arial" w:hAnsi="Arial"/>
                <w:b/>
                <w:sz w:val="22"/>
                <w:szCs w:val="22"/>
              </w:rPr>
              <w:t>Title of regulation</w:t>
            </w:r>
          </w:p>
        </w:tc>
        <w:tc>
          <w:tcPr>
            <w:tcW w:w="6432" w:type="dxa"/>
            <w:gridSpan w:val="4"/>
          </w:tcPr>
          <w:p w14:paraId="5B8A0417" w14:textId="77777777" w:rsidR="00A96FD6" w:rsidRPr="00DC6D3D" w:rsidRDefault="0014033D" w:rsidP="00043CB1">
            <w:pPr>
              <w:pStyle w:val="BodyTextIndent3"/>
              <w:spacing w:before="120"/>
              <w:ind w:left="0"/>
              <w:jc w:val="both"/>
              <w:rPr>
                <w:rFonts w:ascii="Arial" w:hAnsi="Arial" w:cs="Arial"/>
                <w:sz w:val="22"/>
                <w:szCs w:val="22"/>
              </w:rPr>
            </w:pPr>
            <w:r>
              <w:rPr>
                <w:rFonts w:ascii="Arial" w:hAnsi="Arial"/>
                <w:sz w:val="22"/>
                <w:szCs w:val="22"/>
              </w:rPr>
              <w:t>Draft Royal Decree adopting the quality standard for olive and olive-pomace oils.</w:t>
            </w:r>
          </w:p>
        </w:tc>
      </w:tr>
      <w:tr w:rsidR="00567E99" w:rsidRPr="00DC6D3D" w14:paraId="6A6C6112" w14:textId="77777777" w:rsidTr="00905131">
        <w:tc>
          <w:tcPr>
            <w:tcW w:w="2713" w:type="dxa"/>
          </w:tcPr>
          <w:p w14:paraId="2030BAF2" w14:textId="77777777" w:rsidR="00D52412" w:rsidRPr="00DC6D3D" w:rsidRDefault="00D52412" w:rsidP="00724849">
            <w:pPr>
              <w:pStyle w:val="BodyTextIndent3"/>
              <w:spacing w:before="120"/>
              <w:ind w:left="0"/>
              <w:rPr>
                <w:rFonts w:ascii="Arial" w:hAnsi="Arial" w:cs="Arial"/>
                <w:b/>
                <w:sz w:val="22"/>
                <w:szCs w:val="22"/>
              </w:rPr>
            </w:pPr>
            <w:r>
              <w:rPr>
                <w:rFonts w:ascii="Arial" w:hAnsi="Arial"/>
                <w:b/>
                <w:sz w:val="22"/>
                <w:szCs w:val="22"/>
              </w:rPr>
              <w:t>Type of report</w:t>
            </w:r>
          </w:p>
        </w:tc>
        <w:tc>
          <w:tcPr>
            <w:tcW w:w="6432" w:type="dxa"/>
            <w:gridSpan w:val="4"/>
          </w:tcPr>
          <w:tbl>
            <w:tblPr>
              <w:tblpPr w:leftFromText="141" w:rightFromText="141" w:vertAnchor="text" w:horzAnchor="page" w:tblpX="2024"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DC6D3D" w14:paraId="46712F82" w14:textId="77777777" w:rsidTr="00724849">
              <w:tc>
                <w:tcPr>
                  <w:tcW w:w="419" w:type="dxa"/>
                </w:tcPr>
                <w:p w14:paraId="08808B6B" w14:textId="77777777" w:rsidR="00D52412" w:rsidRPr="00DC6D3D" w:rsidRDefault="00202648" w:rsidP="00724849">
                  <w:pPr>
                    <w:pStyle w:val="BodyTextIndent3"/>
                    <w:spacing w:before="120"/>
                    <w:ind w:left="0"/>
                    <w:jc w:val="center"/>
                    <w:rPr>
                      <w:rFonts w:ascii="Arial" w:hAnsi="Arial" w:cs="Arial"/>
                      <w:sz w:val="22"/>
                      <w:szCs w:val="22"/>
                    </w:rPr>
                  </w:pPr>
                  <w:r>
                    <w:rPr>
                      <w:rFonts w:ascii="Arial" w:hAnsi="Arial"/>
                      <w:sz w:val="22"/>
                      <w:szCs w:val="22"/>
                    </w:rPr>
                    <w:t>X</w:t>
                  </w:r>
                </w:p>
              </w:tc>
            </w:tr>
          </w:tbl>
          <w:p w14:paraId="7F386B6F" w14:textId="77777777" w:rsidR="006A5626" w:rsidRPr="00DC6D3D" w:rsidRDefault="00D52412" w:rsidP="00724849">
            <w:pPr>
              <w:pStyle w:val="BodyTextIndent3"/>
              <w:spacing w:before="120"/>
              <w:ind w:left="0"/>
              <w:jc w:val="both"/>
              <w:rPr>
                <w:rFonts w:ascii="Arial" w:hAnsi="Arial" w:cs="Arial"/>
                <w:sz w:val="22"/>
                <w:szCs w:val="22"/>
              </w:rPr>
            </w:pPr>
            <w:r>
              <w:rPr>
                <w:rFonts w:ascii="Arial" w:hAnsi="Arial"/>
                <w:b/>
                <w:sz w:val="22"/>
                <w:szCs w:val="22"/>
              </w:rPr>
              <w:t>Normal</w:t>
            </w:r>
            <w:r>
              <w:rPr>
                <w:rFonts w:ascii="Arial" w:hAnsi="Arial"/>
                <w:sz w:val="22"/>
                <w:szCs w:val="22"/>
              </w:rPr>
              <w:t>……</w:t>
            </w:r>
            <w:proofErr w:type="gramStart"/>
            <w:r>
              <w:rPr>
                <w:rFonts w:ascii="Arial" w:hAnsi="Arial"/>
                <w:sz w:val="22"/>
                <w:szCs w:val="22"/>
              </w:rPr>
              <w:t>…..</w:t>
            </w:r>
            <w:proofErr w:type="gramEnd"/>
            <w:r>
              <w:rPr>
                <w:rFonts w:ascii="Arial" w:hAnsi="Arial"/>
                <w:sz w:val="22"/>
                <w:szCs w:val="22"/>
              </w:rPr>
              <w:t xml:space="preserve"> </w:t>
            </w:r>
            <w:r>
              <w:tab/>
            </w:r>
            <w:r>
              <w:rPr>
                <w:rFonts w:ascii="Arial" w:hAnsi="Arial"/>
                <w:b/>
                <w:sz w:val="22"/>
                <w:szCs w:val="22"/>
              </w:rPr>
              <w:t>Abridged</w:t>
            </w:r>
            <w:r>
              <w:rPr>
                <w:rFonts w:ascii="Arial" w:hAnsi="Arial"/>
                <w:sz w:val="22"/>
                <w:szCs w:val="22"/>
              </w:rPr>
              <w:t>……</w:t>
            </w:r>
          </w:p>
          <w:tbl>
            <w:tblPr>
              <w:tblpPr w:leftFromText="141" w:rightFromText="141" w:vertAnchor="text" w:horzAnchor="page" w:tblpX="5401" w:tblpY="-11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6A5626" w:rsidRPr="00DC6D3D" w14:paraId="3A026C60" w14:textId="77777777" w:rsidTr="006A5626">
              <w:tc>
                <w:tcPr>
                  <w:tcW w:w="419" w:type="dxa"/>
                </w:tcPr>
                <w:p w14:paraId="327E8007" w14:textId="77777777" w:rsidR="006A5626" w:rsidRPr="00DC6D3D" w:rsidRDefault="006A5626" w:rsidP="006A5626">
                  <w:pPr>
                    <w:pStyle w:val="BodyTextIndent3"/>
                    <w:spacing w:before="120"/>
                    <w:ind w:left="0"/>
                    <w:jc w:val="center"/>
                    <w:rPr>
                      <w:rFonts w:ascii="Arial" w:hAnsi="Arial" w:cs="Arial"/>
                      <w:sz w:val="22"/>
                      <w:szCs w:val="22"/>
                    </w:rPr>
                  </w:pPr>
                </w:p>
              </w:tc>
            </w:tr>
          </w:tbl>
          <w:p w14:paraId="0A0484EE" w14:textId="77777777" w:rsidR="00D52412" w:rsidRPr="00DC6D3D" w:rsidRDefault="00BE308A" w:rsidP="00724849">
            <w:pPr>
              <w:pStyle w:val="BodyTextIndent3"/>
              <w:spacing w:before="120"/>
              <w:ind w:left="0"/>
              <w:jc w:val="right"/>
              <w:rPr>
                <w:rFonts w:ascii="Arial" w:hAnsi="Arial" w:cs="Arial"/>
                <w:sz w:val="22"/>
                <w:szCs w:val="22"/>
              </w:rPr>
            </w:pPr>
            <w:r>
              <w:rPr>
                <w:rFonts w:ascii="Arial" w:hAnsi="Arial"/>
                <w:sz w:val="22"/>
                <w:szCs w:val="22"/>
              </w:rPr>
              <w:t xml:space="preserve">  </w:t>
            </w:r>
          </w:p>
        </w:tc>
      </w:tr>
      <w:tr w:rsidR="00567E99" w:rsidRPr="00DC6D3D" w14:paraId="32FEA03A" w14:textId="77777777" w:rsidTr="00905131">
        <w:tc>
          <w:tcPr>
            <w:tcW w:w="9145" w:type="dxa"/>
            <w:gridSpan w:val="5"/>
          </w:tcPr>
          <w:p w14:paraId="5AD4DBBC" w14:textId="77777777" w:rsidR="00D52412" w:rsidRPr="00DC6D3D" w:rsidRDefault="00D52412" w:rsidP="00724849">
            <w:pPr>
              <w:pStyle w:val="BodyTextIndent3"/>
              <w:spacing w:before="240" w:after="240"/>
              <w:ind w:left="0"/>
              <w:jc w:val="center"/>
              <w:rPr>
                <w:rFonts w:ascii="Arial" w:hAnsi="Arial" w:cs="Arial"/>
                <w:b/>
                <w:sz w:val="22"/>
                <w:szCs w:val="22"/>
              </w:rPr>
            </w:pPr>
            <w:r>
              <w:rPr>
                <w:rFonts w:ascii="Arial" w:hAnsi="Arial"/>
                <w:b/>
                <w:sz w:val="22"/>
                <w:szCs w:val="22"/>
              </w:rPr>
              <w:t>DESIRABILITY OF THE PROPOSAL</w:t>
            </w:r>
          </w:p>
        </w:tc>
      </w:tr>
      <w:tr w:rsidR="00567E99" w:rsidRPr="00DC6D3D" w14:paraId="31A0DB5F" w14:textId="77777777" w:rsidTr="00905131">
        <w:tc>
          <w:tcPr>
            <w:tcW w:w="2713" w:type="dxa"/>
          </w:tcPr>
          <w:p w14:paraId="6D559E3E" w14:textId="77777777" w:rsidR="00D52412" w:rsidRPr="00DC6D3D" w:rsidRDefault="00D52412" w:rsidP="00724849">
            <w:pPr>
              <w:pStyle w:val="BodyTextIndent3"/>
              <w:spacing w:before="120"/>
              <w:ind w:left="0"/>
              <w:rPr>
                <w:rFonts w:ascii="Arial" w:hAnsi="Arial" w:cs="Arial"/>
                <w:b/>
                <w:sz w:val="22"/>
                <w:szCs w:val="22"/>
              </w:rPr>
            </w:pPr>
            <w:r>
              <w:rPr>
                <w:rFonts w:ascii="Arial" w:hAnsi="Arial"/>
                <w:b/>
                <w:sz w:val="22"/>
                <w:szCs w:val="22"/>
              </w:rPr>
              <w:t>Matter that is regulated</w:t>
            </w:r>
          </w:p>
        </w:tc>
        <w:tc>
          <w:tcPr>
            <w:tcW w:w="6432" w:type="dxa"/>
            <w:gridSpan w:val="4"/>
          </w:tcPr>
          <w:p w14:paraId="08A4B42D" w14:textId="77777777" w:rsidR="00A96FD6" w:rsidRPr="00DC6D3D" w:rsidRDefault="00A96FD6" w:rsidP="00043CB1">
            <w:pPr>
              <w:tabs>
                <w:tab w:val="left" w:pos="-720"/>
              </w:tabs>
              <w:suppressAutoHyphens/>
              <w:spacing w:after="120"/>
              <w:rPr>
                <w:rFonts w:cs="Arial"/>
                <w:sz w:val="22"/>
                <w:szCs w:val="22"/>
              </w:rPr>
            </w:pPr>
            <w:r>
              <w:rPr>
                <w:sz w:val="22"/>
                <w:szCs w:val="22"/>
              </w:rPr>
              <w:t>The production and placing on the market of olive and olive-pomace oils produced and sold in Spain.</w:t>
            </w:r>
          </w:p>
        </w:tc>
      </w:tr>
      <w:tr w:rsidR="00567E99" w:rsidRPr="00DC6D3D" w14:paraId="69A9FF45" w14:textId="77777777" w:rsidTr="00905131">
        <w:tc>
          <w:tcPr>
            <w:tcW w:w="2713" w:type="dxa"/>
          </w:tcPr>
          <w:p w14:paraId="030C87C2" w14:textId="77777777" w:rsidR="00D52412" w:rsidRPr="00DC6D3D" w:rsidRDefault="00D52412" w:rsidP="00724849">
            <w:pPr>
              <w:pStyle w:val="BodyTextIndent3"/>
              <w:spacing w:before="120"/>
              <w:ind w:left="0"/>
              <w:rPr>
                <w:rFonts w:ascii="Arial" w:hAnsi="Arial" w:cs="Arial"/>
                <w:b/>
                <w:sz w:val="22"/>
                <w:szCs w:val="22"/>
              </w:rPr>
            </w:pPr>
            <w:r>
              <w:rPr>
                <w:rFonts w:ascii="Arial" w:hAnsi="Arial"/>
                <w:b/>
                <w:sz w:val="22"/>
                <w:szCs w:val="22"/>
              </w:rPr>
              <w:t>Objectives</w:t>
            </w:r>
          </w:p>
        </w:tc>
        <w:tc>
          <w:tcPr>
            <w:tcW w:w="6432" w:type="dxa"/>
            <w:gridSpan w:val="4"/>
          </w:tcPr>
          <w:p w14:paraId="12C0D274" w14:textId="77777777" w:rsidR="003D2687" w:rsidRPr="00DC6D3D" w:rsidRDefault="003D2687" w:rsidP="003D2687">
            <w:pPr>
              <w:numPr>
                <w:ilvl w:val="0"/>
                <w:numId w:val="3"/>
              </w:numPr>
              <w:rPr>
                <w:rFonts w:cs="Arial"/>
                <w:sz w:val="22"/>
                <w:szCs w:val="22"/>
              </w:rPr>
            </w:pPr>
            <w:r>
              <w:rPr>
                <w:sz w:val="22"/>
                <w:szCs w:val="22"/>
              </w:rPr>
              <w:t>Improve the competitiveness of the national olive and olive-pomace oil industry, ensure fair competition between producers and provide all producers with the same conditions.</w:t>
            </w:r>
          </w:p>
          <w:p w14:paraId="0A566FBB" w14:textId="77777777" w:rsidR="003D2687" w:rsidRPr="00DC6D3D" w:rsidRDefault="003D2687" w:rsidP="003D2687">
            <w:pPr>
              <w:numPr>
                <w:ilvl w:val="0"/>
                <w:numId w:val="3"/>
              </w:numPr>
              <w:rPr>
                <w:rFonts w:cs="Arial"/>
                <w:sz w:val="22"/>
                <w:szCs w:val="22"/>
              </w:rPr>
            </w:pPr>
            <w:r>
              <w:rPr>
                <w:sz w:val="22"/>
                <w:szCs w:val="22"/>
              </w:rPr>
              <w:t>Update the national regulations on food quality with respect to olive oil and olive-pomace oil.</w:t>
            </w:r>
          </w:p>
          <w:p w14:paraId="31091D45" w14:textId="77777777" w:rsidR="003D2687" w:rsidRPr="00DC6D3D" w:rsidRDefault="003D2687" w:rsidP="003D2687">
            <w:pPr>
              <w:numPr>
                <w:ilvl w:val="0"/>
                <w:numId w:val="3"/>
              </w:numPr>
              <w:rPr>
                <w:rFonts w:cs="Arial"/>
                <w:sz w:val="22"/>
                <w:szCs w:val="22"/>
              </w:rPr>
            </w:pPr>
            <w:r>
              <w:rPr>
                <w:sz w:val="22"/>
                <w:szCs w:val="22"/>
              </w:rPr>
              <w:t>Introduce additional traceability requirements in the production and placing on the market of olive oil.</w:t>
            </w:r>
          </w:p>
          <w:p w14:paraId="45B4ACB8" w14:textId="77777777" w:rsidR="003D2687" w:rsidRPr="00DC6D3D" w:rsidRDefault="003D2687" w:rsidP="003D2687">
            <w:pPr>
              <w:numPr>
                <w:ilvl w:val="0"/>
                <w:numId w:val="3"/>
              </w:numPr>
              <w:rPr>
                <w:rFonts w:cs="Arial"/>
                <w:sz w:val="22"/>
                <w:szCs w:val="22"/>
              </w:rPr>
            </w:pPr>
            <w:r>
              <w:rPr>
                <w:sz w:val="22"/>
                <w:szCs w:val="22"/>
              </w:rPr>
              <w:t xml:space="preserve">Provide adequate consumer information, facilitating their right </w:t>
            </w:r>
            <w:proofErr w:type="gramStart"/>
            <w:r>
              <w:rPr>
                <w:sz w:val="22"/>
                <w:szCs w:val="22"/>
              </w:rPr>
              <w:t>to choice</w:t>
            </w:r>
            <w:proofErr w:type="gramEnd"/>
            <w:r>
              <w:rPr>
                <w:sz w:val="22"/>
                <w:szCs w:val="22"/>
              </w:rPr>
              <w:t xml:space="preserve"> when purchasing.</w:t>
            </w:r>
          </w:p>
          <w:p w14:paraId="3F52E1B7" w14:textId="77777777" w:rsidR="00266861" w:rsidRPr="00DC6D3D" w:rsidRDefault="003D2687" w:rsidP="003D2687">
            <w:pPr>
              <w:numPr>
                <w:ilvl w:val="0"/>
                <w:numId w:val="3"/>
              </w:numPr>
              <w:rPr>
                <w:rFonts w:cs="Arial"/>
                <w:sz w:val="22"/>
                <w:szCs w:val="22"/>
              </w:rPr>
            </w:pPr>
            <w:r>
              <w:rPr>
                <w:sz w:val="22"/>
                <w:szCs w:val="22"/>
              </w:rPr>
              <w:t>Value the quality of olive and olive-pomace oils produced in Spain and prevent fraudulent practices that negatively affect such quality.</w:t>
            </w:r>
          </w:p>
        </w:tc>
      </w:tr>
      <w:tr w:rsidR="00567E99" w:rsidRPr="00DC6D3D" w14:paraId="585B22F8" w14:textId="77777777" w:rsidTr="00905131">
        <w:tc>
          <w:tcPr>
            <w:tcW w:w="2713" w:type="dxa"/>
          </w:tcPr>
          <w:p w14:paraId="39B2F972" w14:textId="77777777" w:rsidR="00D52412" w:rsidRPr="00DC6D3D" w:rsidRDefault="00D52412" w:rsidP="00724849">
            <w:pPr>
              <w:pStyle w:val="BodyTextIndent3"/>
              <w:spacing w:before="120"/>
              <w:ind w:left="0"/>
              <w:rPr>
                <w:rFonts w:ascii="Arial" w:hAnsi="Arial" w:cs="Arial"/>
                <w:b/>
                <w:sz w:val="22"/>
                <w:szCs w:val="22"/>
              </w:rPr>
            </w:pPr>
            <w:r>
              <w:rPr>
                <w:rFonts w:ascii="Arial" w:hAnsi="Arial"/>
                <w:b/>
                <w:sz w:val="22"/>
                <w:szCs w:val="22"/>
              </w:rPr>
              <w:lastRenderedPageBreak/>
              <w:t>Main alternatives considered</w:t>
            </w:r>
          </w:p>
        </w:tc>
        <w:tc>
          <w:tcPr>
            <w:tcW w:w="6432" w:type="dxa"/>
            <w:gridSpan w:val="4"/>
          </w:tcPr>
          <w:p w14:paraId="22185C2A" w14:textId="77777777" w:rsidR="003F5699" w:rsidRPr="00DC6D3D" w:rsidRDefault="001F563E" w:rsidP="00724849">
            <w:pPr>
              <w:numPr>
                <w:ilvl w:val="0"/>
                <w:numId w:val="3"/>
              </w:numPr>
              <w:rPr>
                <w:rFonts w:cs="Arial"/>
                <w:sz w:val="22"/>
                <w:szCs w:val="22"/>
              </w:rPr>
            </w:pPr>
            <w:r>
              <w:rPr>
                <w:sz w:val="22"/>
                <w:szCs w:val="22"/>
              </w:rPr>
              <w:t>Draw up the proposed draft regulation, which regulates the production and placing on the market of olive and olive-pomace oil in Spain and repeals the current national regulations on those products with respect to food quality.</w:t>
            </w:r>
          </w:p>
          <w:p w14:paraId="1B947141" w14:textId="77777777" w:rsidR="00B627A3" w:rsidRPr="00DC6D3D" w:rsidRDefault="00B627A3" w:rsidP="002118F6">
            <w:pPr>
              <w:numPr>
                <w:ilvl w:val="0"/>
                <w:numId w:val="3"/>
              </w:numPr>
              <w:spacing w:after="120"/>
              <w:ind w:left="357" w:hanging="357"/>
              <w:rPr>
                <w:rFonts w:cs="Arial"/>
                <w:sz w:val="22"/>
                <w:szCs w:val="22"/>
              </w:rPr>
            </w:pPr>
            <w:r>
              <w:rPr>
                <w:sz w:val="22"/>
                <w:szCs w:val="22"/>
              </w:rPr>
              <w:t>Maintain the current situation, with a regulation dating back to 1983 and which is now considered obsolete.</w:t>
            </w:r>
          </w:p>
          <w:p w14:paraId="28C994B8" w14:textId="77777777" w:rsidR="00515CC5" w:rsidRPr="00DC6D3D" w:rsidRDefault="00515CC5" w:rsidP="002118F6">
            <w:pPr>
              <w:numPr>
                <w:ilvl w:val="0"/>
                <w:numId w:val="3"/>
              </w:numPr>
              <w:spacing w:after="120"/>
              <w:ind w:left="357" w:hanging="357"/>
              <w:rPr>
                <w:rFonts w:cs="Arial"/>
                <w:sz w:val="22"/>
                <w:szCs w:val="22"/>
              </w:rPr>
            </w:pPr>
            <w:r>
              <w:rPr>
                <w:sz w:val="22"/>
                <w:szCs w:val="22"/>
              </w:rPr>
              <w:t>Amendment of the current regulation (Royal Decree 308/1983 of 25 January 1983 adopting the technical and health regulations for edible vegetable oils).</w:t>
            </w:r>
          </w:p>
        </w:tc>
      </w:tr>
      <w:tr w:rsidR="00567E99" w:rsidRPr="00DC6D3D" w14:paraId="719A4748" w14:textId="77777777" w:rsidTr="00905131">
        <w:tc>
          <w:tcPr>
            <w:tcW w:w="9145" w:type="dxa"/>
            <w:gridSpan w:val="5"/>
          </w:tcPr>
          <w:p w14:paraId="3B5972EA" w14:textId="77777777" w:rsidR="00D52412" w:rsidRPr="00DC6D3D" w:rsidRDefault="00D52412" w:rsidP="00724849">
            <w:pPr>
              <w:pStyle w:val="BodyTextIndent3"/>
              <w:spacing w:before="240" w:after="240"/>
              <w:ind w:left="0"/>
              <w:jc w:val="center"/>
              <w:rPr>
                <w:rFonts w:ascii="Arial" w:hAnsi="Arial" w:cs="Arial"/>
                <w:b/>
                <w:sz w:val="22"/>
                <w:szCs w:val="22"/>
              </w:rPr>
            </w:pPr>
            <w:r>
              <w:rPr>
                <w:rFonts w:ascii="Arial" w:hAnsi="Arial"/>
                <w:b/>
                <w:sz w:val="22"/>
                <w:szCs w:val="22"/>
              </w:rPr>
              <w:t>CONTENT AND LEGAL ANALYSIS</w:t>
            </w:r>
          </w:p>
        </w:tc>
      </w:tr>
      <w:tr w:rsidR="00567E99" w:rsidRPr="00DC6D3D" w14:paraId="66639702" w14:textId="77777777" w:rsidTr="00905131">
        <w:tc>
          <w:tcPr>
            <w:tcW w:w="2713" w:type="dxa"/>
          </w:tcPr>
          <w:p w14:paraId="46AD91E9" w14:textId="77777777" w:rsidR="00D52412" w:rsidRPr="00DC6D3D" w:rsidRDefault="00D52412" w:rsidP="00724849">
            <w:pPr>
              <w:pStyle w:val="BodyTextIndent3"/>
              <w:spacing w:before="120"/>
              <w:ind w:left="0"/>
              <w:rPr>
                <w:rFonts w:ascii="Arial" w:hAnsi="Arial" w:cs="Arial"/>
                <w:b/>
                <w:sz w:val="22"/>
                <w:szCs w:val="22"/>
              </w:rPr>
            </w:pPr>
            <w:r>
              <w:rPr>
                <w:rFonts w:ascii="Arial" w:hAnsi="Arial"/>
                <w:b/>
                <w:sz w:val="22"/>
                <w:szCs w:val="22"/>
              </w:rPr>
              <w:t>Type of regulation</w:t>
            </w:r>
          </w:p>
        </w:tc>
        <w:tc>
          <w:tcPr>
            <w:tcW w:w="6432" w:type="dxa"/>
            <w:gridSpan w:val="4"/>
          </w:tcPr>
          <w:p w14:paraId="0BC3821F" w14:textId="77777777" w:rsidR="00D52412" w:rsidRPr="00DC6D3D" w:rsidRDefault="00D52412" w:rsidP="00724849">
            <w:pPr>
              <w:pStyle w:val="BodyTextIndent3"/>
              <w:spacing w:before="120"/>
              <w:ind w:left="0"/>
              <w:jc w:val="both"/>
              <w:rPr>
                <w:rFonts w:ascii="Arial" w:hAnsi="Arial" w:cs="Arial"/>
                <w:sz w:val="22"/>
                <w:szCs w:val="22"/>
              </w:rPr>
            </w:pPr>
            <w:r>
              <w:rPr>
                <w:rFonts w:ascii="Arial" w:hAnsi="Arial"/>
                <w:sz w:val="22"/>
                <w:szCs w:val="22"/>
              </w:rPr>
              <w:t>Royal Decree.</w:t>
            </w:r>
          </w:p>
        </w:tc>
      </w:tr>
      <w:tr w:rsidR="00567E99" w:rsidRPr="00DC6D3D" w14:paraId="307E8722" w14:textId="77777777" w:rsidTr="00905131">
        <w:tc>
          <w:tcPr>
            <w:tcW w:w="2713" w:type="dxa"/>
          </w:tcPr>
          <w:p w14:paraId="15A506F7" w14:textId="77777777" w:rsidR="00D52412" w:rsidRPr="00DC6D3D" w:rsidRDefault="00D52412" w:rsidP="00724849">
            <w:pPr>
              <w:pStyle w:val="BodyTextIndent3"/>
              <w:spacing w:before="120"/>
              <w:ind w:left="0"/>
              <w:rPr>
                <w:rFonts w:ascii="Arial" w:hAnsi="Arial" w:cs="Arial"/>
                <w:b/>
                <w:sz w:val="22"/>
                <w:szCs w:val="22"/>
              </w:rPr>
            </w:pPr>
            <w:r>
              <w:rPr>
                <w:rFonts w:ascii="Arial" w:hAnsi="Arial"/>
                <w:b/>
                <w:sz w:val="22"/>
                <w:szCs w:val="22"/>
              </w:rPr>
              <w:t>Structure of the regulation</w:t>
            </w:r>
          </w:p>
        </w:tc>
        <w:tc>
          <w:tcPr>
            <w:tcW w:w="6432" w:type="dxa"/>
            <w:gridSpan w:val="4"/>
          </w:tcPr>
          <w:p w14:paraId="7708E008" w14:textId="77777777" w:rsidR="00E849A9" w:rsidRPr="00DC6D3D" w:rsidRDefault="004214CD" w:rsidP="00724849">
            <w:pPr>
              <w:pStyle w:val="BodyTextIndent3"/>
              <w:numPr>
                <w:ilvl w:val="0"/>
                <w:numId w:val="4"/>
              </w:numPr>
              <w:spacing w:before="120" w:after="0"/>
              <w:ind w:left="357" w:hanging="357"/>
              <w:jc w:val="both"/>
              <w:rPr>
                <w:rFonts w:ascii="Arial" w:hAnsi="Arial" w:cs="Arial"/>
                <w:sz w:val="22"/>
                <w:szCs w:val="22"/>
              </w:rPr>
            </w:pPr>
            <w:r>
              <w:rPr>
                <w:rFonts w:ascii="Arial" w:hAnsi="Arial"/>
                <w:sz w:val="22"/>
                <w:szCs w:val="22"/>
              </w:rPr>
              <w:t>9 articles</w:t>
            </w:r>
          </w:p>
          <w:p w14:paraId="2A879CDA" w14:textId="77777777" w:rsidR="00E849A9" w:rsidRPr="00DC6D3D" w:rsidRDefault="004214CD" w:rsidP="00724849">
            <w:pPr>
              <w:pStyle w:val="BodyTextIndent3"/>
              <w:numPr>
                <w:ilvl w:val="0"/>
                <w:numId w:val="4"/>
              </w:numPr>
              <w:spacing w:before="120" w:after="0"/>
              <w:ind w:left="357" w:hanging="357"/>
              <w:jc w:val="both"/>
              <w:rPr>
                <w:rFonts w:ascii="Arial" w:hAnsi="Arial" w:cs="Arial"/>
                <w:sz w:val="22"/>
                <w:szCs w:val="22"/>
              </w:rPr>
            </w:pPr>
            <w:r>
              <w:rPr>
                <w:rFonts w:ascii="Arial" w:hAnsi="Arial"/>
                <w:sz w:val="22"/>
                <w:szCs w:val="22"/>
              </w:rPr>
              <w:t>2 additional provisions</w:t>
            </w:r>
          </w:p>
          <w:p w14:paraId="2F991A1C" w14:textId="77777777" w:rsidR="00800486" w:rsidRPr="00DC6D3D" w:rsidRDefault="00800486" w:rsidP="00724849">
            <w:pPr>
              <w:pStyle w:val="BodyTextIndent3"/>
              <w:numPr>
                <w:ilvl w:val="0"/>
                <w:numId w:val="4"/>
              </w:numPr>
              <w:spacing w:before="120" w:after="0"/>
              <w:ind w:left="357" w:hanging="357"/>
              <w:jc w:val="both"/>
              <w:rPr>
                <w:rFonts w:ascii="Arial" w:hAnsi="Arial" w:cs="Arial"/>
                <w:sz w:val="22"/>
                <w:szCs w:val="22"/>
              </w:rPr>
            </w:pPr>
            <w:r>
              <w:rPr>
                <w:rFonts w:ascii="Arial" w:hAnsi="Arial"/>
                <w:sz w:val="22"/>
                <w:szCs w:val="22"/>
              </w:rPr>
              <w:t>1 transitional provision (single)</w:t>
            </w:r>
          </w:p>
          <w:p w14:paraId="1F8B5F84" w14:textId="77777777" w:rsidR="00E849A9" w:rsidRPr="00DC6D3D" w:rsidRDefault="00E849A9" w:rsidP="00724849">
            <w:pPr>
              <w:pStyle w:val="BodyTextIndent3"/>
              <w:numPr>
                <w:ilvl w:val="0"/>
                <w:numId w:val="4"/>
              </w:numPr>
              <w:spacing w:before="120" w:after="0"/>
              <w:ind w:left="357" w:hanging="357"/>
              <w:jc w:val="both"/>
              <w:rPr>
                <w:rFonts w:ascii="Arial" w:hAnsi="Arial" w:cs="Arial"/>
                <w:sz w:val="22"/>
                <w:szCs w:val="22"/>
              </w:rPr>
            </w:pPr>
            <w:r>
              <w:rPr>
                <w:rFonts w:ascii="Arial" w:hAnsi="Arial"/>
                <w:sz w:val="22"/>
                <w:szCs w:val="22"/>
              </w:rPr>
              <w:t>1 repealing provision (single)</w:t>
            </w:r>
          </w:p>
          <w:p w14:paraId="40DC1F66" w14:textId="77777777" w:rsidR="00AF43AA" w:rsidRPr="00DC6D3D" w:rsidRDefault="00C03093" w:rsidP="00FD04F7">
            <w:pPr>
              <w:pStyle w:val="BodyTextIndent3"/>
              <w:numPr>
                <w:ilvl w:val="0"/>
                <w:numId w:val="4"/>
              </w:numPr>
              <w:spacing w:before="120"/>
              <w:ind w:left="357" w:hanging="357"/>
              <w:jc w:val="both"/>
              <w:rPr>
                <w:rFonts w:ascii="Arial" w:hAnsi="Arial" w:cs="Arial"/>
                <w:sz w:val="22"/>
                <w:szCs w:val="22"/>
              </w:rPr>
            </w:pPr>
            <w:r>
              <w:rPr>
                <w:rFonts w:ascii="Arial" w:hAnsi="Arial"/>
                <w:sz w:val="22"/>
                <w:szCs w:val="22"/>
              </w:rPr>
              <w:t>3 final provisions</w:t>
            </w:r>
          </w:p>
          <w:p w14:paraId="57AD5ABA" w14:textId="77777777" w:rsidR="00757FCA" w:rsidRPr="00DC6D3D" w:rsidRDefault="00757FCA" w:rsidP="00FD04F7">
            <w:pPr>
              <w:pStyle w:val="BodyTextIndent3"/>
              <w:numPr>
                <w:ilvl w:val="0"/>
                <w:numId w:val="4"/>
              </w:numPr>
              <w:spacing w:before="120"/>
              <w:ind w:left="357" w:hanging="357"/>
              <w:jc w:val="both"/>
              <w:rPr>
                <w:rFonts w:ascii="Arial" w:hAnsi="Arial" w:cs="Arial"/>
                <w:sz w:val="22"/>
                <w:szCs w:val="22"/>
              </w:rPr>
            </w:pPr>
            <w:r>
              <w:rPr>
                <w:rFonts w:ascii="Arial" w:hAnsi="Arial"/>
                <w:sz w:val="22"/>
                <w:szCs w:val="22"/>
              </w:rPr>
              <w:t>annexes.</w:t>
            </w:r>
          </w:p>
        </w:tc>
      </w:tr>
      <w:tr w:rsidR="00567E99" w:rsidRPr="00DC6D3D" w14:paraId="5E5081E3" w14:textId="77777777" w:rsidTr="00905131">
        <w:tc>
          <w:tcPr>
            <w:tcW w:w="2713" w:type="dxa"/>
          </w:tcPr>
          <w:p w14:paraId="0112FCF8" w14:textId="77777777" w:rsidR="00D52412" w:rsidRPr="00DC6D3D" w:rsidRDefault="00D52412" w:rsidP="00CF523F">
            <w:pPr>
              <w:pStyle w:val="BodyTextIndent3"/>
              <w:spacing w:after="0"/>
              <w:ind w:left="0"/>
              <w:rPr>
                <w:rFonts w:ascii="Arial" w:hAnsi="Arial" w:cs="Arial"/>
                <w:b/>
                <w:sz w:val="22"/>
                <w:szCs w:val="22"/>
              </w:rPr>
            </w:pPr>
            <w:r>
              <w:rPr>
                <w:rFonts w:ascii="Arial" w:hAnsi="Arial"/>
                <w:b/>
                <w:sz w:val="22"/>
                <w:szCs w:val="22"/>
              </w:rPr>
              <w:t>Reports received</w:t>
            </w:r>
          </w:p>
        </w:tc>
        <w:tc>
          <w:tcPr>
            <w:tcW w:w="6432" w:type="dxa"/>
            <w:gridSpan w:val="4"/>
          </w:tcPr>
          <w:p w14:paraId="507F72DC" w14:textId="77777777" w:rsidR="00905131" w:rsidRPr="00DC6D3D" w:rsidRDefault="00905131" w:rsidP="00905131">
            <w:pPr>
              <w:pStyle w:val="ListParagraph"/>
              <w:numPr>
                <w:ilvl w:val="0"/>
                <w:numId w:val="28"/>
              </w:numPr>
              <w:spacing w:before="0"/>
              <w:rPr>
                <w:rFonts w:cs="Arial"/>
                <w:sz w:val="22"/>
                <w:szCs w:val="22"/>
              </w:rPr>
            </w:pPr>
            <w:r>
              <w:rPr>
                <w:sz w:val="22"/>
                <w:szCs w:val="22"/>
              </w:rPr>
              <w:t xml:space="preserve">Report from the Ministry of Territorial Policy and Public Administration (Articles 26(5)(6) on Autonomous Community/State powers and </w:t>
            </w:r>
            <w:r>
              <w:rPr>
                <w:color w:val="FF0000"/>
                <w:sz w:val="22"/>
                <w:szCs w:val="22"/>
              </w:rPr>
              <w:t>26(9)</w:t>
            </w:r>
            <w:r>
              <w:rPr>
                <w:sz w:val="22"/>
                <w:szCs w:val="22"/>
              </w:rPr>
              <w:t xml:space="preserve"> on the quality of regulatory activity of Law 50/1997 </w:t>
            </w:r>
            <w:r>
              <w:rPr>
                <w:color w:val="FF0000"/>
                <w:sz w:val="22"/>
                <w:szCs w:val="22"/>
              </w:rPr>
              <w:t>Pending</w:t>
            </w:r>
            <w:r>
              <w:rPr>
                <w:sz w:val="22"/>
                <w:szCs w:val="22"/>
              </w:rPr>
              <w:t>).</w:t>
            </w:r>
          </w:p>
          <w:p w14:paraId="446647AD" w14:textId="77777777" w:rsidR="00905131" w:rsidRPr="00DC6D3D" w:rsidRDefault="00905131" w:rsidP="00905131">
            <w:pPr>
              <w:spacing w:before="0"/>
              <w:ind w:left="367"/>
              <w:rPr>
                <w:rFonts w:cs="Arial"/>
                <w:sz w:val="22"/>
                <w:szCs w:val="22"/>
              </w:rPr>
            </w:pPr>
          </w:p>
          <w:p w14:paraId="22D8906A" w14:textId="77777777" w:rsidR="00905131" w:rsidRPr="00DC6D3D" w:rsidRDefault="00905131" w:rsidP="00905131">
            <w:pPr>
              <w:pStyle w:val="ListParagraph"/>
              <w:numPr>
                <w:ilvl w:val="0"/>
                <w:numId w:val="28"/>
              </w:numPr>
              <w:spacing w:before="0"/>
              <w:rPr>
                <w:rFonts w:cs="Arial"/>
                <w:sz w:val="22"/>
                <w:szCs w:val="22"/>
              </w:rPr>
            </w:pPr>
            <w:r>
              <w:rPr>
                <w:sz w:val="22"/>
                <w:szCs w:val="22"/>
              </w:rPr>
              <w:t>Report from the Ministry of Consumer Affairs (Article 26(5)(4) of Law 50/1997).</w:t>
            </w:r>
          </w:p>
          <w:p w14:paraId="692900CE" w14:textId="77777777" w:rsidR="00905131" w:rsidRPr="00DC6D3D" w:rsidRDefault="00905131" w:rsidP="00905131">
            <w:pPr>
              <w:spacing w:before="0"/>
              <w:ind w:left="367"/>
              <w:rPr>
                <w:rFonts w:cs="Arial"/>
                <w:sz w:val="22"/>
                <w:szCs w:val="22"/>
              </w:rPr>
            </w:pPr>
          </w:p>
          <w:p w14:paraId="6510D7EB" w14:textId="77777777" w:rsidR="00905131" w:rsidRPr="00DC6D3D" w:rsidRDefault="00905131" w:rsidP="00905131">
            <w:pPr>
              <w:pStyle w:val="ListParagraph"/>
              <w:numPr>
                <w:ilvl w:val="0"/>
                <w:numId w:val="28"/>
              </w:numPr>
              <w:spacing w:before="0"/>
              <w:rPr>
                <w:rFonts w:cs="Arial"/>
                <w:sz w:val="22"/>
                <w:szCs w:val="22"/>
              </w:rPr>
            </w:pPr>
            <w:r>
              <w:rPr>
                <w:sz w:val="22"/>
                <w:szCs w:val="22"/>
              </w:rPr>
              <w:t>Report from the Ministry of Health (Article 26(5)(4) of Law 50/1997).</w:t>
            </w:r>
          </w:p>
          <w:p w14:paraId="52384097" w14:textId="77777777" w:rsidR="00905131" w:rsidRPr="00DC6D3D" w:rsidRDefault="00905131" w:rsidP="00905131">
            <w:pPr>
              <w:pStyle w:val="ListParagraph"/>
              <w:rPr>
                <w:rFonts w:cs="Arial"/>
                <w:sz w:val="22"/>
                <w:szCs w:val="22"/>
              </w:rPr>
            </w:pPr>
          </w:p>
          <w:p w14:paraId="5312C21D" w14:textId="77777777" w:rsidR="00905131" w:rsidRPr="00DC6D3D" w:rsidRDefault="00905131" w:rsidP="00905131">
            <w:pPr>
              <w:pStyle w:val="ListParagraph"/>
              <w:numPr>
                <w:ilvl w:val="0"/>
                <w:numId w:val="28"/>
              </w:numPr>
              <w:spacing w:before="0"/>
              <w:rPr>
                <w:rFonts w:cs="Arial"/>
                <w:sz w:val="22"/>
                <w:szCs w:val="22"/>
              </w:rPr>
            </w:pPr>
            <w:r>
              <w:rPr>
                <w:sz w:val="22"/>
                <w:szCs w:val="22"/>
              </w:rPr>
              <w:t>Report from the Ministry of Industry, Trade and Tourism (Article 26(5)(4) of Law 50/1997).</w:t>
            </w:r>
          </w:p>
          <w:p w14:paraId="11ADA389" w14:textId="77777777" w:rsidR="00905131" w:rsidRPr="00DC6D3D" w:rsidRDefault="00905131" w:rsidP="00905131">
            <w:pPr>
              <w:pStyle w:val="ListParagraph"/>
              <w:rPr>
                <w:rFonts w:cs="Arial"/>
                <w:sz w:val="22"/>
                <w:szCs w:val="22"/>
              </w:rPr>
            </w:pPr>
          </w:p>
          <w:p w14:paraId="4D677FCF" w14:textId="77777777" w:rsidR="00905131" w:rsidRPr="00DC6D3D" w:rsidRDefault="00905131" w:rsidP="00905131">
            <w:pPr>
              <w:pStyle w:val="Cuerpo"/>
              <w:numPr>
                <w:ilvl w:val="0"/>
                <w:numId w:val="28"/>
              </w:numPr>
              <w:spacing w:before="0" w:after="0" w:line="240" w:lineRule="auto"/>
              <w:ind w:right="57"/>
              <w:jc w:val="both"/>
              <w:rPr>
                <w:rFonts w:ascii="Arial" w:hAnsi="Arial" w:cs="Arial"/>
                <w:color w:val="auto"/>
                <w:sz w:val="22"/>
                <w:szCs w:val="22"/>
              </w:rPr>
            </w:pPr>
            <w:r>
              <w:rPr>
                <w:rFonts w:ascii="Arial" w:hAnsi="Arial"/>
                <w:color w:val="auto"/>
                <w:sz w:val="22"/>
                <w:szCs w:val="22"/>
              </w:rPr>
              <w:t>Report from the Ministry of Agriculture, Fisheries and Food (Article 26(5)(4) of Law 50/1997).</w:t>
            </w:r>
          </w:p>
          <w:p w14:paraId="169EF527" w14:textId="77777777" w:rsidR="00905131" w:rsidRPr="00DC6D3D" w:rsidRDefault="00905131" w:rsidP="00905131">
            <w:pPr>
              <w:pStyle w:val="Cuerpo"/>
              <w:spacing w:before="0" w:after="0" w:line="240" w:lineRule="auto"/>
              <w:ind w:left="720" w:right="57"/>
              <w:jc w:val="both"/>
              <w:rPr>
                <w:rFonts w:ascii="Arial" w:hAnsi="Arial" w:cs="Arial"/>
                <w:color w:val="auto"/>
                <w:sz w:val="22"/>
                <w:szCs w:val="22"/>
              </w:rPr>
            </w:pPr>
          </w:p>
          <w:p w14:paraId="6B2FA18C" w14:textId="77777777" w:rsidR="00905131" w:rsidRPr="00DC6D3D" w:rsidRDefault="00905131" w:rsidP="00905131">
            <w:pPr>
              <w:pStyle w:val="Cuerpo"/>
              <w:numPr>
                <w:ilvl w:val="0"/>
                <w:numId w:val="28"/>
              </w:numPr>
              <w:spacing w:before="0" w:after="0" w:line="240" w:lineRule="auto"/>
              <w:ind w:right="57"/>
              <w:jc w:val="both"/>
              <w:rPr>
                <w:rFonts w:ascii="Arial" w:hAnsi="Arial" w:cs="Arial"/>
                <w:b/>
                <w:color w:val="auto"/>
                <w:sz w:val="22"/>
                <w:szCs w:val="22"/>
              </w:rPr>
            </w:pPr>
            <w:r>
              <w:rPr>
                <w:rFonts w:ascii="Arial" w:hAnsi="Arial"/>
                <w:color w:val="auto"/>
                <w:sz w:val="22"/>
                <w:szCs w:val="22"/>
              </w:rPr>
              <w:t xml:space="preserve">Report from the </w:t>
            </w:r>
            <w:proofErr w:type="spellStart"/>
            <w:r>
              <w:rPr>
                <w:rFonts w:ascii="Arial" w:hAnsi="Arial"/>
                <w:color w:val="auto"/>
                <w:sz w:val="22"/>
                <w:szCs w:val="22"/>
              </w:rPr>
              <w:t>Interministerial</w:t>
            </w:r>
            <w:proofErr w:type="spellEnd"/>
            <w:r>
              <w:rPr>
                <w:rFonts w:ascii="Arial" w:hAnsi="Arial"/>
                <w:color w:val="auto"/>
                <w:sz w:val="22"/>
                <w:szCs w:val="22"/>
              </w:rPr>
              <w:t xml:space="preserve"> Commission for Food Management (‘CIOA’) dated 15 July 2020.</w:t>
            </w:r>
            <w:r>
              <w:rPr>
                <w:rFonts w:ascii="Arial" w:hAnsi="Arial"/>
                <w:iCs/>
                <w:color w:val="auto"/>
                <w:sz w:val="22"/>
                <w:szCs w:val="22"/>
              </w:rPr>
              <w:t xml:space="preserve"> </w:t>
            </w:r>
          </w:p>
          <w:p w14:paraId="1D556389" w14:textId="77777777" w:rsidR="00905131" w:rsidRPr="00DC6D3D" w:rsidRDefault="00905131" w:rsidP="00905131">
            <w:pPr>
              <w:pStyle w:val="Cuerpo"/>
              <w:spacing w:before="0" w:after="0" w:line="240" w:lineRule="auto"/>
              <w:ind w:left="720" w:right="57"/>
              <w:jc w:val="both"/>
              <w:rPr>
                <w:rFonts w:ascii="Arial" w:hAnsi="Arial" w:cs="Arial"/>
                <w:b/>
                <w:color w:val="auto"/>
                <w:sz w:val="22"/>
                <w:szCs w:val="22"/>
              </w:rPr>
            </w:pPr>
          </w:p>
          <w:p w14:paraId="6FD832FE" w14:textId="77777777" w:rsidR="00905131" w:rsidRPr="00DC6D3D" w:rsidRDefault="00905131" w:rsidP="00905131">
            <w:pPr>
              <w:pStyle w:val="Cuerpo"/>
              <w:numPr>
                <w:ilvl w:val="0"/>
                <w:numId w:val="28"/>
              </w:numPr>
              <w:spacing w:before="0" w:after="0" w:line="240" w:lineRule="auto"/>
              <w:ind w:right="57"/>
              <w:jc w:val="both"/>
              <w:rPr>
                <w:rFonts w:ascii="Arial" w:hAnsi="Arial" w:cs="Arial"/>
                <w:color w:val="auto"/>
                <w:sz w:val="22"/>
                <w:szCs w:val="22"/>
              </w:rPr>
            </w:pPr>
            <w:r>
              <w:rPr>
                <w:rFonts w:ascii="Arial" w:hAnsi="Arial"/>
                <w:color w:val="auto"/>
                <w:sz w:val="22"/>
                <w:szCs w:val="22"/>
              </w:rPr>
              <w:t xml:space="preserve">Notification to the European Commission in accordance with Directive (EU) 1535/1535 of the European Parliament and of the Council of 9 September 2015 laying down a procedure for the provision of information in the field of technical regulations and of rules on Information Society services. Similarly, the standard has </w:t>
            </w:r>
            <w:r>
              <w:rPr>
                <w:rFonts w:ascii="Arial" w:hAnsi="Arial"/>
                <w:color w:val="auto"/>
                <w:sz w:val="22"/>
                <w:szCs w:val="22"/>
              </w:rPr>
              <w:lastRenderedPageBreak/>
              <w:t xml:space="preserve">been reported in accordance with Article 45 of Regulation (EU) No 1169/2011 of the European Parliament and of the Council of 25 October 2011 on the provision of food information to consumers as it contains mandatory provisions on food information. </w:t>
            </w:r>
            <w:r>
              <w:rPr>
                <w:rFonts w:ascii="Arial" w:hAnsi="Arial"/>
                <w:color w:val="FF0000"/>
                <w:sz w:val="22"/>
                <w:szCs w:val="22"/>
              </w:rPr>
              <w:t>Pending</w:t>
            </w:r>
          </w:p>
          <w:p w14:paraId="54292B44" w14:textId="77777777" w:rsidR="00905131" w:rsidRPr="00DC6D3D" w:rsidRDefault="00905131" w:rsidP="00905131">
            <w:pPr>
              <w:pStyle w:val="ListParagraph"/>
              <w:rPr>
                <w:rFonts w:cs="Arial"/>
                <w:sz w:val="22"/>
                <w:szCs w:val="22"/>
              </w:rPr>
            </w:pPr>
          </w:p>
          <w:p w14:paraId="4A6DA63F" w14:textId="77777777" w:rsidR="00905131" w:rsidRPr="00DC6D3D" w:rsidRDefault="00905131" w:rsidP="00905131">
            <w:pPr>
              <w:pStyle w:val="Cuerpo"/>
              <w:numPr>
                <w:ilvl w:val="0"/>
                <w:numId w:val="28"/>
              </w:numPr>
              <w:spacing w:before="0" w:after="0" w:line="240" w:lineRule="auto"/>
              <w:ind w:right="57"/>
              <w:jc w:val="both"/>
              <w:rPr>
                <w:rFonts w:ascii="Arial" w:hAnsi="Arial" w:cs="Arial"/>
                <w:color w:val="auto"/>
                <w:sz w:val="22"/>
                <w:szCs w:val="22"/>
              </w:rPr>
            </w:pPr>
            <w:r>
              <w:rPr>
                <w:rFonts w:ascii="Arial" w:hAnsi="Arial"/>
                <w:color w:val="auto"/>
                <w:sz w:val="22"/>
                <w:szCs w:val="22"/>
              </w:rPr>
              <w:t xml:space="preserve">Notification to the World Trade Organization. </w:t>
            </w:r>
            <w:r>
              <w:rPr>
                <w:rFonts w:ascii="Arial" w:hAnsi="Arial"/>
                <w:color w:val="FF0000"/>
                <w:sz w:val="22"/>
                <w:szCs w:val="22"/>
              </w:rPr>
              <w:t>Pending</w:t>
            </w:r>
          </w:p>
          <w:p w14:paraId="6B8F90DB" w14:textId="77777777" w:rsidR="00905131" w:rsidRPr="00DC6D3D" w:rsidRDefault="00905131" w:rsidP="00905131">
            <w:pPr>
              <w:pStyle w:val="ListParagraph"/>
              <w:rPr>
                <w:rFonts w:cs="Arial"/>
                <w:sz w:val="22"/>
                <w:szCs w:val="22"/>
              </w:rPr>
            </w:pPr>
          </w:p>
          <w:p w14:paraId="7DB516D1" w14:textId="77777777" w:rsidR="007F0907" w:rsidRPr="00DC6D3D" w:rsidRDefault="00905131" w:rsidP="00905131">
            <w:pPr>
              <w:pStyle w:val="Cuerpo"/>
              <w:numPr>
                <w:ilvl w:val="0"/>
                <w:numId w:val="28"/>
              </w:numPr>
              <w:spacing w:before="0" w:after="0" w:line="240" w:lineRule="auto"/>
              <w:ind w:right="57"/>
              <w:jc w:val="both"/>
              <w:rPr>
                <w:rFonts w:ascii="Arial" w:hAnsi="Arial" w:cs="Arial"/>
                <w:color w:val="auto"/>
                <w:sz w:val="22"/>
                <w:szCs w:val="22"/>
              </w:rPr>
            </w:pPr>
            <w:r>
              <w:rPr>
                <w:rFonts w:ascii="Arial" w:hAnsi="Arial"/>
                <w:color w:val="auto"/>
                <w:sz w:val="22"/>
                <w:szCs w:val="22"/>
              </w:rPr>
              <w:t xml:space="preserve">Opinion of the Council of State. </w:t>
            </w:r>
            <w:r>
              <w:rPr>
                <w:rFonts w:ascii="Arial" w:hAnsi="Arial"/>
                <w:color w:val="FF0000"/>
                <w:sz w:val="22"/>
                <w:szCs w:val="22"/>
              </w:rPr>
              <w:t>Pending</w:t>
            </w:r>
          </w:p>
          <w:p w14:paraId="27395A78" w14:textId="77777777" w:rsidR="00312D12" w:rsidRPr="00DC6D3D" w:rsidRDefault="00312D12" w:rsidP="00312D12">
            <w:pPr>
              <w:pStyle w:val="Cuerpo"/>
              <w:spacing w:before="0" w:after="0" w:line="240" w:lineRule="auto"/>
              <w:ind w:left="720" w:right="57"/>
              <w:jc w:val="both"/>
              <w:rPr>
                <w:rFonts w:ascii="Arial" w:hAnsi="Arial" w:cs="Arial"/>
                <w:color w:val="auto"/>
                <w:sz w:val="22"/>
                <w:szCs w:val="22"/>
              </w:rPr>
            </w:pPr>
          </w:p>
        </w:tc>
      </w:tr>
      <w:tr w:rsidR="00567E99" w:rsidRPr="00DC6D3D" w14:paraId="1A8101AC" w14:textId="77777777" w:rsidTr="00905131">
        <w:tc>
          <w:tcPr>
            <w:tcW w:w="2713" w:type="dxa"/>
          </w:tcPr>
          <w:p w14:paraId="5193C891" w14:textId="77777777" w:rsidR="00AA2FE0" w:rsidRPr="00DC6D3D" w:rsidRDefault="00AA2FE0" w:rsidP="00AA2FE0">
            <w:pPr>
              <w:pStyle w:val="BodyTextIndent3"/>
              <w:spacing w:before="120"/>
              <w:ind w:left="0"/>
              <w:rPr>
                <w:rFonts w:ascii="Arial" w:hAnsi="Arial" w:cs="Arial"/>
                <w:b/>
                <w:sz w:val="22"/>
                <w:szCs w:val="22"/>
              </w:rPr>
            </w:pPr>
            <w:r>
              <w:rPr>
                <w:rFonts w:ascii="Arial" w:hAnsi="Arial"/>
                <w:b/>
                <w:sz w:val="22"/>
                <w:szCs w:val="22"/>
              </w:rPr>
              <w:lastRenderedPageBreak/>
              <w:t>Hearing procedure</w:t>
            </w:r>
          </w:p>
        </w:tc>
        <w:tc>
          <w:tcPr>
            <w:tcW w:w="6432" w:type="dxa"/>
            <w:gridSpan w:val="4"/>
          </w:tcPr>
          <w:p w14:paraId="2D823A1E" w14:textId="77777777" w:rsidR="00905131" w:rsidRPr="00DC6D3D" w:rsidRDefault="00905131" w:rsidP="00905131">
            <w:pPr>
              <w:pStyle w:val="Cuerpo"/>
              <w:numPr>
                <w:ilvl w:val="0"/>
                <w:numId w:val="30"/>
              </w:numPr>
              <w:spacing w:before="0" w:after="0" w:line="240" w:lineRule="auto"/>
              <w:ind w:left="215" w:right="57" w:hanging="215"/>
              <w:jc w:val="both"/>
              <w:rPr>
                <w:rFonts w:ascii="Arial" w:hAnsi="Arial" w:cs="Arial"/>
                <w:color w:val="auto"/>
                <w:sz w:val="22"/>
                <w:szCs w:val="22"/>
              </w:rPr>
            </w:pPr>
            <w:r>
              <w:rPr>
                <w:rFonts w:ascii="Arial" w:hAnsi="Arial"/>
                <w:color w:val="auto"/>
                <w:sz w:val="22"/>
                <w:szCs w:val="22"/>
              </w:rPr>
              <w:t>Preliminary public consultation (Article 26(2) of Government Law 50/1997). Period: 08/02/2018 to 01/03/2018.</w:t>
            </w:r>
          </w:p>
          <w:p w14:paraId="77FC69C3" w14:textId="77777777" w:rsidR="00905131" w:rsidRPr="00DC6D3D" w:rsidRDefault="00905131" w:rsidP="00905131">
            <w:pPr>
              <w:pStyle w:val="Cuerpo"/>
              <w:spacing w:before="0" w:after="0" w:line="240" w:lineRule="auto"/>
              <w:ind w:left="215" w:right="57"/>
              <w:jc w:val="both"/>
              <w:rPr>
                <w:rFonts w:ascii="Arial" w:hAnsi="Arial" w:cs="Arial"/>
                <w:color w:val="auto"/>
                <w:sz w:val="22"/>
                <w:szCs w:val="22"/>
              </w:rPr>
            </w:pPr>
          </w:p>
          <w:p w14:paraId="29724804" w14:textId="77777777" w:rsidR="00905131" w:rsidRPr="00DC6D3D" w:rsidRDefault="00905131" w:rsidP="00905131">
            <w:pPr>
              <w:pStyle w:val="Cuerpo"/>
              <w:numPr>
                <w:ilvl w:val="0"/>
                <w:numId w:val="30"/>
              </w:numPr>
              <w:spacing w:before="0" w:after="0" w:line="240" w:lineRule="auto"/>
              <w:ind w:left="215" w:right="57" w:hanging="215"/>
              <w:jc w:val="both"/>
              <w:rPr>
                <w:rFonts w:ascii="Arial" w:hAnsi="Arial" w:cs="Arial"/>
                <w:color w:val="auto"/>
                <w:sz w:val="22"/>
                <w:szCs w:val="22"/>
              </w:rPr>
            </w:pPr>
            <w:r>
              <w:rPr>
                <w:rFonts w:ascii="Arial" w:hAnsi="Arial"/>
                <w:color w:val="auto"/>
                <w:sz w:val="22"/>
                <w:szCs w:val="22"/>
              </w:rPr>
              <w:t>Public hearing and information (Article 26(6) of Law 50/1997 and Article 133(2) of Law 39/2015). Period: 13/02/2020 to 05/03/2020.</w:t>
            </w:r>
          </w:p>
          <w:p w14:paraId="204183C4" w14:textId="77777777" w:rsidR="00905131" w:rsidRPr="00DC6D3D" w:rsidRDefault="00905131" w:rsidP="00905131">
            <w:pPr>
              <w:pStyle w:val="Cuerpo"/>
              <w:spacing w:before="0" w:after="0" w:line="240" w:lineRule="auto"/>
              <w:ind w:right="57"/>
              <w:jc w:val="both"/>
              <w:rPr>
                <w:rFonts w:ascii="Arial" w:hAnsi="Arial" w:cs="Arial"/>
                <w:color w:val="auto"/>
                <w:sz w:val="22"/>
                <w:szCs w:val="22"/>
              </w:rPr>
            </w:pPr>
          </w:p>
          <w:p w14:paraId="0C68C688" w14:textId="77777777" w:rsidR="00905131" w:rsidRPr="00DC6D3D" w:rsidRDefault="00905131" w:rsidP="00905131">
            <w:pPr>
              <w:pStyle w:val="Cuerpo"/>
              <w:numPr>
                <w:ilvl w:val="0"/>
                <w:numId w:val="30"/>
              </w:numPr>
              <w:spacing w:before="0" w:after="0" w:line="240" w:lineRule="auto"/>
              <w:ind w:left="215" w:right="57" w:hanging="215"/>
              <w:jc w:val="both"/>
              <w:rPr>
                <w:rFonts w:ascii="Arial" w:hAnsi="Arial" w:cs="Arial"/>
                <w:color w:val="auto"/>
                <w:sz w:val="22"/>
                <w:szCs w:val="22"/>
              </w:rPr>
            </w:pPr>
            <w:r>
              <w:rPr>
                <w:rFonts w:ascii="Arial" w:hAnsi="Arial"/>
                <w:color w:val="auto"/>
                <w:sz w:val="22"/>
                <w:szCs w:val="22"/>
              </w:rPr>
              <w:t>Direct consultation with entities representing the affected sectors (Article 26(6) of Law 50/1997). Period: 15 business days from 13/02/2020.</w:t>
            </w:r>
          </w:p>
          <w:p w14:paraId="2A94F818" w14:textId="77777777" w:rsidR="00905131" w:rsidRPr="00DC6D3D" w:rsidRDefault="00905131" w:rsidP="00905131">
            <w:pPr>
              <w:pStyle w:val="Cuerpo"/>
              <w:spacing w:before="0" w:after="0" w:line="240" w:lineRule="auto"/>
              <w:ind w:right="57"/>
              <w:jc w:val="both"/>
              <w:rPr>
                <w:rFonts w:ascii="Arial" w:hAnsi="Arial" w:cs="Arial"/>
                <w:color w:val="auto"/>
                <w:sz w:val="22"/>
                <w:szCs w:val="22"/>
              </w:rPr>
            </w:pPr>
          </w:p>
          <w:p w14:paraId="2FFE7C66" w14:textId="77777777" w:rsidR="00905131" w:rsidRPr="00DC6D3D" w:rsidRDefault="00905131" w:rsidP="00905131">
            <w:pPr>
              <w:pStyle w:val="Cuerpo"/>
              <w:numPr>
                <w:ilvl w:val="0"/>
                <w:numId w:val="30"/>
              </w:numPr>
              <w:spacing w:before="0" w:after="0" w:line="240" w:lineRule="auto"/>
              <w:ind w:left="215" w:right="57" w:hanging="215"/>
              <w:jc w:val="both"/>
              <w:rPr>
                <w:rFonts w:ascii="Arial" w:hAnsi="Arial" w:cs="Arial"/>
                <w:color w:val="auto"/>
                <w:sz w:val="22"/>
                <w:szCs w:val="22"/>
              </w:rPr>
            </w:pPr>
            <w:r>
              <w:rPr>
                <w:rFonts w:ascii="Arial" w:hAnsi="Arial"/>
                <w:color w:val="auto"/>
                <w:sz w:val="22"/>
                <w:szCs w:val="22"/>
              </w:rPr>
              <w:t>Consultation with the Autonomous Communities (Article 26 of Law 50/1997). Period: 15 business days from 13/02/2020.</w:t>
            </w:r>
          </w:p>
          <w:p w14:paraId="50F71A10" w14:textId="77777777" w:rsidR="00905131" w:rsidRPr="00DC6D3D" w:rsidRDefault="00905131" w:rsidP="00905131">
            <w:pPr>
              <w:pStyle w:val="Cuerpo"/>
              <w:spacing w:before="0" w:after="0" w:line="240" w:lineRule="auto"/>
              <w:ind w:left="215" w:right="57"/>
              <w:jc w:val="both"/>
              <w:rPr>
                <w:rFonts w:ascii="Arial" w:hAnsi="Arial" w:cs="Arial"/>
                <w:color w:val="auto"/>
                <w:sz w:val="22"/>
                <w:szCs w:val="22"/>
              </w:rPr>
            </w:pPr>
          </w:p>
          <w:p w14:paraId="32AFBCD1" w14:textId="77777777" w:rsidR="00905131" w:rsidRPr="00DC6D3D" w:rsidRDefault="00905131" w:rsidP="00905131">
            <w:pPr>
              <w:pStyle w:val="Cuerpo"/>
              <w:numPr>
                <w:ilvl w:val="0"/>
                <w:numId w:val="30"/>
              </w:numPr>
              <w:spacing w:before="0" w:after="0" w:line="240" w:lineRule="auto"/>
              <w:ind w:left="215" w:right="57" w:hanging="215"/>
              <w:jc w:val="both"/>
              <w:rPr>
                <w:rFonts w:ascii="Arial" w:hAnsi="Arial" w:cs="Arial"/>
                <w:color w:val="auto"/>
                <w:sz w:val="22"/>
                <w:szCs w:val="22"/>
              </w:rPr>
            </w:pPr>
            <w:r>
              <w:rPr>
                <w:rFonts w:ascii="Arial" w:hAnsi="Arial"/>
                <w:color w:val="auto"/>
                <w:sz w:val="22"/>
                <w:szCs w:val="22"/>
              </w:rPr>
              <w:t>Second public hearing and information process (Article 26(6) of Law 50/1997 and Article 133(2) of Law 39/2015). Period: 19/06/2020 to 30/06/2020.</w:t>
            </w:r>
          </w:p>
          <w:p w14:paraId="1AEB7213" w14:textId="77777777" w:rsidR="00905131" w:rsidRPr="00DC6D3D" w:rsidRDefault="00905131" w:rsidP="00905131">
            <w:pPr>
              <w:pStyle w:val="ListParagraph"/>
              <w:rPr>
                <w:rFonts w:cs="Arial"/>
                <w:sz w:val="22"/>
                <w:szCs w:val="22"/>
              </w:rPr>
            </w:pPr>
          </w:p>
          <w:p w14:paraId="5583F5B4" w14:textId="77777777" w:rsidR="00905131" w:rsidRPr="00DC6D3D" w:rsidRDefault="00905131" w:rsidP="00905131">
            <w:pPr>
              <w:pStyle w:val="Cuerpo"/>
              <w:numPr>
                <w:ilvl w:val="0"/>
                <w:numId w:val="30"/>
              </w:numPr>
              <w:spacing w:before="0" w:after="0" w:line="240" w:lineRule="auto"/>
              <w:ind w:left="215" w:right="57" w:hanging="215"/>
              <w:jc w:val="both"/>
              <w:rPr>
                <w:rFonts w:ascii="Arial" w:hAnsi="Arial" w:cs="Arial"/>
                <w:color w:val="auto"/>
                <w:sz w:val="22"/>
                <w:szCs w:val="22"/>
              </w:rPr>
            </w:pPr>
            <w:r>
              <w:rPr>
                <w:rFonts w:ascii="Arial" w:hAnsi="Arial"/>
                <w:color w:val="auto"/>
                <w:sz w:val="22"/>
                <w:szCs w:val="22"/>
              </w:rPr>
              <w:t>Second direct consultation with entities representing the affected sectors (Article 26(6) of Law 50/1997). Period: 7 business days from 19/06/2020.</w:t>
            </w:r>
          </w:p>
          <w:p w14:paraId="4275DA13" w14:textId="77777777" w:rsidR="00905131" w:rsidRPr="00DC6D3D" w:rsidRDefault="00905131" w:rsidP="00905131">
            <w:pPr>
              <w:pStyle w:val="Cuerpo"/>
              <w:spacing w:before="0" w:after="0" w:line="240" w:lineRule="auto"/>
              <w:ind w:right="57"/>
              <w:jc w:val="both"/>
              <w:rPr>
                <w:rFonts w:ascii="Arial" w:hAnsi="Arial" w:cs="Arial"/>
                <w:color w:val="auto"/>
                <w:sz w:val="22"/>
                <w:szCs w:val="22"/>
              </w:rPr>
            </w:pPr>
          </w:p>
          <w:p w14:paraId="3E3BE305" w14:textId="77777777" w:rsidR="00AA2FE0" w:rsidRPr="00DC6D3D" w:rsidRDefault="00905131" w:rsidP="00905131">
            <w:pPr>
              <w:pStyle w:val="Cuerpo"/>
              <w:numPr>
                <w:ilvl w:val="0"/>
                <w:numId w:val="30"/>
              </w:numPr>
              <w:spacing w:before="0" w:after="0" w:line="240" w:lineRule="auto"/>
              <w:ind w:left="215" w:right="57" w:hanging="215"/>
              <w:jc w:val="both"/>
              <w:rPr>
                <w:rFonts w:ascii="Arial" w:hAnsi="Arial"/>
                <w:color w:val="auto"/>
                <w:sz w:val="22"/>
                <w:szCs w:val="22"/>
              </w:rPr>
            </w:pPr>
            <w:r>
              <w:rPr>
                <w:rFonts w:ascii="Arial" w:hAnsi="Arial"/>
                <w:color w:val="auto"/>
                <w:sz w:val="22"/>
                <w:szCs w:val="22"/>
              </w:rPr>
              <w:t>Second consultation with the Autonomous Communities (Article 26 of Law 50/1997). Period: 7 business days from 19/06/2020.</w:t>
            </w:r>
          </w:p>
        </w:tc>
      </w:tr>
      <w:tr w:rsidR="00567E99" w:rsidRPr="00DC6D3D" w14:paraId="7CCBEEA5" w14:textId="77777777" w:rsidTr="00905131">
        <w:tc>
          <w:tcPr>
            <w:tcW w:w="9145" w:type="dxa"/>
            <w:gridSpan w:val="5"/>
          </w:tcPr>
          <w:p w14:paraId="6229E891" w14:textId="77777777" w:rsidR="00AA2FE0" w:rsidRPr="00DC6D3D" w:rsidRDefault="00AA2FE0" w:rsidP="00AA2FE0">
            <w:pPr>
              <w:pStyle w:val="BodyTextIndent3"/>
              <w:keepNext/>
              <w:spacing w:before="240" w:after="240"/>
              <w:ind w:left="0"/>
              <w:jc w:val="center"/>
              <w:rPr>
                <w:rFonts w:ascii="Arial" w:hAnsi="Arial" w:cs="Arial"/>
                <w:b/>
                <w:sz w:val="22"/>
                <w:szCs w:val="22"/>
              </w:rPr>
            </w:pPr>
            <w:r>
              <w:rPr>
                <w:rFonts w:ascii="Arial" w:hAnsi="Arial"/>
                <w:b/>
                <w:sz w:val="22"/>
                <w:szCs w:val="22"/>
              </w:rPr>
              <w:t>IMPACT ANALYSIS</w:t>
            </w:r>
          </w:p>
        </w:tc>
      </w:tr>
      <w:tr w:rsidR="00567E99" w:rsidRPr="00DC6D3D" w14:paraId="7F0809C2" w14:textId="77777777" w:rsidTr="00905131">
        <w:tc>
          <w:tcPr>
            <w:tcW w:w="2713" w:type="dxa"/>
          </w:tcPr>
          <w:p w14:paraId="368F2654" w14:textId="77777777" w:rsidR="00AA2FE0" w:rsidRPr="00DC6D3D" w:rsidRDefault="00AA2FE0" w:rsidP="00AA2FE0">
            <w:pPr>
              <w:pStyle w:val="BodyTextIndent3"/>
              <w:spacing w:before="120"/>
              <w:ind w:left="0"/>
              <w:rPr>
                <w:rFonts w:ascii="Arial" w:hAnsi="Arial" w:cs="Arial"/>
                <w:b/>
                <w:sz w:val="22"/>
                <w:szCs w:val="22"/>
              </w:rPr>
            </w:pPr>
            <w:r>
              <w:rPr>
                <w:rFonts w:ascii="Arial" w:hAnsi="Arial"/>
                <w:b/>
                <w:sz w:val="22"/>
                <w:szCs w:val="22"/>
              </w:rPr>
              <w:t>Compliance with the distribution of powers</w:t>
            </w:r>
          </w:p>
        </w:tc>
        <w:tc>
          <w:tcPr>
            <w:tcW w:w="6432" w:type="dxa"/>
            <w:gridSpan w:val="4"/>
          </w:tcPr>
          <w:p w14:paraId="2CBE3E0E" w14:textId="77777777" w:rsidR="00AA2FE0" w:rsidRPr="00DC6D3D" w:rsidRDefault="00AA2FE0" w:rsidP="00AA2FE0">
            <w:pPr>
              <w:pStyle w:val="BodyTextIndent3"/>
              <w:spacing w:before="120" w:after="0"/>
              <w:ind w:left="0"/>
              <w:jc w:val="both"/>
              <w:rPr>
                <w:rFonts w:ascii="Arial" w:hAnsi="Arial" w:cs="Arial"/>
                <w:b/>
                <w:sz w:val="22"/>
                <w:szCs w:val="22"/>
              </w:rPr>
            </w:pPr>
            <w:r>
              <w:rPr>
                <w:rFonts w:ascii="Arial" w:hAnsi="Arial"/>
                <w:b/>
                <w:sz w:val="22"/>
                <w:szCs w:val="22"/>
              </w:rPr>
              <w:t>What is the prevalent legislative authority?</w:t>
            </w:r>
          </w:p>
          <w:p w14:paraId="195F7B40" w14:textId="77777777" w:rsidR="00AA2FE0" w:rsidRPr="00DC6D3D" w:rsidRDefault="00AA2FE0" w:rsidP="00AA2FE0">
            <w:pPr>
              <w:pStyle w:val="BodyTextIndent3"/>
              <w:spacing w:before="120"/>
              <w:ind w:left="0"/>
              <w:jc w:val="both"/>
              <w:rPr>
                <w:rFonts w:ascii="Arial" w:hAnsi="Arial" w:cs="Arial"/>
                <w:sz w:val="22"/>
                <w:szCs w:val="22"/>
              </w:rPr>
            </w:pPr>
            <w:r>
              <w:rPr>
                <w:rFonts w:ascii="Arial" w:hAnsi="Arial"/>
                <w:sz w:val="22"/>
                <w:szCs w:val="22"/>
              </w:rPr>
              <w:t>Article 149(1)(13) of the Spanish Constitution grants the State exclusive jurisdiction over the conditions and coordination of the general planning of economic activity.</w:t>
            </w:r>
          </w:p>
        </w:tc>
      </w:tr>
      <w:tr w:rsidR="00567E99" w:rsidRPr="00DC6D3D" w14:paraId="1A07EE63" w14:textId="77777777" w:rsidTr="00905131">
        <w:tc>
          <w:tcPr>
            <w:tcW w:w="2713" w:type="dxa"/>
            <w:vMerge w:val="restart"/>
          </w:tcPr>
          <w:p w14:paraId="726B4A90" w14:textId="77777777" w:rsidR="00AA2FE0" w:rsidRPr="00DC6D3D" w:rsidRDefault="00AA2FE0" w:rsidP="004E07EA">
            <w:pPr>
              <w:pStyle w:val="BodyTextIndent3"/>
              <w:keepNext/>
              <w:keepLines/>
              <w:spacing w:before="120"/>
              <w:ind w:left="0"/>
              <w:rPr>
                <w:rFonts w:ascii="Arial" w:hAnsi="Arial" w:cs="Arial"/>
                <w:b/>
                <w:sz w:val="22"/>
                <w:szCs w:val="22"/>
              </w:rPr>
            </w:pPr>
            <w:r>
              <w:rPr>
                <w:rFonts w:ascii="Arial" w:hAnsi="Arial"/>
                <w:b/>
                <w:sz w:val="22"/>
                <w:szCs w:val="22"/>
              </w:rPr>
              <w:lastRenderedPageBreak/>
              <w:t>Economic and budgetary impact</w:t>
            </w:r>
          </w:p>
        </w:tc>
        <w:tc>
          <w:tcPr>
            <w:tcW w:w="2750" w:type="dxa"/>
            <w:shd w:val="clear" w:color="auto" w:fill="auto"/>
          </w:tcPr>
          <w:p w14:paraId="19187684" w14:textId="77777777" w:rsidR="00AA2FE0" w:rsidRPr="00DC6D3D" w:rsidRDefault="00AA2FE0" w:rsidP="004E07EA">
            <w:pPr>
              <w:pStyle w:val="BodyTextIndent3"/>
              <w:keepNext/>
              <w:keepLines/>
              <w:spacing w:before="120"/>
              <w:ind w:left="0"/>
              <w:rPr>
                <w:rFonts w:ascii="Arial" w:hAnsi="Arial" w:cs="Arial"/>
                <w:b/>
                <w:sz w:val="22"/>
                <w:szCs w:val="22"/>
              </w:rPr>
            </w:pPr>
            <w:r>
              <w:rPr>
                <w:rFonts w:ascii="Arial" w:hAnsi="Arial"/>
                <w:b/>
                <w:sz w:val="22"/>
                <w:szCs w:val="22"/>
              </w:rPr>
              <w:t>Overall effects on the economy</w:t>
            </w:r>
          </w:p>
        </w:tc>
        <w:tc>
          <w:tcPr>
            <w:tcW w:w="3682" w:type="dxa"/>
            <w:gridSpan w:val="3"/>
            <w:shd w:val="clear" w:color="auto" w:fill="auto"/>
          </w:tcPr>
          <w:p w14:paraId="5A8777B3" w14:textId="77777777" w:rsidR="00AA2FE0" w:rsidRPr="00DC6D3D" w:rsidRDefault="00AA2FE0" w:rsidP="004E07EA">
            <w:pPr>
              <w:pStyle w:val="BodyTextIndent3"/>
              <w:keepNext/>
              <w:keepLines/>
              <w:spacing w:before="120"/>
              <w:ind w:left="0"/>
              <w:jc w:val="both"/>
              <w:rPr>
                <w:rFonts w:ascii="Arial" w:hAnsi="Arial" w:cs="Arial"/>
                <w:sz w:val="22"/>
                <w:szCs w:val="22"/>
              </w:rPr>
            </w:pPr>
            <w:r>
              <w:rPr>
                <w:rFonts w:ascii="Arial" w:hAnsi="Arial"/>
                <w:sz w:val="22"/>
                <w:szCs w:val="22"/>
              </w:rPr>
              <w:t>Since the draft Royal Decree aims to improve the competitiveness of the sector, ensure fair competition between industries and provide the same conditions to all producers, it is thought that it will have a positive impact on the economy.</w:t>
            </w:r>
          </w:p>
        </w:tc>
      </w:tr>
      <w:tr w:rsidR="00567E99" w:rsidRPr="00DC6D3D" w14:paraId="1ACAB580" w14:textId="77777777" w:rsidTr="00905131">
        <w:tc>
          <w:tcPr>
            <w:tcW w:w="2713" w:type="dxa"/>
            <w:vMerge/>
          </w:tcPr>
          <w:p w14:paraId="3D511612" w14:textId="77777777" w:rsidR="00AA2FE0" w:rsidRPr="00DC6D3D" w:rsidRDefault="00AA2FE0" w:rsidP="00AA2FE0">
            <w:pPr>
              <w:pStyle w:val="BodyTextIndent3"/>
              <w:spacing w:before="120"/>
              <w:ind w:left="0"/>
              <w:jc w:val="both"/>
              <w:rPr>
                <w:rFonts w:ascii="Arial" w:hAnsi="Arial" w:cs="Arial"/>
                <w:b/>
                <w:sz w:val="22"/>
                <w:szCs w:val="22"/>
              </w:rPr>
            </w:pPr>
          </w:p>
        </w:tc>
        <w:tc>
          <w:tcPr>
            <w:tcW w:w="2750" w:type="dxa"/>
            <w:shd w:val="clear" w:color="auto" w:fill="auto"/>
          </w:tcPr>
          <w:p w14:paraId="6AC87CAA" w14:textId="77777777" w:rsidR="00AA2FE0" w:rsidRPr="00DC6D3D" w:rsidRDefault="00AA2FE0" w:rsidP="00AA2FE0">
            <w:pPr>
              <w:pStyle w:val="BodyTextIndent3"/>
              <w:spacing w:before="120"/>
              <w:ind w:left="0"/>
              <w:rPr>
                <w:rFonts w:ascii="Arial" w:hAnsi="Arial" w:cs="Arial"/>
                <w:b/>
                <w:sz w:val="22"/>
                <w:szCs w:val="22"/>
              </w:rPr>
            </w:pPr>
            <w:r>
              <w:rPr>
                <w:rFonts w:ascii="Arial" w:hAnsi="Arial"/>
                <w:b/>
                <w:sz w:val="22"/>
                <w:szCs w:val="22"/>
              </w:rPr>
              <w:t>Relating to competition</w:t>
            </w:r>
          </w:p>
        </w:tc>
        <w:tc>
          <w:tcPr>
            <w:tcW w:w="3682" w:type="dxa"/>
            <w:gridSpan w:val="3"/>
            <w:shd w:val="clear" w:color="auto" w:fill="auto"/>
          </w:tcPr>
          <w:tbl>
            <w:tblPr>
              <w:tblpPr w:leftFromText="141" w:rightFromText="141" w:vertAnchor="text" w:horzAnchor="margin" w:tblpXSpec="right" w:tblpY="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DC6D3D" w14:paraId="0A7C1E1F" w14:textId="77777777" w:rsidTr="00724849">
              <w:tc>
                <w:tcPr>
                  <w:tcW w:w="419" w:type="dxa"/>
                </w:tcPr>
                <w:p w14:paraId="28637494" w14:textId="77777777" w:rsidR="00AA2FE0" w:rsidRPr="00DC6D3D" w:rsidRDefault="00AA2FE0" w:rsidP="00AA2FE0">
                  <w:pPr>
                    <w:pStyle w:val="BodyTextIndent3"/>
                    <w:spacing w:before="120"/>
                    <w:ind w:left="0"/>
                    <w:jc w:val="both"/>
                    <w:rPr>
                      <w:rFonts w:ascii="Arial" w:hAnsi="Arial" w:cs="Arial"/>
                      <w:sz w:val="22"/>
                      <w:szCs w:val="22"/>
                    </w:rPr>
                  </w:pPr>
                </w:p>
              </w:tc>
            </w:tr>
          </w:tbl>
          <w:p w14:paraId="569C4242" w14:textId="77777777" w:rsidR="00AA2FE0" w:rsidRPr="00DC6D3D" w:rsidRDefault="00AA2FE0" w:rsidP="00AA2FE0">
            <w:pPr>
              <w:pStyle w:val="BodyTextIndent3"/>
              <w:spacing w:before="120"/>
              <w:ind w:left="0"/>
              <w:jc w:val="both"/>
              <w:rPr>
                <w:rFonts w:ascii="Arial" w:hAnsi="Arial" w:cs="Arial"/>
                <w:b/>
                <w:sz w:val="22"/>
                <w:szCs w:val="22"/>
              </w:rPr>
            </w:pPr>
            <w:r>
              <w:rPr>
                <w:rFonts w:ascii="Arial" w:hAnsi="Arial"/>
                <w:b/>
                <w:sz w:val="22"/>
                <w:szCs w:val="22"/>
              </w:rPr>
              <w:t>The regulation has no significant effects on competition.</w:t>
            </w:r>
          </w:p>
          <w:tbl>
            <w:tblPr>
              <w:tblpPr w:leftFromText="141" w:rightFromText="141" w:vertAnchor="text" w:horzAnchor="margin" w:tblpXSpec="right"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DC6D3D" w14:paraId="6FC3C920" w14:textId="77777777" w:rsidTr="00724849">
              <w:tc>
                <w:tcPr>
                  <w:tcW w:w="419" w:type="dxa"/>
                </w:tcPr>
                <w:p w14:paraId="43A6C441" w14:textId="77777777" w:rsidR="00AA2FE0" w:rsidRPr="00DC6D3D" w:rsidRDefault="00AA2FE0" w:rsidP="00AA2FE0">
                  <w:pPr>
                    <w:pStyle w:val="BodyTextIndent3"/>
                    <w:spacing w:before="120"/>
                    <w:ind w:left="0"/>
                    <w:jc w:val="center"/>
                    <w:rPr>
                      <w:rFonts w:ascii="Arial" w:hAnsi="Arial" w:cs="Arial"/>
                      <w:sz w:val="22"/>
                      <w:szCs w:val="22"/>
                    </w:rPr>
                  </w:pPr>
                  <w:r>
                    <w:rPr>
                      <w:rFonts w:ascii="Arial" w:hAnsi="Arial"/>
                      <w:sz w:val="22"/>
                      <w:szCs w:val="22"/>
                    </w:rPr>
                    <w:t>X</w:t>
                  </w:r>
                </w:p>
              </w:tc>
            </w:tr>
          </w:tbl>
          <w:p w14:paraId="4507D6D2" w14:textId="77777777" w:rsidR="00AA2FE0" w:rsidRPr="00DC6D3D" w:rsidRDefault="00AA2FE0" w:rsidP="00AA2FE0">
            <w:pPr>
              <w:pStyle w:val="BodyTextIndent3"/>
              <w:spacing w:before="120"/>
              <w:ind w:left="0"/>
              <w:jc w:val="both"/>
              <w:rPr>
                <w:rFonts w:ascii="Arial" w:hAnsi="Arial" w:cs="Arial"/>
                <w:b/>
                <w:sz w:val="22"/>
                <w:szCs w:val="22"/>
              </w:rPr>
            </w:pPr>
            <w:r>
              <w:rPr>
                <w:rFonts w:ascii="Arial" w:hAnsi="Arial"/>
                <w:b/>
                <w:sz w:val="22"/>
                <w:szCs w:val="22"/>
              </w:rPr>
              <w:t>The regulation has positive effects on competition.</w:t>
            </w:r>
          </w:p>
          <w:tbl>
            <w:tblPr>
              <w:tblpPr w:leftFromText="141" w:rightFromText="141" w:vertAnchor="text" w:horzAnchor="margin" w:tblpXSpec="right" w:tblpY="1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DC6D3D" w14:paraId="3653FE74" w14:textId="77777777" w:rsidTr="00724849">
              <w:tc>
                <w:tcPr>
                  <w:tcW w:w="419" w:type="dxa"/>
                </w:tcPr>
                <w:p w14:paraId="58C91C6A" w14:textId="77777777" w:rsidR="00AA2FE0" w:rsidRPr="00DC6D3D" w:rsidRDefault="00AA2FE0" w:rsidP="00AA2FE0">
                  <w:pPr>
                    <w:pStyle w:val="BodyTextIndent3"/>
                    <w:spacing w:before="120"/>
                    <w:ind w:left="0"/>
                    <w:jc w:val="center"/>
                    <w:rPr>
                      <w:rFonts w:ascii="Arial" w:hAnsi="Arial" w:cs="Arial"/>
                      <w:sz w:val="22"/>
                      <w:szCs w:val="22"/>
                    </w:rPr>
                  </w:pPr>
                </w:p>
              </w:tc>
            </w:tr>
          </w:tbl>
          <w:p w14:paraId="4F5569DA" w14:textId="77777777" w:rsidR="00AA2FE0" w:rsidRPr="00DC6D3D" w:rsidRDefault="00AA2FE0" w:rsidP="00AA2FE0">
            <w:pPr>
              <w:pStyle w:val="BodyTextIndent3"/>
              <w:spacing w:before="120"/>
              <w:ind w:left="0"/>
              <w:jc w:val="both"/>
              <w:rPr>
                <w:rFonts w:ascii="Arial" w:hAnsi="Arial" w:cs="Arial"/>
                <w:b/>
                <w:sz w:val="22"/>
                <w:szCs w:val="22"/>
              </w:rPr>
            </w:pPr>
            <w:r>
              <w:rPr>
                <w:rFonts w:ascii="Arial" w:hAnsi="Arial"/>
                <w:b/>
                <w:sz w:val="22"/>
                <w:szCs w:val="22"/>
              </w:rPr>
              <w:t>The regulation has negative effects on competition.</w:t>
            </w:r>
          </w:p>
        </w:tc>
      </w:tr>
      <w:tr w:rsidR="00567E99" w:rsidRPr="00DC6D3D" w14:paraId="5DAA20FA" w14:textId="77777777" w:rsidTr="00905131">
        <w:tc>
          <w:tcPr>
            <w:tcW w:w="2713" w:type="dxa"/>
            <w:vMerge/>
          </w:tcPr>
          <w:p w14:paraId="6DA1B927" w14:textId="77777777" w:rsidR="00AA2FE0" w:rsidRPr="00DC6D3D" w:rsidRDefault="00AA2FE0" w:rsidP="00AA2FE0">
            <w:pPr>
              <w:pStyle w:val="BodyTextIndent3"/>
              <w:spacing w:before="240" w:after="0"/>
              <w:ind w:left="0"/>
              <w:jc w:val="both"/>
              <w:rPr>
                <w:rFonts w:ascii="Arial" w:hAnsi="Arial" w:cs="Arial"/>
                <w:b/>
                <w:sz w:val="22"/>
                <w:szCs w:val="22"/>
              </w:rPr>
            </w:pPr>
          </w:p>
        </w:tc>
        <w:tc>
          <w:tcPr>
            <w:tcW w:w="2750" w:type="dxa"/>
            <w:shd w:val="clear" w:color="auto" w:fill="auto"/>
          </w:tcPr>
          <w:p w14:paraId="7048FC36" w14:textId="77777777" w:rsidR="00AA2FE0" w:rsidRPr="00DC6D3D" w:rsidRDefault="00AA2FE0" w:rsidP="00AA2FE0">
            <w:pPr>
              <w:pStyle w:val="BodyTextIndent3"/>
              <w:spacing w:before="120"/>
              <w:ind w:left="0"/>
              <w:rPr>
                <w:rFonts w:ascii="Arial" w:hAnsi="Arial" w:cs="Arial"/>
                <w:b/>
                <w:sz w:val="22"/>
                <w:szCs w:val="22"/>
              </w:rPr>
            </w:pPr>
            <w:r>
              <w:rPr>
                <w:rFonts w:ascii="Arial" w:hAnsi="Arial"/>
                <w:b/>
                <w:sz w:val="22"/>
                <w:szCs w:val="22"/>
              </w:rPr>
              <w:t>From the point of view of administrative burdens</w:t>
            </w:r>
          </w:p>
        </w:tc>
        <w:tc>
          <w:tcPr>
            <w:tcW w:w="3682" w:type="dxa"/>
            <w:gridSpan w:val="3"/>
            <w:shd w:val="clear" w:color="auto" w:fill="auto"/>
          </w:tcPr>
          <w:tbl>
            <w:tblPr>
              <w:tblpPr w:leftFromText="141" w:rightFromText="141" w:vertAnchor="text" w:horzAnchor="margin" w:tblpXSpec="right" w:tblpY="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DC6D3D" w14:paraId="1DF93652" w14:textId="77777777" w:rsidTr="00724849">
              <w:tc>
                <w:tcPr>
                  <w:tcW w:w="419" w:type="dxa"/>
                </w:tcPr>
                <w:p w14:paraId="3B0084F3" w14:textId="77777777" w:rsidR="00AA2FE0" w:rsidRPr="00DC6D3D" w:rsidRDefault="00AA2FE0" w:rsidP="00AA2FE0">
                  <w:pPr>
                    <w:pStyle w:val="BodyTextIndent3"/>
                    <w:spacing w:before="120"/>
                    <w:ind w:left="0"/>
                    <w:jc w:val="both"/>
                    <w:rPr>
                      <w:rFonts w:ascii="Arial" w:hAnsi="Arial" w:cs="Arial"/>
                      <w:sz w:val="22"/>
                      <w:szCs w:val="22"/>
                    </w:rPr>
                  </w:pPr>
                </w:p>
              </w:tc>
            </w:tr>
          </w:tbl>
          <w:p w14:paraId="7CA5ABAC" w14:textId="77777777" w:rsidR="00AA2FE0" w:rsidRPr="00DC6D3D" w:rsidRDefault="00AA2FE0" w:rsidP="00AA2FE0">
            <w:pPr>
              <w:pStyle w:val="BodyTextIndent3"/>
              <w:spacing w:before="120"/>
              <w:ind w:left="0"/>
              <w:rPr>
                <w:rFonts w:ascii="Arial" w:hAnsi="Arial" w:cs="Arial"/>
                <w:b/>
                <w:sz w:val="22"/>
                <w:szCs w:val="22"/>
              </w:rPr>
            </w:pPr>
            <w:r>
              <w:rPr>
                <w:rFonts w:ascii="Arial" w:hAnsi="Arial"/>
                <w:b/>
                <w:sz w:val="22"/>
                <w:szCs w:val="22"/>
              </w:rPr>
              <w:t>Implies a reduction in administrative burdens.</w:t>
            </w:r>
          </w:p>
          <w:p w14:paraId="7AB7D50D" w14:textId="77777777" w:rsidR="00AA2FE0" w:rsidRPr="00DC6D3D" w:rsidRDefault="00AA2FE0" w:rsidP="00AA2FE0">
            <w:pPr>
              <w:pStyle w:val="BodyTextIndent3"/>
              <w:spacing w:before="120"/>
              <w:ind w:left="0"/>
              <w:rPr>
                <w:rFonts w:ascii="Arial" w:hAnsi="Arial" w:cs="Arial"/>
                <w:b/>
                <w:sz w:val="22"/>
                <w:szCs w:val="22"/>
              </w:rPr>
            </w:pPr>
            <w:r>
              <w:rPr>
                <w:rFonts w:ascii="Arial" w:hAnsi="Arial"/>
                <w:b/>
                <w:sz w:val="22"/>
                <w:szCs w:val="22"/>
              </w:rPr>
              <w:t xml:space="preserve">Estimated quantification: </w:t>
            </w:r>
          </w:p>
          <w:tbl>
            <w:tblPr>
              <w:tblpPr w:leftFromText="141" w:rightFromText="141" w:vertAnchor="text" w:horzAnchor="margin" w:tblpXSpec="right"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DC6D3D" w14:paraId="220DE048" w14:textId="77777777" w:rsidTr="00724849">
              <w:tc>
                <w:tcPr>
                  <w:tcW w:w="419" w:type="dxa"/>
                </w:tcPr>
                <w:p w14:paraId="79753F64" w14:textId="77777777" w:rsidR="00AA2FE0" w:rsidRPr="00DC6D3D" w:rsidRDefault="00AA2FE0" w:rsidP="00AA2FE0">
                  <w:pPr>
                    <w:pStyle w:val="BodyTextIndent3"/>
                    <w:spacing w:before="120"/>
                    <w:ind w:left="0"/>
                    <w:jc w:val="center"/>
                    <w:rPr>
                      <w:rFonts w:ascii="Arial" w:hAnsi="Arial" w:cs="Arial"/>
                      <w:sz w:val="22"/>
                      <w:szCs w:val="22"/>
                    </w:rPr>
                  </w:pPr>
                </w:p>
              </w:tc>
            </w:tr>
          </w:tbl>
          <w:p w14:paraId="0961F4DD" w14:textId="77777777" w:rsidR="00AA2FE0" w:rsidRPr="00DC6D3D" w:rsidRDefault="00AA2FE0" w:rsidP="00AA2FE0">
            <w:pPr>
              <w:pStyle w:val="BodyTextIndent3"/>
              <w:spacing w:before="120"/>
              <w:ind w:left="0"/>
              <w:rPr>
                <w:rFonts w:ascii="Arial" w:hAnsi="Arial" w:cs="Arial"/>
                <w:b/>
                <w:sz w:val="22"/>
                <w:szCs w:val="22"/>
              </w:rPr>
            </w:pPr>
            <w:r>
              <w:rPr>
                <w:rFonts w:ascii="Arial" w:hAnsi="Arial"/>
                <w:b/>
                <w:sz w:val="22"/>
                <w:szCs w:val="22"/>
              </w:rPr>
              <w:t>Incorporates new administrative burdens.</w:t>
            </w:r>
          </w:p>
          <w:p w14:paraId="0DFB7970" w14:textId="77777777" w:rsidR="00AA2FE0" w:rsidRPr="00DC6D3D" w:rsidRDefault="00AA2FE0" w:rsidP="00AA2FE0">
            <w:pPr>
              <w:pStyle w:val="BodyTextIndent3"/>
              <w:spacing w:before="120"/>
              <w:ind w:left="0"/>
              <w:rPr>
                <w:rFonts w:ascii="Arial" w:hAnsi="Arial" w:cs="Arial"/>
                <w:b/>
                <w:sz w:val="22"/>
                <w:szCs w:val="22"/>
              </w:rPr>
            </w:pPr>
            <w:r>
              <w:rPr>
                <w:rFonts w:ascii="Arial" w:hAnsi="Arial"/>
                <w:b/>
                <w:sz w:val="22"/>
                <w:szCs w:val="22"/>
              </w:rPr>
              <w:t xml:space="preserve">Estimated quantification: </w:t>
            </w:r>
          </w:p>
          <w:tbl>
            <w:tblPr>
              <w:tblpPr w:leftFromText="141" w:rightFromText="141" w:vertAnchor="text" w:horzAnchor="margin" w:tblpXSpec="right" w:tblpY="1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DC6D3D" w14:paraId="3D2C3E9F" w14:textId="77777777" w:rsidTr="00724849">
              <w:tc>
                <w:tcPr>
                  <w:tcW w:w="419" w:type="dxa"/>
                </w:tcPr>
                <w:p w14:paraId="036E652E" w14:textId="77777777" w:rsidR="00AA2FE0" w:rsidRPr="00DC6D3D" w:rsidRDefault="00AA2FE0" w:rsidP="00AA2FE0">
                  <w:pPr>
                    <w:pStyle w:val="BodyTextIndent3"/>
                    <w:spacing w:before="120"/>
                    <w:ind w:left="0"/>
                    <w:jc w:val="center"/>
                    <w:rPr>
                      <w:rFonts w:ascii="Arial" w:hAnsi="Arial" w:cs="Arial"/>
                      <w:sz w:val="22"/>
                      <w:szCs w:val="22"/>
                    </w:rPr>
                  </w:pPr>
                  <w:r>
                    <w:rPr>
                      <w:rFonts w:ascii="Arial" w:hAnsi="Arial"/>
                      <w:sz w:val="22"/>
                      <w:szCs w:val="22"/>
                    </w:rPr>
                    <w:t>X</w:t>
                  </w:r>
                </w:p>
              </w:tc>
            </w:tr>
          </w:tbl>
          <w:p w14:paraId="656B3A58" w14:textId="77777777" w:rsidR="00AA2FE0" w:rsidRPr="00DC6D3D" w:rsidRDefault="00AA2FE0" w:rsidP="00AA2FE0">
            <w:pPr>
              <w:pStyle w:val="BodyTextIndent3"/>
              <w:spacing w:before="120"/>
              <w:ind w:left="0"/>
              <w:rPr>
                <w:rFonts w:ascii="Arial" w:hAnsi="Arial" w:cs="Arial"/>
                <w:b/>
                <w:sz w:val="22"/>
                <w:szCs w:val="22"/>
              </w:rPr>
            </w:pPr>
            <w:r>
              <w:rPr>
                <w:rFonts w:ascii="Arial" w:hAnsi="Arial"/>
                <w:b/>
                <w:sz w:val="22"/>
                <w:szCs w:val="22"/>
              </w:rPr>
              <w:t>Does not affect administrative burdens.</w:t>
            </w:r>
          </w:p>
        </w:tc>
      </w:tr>
      <w:tr w:rsidR="00567E99" w:rsidRPr="00DC6D3D" w14:paraId="464A16EB" w14:textId="77777777" w:rsidTr="00905131">
        <w:tc>
          <w:tcPr>
            <w:tcW w:w="2713" w:type="dxa"/>
            <w:vMerge/>
          </w:tcPr>
          <w:p w14:paraId="62BFFCF2" w14:textId="77777777" w:rsidR="00AA2FE0" w:rsidRPr="00DC6D3D" w:rsidRDefault="00AA2FE0" w:rsidP="00AA2FE0">
            <w:pPr>
              <w:pStyle w:val="BodyTextIndent3"/>
              <w:spacing w:before="240" w:after="0"/>
              <w:ind w:left="0"/>
              <w:jc w:val="both"/>
              <w:rPr>
                <w:rFonts w:ascii="Arial" w:hAnsi="Arial" w:cs="Arial"/>
                <w:b/>
                <w:sz w:val="22"/>
                <w:szCs w:val="22"/>
              </w:rPr>
            </w:pPr>
          </w:p>
        </w:tc>
        <w:tc>
          <w:tcPr>
            <w:tcW w:w="2750" w:type="dxa"/>
            <w:shd w:val="clear" w:color="auto" w:fill="auto"/>
          </w:tcPr>
          <w:p w14:paraId="7A57BFDB" w14:textId="77777777" w:rsidR="00AA2FE0" w:rsidRPr="00DC6D3D" w:rsidRDefault="00AA2FE0" w:rsidP="00AA2FE0">
            <w:pPr>
              <w:pStyle w:val="BodyTextIndent3"/>
              <w:spacing w:before="120"/>
              <w:ind w:left="0"/>
              <w:rPr>
                <w:rFonts w:ascii="Arial" w:hAnsi="Arial" w:cs="Arial"/>
                <w:b/>
                <w:sz w:val="22"/>
                <w:szCs w:val="22"/>
              </w:rPr>
            </w:pPr>
            <w:r>
              <w:rPr>
                <w:rFonts w:ascii="Arial" w:hAnsi="Arial"/>
                <w:b/>
                <w:sz w:val="22"/>
                <w:szCs w:val="22"/>
              </w:rPr>
              <w:t>From the point of view of budgets, the regulation</w:t>
            </w:r>
          </w:p>
          <w:tbl>
            <w:tblPr>
              <w:tblpPr w:leftFromText="141" w:rightFromText="141" w:vertAnchor="text" w:horzAnchor="margin" w:tblpXSpec="right"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DC6D3D" w14:paraId="1C1F583B" w14:textId="77777777" w:rsidTr="00724849">
              <w:tc>
                <w:tcPr>
                  <w:tcW w:w="419" w:type="dxa"/>
                </w:tcPr>
                <w:p w14:paraId="13681CA3" w14:textId="77777777" w:rsidR="00AA2FE0" w:rsidRPr="00DC6D3D" w:rsidRDefault="00AA2FE0" w:rsidP="00AA2FE0">
                  <w:pPr>
                    <w:pStyle w:val="BodyTextIndent3"/>
                    <w:spacing w:before="120"/>
                    <w:ind w:left="0"/>
                    <w:jc w:val="center"/>
                    <w:rPr>
                      <w:rFonts w:ascii="Arial" w:hAnsi="Arial" w:cs="Arial"/>
                      <w:sz w:val="22"/>
                      <w:szCs w:val="22"/>
                    </w:rPr>
                  </w:pPr>
                </w:p>
              </w:tc>
            </w:tr>
          </w:tbl>
          <w:p w14:paraId="7988A00E" w14:textId="77777777" w:rsidR="00AA2FE0" w:rsidRPr="00DC6D3D" w:rsidRDefault="00AA2FE0" w:rsidP="00AA2FE0">
            <w:pPr>
              <w:pStyle w:val="BodyTextIndent3"/>
              <w:ind w:left="0"/>
              <w:rPr>
                <w:rFonts w:ascii="Arial" w:hAnsi="Arial" w:cs="Arial"/>
                <w:b/>
                <w:sz w:val="22"/>
                <w:szCs w:val="22"/>
              </w:rPr>
            </w:pPr>
            <w:r>
              <w:rPr>
                <w:rFonts w:ascii="Arial" w:hAnsi="Arial"/>
                <w:b/>
                <w:sz w:val="22"/>
                <w:szCs w:val="22"/>
              </w:rPr>
              <w:t>Affects state budgets.</w:t>
            </w:r>
          </w:p>
          <w:tbl>
            <w:tblPr>
              <w:tblpPr w:leftFromText="141" w:rightFromText="141" w:vertAnchor="text" w:horzAnchor="margin" w:tblpXSpec="right" w:tblpY="2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DC6D3D" w14:paraId="547F425B" w14:textId="77777777" w:rsidTr="00724849">
              <w:tc>
                <w:tcPr>
                  <w:tcW w:w="419" w:type="dxa"/>
                </w:tcPr>
                <w:p w14:paraId="09712403" w14:textId="77777777" w:rsidR="00AA2FE0" w:rsidRPr="00DC6D3D" w:rsidRDefault="00AA2FE0" w:rsidP="00AA2FE0">
                  <w:pPr>
                    <w:pStyle w:val="BodyTextIndent3"/>
                    <w:spacing w:before="120"/>
                    <w:ind w:left="0"/>
                    <w:jc w:val="center"/>
                    <w:rPr>
                      <w:rFonts w:ascii="Arial" w:hAnsi="Arial" w:cs="Arial"/>
                      <w:sz w:val="22"/>
                      <w:szCs w:val="22"/>
                    </w:rPr>
                  </w:pPr>
                </w:p>
              </w:tc>
            </w:tr>
          </w:tbl>
          <w:p w14:paraId="312190E6" w14:textId="77777777" w:rsidR="00AA2FE0" w:rsidRPr="00DC6D3D" w:rsidRDefault="00AA2FE0" w:rsidP="00AA2FE0">
            <w:pPr>
              <w:pStyle w:val="BodyTextIndent3"/>
              <w:spacing w:before="120" w:after="240"/>
              <w:ind w:left="0"/>
              <w:rPr>
                <w:rFonts w:ascii="Arial" w:hAnsi="Arial" w:cs="Arial"/>
                <w:b/>
                <w:sz w:val="22"/>
                <w:szCs w:val="22"/>
              </w:rPr>
            </w:pPr>
            <w:r>
              <w:rPr>
                <w:rFonts w:ascii="Arial" w:hAnsi="Arial"/>
                <w:b/>
                <w:sz w:val="22"/>
                <w:szCs w:val="22"/>
              </w:rPr>
              <w:t>Affects the budgets of other territorial administrations.</w:t>
            </w:r>
          </w:p>
        </w:tc>
        <w:tc>
          <w:tcPr>
            <w:tcW w:w="3682" w:type="dxa"/>
            <w:gridSpan w:val="3"/>
            <w:shd w:val="clear" w:color="auto" w:fill="auto"/>
          </w:tcPr>
          <w:tbl>
            <w:tblPr>
              <w:tblpPr w:leftFromText="141" w:rightFromText="141" w:vertAnchor="text" w:horzAnchor="margin" w:tblpXSpec="right" w:tblpY="-2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DC6D3D" w14:paraId="4AEE3D85" w14:textId="77777777" w:rsidTr="00093790">
              <w:tc>
                <w:tcPr>
                  <w:tcW w:w="419" w:type="dxa"/>
                </w:tcPr>
                <w:p w14:paraId="6FC09A59" w14:textId="77777777" w:rsidR="00093790" w:rsidRPr="00DC6D3D" w:rsidRDefault="00093790" w:rsidP="00093790">
                  <w:pPr>
                    <w:pStyle w:val="BodyTextIndent3"/>
                    <w:spacing w:before="120"/>
                    <w:ind w:left="0"/>
                    <w:jc w:val="center"/>
                    <w:rPr>
                      <w:rFonts w:ascii="Arial" w:hAnsi="Arial" w:cs="Arial"/>
                      <w:sz w:val="22"/>
                      <w:szCs w:val="22"/>
                    </w:rPr>
                  </w:pPr>
                </w:p>
              </w:tc>
            </w:tr>
          </w:tbl>
          <w:p w14:paraId="30BAF474" w14:textId="77777777" w:rsidR="00093790" w:rsidRPr="00DC6D3D" w:rsidRDefault="00AA2FE0" w:rsidP="00AA2FE0">
            <w:pPr>
              <w:pStyle w:val="BodyTextIndent3"/>
              <w:spacing w:before="120"/>
              <w:ind w:left="0"/>
              <w:rPr>
                <w:rFonts w:ascii="Arial" w:hAnsi="Arial" w:cs="Arial"/>
                <w:b/>
                <w:sz w:val="22"/>
                <w:szCs w:val="22"/>
              </w:rPr>
            </w:pPr>
            <w:r>
              <w:rPr>
                <w:rFonts w:ascii="Arial" w:hAnsi="Arial"/>
                <w:b/>
                <w:sz w:val="22"/>
                <w:szCs w:val="22"/>
              </w:rPr>
              <w:t>Implies an expenditure.</w:t>
            </w:r>
          </w:p>
          <w:p w14:paraId="0F40D784" w14:textId="77777777" w:rsidR="00AA2FE0" w:rsidRPr="00DC6D3D" w:rsidRDefault="00AA2FE0" w:rsidP="00AA2FE0">
            <w:pPr>
              <w:pStyle w:val="BodyTextIndent3"/>
              <w:spacing w:before="480"/>
              <w:ind w:left="0"/>
              <w:rPr>
                <w:rFonts w:ascii="Arial" w:hAnsi="Arial" w:cs="Arial"/>
                <w:b/>
                <w:sz w:val="22"/>
                <w:szCs w:val="22"/>
              </w:rPr>
            </w:pPr>
            <w:r>
              <w:rPr>
                <w:rFonts w:ascii="Arial" w:hAnsi="Arial"/>
                <w:b/>
                <w:sz w:val="22"/>
                <w:szCs w:val="22"/>
              </w:rPr>
              <w:t>Implies a revenue.</w:t>
            </w:r>
          </w:p>
          <w:tbl>
            <w:tblPr>
              <w:tblpPr w:leftFromText="141" w:rightFromText="141" w:vertAnchor="text" w:horzAnchor="margin" w:tblpXSpec="right" w:tblpY="-3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DC6D3D" w14:paraId="0B50FA4F" w14:textId="77777777" w:rsidTr="00093790">
              <w:tc>
                <w:tcPr>
                  <w:tcW w:w="419" w:type="dxa"/>
                </w:tcPr>
                <w:p w14:paraId="4598A078" w14:textId="77777777" w:rsidR="00093790" w:rsidRPr="00DC6D3D" w:rsidRDefault="00093790" w:rsidP="00093790">
                  <w:pPr>
                    <w:pStyle w:val="BodyTextIndent3"/>
                    <w:spacing w:before="120"/>
                    <w:ind w:left="0"/>
                    <w:jc w:val="center"/>
                    <w:rPr>
                      <w:rFonts w:ascii="Arial" w:hAnsi="Arial" w:cs="Arial"/>
                      <w:sz w:val="22"/>
                      <w:szCs w:val="22"/>
                    </w:rPr>
                  </w:pPr>
                </w:p>
              </w:tc>
            </w:tr>
          </w:tbl>
          <w:p w14:paraId="3C9F4C97" w14:textId="77777777" w:rsidR="00AA2FE0" w:rsidRPr="00DC6D3D" w:rsidRDefault="00AA2FE0" w:rsidP="00AA2FE0">
            <w:pPr>
              <w:pStyle w:val="BodyTextIndent3"/>
              <w:spacing w:before="120"/>
              <w:ind w:left="0"/>
              <w:jc w:val="both"/>
              <w:rPr>
                <w:rFonts w:ascii="Arial" w:hAnsi="Arial" w:cs="Arial"/>
                <w:b/>
                <w:sz w:val="22"/>
                <w:szCs w:val="22"/>
              </w:rPr>
            </w:pPr>
          </w:p>
        </w:tc>
      </w:tr>
      <w:tr w:rsidR="00567E99" w:rsidRPr="00DC6D3D" w14:paraId="173AAF0D" w14:textId="77777777" w:rsidTr="00905131">
        <w:tc>
          <w:tcPr>
            <w:tcW w:w="2713" w:type="dxa"/>
          </w:tcPr>
          <w:p w14:paraId="235E1BF3" w14:textId="77777777" w:rsidR="00AA2FE0" w:rsidRPr="00DC6D3D" w:rsidRDefault="00AA2FE0" w:rsidP="004E07EA">
            <w:pPr>
              <w:pStyle w:val="BodyTextIndent3"/>
              <w:keepNext/>
              <w:keepLines/>
              <w:spacing w:before="120"/>
              <w:ind w:left="0"/>
              <w:rPr>
                <w:rFonts w:ascii="Arial" w:hAnsi="Arial" w:cs="Arial"/>
                <w:b/>
                <w:sz w:val="22"/>
                <w:szCs w:val="22"/>
              </w:rPr>
            </w:pPr>
            <w:r>
              <w:rPr>
                <w:rFonts w:ascii="Arial" w:hAnsi="Arial"/>
                <w:b/>
                <w:sz w:val="22"/>
                <w:szCs w:val="22"/>
              </w:rPr>
              <w:lastRenderedPageBreak/>
              <w:t>Gender impact</w:t>
            </w:r>
          </w:p>
        </w:tc>
        <w:tc>
          <w:tcPr>
            <w:tcW w:w="2750" w:type="dxa"/>
            <w:shd w:val="clear" w:color="auto" w:fill="auto"/>
          </w:tcPr>
          <w:p w14:paraId="6C63064D" w14:textId="77777777" w:rsidR="00AA2FE0" w:rsidRPr="00DC6D3D" w:rsidRDefault="00AA2FE0" w:rsidP="004E07EA">
            <w:pPr>
              <w:pStyle w:val="BodyTextIndent3"/>
              <w:keepNext/>
              <w:keepLines/>
              <w:spacing w:before="120"/>
              <w:ind w:left="0"/>
              <w:rPr>
                <w:rFonts w:ascii="Arial" w:hAnsi="Arial" w:cs="Arial"/>
                <w:b/>
                <w:sz w:val="22"/>
                <w:szCs w:val="22"/>
              </w:rPr>
            </w:pPr>
            <w:r>
              <w:rPr>
                <w:rFonts w:ascii="Arial" w:hAnsi="Arial"/>
                <w:b/>
                <w:sz w:val="22"/>
                <w:szCs w:val="22"/>
              </w:rPr>
              <w:t>The regulation has a gender impact</w:t>
            </w:r>
          </w:p>
        </w:tc>
        <w:tc>
          <w:tcPr>
            <w:tcW w:w="3682" w:type="dxa"/>
            <w:gridSpan w:val="3"/>
            <w:shd w:val="clear" w:color="auto" w:fill="auto"/>
          </w:tcPr>
          <w:tbl>
            <w:tblPr>
              <w:tblpPr w:leftFromText="141" w:rightFromText="141" w:vertAnchor="text" w:horzAnchor="margin" w:tblpXSpec="right"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DC6D3D" w14:paraId="4514FA33" w14:textId="77777777" w:rsidTr="00724849">
              <w:tc>
                <w:tcPr>
                  <w:tcW w:w="419" w:type="dxa"/>
                </w:tcPr>
                <w:p w14:paraId="2DF5ADB0" w14:textId="77777777" w:rsidR="00AA2FE0" w:rsidRPr="00DC6D3D" w:rsidRDefault="00AA2FE0" w:rsidP="004E07EA">
                  <w:pPr>
                    <w:pStyle w:val="BodyTextIndent3"/>
                    <w:keepNext/>
                    <w:keepLines/>
                    <w:spacing w:before="120"/>
                    <w:ind w:left="0"/>
                    <w:jc w:val="center"/>
                    <w:rPr>
                      <w:rFonts w:ascii="Arial" w:hAnsi="Arial" w:cs="Arial"/>
                      <w:sz w:val="22"/>
                      <w:szCs w:val="22"/>
                    </w:rPr>
                  </w:pPr>
                </w:p>
              </w:tc>
            </w:tr>
          </w:tbl>
          <w:p w14:paraId="50CF5862" w14:textId="77777777" w:rsidR="00AA2FE0" w:rsidRPr="00DC6D3D" w:rsidRDefault="00AA2FE0" w:rsidP="004E07EA">
            <w:pPr>
              <w:pStyle w:val="BodyTextIndent3"/>
              <w:keepNext/>
              <w:keepLines/>
              <w:spacing w:before="120"/>
              <w:ind w:left="0"/>
              <w:jc w:val="both"/>
              <w:rPr>
                <w:rFonts w:ascii="Arial" w:hAnsi="Arial" w:cs="Arial"/>
                <w:b/>
                <w:sz w:val="22"/>
                <w:szCs w:val="22"/>
              </w:rPr>
            </w:pPr>
            <w:r>
              <w:rPr>
                <w:rFonts w:ascii="Arial" w:hAnsi="Arial"/>
                <w:b/>
                <w:sz w:val="22"/>
                <w:szCs w:val="22"/>
              </w:rPr>
              <w:t>Negative</w:t>
            </w:r>
          </w:p>
          <w:p w14:paraId="3D7E89FC" w14:textId="77777777" w:rsidR="00AA2FE0" w:rsidRPr="00DC6D3D" w:rsidRDefault="00AA2FE0" w:rsidP="004E07EA">
            <w:pPr>
              <w:pStyle w:val="BodyTextIndent3"/>
              <w:keepNext/>
              <w:keepLines/>
              <w:spacing w:before="120"/>
              <w:ind w:left="0"/>
              <w:jc w:val="both"/>
              <w:rPr>
                <w:rFonts w:ascii="Arial" w:hAnsi="Arial" w:cs="Arial"/>
                <w:b/>
                <w:sz w:val="22"/>
                <w:szCs w:val="22"/>
              </w:rPr>
            </w:pPr>
          </w:p>
          <w:tbl>
            <w:tblPr>
              <w:tblpPr w:leftFromText="141" w:rightFromText="141" w:vertAnchor="text" w:horzAnchor="margin" w:tblpXSpec="right" w:tblpY="-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DC6D3D" w14:paraId="6762C321" w14:textId="77777777" w:rsidTr="00093790">
              <w:tc>
                <w:tcPr>
                  <w:tcW w:w="419" w:type="dxa"/>
                </w:tcPr>
                <w:p w14:paraId="3A804EFB" w14:textId="77777777" w:rsidR="00093790" w:rsidRPr="00DC6D3D" w:rsidRDefault="00093790" w:rsidP="004E07EA">
                  <w:pPr>
                    <w:pStyle w:val="BodyTextIndent3"/>
                    <w:keepNext/>
                    <w:keepLines/>
                    <w:spacing w:before="120"/>
                    <w:ind w:left="0"/>
                    <w:jc w:val="center"/>
                    <w:rPr>
                      <w:rFonts w:ascii="Arial" w:hAnsi="Arial" w:cs="Arial"/>
                      <w:sz w:val="22"/>
                      <w:szCs w:val="22"/>
                    </w:rPr>
                  </w:pPr>
                  <w:r>
                    <w:rPr>
                      <w:rFonts w:ascii="Arial" w:hAnsi="Arial"/>
                      <w:sz w:val="22"/>
                      <w:szCs w:val="22"/>
                    </w:rPr>
                    <w:t>X</w:t>
                  </w:r>
                </w:p>
              </w:tc>
            </w:tr>
          </w:tbl>
          <w:p w14:paraId="52E4C1EC" w14:textId="77777777" w:rsidR="00093790" w:rsidRPr="00DC6D3D" w:rsidRDefault="00AA2FE0" w:rsidP="004E07EA">
            <w:pPr>
              <w:pStyle w:val="BodyTextIndent3"/>
              <w:keepNext/>
              <w:keepLines/>
              <w:spacing w:before="120"/>
              <w:ind w:left="0"/>
              <w:jc w:val="both"/>
              <w:rPr>
                <w:rFonts w:ascii="Arial" w:hAnsi="Arial" w:cs="Arial"/>
                <w:b/>
                <w:sz w:val="22"/>
                <w:szCs w:val="22"/>
              </w:rPr>
            </w:pPr>
            <w:r>
              <w:rPr>
                <w:rFonts w:ascii="Arial" w:hAnsi="Arial"/>
                <w:b/>
                <w:sz w:val="22"/>
                <w:szCs w:val="22"/>
              </w:rPr>
              <w:t>None</w:t>
            </w:r>
          </w:p>
          <w:p w14:paraId="2CF05B05" w14:textId="77777777" w:rsidR="00AA2FE0" w:rsidRPr="00DC6D3D" w:rsidRDefault="00AA2FE0" w:rsidP="004E07EA">
            <w:pPr>
              <w:pStyle w:val="BodyTextIndent3"/>
              <w:keepNext/>
              <w:keepLines/>
              <w:spacing w:before="120"/>
              <w:ind w:left="0"/>
              <w:jc w:val="both"/>
              <w:rPr>
                <w:rFonts w:ascii="Arial" w:hAnsi="Arial" w:cs="Arial"/>
                <w:b/>
                <w:sz w:val="22"/>
                <w:szCs w:val="22"/>
              </w:rPr>
            </w:pPr>
          </w:p>
          <w:p w14:paraId="1BE091F4" w14:textId="77777777" w:rsidR="00093790" w:rsidRPr="00DC6D3D" w:rsidRDefault="00AA2FE0" w:rsidP="004E07EA">
            <w:pPr>
              <w:pStyle w:val="BodyTextIndent3"/>
              <w:keepNext/>
              <w:keepLines/>
              <w:spacing w:before="120"/>
              <w:ind w:left="0"/>
              <w:jc w:val="both"/>
              <w:rPr>
                <w:rFonts w:ascii="Arial" w:hAnsi="Arial" w:cs="Arial"/>
                <w:b/>
                <w:sz w:val="22"/>
                <w:szCs w:val="22"/>
              </w:rPr>
            </w:pPr>
            <w:r>
              <w:rPr>
                <w:rFonts w:ascii="Arial" w:hAnsi="Arial"/>
                <w:b/>
                <w:sz w:val="22"/>
                <w:szCs w:val="22"/>
              </w:rPr>
              <w:t>Positive</w:t>
            </w:r>
          </w:p>
          <w:tbl>
            <w:tblPr>
              <w:tblpPr w:leftFromText="141" w:rightFromText="141" w:vertAnchor="text" w:horzAnchor="margin" w:tblpXSpec="right" w:tblpY="-3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DC6D3D" w14:paraId="2DBDABE9" w14:textId="77777777" w:rsidTr="00A22EAB">
              <w:tc>
                <w:tcPr>
                  <w:tcW w:w="419" w:type="dxa"/>
                </w:tcPr>
                <w:p w14:paraId="114C0DE4" w14:textId="77777777" w:rsidR="00093790" w:rsidRPr="00DC6D3D" w:rsidRDefault="00093790" w:rsidP="004E07EA">
                  <w:pPr>
                    <w:pStyle w:val="BodyTextIndent3"/>
                    <w:keepNext/>
                    <w:keepLines/>
                    <w:spacing w:before="120"/>
                    <w:ind w:left="0"/>
                    <w:jc w:val="center"/>
                    <w:rPr>
                      <w:rFonts w:ascii="Arial" w:hAnsi="Arial" w:cs="Arial"/>
                      <w:sz w:val="22"/>
                      <w:szCs w:val="22"/>
                    </w:rPr>
                  </w:pPr>
                </w:p>
              </w:tc>
            </w:tr>
          </w:tbl>
          <w:p w14:paraId="6078D971" w14:textId="77777777" w:rsidR="00AA2FE0" w:rsidRPr="00DC6D3D" w:rsidRDefault="00AA2FE0" w:rsidP="004E07EA">
            <w:pPr>
              <w:pStyle w:val="BodyTextIndent3"/>
              <w:keepNext/>
              <w:keepLines/>
              <w:spacing w:before="120"/>
              <w:ind w:left="0"/>
              <w:jc w:val="both"/>
              <w:rPr>
                <w:rFonts w:ascii="Arial" w:hAnsi="Arial" w:cs="Arial"/>
                <w:b/>
                <w:sz w:val="22"/>
                <w:szCs w:val="22"/>
              </w:rPr>
            </w:pPr>
          </w:p>
        </w:tc>
      </w:tr>
      <w:tr w:rsidR="00567E99" w:rsidRPr="00DC6D3D" w14:paraId="5BDC2F7C" w14:textId="77777777" w:rsidTr="00905131">
        <w:tc>
          <w:tcPr>
            <w:tcW w:w="2713" w:type="dxa"/>
          </w:tcPr>
          <w:p w14:paraId="415A47E2" w14:textId="77777777" w:rsidR="00AA2FE0" w:rsidRPr="00DC6D3D" w:rsidRDefault="00AA2FE0" w:rsidP="00AA2FE0">
            <w:pPr>
              <w:pStyle w:val="BodyTextIndent3"/>
              <w:spacing w:before="120"/>
              <w:ind w:left="0"/>
              <w:rPr>
                <w:rFonts w:ascii="Arial" w:hAnsi="Arial" w:cs="Arial"/>
                <w:b/>
                <w:sz w:val="22"/>
                <w:szCs w:val="22"/>
              </w:rPr>
            </w:pPr>
            <w:r>
              <w:rPr>
                <w:rFonts w:ascii="Arial" w:hAnsi="Arial"/>
                <w:b/>
                <w:sz w:val="22"/>
                <w:szCs w:val="22"/>
              </w:rPr>
              <w:t>Other impacts considered</w:t>
            </w:r>
          </w:p>
        </w:tc>
        <w:tc>
          <w:tcPr>
            <w:tcW w:w="6432" w:type="dxa"/>
            <w:gridSpan w:val="4"/>
            <w:shd w:val="clear" w:color="auto" w:fill="auto"/>
          </w:tcPr>
          <w:p w14:paraId="3F8491DA" w14:textId="77777777" w:rsidR="00AA2FE0" w:rsidRPr="00DC6D3D" w:rsidRDefault="00AA2FE0" w:rsidP="00AA2FE0">
            <w:pPr>
              <w:pStyle w:val="BodyTextIndent3"/>
              <w:spacing w:before="120"/>
              <w:ind w:left="0"/>
              <w:jc w:val="both"/>
              <w:rPr>
                <w:rFonts w:ascii="Arial" w:hAnsi="Arial" w:cs="Arial"/>
                <w:sz w:val="22"/>
                <w:szCs w:val="22"/>
              </w:rPr>
            </w:pPr>
            <w:r>
              <w:rPr>
                <w:rFonts w:ascii="Arial" w:hAnsi="Arial"/>
                <w:sz w:val="22"/>
                <w:szCs w:val="22"/>
              </w:rPr>
              <w:t>Impact on equal opportunities, non-discrimination and universal accessibility of people with disabilities; on family, childhood and adolescence; and on market unity.</w:t>
            </w:r>
          </w:p>
        </w:tc>
      </w:tr>
      <w:tr w:rsidR="00567E99" w:rsidRPr="00DC6D3D" w14:paraId="61D996E1" w14:textId="77777777" w:rsidTr="00905131">
        <w:tc>
          <w:tcPr>
            <w:tcW w:w="2713" w:type="dxa"/>
          </w:tcPr>
          <w:p w14:paraId="29169957" w14:textId="77777777" w:rsidR="00AA2FE0" w:rsidRPr="00DC6D3D" w:rsidRDefault="00AA2FE0" w:rsidP="00AA2FE0">
            <w:pPr>
              <w:pStyle w:val="BodyTextIndent3"/>
              <w:spacing w:before="120"/>
              <w:ind w:left="0"/>
              <w:rPr>
                <w:rFonts w:ascii="Arial" w:hAnsi="Arial" w:cs="Arial"/>
                <w:b/>
                <w:sz w:val="22"/>
                <w:szCs w:val="22"/>
              </w:rPr>
            </w:pPr>
            <w:r>
              <w:rPr>
                <w:rFonts w:ascii="Arial" w:hAnsi="Arial"/>
                <w:b/>
                <w:sz w:val="22"/>
                <w:szCs w:val="22"/>
              </w:rPr>
              <w:t>Other considerations</w:t>
            </w:r>
          </w:p>
        </w:tc>
        <w:tc>
          <w:tcPr>
            <w:tcW w:w="6432" w:type="dxa"/>
            <w:gridSpan w:val="4"/>
            <w:shd w:val="clear" w:color="auto" w:fill="auto"/>
          </w:tcPr>
          <w:p w14:paraId="63056AA8" w14:textId="77777777" w:rsidR="00AA2FE0" w:rsidRPr="00DC6D3D" w:rsidRDefault="00AA2FE0" w:rsidP="00AA2FE0">
            <w:pPr>
              <w:pStyle w:val="BodyTextIndent3"/>
              <w:spacing w:before="120"/>
              <w:ind w:left="0"/>
              <w:rPr>
                <w:rFonts w:ascii="Arial" w:hAnsi="Arial" w:cs="Arial"/>
                <w:sz w:val="22"/>
                <w:szCs w:val="22"/>
              </w:rPr>
            </w:pPr>
          </w:p>
        </w:tc>
      </w:tr>
    </w:tbl>
    <w:p w14:paraId="737E2C7F" w14:textId="77777777" w:rsidR="00676019" w:rsidRPr="00DC6D3D" w:rsidRDefault="00676019" w:rsidP="00093790">
      <w:pPr>
        <w:pStyle w:val="Heading2"/>
        <w:pageBreakBefore/>
        <w:numPr>
          <w:ilvl w:val="0"/>
          <w:numId w:val="0"/>
        </w:numPr>
        <w:spacing w:before="960"/>
        <w:ind w:left="576" w:hanging="576"/>
      </w:pPr>
      <w:r>
        <w:lastRenderedPageBreak/>
        <w:t>I. DESIRABILITY OF THE PROPOSAL</w:t>
      </w:r>
    </w:p>
    <w:p w14:paraId="4A7E0084" w14:textId="77777777" w:rsidR="00676019" w:rsidRPr="00DC6D3D" w:rsidRDefault="00676019" w:rsidP="00676019">
      <w:pPr>
        <w:pStyle w:val="Heading3"/>
        <w:numPr>
          <w:ilvl w:val="0"/>
          <w:numId w:val="0"/>
        </w:numPr>
        <w:spacing w:before="480"/>
        <w:rPr>
          <w:color w:val="auto"/>
        </w:rPr>
      </w:pPr>
      <w:r>
        <w:rPr>
          <w:color w:val="auto"/>
          <w:u w:val="none"/>
        </w:rPr>
        <w:t xml:space="preserve">1. </w:t>
      </w:r>
      <w:r>
        <w:rPr>
          <w:color w:val="auto"/>
        </w:rPr>
        <w:t>Motivation</w:t>
      </w:r>
    </w:p>
    <w:p w14:paraId="5EE6B5DF" w14:textId="77777777" w:rsidR="00676019" w:rsidRPr="00DC6D3D" w:rsidRDefault="00676019" w:rsidP="00676019">
      <w:pPr>
        <w:keepNext/>
        <w:rPr>
          <w:szCs w:val="24"/>
        </w:rPr>
      </w:pPr>
      <w:r>
        <w:t>The draft Royal Decree adopting the quality standard for olive and olive-pomace oils has been drawn up for the following reasons:</w:t>
      </w:r>
    </w:p>
    <w:p w14:paraId="53DC17C2" w14:textId="77777777" w:rsidR="00676019" w:rsidRPr="00DC6D3D" w:rsidRDefault="00676019" w:rsidP="00676019">
      <w:pPr>
        <w:numPr>
          <w:ilvl w:val="0"/>
          <w:numId w:val="6"/>
        </w:numPr>
      </w:pPr>
      <w:r>
        <w:t>The fourth final provision of Law 28/2015 of 30 July 2015 on the protection of food quality authorises the government to approve quality standards for food products, with the aim, among others, of adapting to European Union regulations and of simplifying, modernising and enhancing existing standards as well as improving the competitiveness of the sector, including advancements brought about by technological innovation.</w:t>
      </w:r>
    </w:p>
    <w:p w14:paraId="3D884EF5" w14:textId="77777777" w:rsidR="00676019" w:rsidRPr="00DC6D3D" w:rsidRDefault="00676019" w:rsidP="00676019">
      <w:pPr>
        <w:numPr>
          <w:ilvl w:val="0"/>
          <w:numId w:val="6"/>
        </w:numPr>
        <w:ind w:left="641" w:hanging="357"/>
      </w:pPr>
      <w:r>
        <w:t>The situation in the olive oil and olive-pomace oil market makes it necessary to adapt the specific regulations applicable to these products in terms of food quality, especially with regard to the production of olive oil and olive-pomace oil in Spain.</w:t>
      </w:r>
    </w:p>
    <w:p w14:paraId="3149F2E8" w14:textId="77777777" w:rsidR="00676019" w:rsidRPr="00DC6D3D" w:rsidRDefault="00676019" w:rsidP="00676019">
      <w:pPr>
        <w:rPr>
          <w:rFonts w:cs="Arial"/>
          <w:szCs w:val="24"/>
        </w:rPr>
      </w:pPr>
      <w:r>
        <w:t>The aim of updating the regulations on olive oil is to ensure high product quality and to prevent fraud within the sector, within the context of the general framework for updating quality standards of the Ministry of Agriculture, Fisheries and Food.</w:t>
      </w:r>
    </w:p>
    <w:p w14:paraId="7CF88951" w14:textId="77777777" w:rsidR="00676019" w:rsidRPr="00DC6D3D" w:rsidRDefault="00676019" w:rsidP="00676019">
      <w:r>
        <w:t>This draft Royal Decree affects the industries that produce olive oil and olive-pomace oil in Spain, the operators that place them on the market, and their consumers. It also has an indirect influence on the suppliers of the raw materials from which these products can be made.</w:t>
      </w:r>
    </w:p>
    <w:p w14:paraId="65B8DCDD" w14:textId="77777777" w:rsidR="00676019" w:rsidRPr="00DC6D3D" w:rsidRDefault="00676019" w:rsidP="00676019">
      <w:pPr>
        <w:pStyle w:val="Heading3"/>
        <w:numPr>
          <w:ilvl w:val="0"/>
          <w:numId w:val="0"/>
        </w:numPr>
        <w:spacing w:before="480"/>
        <w:rPr>
          <w:color w:val="auto"/>
        </w:rPr>
      </w:pPr>
      <w:r>
        <w:rPr>
          <w:color w:val="auto"/>
          <w:u w:val="none"/>
        </w:rPr>
        <w:t xml:space="preserve">2. </w:t>
      </w:r>
      <w:r>
        <w:rPr>
          <w:color w:val="auto"/>
        </w:rPr>
        <w:t>Objectives</w:t>
      </w:r>
    </w:p>
    <w:p w14:paraId="7FFDEE9C" w14:textId="77777777" w:rsidR="00676019" w:rsidRPr="00DC6D3D" w:rsidRDefault="00676019" w:rsidP="00676019">
      <w:pPr>
        <w:numPr>
          <w:ilvl w:val="0"/>
          <w:numId w:val="6"/>
        </w:numPr>
      </w:pPr>
      <w:r>
        <w:t>Improve the competitiveness of the national olive and olive-pomace oil industry, ensure fair competition between producers and provide all producers with the same conditions.</w:t>
      </w:r>
    </w:p>
    <w:p w14:paraId="4BB7DF31" w14:textId="77777777" w:rsidR="00676019" w:rsidRPr="00DC6D3D" w:rsidRDefault="00676019" w:rsidP="00676019">
      <w:pPr>
        <w:numPr>
          <w:ilvl w:val="0"/>
          <w:numId w:val="6"/>
        </w:numPr>
      </w:pPr>
      <w:r>
        <w:t>Update the national regulations on food quality with respect to olive oil and olive-pomace oil.</w:t>
      </w:r>
    </w:p>
    <w:p w14:paraId="67FA32D7" w14:textId="77777777" w:rsidR="00676019" w:rsidRPr="00DC6D3D" w:rsidRDefault="00676019" w:rsidP="00676019">
      <w:pPr>
        <w:numPr>
          <w:ilvl w:val="0"/>
          <w:numId w:val="6"/>
        </w:numPr>
      </w:pPr>
      <w:r>
        <w:t>Introduce additional traceability requirements in the production and placing on the market of olive oil.</w:t>
      </w:r>
    </w:p>
    <w:p w14:paraId="047D4C5C" w14:textId="77777777" w:rsidR="00676019" w:rsidRPr="00DC6D3D" w:rsidRDefault="00676019" w:rsidP="00676019">
      <w:pPr>
        <w:numPr>
          <w:ilvl w:val="0"/>
          <w:numId w:val="6"/>
        </w:numPr>
      </w:pPr>
      <w:r>
        <w:t xml:space="preserve">Provide adequate consumer information, facilitating their right </w:t>
      </w:r>
      <w:proofErr w:type="gramStart"/>
      <w:r>
        <w:t>to choice</w:t>
      </w:r>
      <w:proofErr w:type="gramEnd"/>
      <w:r>
        <w:t xml:space="preserve"> when purchasing.</w:t>
      </w:r>
    </w:p>
    <w:p w14:paraId="55E70843" w14:textId="77777777" w:rsidR="00676019" w:rsidRPr="00DC6D3D" w:rsidRDefault="00676019" w:rsidP="00676019">
      <w:pPr>
        <w:numPr>
          <w:ilvl w:val="0"/>
          <w:numId w:val="6"/>
        </w:numPr>
      </w:pPr>
      <w:r>
        <w:t>Achieve a high quality of olive and olive-pomace oils produced in Spain and prevent fraudulent practices that negatively affect such quality.</w:t>
      </w:r>
    </w:p>
    <w:p w14:paraId="1B34DDF0" w14:textId="77777777" w:rsidR="00676019" w:rsidRPr="00DC6D3D" w:rsidRDefault="00676019" w:rsidP="00F4239E">
      <w:pPr>
        <w:pStyle w:val="Heading3"/>
        <w:numPr>
          <w:ilvl w:val="0"/>
          <w:numId w:val="0"/>
        </w:numPr>
        <w:spacing w:before="480"/>
        <w:rPr>
          <w:color w:val="auto"/>
        </w:rPr>
      </w:pPr>
      <w:r>
        <w:rPr>
          <w:color w:val="auto"/>
          <w:u w:val="none"/>
        </w:rPr>
        <w:lastRenderedPageBreak/>
        <w:t xml:space="preserve">3. </w:t>
      </w:r>
      <w:r>
        <w:rPr>
          <w:color w:val="auto"/>
        </w:rPr>
        <w:t>Analysis of alternatives</w:t>
      </w:r>
    </w:p>
    <w:p w14:paraId="563313BB" w14:textId="77777777" w:rsidR="00676019" w:rsidRPr="00DC6D3D" w:rsidRDefault="00676019" w:rsidP="00676019">
      <w:pPr>
        <w:keepNext/>
      </w:pPr>
      <w:r>
        <w:t>The following alternatives were considered.</w:t>
      </w:r>
    </w:p>
    <w:p w14:paraId="0088DB15" w14:textId="77777777" w:rsidR="00676019" w:rsidRPr="00DC6D3D" w:rsidRDefault="00676019" w:rsidP="00565FB1">
      <w:pPr>
        <w:pStyle w:val="Heading4"/>
        <w:numPr>
          <w:ilvl w:val="0"/>
          <w:numId w:val="0"/>
        </w:numPr>
        <w:rPr>
          <w:szCs w:val="22"/>
        </w:rPr>
      </w:pPr>
      <w:r>
        <w:t>Draw up the proposed draft regulation and repeal the current national legislation on olive oil and olive-pomace oil with respect to food quality.</w:t>
      </w:r>
    </w:p>
    <w:p w14:paraId="1D49688F" w14:textId="77777777" w:rsidR="00676019" w:rsidRPr="00DC6D3D" w:rsidRDefault="00676019" w:rsidP="00676019">
      <w:r>
        <w:t>This alternative is considered to be the most effective for achieving all of the pursued objectives. Its main advantage is that it provides an updated national regulation that is adapted to the situation in the market.</w:t>
      </w:r>
    </w:p>
    <w:p w14:paraId="243CE4B5" w14:textId="77777777" w:rsidR="00676019" w:rsidRPr="00DC6D3D" w:rsidRDefault="00676019" w:rsidP="00676019">
      <w:r>
        <w:t>It is also the option that is most in line with what is established in the Agreement of the Council of Ministers of 22 July 2005 adopting the Legislative Technical Guidelines insofar as the approval of a new provision is preferable to the coexistence of the original standard and any subsequent amendments.</w:t>
      </w:r>
    </w:p>
    <w:p w14:paraId="4F1EBFEB" w14:textId="77777777" w:rsidR="00676019" w:rsidRPr="00DC6D3D" w:rsidRDefault="00676019" w:rsidP="00565FB1">
      <w:pPr>
        <w:pStyle w:val="Heading4"/>
        <w:numPr>
          <w:ilvl w:val="0"/>
          <w:numId w:val="0"/>
        </w:numPr>
      </w:pPr>
      <w:r>
        <w:t>Maintain the current situation.</w:t>
      </w:r>
    </w:p>
    <w:p w14:paraId="69B5797E" w14:textId="77777777" w:rsidR="00676019" w:rsidRPr="00DC6D3D" w:rsidRDefault="00676019" w:rsidP="00B57EBD">
      <w:pPr>
        <w:spacing w:after="240"/>
      </w:pPr>
      <w:r>
        <w:t>This option does not allow the objectives set out in point I.2 to be achieved and generates significant legal uncertainty, both for the production sector and for inspection services.</w:t>
      </w:r>
    </w:p>
    <w:p w14:paraId="7202B422" w14:textId="77777777" w:rsidR="00A82AA1" w:rsidRPr="00DC6D3D" w:rsidRDefault="00A82AA1" w:rsidP="00A82AA1">
      <w:pPr>
        <w:pStyle w:val="Heading4"/>
        <w:numPr>
          <w:ilvl w:val="0"/>
          <w:numId w:val="0"/>
        </w:numPr>
        <w:rPr>
          <w:szCs w:val="24"/>
        </w:rPr>
      </w:pPr>
      <w:r>
        <w:t>Amendment of the current regulation (Royal Decree 308/1983 of 25 January 1983 adopting the technical and health regulations for edible vegetable oils).</w:t>
      </w:r>
    </w:p>
    <w:p w14:paraId="6CC562A0" w14:textId="77777777" w:rsidR="00A82AA1" w:rsidRPr="00DC6D3D" w:rsidRDefault="00A82AA1" w:rsidP="00A82AA1">
      <w:pPr>
        <w:spacing w:after="240"/>
      </w:pPr>
      <w:r>
        <w:t>Royal Decree 308/1983 of 25 January 1983 adopting the technical and health regulations for edible vegetable oils has been amended on several occasions, so this option is considered less appropriate, as it reduces regulatory clarity and increases legal uncertainty. Moreover, in accordance with the Agreement of the Council of Ministers of 22 July 2005 adopting the Legislative Technical Guidelines, the approval of a new provision is preferable to the coexistence of the original standard and any subsequent amendments. As such, this option does not allow the objectives set out in point I.2 to be achieved and generates significant legal uncertainty, both for the production sector and for inspection services.</w:t>
      </w:r>
    </w:p>
    <w:p w14:paraId="6B659214" w14:textId="77777777" w:rsidR="00A82AA1" w:rsidRPr="00DC6D3D" w:rsidRDefault="00A82AA1" w:rsidP="00B57EBD">
      <w:pPr>
        <w:spacing w:after="240"/>
      </w:pPr>
    </w:p>
    <w:p w14:paraId="32A1F025" w14:textId="77777777" w:rsidR="00676019" w:rsidRPr="00DC6D3D" w:rsidRDefault="00676019" w:rsidP="00F4239E">
      <w:pPr>
        <w:keepNext/>
        <w:spacing w:after="240"/>
        <w:rPr>
          <w:b/>
        </w:rPr>
      </w:pPr>
      <w:r>
        <w:rPr>
          <w:b/>
        </w:rPr>
        <w:t xml:space="preserve">4. </w:t>
      </w:r>
      <w:r>
        <w:rPr>
          <w:b/>
          <w:u w:val="single"/>
        </w:rPr>
        <w:t>Adherence to the principles of sound regulation</w:t>
      </w:r>
    </w:p>
    <w:p w14:paraId="09867E0E" w14:textId="77777777" w:rsidR="00676019" w:rsidRPr="00DC6D3D" w:rsidRDefault="00676019" w:rsidP="00676019">
      <w:r>
        <w:t xml:space="preserve">The content of this Royal Decree meets the principles of sound regulation set out in Article 129 of Law 39/2015 of 1 October 2015 on common administrative procedure in public administration. </w:t>
      </w:r>
    </w:p>
    <w:p w14:paraId="079EA4EC" w14:textId="77777777" w:rsidR="00676019" w:rsidRPr="00DC6D3D" w:rsidRDefault="00676019" w:rsidP="00676019">
      <w:r>
        <w:t xml:space="preserve">By virtue of the principles of necessity and effectiveness, this regulation is justified given the need to establish adequate management of the olive oil and olive-pomace oil sector. This is best achieved by repealing Royal Decree 308/1983 of 25 January 1983 adopting the technical and health regulations for edible vegetable oils, where it refers to olive and olive-pomace oils, and adopting a new quality standard that specifically regulates olive and olive-pomace oils. </w:t>
      </w:r>
    </w:p>
    <w:p w14:paraId="6C29B04C" w14:textId="77777777" w:rsidR="00676019" w:rsidRPr="00DC6D3D" w:rsidRDefault="00676019" w:rsidP="00676019">
      <w:r>
        <w:t xml:space="preserve">Likewise, the principles of efficiency and proportionality have been </w:t>
      </w:r>
      <w:proofErr w:type="gramStart"/>
      <w:r>
        <w:t>taken into account</w:t>
      </w:r>
      <w:proofErr w:type="gramEnd"/>
      <w:r>
        <w:t xml:space="preserve"> by laying down a regulation and limiting administrative burdens to only those absolutely necessary for achieving the intended purposes. </w:t>
      </w:r>
    </w:p>
    <w:p w14:paraId="165D4727" w14:textId="77777777" w:rsidR="00676019" w:rsidRPr="004E07EA" w:rsidRDefault="00676019" w:rsidP="00676019">
      <w:pPr>
        <w:rPr>
          <w:spacing w:val="-4"/>
        </w:rPr>
      </w:pPr>
      <w:r w:rsidRPr="004E07EA">
        <w:rPr>
          <w:spacing w:val="-4"/>
        </w:rPr>
        <w:lastRenderedPageBreak/>
        <w:t xml:space="preserve">In accordance with the principle of transparency, in addition to the public hearing, the Autonomous Communities, as well as the entities representing the sector concerned and consumers, have been consulted during the processing of this provision. </w:t>
      </w:r>
    </w:p>
    <w:p w14:paraId="137F5A3E" w14:textId="77777777" w:rsidR="00676019" w:rsidRPr="00DC6D3D" w:rsidRDefault="00676019" w:rsidP="00493B24">
      <w:pPr>
        <w:spacing w:after="240"/>
      </w:pPr>
      <w:r>
        <w:t>Finally, the Royal Decree adheres to the principle of legal certainty, maintaining coherence with the rest of the applicable legal system and giving operators the necessary transitional periods to adapt to the standard.</w:t>
      </w:r>
    </w:p>
    <w:p w14:paraId="17B5C369" w14:textId="77777777" w:rsidR="00DC6D3D" w:rsidRPr="00DC6D3D" w:rsidRDefault="00DC6D3D" w:rsidP="00493B24">
      <w:pPr>
        <w:spacing w:after="240"/>
      </w:pPr>
    </w:p>
    <w:p w14:paraId="3316402D" w14:textId="77777777" w:rsidR="00B54238" w:rsidRPr="00DC6D3D" w:rsidRDefault="00B54238" w:rsidP="00F4239E">
      <w:pPr>
        <w:keepNext/>
        <w:spacing w:after="240"/>
        <w:rPr>
          <w:b/>
          <w:bCs/>
          <w:u w:val="single"/>
        </w:rPr>
      </w:pPr>
      <w:r>
        <w:rPr>
          <w:b/>
          <w:bCs/>
        </w:rPr>
        <w:t xml:space="preserve">5. </w:t>
      </w:r>
      <w:r>
        <w:rPr>
          <w:b/>
          <w:bCs/>
          <w:u w:val="single"/>
        </w:rPr>
        <w:t>Inclusion in the Annual Regulatory Plan</w:t>
      </w:r>
    </w:p>
    <w:p w14:paraId="77A8DE8D" w14:textId="77777777" w:rsidR="00D91F2D" w:rsidRPr="00DC6D3D" w:rsidRDefault="00D91F2D" w:rsidP="00CF523F">
      <w:pPr>
        <w:rPr>
          <w:rFonts w:cs="Arial"/>
          <w:szCs w:val="24"/>
        </w:rPr>
      </w:pPr>
      <w:r>
        <w:t xml:space="preserve">In accordance with Article 25 of Government Law 50/1997 of 27 November 1997, this draft is included in the 2018 Annual Regulatory Plan approved by the Council of Ministers on 7 December 2017. Subsequent Annual Regulatory Plans were not adopted for 2019 and 2020, so naturally it could not be included in them. </w:t>
      </w:r>
    </w:p>
    <w:p w14:paraId="246ED01E" w14:textId="77777777" w:rsidR="00B54238" w:rsidRPr="00DC6D3D" w:rsidRDefault="00B54238" w:rsidP="00493B24">
      <w:pPr>
        <w:spacing w:after="240"/>
      </w:pPr>
    </w:p>
    <w:p w14:paraId="4A32E358" w14:textId="77777777" w:rsidR="00676019" w:rsidRPr="00DC6D3D" w:rsidRDefault="00676019" w:rsidP="00F4239E">
      <w:pPr>
        <w:keepNext/>
        <w:rPr>
          <w:b/>
          <w:u w:val="single"/>
        </w:rPr>
      </w:pPr>
      <w:r>
        <w:rPr>
          <w:b/>
        </w:rPr>
        <w:t xml:space="preserve">II. </w:t>
      </w:r>
      <w:r>
        <w:rPr>
          <w:b/>
          <w:u w:val="single"/>
        </w:rPr>
        <w:t>CONTENTS</w:t>
      </w:r>
    </w:p>
    <w:p w14:paraId="1D4875A5" w14:textId="77777777" w:rsidR="00676019" w:rsidRPr="00DC6D3D" w:rsidRDefault="00676019" w:rsidP="00F4239E">
      <w:pPr>
        <w:pStyle w:val="Heading3"/>
        <w:numPr>
          <w:ilvl w:val="0"/>
          <w:numId w:val="0"/>
        </w:numPr>
        <w:spacing w:before="480" w:after="240"/>
        <w:rPr>
          <w:color w:val="auto"/>
        </w:rPr>
      </w:pPr>
      <w:r>
        <w:rPr>
          <w:color w:val="auto"/>
          <w:u w:val="none"/>
        </w:rPr>
        <w:t xml:space="preserve">1. </w:t>
      </w:r>
      <w:r>
        <w:rPr>
          <w:color w:val="auto"/>
        </w:rPr>
        <w:t>Structure of the proposal</w:t>
      </w:r>
    </w:p>
    <w:p w14:paraId="7FD60A23" w14:textId="77777777" w:rsidR="00676019" w:rsidRPr="00DC6D3D" w:rsidRDefault="00676019" w:rsidP="00F4239E">
      <w:pPr>
        <w:keepNext/>
      </w:pPr>
      <w:r>
        <w:t>The draft consists of:</w:t>
      </w:r>
    </w:p>
    <w:p w14:paraId="514FE0B1" w14:textId="77777777" w:rsidR="00676019" w:rsidRPr="00DC6D3D" w:rsidRDefault="004214CD" w:rsidP="00676019">
      <w:pPr>
        <w:numPr>
          <w:ilvl w:val="0"/>
          <w:numId w:val="6"/>
        </w:numPr>
        <w:rPr>
          <w:szCs w:val="22"/>
        </w:rPr>
      </w:pPr>
      <w:r>
        <w:t>9 articles</w:t>
      </w:r>
    </w:p>
    <w:p w14:paraId="006BC96F" w14:textId="77777777" w:rsidR="00676019" w:rsidRPr="00DC6D3D" w:rsidRDefault="004214CD" w:rsidP="00676019">
      <w:pPr>
        <w:numPr>
          <w:ilvl w:val="0"/>
          <w:numId w:val="6"/>
        </w:numPr>
        <w:rPr>
          <w:szCs w:val="22"/>
        </w:rPr>
      </w:pPr>
      <w:r>
        <w:t>2 additional provisions</w:t>
      </w:r>
    </w:p>
    <w:p w14:paraId="421B66B7" w14:textId="77777777" w:rsidR="00E53EC8" w:rsidRPr="00DC6D3D" w:rsidRDefault="00E53EC8" w:rsidP="00676019">
      <w:pPr>
        <w:numPr>
          <w:ilvl w:val="0"/>
          <w:numId w:val="6"/>
        </w:numPr>
        <w:rPr>
          <w:szCs w:val="22"/>
        </w:rPr>
      </w:pPr>
      <w:r>
        <w:t>1 transitional provision (single)</w:t>
      </w:r>
    </w:p>
    <w:p w14:paraId="30404796" w14:textId="77777777" w:rsidR="00676019" w:rsidRPr="00DC6D3D" w:rsidRDefault="00676019" w:rsidP="00676019">
      <w:pPr>
        <w:numPr>
          <w:ilvl w:val="0"/>
          <w:numId w:val="6"/>
        </w:numPr>
        <w:rPr>
          <w:szCs w:val="22"/>
        </w:rPr>
      </w:pPr>
      <w:r>
        <w:t>1 repealing provision (single)</w:t>
      </w:r>
    </w:p>
    <w:p w14:paraId="2D0700E9" w14:textId="77777777" w:rsidR="00676019" w:rsidRPr="00DC6D3D" w:rsidRDefault="00EE3CBD" w:rsidP="00676019">
      <w:pPr>
        <w:numPr>
          <w:ilvl w:val="0"/>
          <w:numId w:val="6"/>
        </w:numPr>
        <w:rPr>
          <w:szCs w:val="22"/>
        </w:rPr>
      </w:pPr>
      <w:r>
        <w:t>3 final provisions</w:t>
      </w:r>
    </w:p>
    <w:p w14:paraId="00BAC610" w14:textId="77777777" w:rsidR="00676019" w:rsidRPr="00DC6D3D" w:rsidRDefault="00AF3B93" w:rsidP="00676019">
      <w:pPr>
        <w:numPr>
          <w:ilvl w:val="0"/>
          <w:numId w:val="6"/>
        </w:numPr>
        <w:rPr>
          <w:szCs w:val="22"/>
        </w:rPr>
      </w:pPr>
      <w:r>
        <w:t>3 annexes.</w:t>
      </w:r>
    </w:p>
    <w:p w14:paraId="184CF801" w14:textId="77777777" w:rsidR="00676019" w:rsidRPr="00DC6D3D" w:rsidRDefault="00676019" w:rsidP="00ED34D0">
      <w:pPr>
        <w:pStyle w:val="Heading4"/>
        <w:numPr>
          <w:ilvl w:val="0"/>
          <w:numId w:val="0"/>
        </w:numPr>
        <w:spacing w:after="240"/>
        <w:ind w:left="864" w:hanging="864"/>
        <w:rPr>
          <w:b/>
        </w:rPr>
      </w:pPr>
      <w:r>
        <w:rPr>
          <w:b/>
          <w:u w:val="none"/>
        </w:rPr>
        <w:t xml:space="preserve">2. </w:t>
      </w:r>
      <w:r>
        <w:rPr>
          <w:b/>
        </w:rPr>
        <w:t>Summary and measures</w:t>
      </w:r>
    </w:p>
    <w:p w14:paraId="5BD30DF0" w14:textId="77777777" w:rsidR="00676019" w:rsidRPr="00DC6D3D" w:rsidRDefault="00676019" w:rsidP="00676019">
      <w:pPr>
        <w:pStyle w:val="ListParagraph"/>
        <w:keepNext/>
        <w:numPr>
          <w:ilvl w:val="0"/>
          <w:numId w:val="8"/>
        </w:numPr>
        <w:spacing w:before="240"/>
        <w:ind w:left="714" w:hanging="357"/>
        <w:contextualSpacing w:val="0"/>
      </w:pPr>
      <w:r>
        <w:t xml:space="preserve">Article 1. </w:t>
      </w:r>
      <w:r>
        <w:rPr>
          <w:i/>
        </w:rPr>
        <w:t>Purpose.</w:t>
      </w:r>
    </w:p>
    <w:p w14:paraId="4ACA91C8" w14:textId="77777777" w:rsidR="00676019" w:rsidRPr="00DC6D3D" w:rsidRDefault="00676019" w:rsidP="00676019">
      <w:pPr>
        <w:pStyle w:val="ListParagraph"/>
        <w:contextualSpacing w:val="0"/>
      </w:pPr>
      <w:r>
        <w:t>The purpose of this Royal Decree is to lay down a quality standard for olive and olive-pomace oils.</w:t>
      </w:r>
    </w:p>
    <w:p w14:paraId="584782DE" w14:textId="77777777" w:rsidR="00676019" w:rsidRPr="00DC6D3D" w:rsidRDefault="00676019" w:rsidP="00676019">
      <w:pPr>
        <w:pStyle w:val="ListParagraph"/>
        <w:keepNext/>
        <w:numPr>
          <w:ilvl w:val="0"/>
          <w:numId w:val="8"/>
        </w:numPr>
        <w:spacing w:before="240"/>
        <w:ind w:left="714" w:hanging="357"/>
        <w:contextualSpacing w:val="0"/>
      </w:pPr>
      <w:r>
        <w:t xml:space="preserve">Article 2. </w:t>
      </w:r>
      <w:r>
        <w:rPr>
          <w:i/>
          <w:iCs/>
        </w:rPr>
        <w:t>Scope.</w:t>
      </w:r>
    </w:p>
    <w:p w14:paraId="4A7456FD" w14:textId="77777777" w:rsidR="00676019" w:rsidRPr="00DC6D3D" w:rsidRDefault="00676019" w:rsidP="00676019">
      <w:pPr>
        <w:pStyle w:val="ListParagraph"/>
        <w:keepNext/>
        <w:spacing w:before="240"/>
        <w:ind w:left="714"/>
        <w:contextualSpacing w:val="0"/>
      </w:pPr>
      <w:r>
        <w:t>This standard is applicable to all olive and olive-pomace oils produced and placed on the market in Spain and shall apply to all operators in the sector.</w:t>
      </w:r>
    </w:p>
    <w:p w14:paraId="6C3A07AB" w14:textId="77777777" w:rsidR="00676019" w:rsidRPr="00DC6D3D" w:rsidRDefault="00676019" w:rsidP="00676019">
      <w:pPr>
        <w:pStyle w:val="ListParagraph"/>
        <w:keepNext/>
        <w:numPr>
          <w:ilvl w:val="0"/>
          <w:numId w:val="8"/>
        </w:numPr>
        <w:spacing w:before="240"/>
        <w:ind w:left="714" w:hanging="357"/>
        <w:contextualSpacing w:val="0"/>
      </w:pPr>
      <w:r>
        <w:t xml:space="preserve">Article 3. </w:t>
      </w:r>
      <w:r>
        <w:rPr>
          <w:i/>
          <w:iCs/>
        </w:rPr>
        <w:t>Product designations and definitions.</w:t>
      </w:r>
    </w:p>
    <w:p w14:paraId="09450A35" w14:textId="77777777" w:rsidR="00676019" w:rsidRPr="004E07EA" w:rsidRDefault="00676019" w:rsidP="00676019">
      <w:pPr>
        <w:pStyle w:val="ListParagraph"/>
        <w:contextualSpacing w:val="0"/>
        <w:rPr>
          <w:spacing w:val="-6"/>
        </w:rPr>
      </w:pPr>
      <w:r w:rsidRPr="004E07EA">
        <w:rPr>
          <w:spacing w:val="-6"/>
        </w:rPr>
        <w:t>Different categories are established for products into which olive and olive-pomace oils are classified, and definitions are given of the different facilities and operators involved in the process of manufacturing and marketing olive oils.</w:t>
      </w:r>
    </w:p>
    <w:p w14:paraId="38A55A10" w14:textId="77777777" w:rsidR="00676019" w:rsidRPr="00DC6D3D" w:rsidRDefault="00676019" w:rsidP="00676019">
      <w:pPr>
        <w:pStyle w:val="ListParagraph"/>
        <w:keepNext/>
        <w:numPr>
          <w:ilvl w:val="0"/>
          <w:numId w:val="8"/>
        </w:numPr>
        <w:spacing w:before="240"/>
        <w:ind w:left="714" w:hanging="357"/>
        <w:contextualSpacing w:val="0"/>
      </w:pPr>
      <w:r>
        <w:lastRenderedPageBreak/>
        <w:t>Articles 4 to 8.</w:t>
      </w:r>
    </w:p>
    <w:p w14:paraId="3A7CE43D" w14:textId="77777777" w:rsidR="00676019" w:rsidRPr="00DC6D3D" w:rsidRDefault="00676019" w:rsidP="00676019">
      <w:pPr>
        <w:pStyle w:val="ListParagraph"/>
        <w:tabs>
          <w:tab w:val="left" w:pos="-720"/>
        </w:tabs>
        <w:contextualSpacing w:val="0"/>
        <w:rPr>
          <w:bCs/>
        </w:rPr>
      </w:pPr>
      <w:r>
        <w:t>Obligations are established regarding both traceability and the obligations specific to facilities, oils and packaging, which must be met during the production and marketing of olive and olive-pomace oils by all operators involved. Also established are prohibited practices with regard to certain processes, practices, communications and establishments.</w:t>
      </w:r>
    </w:p>
    <w:p w14:paraId="644CDC7D" w14:textId="77777777" w:rsidR="00676019" w:rsidRPr="00DC6D3D" w:rsidRDefault="00676019" w:rsidP="00676019">
      <w:pPr>
        <w:pStyle w:val="ListParagraph"/>
        <w:keepNext/>
        <w:numPr>
          <w:ilvl w:val="0"/>
          <w:numId w:val="8"/>
        </w:numPr>
        <w:spacing w:before="240"/>
        <w:ind w:left="714" w:hanging="357"/>
        <w:contextualSpacing w:val="0"/>
      </w:pPr>
      <w:r>
        <w:t xml:space="preserve">Article 9: </w:t>
      </w:r>
      <w:r>
        <w:rPr>
          <w:i/>
        </w:rPr>
        <w:t>Official control, coordination and penalties.</w:t>
      </w:r>
    </w:p>
    <w:p w14:paraId="73B38990" w14:textId="77777777" w:rsidR="00676019" w:rsidRPr="00DC6D3D" w:rsidRDefault="00676019" w:rsidP="00676019">
      <w:pPr>
        <w:pStyle w:val="ListParagraph"/>
        <w:contextualSpacing w:val="0"/>
      </w:pPr>
      <w:r>
        <w:t>Certain aspects are regulated with respect to official controls and the penalty system, and mechanisms are introduced to increase coordination between the different public administrations with the aim of improving official oversight.</w:t>
      </w:r>
    </w:p>
    <w:p w14:paraId="49B15791" w14:textId="77777777" w:rsidR="00676019" w:rsidRPr="00DC6D3D" w:rsidRDefault="00676019" w:rsidP="00676019">
      <w:pPr>
        <w:pStyle w:val="ListParagraph"/>
        <w:keepNext/>
        <w:numPr>
          <w:ilvl w:val="0"/>
          <w:numId w:val="8"/>
        </w:numPr>
        <w:spacing w:before="240"/>
        <w:ind w:left="714" w:hanging="357"/>
        <w:contextualSpacing w:val="0"/>
      </w:pPr>
      <w:r>
        <w:rPr>
          <w:rStyle w:val="Strong"/>
          <w:b w:val="0"/>
        </w:rPr>
        <w:t xml:space="preserve">First additional </w:t>
      </w:r>
      <w:r>
        <w:t>provision.</w:t>
      </w:r>
      <w:r>
        <w:rPr>
          <w:rStyle w:val="Strong"/>
          <w:b w:val="0"/>
        </w:rPr>
        <w:t xml:space="preserve"> </w:t>
      </w:r>
      <w:r>
        <w:rPr>
          <w:i/>
          <w:iCs/>
        </w:rPr>
        <w:t>Mutual recognition clause</w:t>
      </w:r>
      <w:r>
        <w:t>.</w:t>
      </w:r>
    </w:p>
    <w:p w14:paraId="33793210" w14:textId="77777777" w:rsidR="00676019" w:rsidRPr="00DC6D3D" w:rsidRDefault="00676019" w:rsidP="00676019">
      <w:pPr>
        <w:pStyle w:val="ListParagraph"/>
        <w:tabs>
          <w:tab w:val="left" w:pos="-720"/>
        </w:tabs>
        <w:contextualSpacing w:val="0"/>
      </w:pPr>
      <w:r>
        <w:t>The mutual recognition clause is included, the wording of which is provided by the Ministry of Foreign Affairs, European Union and Cooperation.</w:t>
      </w:r>
    </w:p>
    <w:p w14:paraId="4B82683A" w14:textId="77777777" w:rsidR="00D56A97" w:rsidRPr="00DC6D3D" w:rsidRDefault="00D56A97" w:rsidP="00D56A97">
      <w:pPr>
        <w:pStyle w:val="ListParagraph"/>
        <w:keepNext/>
        <w:numPr>
          <w:ilvl w:val="0"/>
          <w:numId w:val="8"/>
        </w:numPr>
        <w:spacing w:before="240"/>
        <w:ind w:left="714" w:hanging="357"/>
        <w:contextualSpacing w:val="0"/>
      </w:pPr>
      <w:r>
        <w:rPr>
          <w:rStyle w:val="Strong"/>
          <w:b w:val="0"/>
        </w:rPr>
        <w:t xml:space="preserve">Second additional </w:t>
      </w:r>
      <w:r>
        <w:t>provision.</w:t>
      </w:r>
      <w:r>
        <w:rPr>
          <w:rStyle w:val="Strong"/>
          <w:b w:val="0"/>
        </w:rPr>
        <w:t xml:space="preserve"> </w:t>
      </w:r>
      <w:r>
        <w:rPr>
          <w:rStyle w:val="Strong"/>
          <w:b w:val="0"/>
          <w:i/>
          <w:iCs/>
        </w:rPr>
        <w:t>Computer system</w:t>
      </w:r>
      <w:r>
        <w:t>.</w:t>
      </w:r>
    </w:p>
    <w:p w14:paraId="64E55FCC" w14:textId="77777777" w:rsidR="00D56A97" w:rsidRPr="00DC6D3D" w:rsidRDefault="00D56A97" w:rsidP="00B07D3F">
      <w:pPr>
        <w:pStyle w:val="ListParagraph"/>
        <w:tabs>
          <w:tab w:val="left" w:pos="-720"/>
        </w:tabs>
        <w:contextualSpacing w:val="0"/>
      </w:pPr>
      <w:r>
        <w:t>A description is given of the implementation of the computer system for mandatory notifications in the transport of olive and olive-pomace oils.</w:t>
      </w:r>
    </w:p>
    <w:p w14:paraId="4E98F012" w14:textId="77777777" w:rsidR="00676019" w:rsidRPr="00DC6D3D" w:rsidRDefault="00676019" w:rsidP="00676019">
      <w:pPr>
        <w:pStyle w:val="ListParagraph"/>
        <w:keepNext/>
        <w:numPr>
          <w:ilvl w:val="0"/>
          <w:numId w:val="8"/>
        </w:numPr>
        <w:spacing w:before="240"/>
        <w:ind w:left="714" w:hanging="357"/>
        <w:contextualSpacing w:val="0"/>
        <w:rPr>
          <w:rStyle w:val="Strong"/>
          <w:b w:val="0"/>
          <w:bCs w:val="0"/>
        </w:rPr>
      </w:pPr>
      <w:r>
        <w:rPr>
          <w:rStyle w:val="Strong"/>
          <w:b w:val="0"/>
        </w:rPr>
        <w:t xml:space="preserve">Sole transitional </w:t>
      </w:r>
      <w:r>
        <w:t>provision.</w:t>
      </w:r>
      <w:r>
        <w:rPr>
          <w:rStyle w:val="Strong"/>
          <w:b w:val="0"/>
        </w:rPr>
        <w:t xml:space="preserve"> </w:t>
      </w:r>
      <w:r>
        <w:rPr>
          <w:rStyle w:val="Strong"/>
          <w:b w:val="0"/>
          <w:i/>
        </w:rPr>
        <w:t xml:space="preserve">Transitional period. </w:t>
      </w:r>
    </w:p>
    <w:p w14:paraId="5C3ED002" w14:textId="77777777" w:rsidR="00676019" w:rsidRPr="00DC6D3D" w:rsidRDefault="00676019" w:rsidP="00676019">
      <w:pPr>
        <w:pStyle w:val="ListParagraph"/>
        <w:tabs>
          <w:tab w:val="left" w:pos="-720"/>
        </w:tabs>
        <w:contextualSpacing w:val="0"/>
      </w:pPr>
      <w:r>
        <w:t>A transitional period is defined with respect to the obligation to report all movements to the dedicated computer system, as well as a transitional period for the application of the prohibition of placing extra virgin olive oils in plastic containers on the retail market.</w:t>
      </w:r>
    </w:p>
    <w:p w14:paraId="70BEC506" w14:textId="77777777" w:rsidR="00676019" w:rsidRPr="00DC6D3D" w:rsidRDefault="00676019" w:rsidP="00676019">
      <w:pPr>
        <w:pStyle w:val="ListParagraph"/>
        <w:keepNext/>
        <w:numPr>
          <w:ilvl w:val="0"/>
          <w:numId w:val="8"/>
        </w:numPr>
        <w:spacing w:before="240"/>
        <w:ind w:left="714" w:hanging="357"/>
        <w:contextualSpacing w:val="0"/>
      </w:pPr>
      <w:r>
        <w:t xml:space="preserve">Sole repealing provision. </w:t>
      </w:r>
      <w:r>
        <w:rPr>
          <w:i/>
          <w:iCs/>
        </w:rPr>
        <w:t>Repeal of regulations.</w:t>
      </w:r>
    </w:p>
    <w:p w14:paraId="61997163" w14:textId="77777777" w:rsidR="00676019" w:rsidRPr="00DC6D3D" w:rsidRDefault="00676019" w:rsidP="00676019">
      <w:pPr>
        <w:tabs>
          <w:tab w:val="left" w:pos="-720"/>
        </w:tabs>
        <w:ind w:left="720"/>
        <w:rPr>
          <w:bCs/>
        </w:rPr>
      </w:pPr>
      <w:r>
        <w:t>The various regulations that this Royal Decree replaces are repealed with a view to giving this regulation the necessary legal certainty.</w:t>
      </w:r>
    </w:p>
    <w:p w14:paraId="569FC6B1" w14:textId="77777777" w:rsidR="00676019" w:rsidRPr="00DC6D3D" w:rsidRDefault="00676019" w:rsidP="00676019">
      <w:pPr>
        <w:pStyle w:val="ListParagraph"/>
        <w:keepNext/>
        <w:numPr>
          <w:ilvl w:val="0"/>
          <w:numId w:val="8"/>
        </w:numPr>
        <w:spacing w:before="240"/>
        <w:ind w:left="714" w:hanging="357"/>
        <w:contextualSpacing w:val="0"/>
        <w:rPr>
          <w:rStyle w:val="CITE"/>
          <w:i w:val="0"/>
        </w:rPr>
      </w:pPr>
      <w:r>
        <w:rPr>
          <w:rStyle w:val="CITE"/>
          <w:i w:val="0"/>
        </w:rPr>
        <w:t>First</w:t>
      </w:r>
      <w:r>
        <w:t xml:space="preserve"> final provision.</w:t>
      </w:r>
      <w:r>
        <w:rPr>
          <w:rStyle w:val="CITE"/>
          <w:i w:val="0"/>
        </w:rPr>
        <w:t xml:space="preserve"> </w:t>
      </w:r>
      <w:r>
        <w:rPr>
          <w:rStyle w:val="CITE"/>
        </w:rPr>
        <w:t>Attribution of powers.</w:t>
      </w:r>
    </w:p>
    <w:p w14:paraId="4A966B70" w14:textId="77777777" w:rsidR="00EE3CBD" w:rsidRPr="00DC6D3D" w:rsidRDefault="00676019" w:rsidP="00EE3CBD">
      <w:pPr>
        <w:tabs>
          <w:tab w:val="left" w:pos="-720"/>
        </w:tabs>
        <w:ind w:left="720"/>
        <w:contextualSpacing/>
        <w:rPr>
          <w:rStyle w:val="CITE"/>
          <w:rFonts w:cs="Arial"/>
          <w:i w:val="0"/>
          <w:szCs w:val="24"/>
        </w:rPr>
      </w:pPr>
      <w:r>
        <w:rPr>
          <w:rStyle w:val="CITE"/>
          <w:i w:val="0"/>
          <w:szCs w:val="24"/>
        </w:rPr>
        <w:t>The jurisdiction under which the regulation is issued, namely Article 149(1)(13) of the Spanish Constitution, is established.</w:t>
      </w:r>
    </w:p>
    <w:p w14:paraId="07A47A30" w14:textId="77777777" w:rsidR="00EE3CBD" w:rsidRPr="00DC6D3D" w:rsidRDefault="00EE3CBD" w:rsidP="00EE3CBD">
      <w:pPr>
        <w:pStyle w:val="ListParagraph"/>
        <w:keepNext/>
        <w:numPr>
          <w:ilvl w:val="0"/>
          <w:numId w:val="8"/>
        </w:numPr>
        <w:spacing w:before="240"/>
        <w:ind w:left="714" w:hanging="357"/>
        <w:contextualSpacing w:val="0"/>
        <w:rPr>
          <w:rStyle w:val="CITE"/>
          <w:i w:val="0"/>
        </w:rPr>
      </w:pPr>
      <w:r>
        <w:t>Second final provision.</w:t>
      </w:r>
      <w:r>
        <w:rPr>
          <w:b/>
          <w:bCs/>
        </w:rPr>
        <w:t xml:space="preserve"> </w:t>
      </w:r>
      <w:r>
        <w:rPr>
          <w:i/>
          <w:iCs/>
        </w:rPr>
        <w:t>Amendment of Decree 2484/1967 of 21 September 1967 adopting the Spanish Food Code</w:t>
      </w:r>
      <w:r>
        <w:rPr>
          <w:rStyle w:val="CITE"/>
          <w:i w:val="0"/>
          <w:iCs/>
        </w:rPr>
        <w:t>.</w:t>
      </w:r>
    </w:p>
    <w:p w14:paraId="4BF03663" w14:textId="77777777" w:rsidR="00EE3CBD" w:rsidRPr="00DC6D3D" w:rsidRDefault="00EE3CBD" w:rsidP="00EE3CBD">
      <w:pPr>
        <w:tabs>
          <w:tab w:val="left" w:pos="-720"/>
        </w:tabs>
        <w:ind w:left="720"/>
        <w:contextualSpacing/>
        <w:rPr>
          <w:rStyle w:val="CITE"/>
          <w:rFonts w:cs="Arial"/>
          <w:iCs/>
          <w:szCs w:val="24"/>
        </w:rPr>
      </w:pPr>
      <w:r>
        <w:rPr>
          <w:rStyle w:val="CITE"/>
          <w:i w:val="0"/>
          <w:szCs w:val="24"/>
        </w:rPr>
        <w:t xml:space="preserve">Decree 2484/1967 is amended, </w:t>
      </w:r>
      <w:r>
        <w:t>replacing its content with that specified in this second final provision.</w:t>
      </w:r>
    </w:p>
    <w:p w14:paraId="59636195" w14:textId="77777777" w:rsidR="00676019" w:rsidRPr="00DC6D3D" w:rsidRDefault="00676019" w:rsidP="00676019">
      <w:pPr>
        <w:pStyle w:val="ListParagraph"/>
        <w:keepNext/>
        <w:numPr>
          <w:ilvl w:val="0"/>
          <w:numId w:val="8"/>
        </w:numPr>
        <w:spacing w:before="240"/>
        <w:ind w:left="714" w:hanging="357"/>
        <w:contextualSpacing w:val="0"/>
        <w:rPr>
          <w:rStyle w:val="CITE"/>
          <w:i w:val="0"/>
        </w:rPr>
      </w:pPr>
      <w:r>
        <w:rPr>
          <w:rStyle w:val="CITE"/>
          <w:i w:val="0"/>
        </w:rPr>
        <w:t>Third</w:t>
      </w:r>
      <w:r>
        <w:t xml:space="preserve"> final provision.</w:t>
      </w:r>
      <w:r>
        <w:rPr>
          <w:rStyle w:val="CITE"/>
          <w:i w:val="0"/>
        </w:rPr>
        <w:t xml:space="preserve"> </w:t>
      </w:r>
      <w:r>
        <w:rPr>
          <w:rStyle w:val="CITE"/>
        </w:rPr>
        <w:t>Entry into force.</w:t>
      </w:r>
    </w:p>
    <w:p w14:paraId="54A3875D" w14:textId="77777777" w:rsidR="00676019" w:rsidRPr="00DC6D3D" w:rsidRDefault="00676019" w:rsidP="00676019">
      <w:pPr>
        <w:tabs>
          <w:tab w:val="left" w:pos="-720"/>
        </w:tabs>
        <w:ind w:left="720"/>
        <w:contextualSpacing/>
        <w:rPr>
          <w:rStyle w:val="CITE"/>
          <w:rFonts w:cs="Arial"/>
          <w:i w:val="0"/>
          <w:szCs w:val="24"/>
        </w:rPr>
      </w:pPr>
      <w:r>
        <w:rPr>
          <w:rStyle w:val="CITE"/>
          <w:i w:val="0"/>
          <w:szCs w:val="24"/>
        </w:rPr>
        <w:t xml:space="preserve">The </w:t>
      </w:r>
      <w:r>
        <w:t>entry</w:t>
      </w:r>
      <w:r>
        <w:rPr>
          <w:rStyle w:val="CITE"/>
          <w:i w:val="0"/>
          <w:szCs w:val="24"/>
        </w:rPr>
        <w:t xml:space="preserve"> into force of the regulation is established.</w:t>
      </w:r>
    </w:p>
    <w:p w14:paraId="208CECC1" w14:textId="77777777" w:rsidR="00676019" w:rsidRPr="00DC6D3D" w:rsidRDefault="00676019" w:rsidP="00676019">
      <w:pPr>
        <w:pStyle w:val="ListParagraph"/>
        <w:keepNext/>
        <w:numPr>
          <w:ilvl w:val="0"/>
          <w:numId w:val="8"/>
        </w:numPr>
        <w:spacing w:before="240"/>
        <w:ind w:left="714" w:hanging="357"/>
        <w:contextualSpacing w:val="0"/>
        <w:rPr>
          <w:rStyle w:val="CITE"/>
          <w:i w:val="0"/>
        </w:rPr>
      </w:pPr>
      <w:r>
        <w:t>Annex I</w:t>
      </w:r>
      <w:r>
        <w:rPr>
          <w:rStyle w:val="CITE"/>
          <w:i w:val="0"/>
        </w:rPr>
        <w:t>.</w:t>
      </w:r>
    </w:p>
    <w:p w14:paraId="59636627" w14:textId="77777777" w:rsidR="00676019" w:rsidRPr="00DC6D3D" w:rsidRDefault="00676019" w:rsidP="00676019">
      <w:pPr>
        <w:tabs>
          <w:tab w:val="left" w:pos="-720"/>
        </w:tabs>
        <w:ind w:left="720"/>
        <w:contextualSpacing/>
        <w:rPr>
          <w:rStyle w:val="CITE"/>
          <w:rFonts w:cs="Arial"/>
          <w:i w:val="0"/>
          <w:szCs w:val="24"/>
        </w:rPr>
      </w:pPr>
      <w:r>
        <w:t>The conditions and requirements of the traceability records applicable to the products regulated in this standard are defined.</w:t>
      </w:r>
    </w:p>
    <w:p w14:paraId="5552CF4B" w14:textId="77777777" w:rsidR="00676019" w:rsidRPr="00DC6D3D" w:rsidRDefault="00676019" w:rsidP="00676019">
      <w:pPr>
        <w:pStyle w:val="ListParagraph"/>
        <w:keepNext/>
        <w:numPr>
          <w:ilvl w:val="0"/>
          <w:numId w:val="8"/>
        </w:numPr>
        <w:spacing w:before="240"/>
        <w:ind w:left="714" w:hanging="357"/>
        <w:contextualSpacing w:val="0"/>
        <w:rPr>
          <w:rStyle w:val="CITE"/>
          <w:i w:val="0"/>
        </w:rPr>
      </w:pPr>
      <w:r>
        <w:lastRenderedPageBreak/>
        <w:t>Annex II</w:t>
      </w:r>
      <w:r>
        <w:rPr>
          <w:rStyle w:val="CITE"/>
          <w:i w:val="0"/>
        </w:rPr>
        <w:t>.</w:t>
      </w:r>
    </w:p>
    <w:p w14:paraId="64E74404" w14:textId="77777777" w:rsidR="00676019" w:rsidRPr="00DC6D3D" w:rsidRDefault="00676019" w:rsidP="00676019">
      <w:pPr>
        <w:tabs>
          <w:tab w:val="left" w:pos="-720"/>
        </w:tabs>
        <w:ind w:left="720"/>
        <w:contextualSpacing/>
        <w:rPr>
          <w:rStyle w:val="CITE"/>
          <w:rFonts w:cs="Arial"/>
          <w:i w:val="0"/>
          <w:szCs w:val="24"/>
        </w:rPr>
      </w:pPr>
      <w:proofErr w:type="gramStart"/>
      <w:r>
        <w:rPr>
          <w:rStyle w:val="CITE"/>
          <w:i w:val="0"/>
          <w:szCs w:val="24"/>
        </w:rPr>
        <w:t xml:space="preserve">The </w:t>
      </w:r>
      <w:r>
        <w:t xml:space="preserve"> </w:t>
      </w:r>
      <w:r>
        <w:rPr>
          <w:rStyle w:val="CITE"/>
          <w:i w:val="0"/>
          <w:szCs w:val="24"/>
        </w:rPr>
        <w:t>information</w:t>
      </w:r>
      <w:proofErr w:type="gramEnd"/>
      <w:r>
        <w:rPr>
          <w:rStyle w:val="CITE"/>
          <w:i w:val="0"/>
          <w:szCs w:val="24"/>
        </w:rPr>
        <w:t xml:space="preserve"> to be included in the accompanying transport document for olive and olive-pomace oils is established.</w:t>
      </w:r>
    </w:p>
    <w:p w14:paraId="17292A24" w14:textId="77777777" w:rsidR="00CE2E53" w:rsidRPr="00DC6D3D" w:rsidRDefault="00CE2E53" w:rsidP="00CE2E53">
      <w:pPr>
        <w:pStyle w:val="ListParagraph"/>
        <w:keepNext/>
        <w:numPr>
          <w:ilvl w:val="0"/>
          <w:numId w:val="8"/>
        </w:numPr>
        <w:spacing w:before="240"/>
        <w:ind w:left="714" w:hanging="357"/>
        <w:contextualSpacing w:val="0"/>
        <w:rPr>
          <w:rStyle w:val="CITE"/>
          <w:i w:val="0"/>
        </w:rPr>
      </w:pPr>
      <w:r>
        <w:t>Annex III</w:t>
      </w:r>
      <w:r>
        <w:rPr>
          <w:rStyle w:val="CITE"/>
          <w:i w:val="0"/>
        </w:rPr>
        <w:t>.</w:t>
      </w:r>
    </w:p>
    <w:p w14:paraId="21427501" w14:textId="77777777" w:rsidR="00CE2E53" w:rsidRPr="00DC6D3D" w:rsidRDefault="00CE2E53" w:rsidP="00676019">
      <w:pPr>
        <w:tabs>
          <w:tab w:val="left" w:pos="-720"/>
        </w:tabs>
        <w:ind w:left="720"/>
        <w:contextualSpacing/>
        <w:rPr>
          <w:rStyle w:val="CITE"/>
          <w:rFonts w:cs="Arial"/>
          <w:i w:val="0"/>
          <w:szCs w:val="24"/>
        </w:rPr>
      </w:pPr>
      <w:r>
        <w:rPr>
          <w:rStyle w:val="CITE"/>
          <w:i w:val="0"/>
          <w:szCs w:val="24"/>
        </w:rPr>
        <w:t xml:space="preserve">The </w:t>
      </w:r>
      <w:r>
        <w:t>appearance and characteristics to be met by the different categories of oils regulated by this Royal Decree are defined</w:t>
      </w:r>
      <w:r>
        <w:rPr>
          <w:rStyle w:val="CITE"/>
          <w:i w:val="0"/>
          <w:szCs w:val="24"/>
        </w:rPr>
        <w:t>.</w:t>
      </w:r>
    </w:p>
    <w:p w14:paraId="0D8F7D9C" w14:textId="77777777" w:rsidR="00676019" w:rsidRPr="00DC6D3D" w:rsidRDefault="00676019" w:rsidP="00ED34D0">
      <w:pPr>
        <w:pStyle w:val="Heading4"/>
        <w:numPr>
          <w:ilvl w:val="0"/>
          <w:numId w:val="0"/>
        </w:numPr>
        <w:spacing w:after="240"/>
        <w:ind w:left="864" w:hanging="864"/>
        <w:rPr>
          <w:b/>
        </w:rPr>
      </w:pPr>
      <w:r>
        <w:rPr>
          <w:b/>
          <w:u w:val="none"/>
        </w:rPr>
        <w:t xml:space="preserve">3. </w:t>
      </w:r>
      <w:r>
        <w:rPr>
          <w:b/>
        </w:rPr>
        <w:t>New elements</w:t>
      </w:r>
    </w:p>
    <w:p w14:paraId="54D27FC5" w14:textId="77777777" w:rsidR="00676019" w:rsidRPr="00DC6D3D" w:rsidRDefault="00676019" w:rsidP="00676019">
      <w:pPr>
        <w:keepNext/>
      </w:pPr>
      <w:r>
        <w:t>The main new aspects of the proposed regulation are as follows.</w:t>
      </w:r>
    </w:p>
    <w:p w14:paraId="2A7C87F4" w14:textId="77777777" w:rsidR="00135C66" w:rsidRPr="00DC6D3D" w:rsidRDefault="00676019" w:rsidP="00676019">
      <w:pPr>
        <w:numPr>
          <w:ilvl w:val="0"/>
          <w:numId w:val="22"/>
        </w:numPr>
        <w:rPr>
          <w:szCs w:val="22"/>
        </w:rPr>
      </w:pPr>
      <w:r>
        <w:t>Incorporation of an internal maintenance tracking system and the existence of an accompanying transport document.</w:t>
      </w:r>
    </w:p>
    <w:p w14:paraId="067857E3" w14:textId="77777777" w:rsidR="00676019" w:rsidRPr="00DC6D3D" w:rsidRDefault="00135C66" w:rsidP="00676019">
      <w:pPr>
        <w:numPr>
          <w:ilvl w:val="0"/>
          <w:numId w:val="22"/>
        </w:numPr>
        <w:rPr>
          <w:szCs w:val="22"/>
        </w:rPr>
      </w:pPr>
      <w:r>
        <w:t>Obligation to report to the dedicated computer system set up by the Ministry of Agriculture, Fisheries and Food.</w:t>
      </w:r>
    </w:p>
    <w:p w14:paraId="51D05470" w14:textId="77777777" w:rsidR="00676019" w:rsidRPr="00DC6D3D" w:rsidRDefault="00676019" w:rsidP="00676019">
      <w:pPr>
        <w:numPr>
          <w:ilvl w:val="0"/>
          <w:numId w:val="22"/>
        </w:numPr>
        <w:rPr>
          <w:szCs w:val="22"/>
        </w:rPr>
      </w:pPr>
      <w:r>
        <w:t>Incorporation of obligations relating to the separation and fitting out of facilities for the production of olive oils.</w:t>
      </w:r>
    </w:p>
    <w:p w14:paraId="404436A3" w14:textId="77777777" w:rsidR="00676019" w:rsidRPr="00DC6D3D" w:rsidRDefault="00676019" w:rsidP="00676019">
      <w:pPr>
        <w:numPr>
          <w:ilvl w:val="0"/>
          <w:numId w:val="22"/>
        </w:numPr>
        <w:rPr>
          <w:szCs w:val="22"/>
        </w:rPr>
      </w:pPr>
      <w:r>
        <w:t xml:space="preserve">Specific protection of the </w:t>
      </w:r>
      <w:proofErr w:type="gramStart"/>
      <w:r>
        <w:t>terms</w:t>
      </w:r>
      <w:proofErr w:type="gramEnd"/>
      <w:r>
        <w:t xml:space="preserve"> ‘virgin’ and ‘extra virgin’.</w:t>
      </w:r>
    </w:p>
    <w:p w14:paraId="13F0DEEA" w14:textId="77777777" w:rsidR="00F3279D" w:rsidRPr="00DC6D3D" w:rsidRDefault="00F3279D" w:rsidP="00676019">
      <w:pPr>
        <w:numPr>
          <w:ilvl w:val="0"/>
          <w:numId w:val="22"/>
        </w:numPr>
        <w:rPr>
          <w:szCs w:val="22"/>
        </w:rPr>
      </w:pPr>
      <w:r>
        <w:t>Prohibition of the placing of extra virgin olive oils packed in plastic containers on the retail market.</w:t>
      </w:r>
    </w:p>
    <w:p w14:paraId="1AA4665D" w14:textId="77777777" w:rsidR="00676019" w:rsidRPr="00DC6D3D" w:rsidRDefault="00676019" w:rsidP="00676019">
      <w:pPr>
        <w:numPr>
          <w:ilvl w:val="0"/>
          <w:numId w:val="22"/>
        </w:numPr>
        <w:rPr>
          <w:szCs w:val="22"/>
        </w:rPr>
      </w:pPr>
      <w:r>
        <w:t>Incorporation of new practices prohibited in facilities.</w:t>
      </w:r>
    </w:p>
    <w:p w14:paraId="2FF7CFD5" w14:textId="77777777" w:rsidR="00676019" w:rsidRPr="00DC6D3D" w:rsidRDefault="00676019" w:rsidP="00676019">
      <w:pPr>
        <w:numPr>
          <w:ilvl w:val="0"/>
          <w:numId w:val="22"/>
        </w:numPr>
        <w:rPr>
          <w:szCs w:val="22"/>
        </w:rPr>
      </w:pPr>
      <w:r>
        <w:t>Creation of a specific Control Plan for verifying the traceability of the olive and olive-pomace oil sector, coordinated by the Ministry of Agriculture, Fisheries and Food.</w:t>
      </w:r>
    </w:p>
    <w:p w14:paraId="50ECF43F" w14:textId="77777777" w:rsidR="00BF0D5D" w:rsidRPr="00DC6D3D" w:rsidRDefault="00BF0D5D" w:rsidP="00676019">
      <w:pPr>
        <w:numPr>
          <w:ilvl w:val="0"/>
          <w:numId w:val="22"/>
        </w:numPr>
        <w:rPr>
          <w:szCs w:val="22"/>
        </w:rPr>
      </w:pPr>
      <w:r>
        <w:t xml:space="preserve">Increased transparency through the publication of results from olive oil conformity checks. </w:t>
      </w:r>
    </w:p>
    <w:p w14:paraId="2D62F4DF" w14:textId="77777777" w:rsidR="00676019" w:rsidRPr="00DC6D3D" w:rsidRDefault="00676019" w:rsidP="00F4239E">
      <w:pPr>
        <w:pStyle w:val="Heading3"/>
        <w:numPr>
          <w:ilvl w:val="0"/>
          <w:numId w:val="0"/>
        </w:numPr>
        <w:spacing w:before="480"/>
        <w:rPr>
          <w:color w:val="auto"/>
          <w:szCs w:val="22"/>
        </w:rPr>
      </w:pPr>
      <w:r>
        <w:rPr>
          <w:color w:val="auto"/>
          <w:szCs w:val="22"/>
          <w:u w:val="none"/>
        </w:rPr>
        <w:t xml:space="preserve">III. </w:t>
      </w:r>
      <w:r>
        <w:rPr>
          <w:color w:val="auto"/>
          <w:szCs w:val="22"/>
        </w:rPr>
        <w:t>LEGAL ANALYSIS</w:t>
      </w:r>
    </w:p>
    <w:p w14:paraId="4858DCA3" w14:textId="77777777" w:rsidR="00676019" w:rsidRPr="00DC6D3D" w:rsidRDefault="00676019" w:rsidP="00676019">
      <w:pPr>
        <w:pStyle w:val="Heading4"/>
        <w:numPr>
          <w:ilvl w:val="0"/>
          <w:numId w:val="0"/>
        </w:numPr>
        <w:ind w:left="864" w:hanging="864"/>
        <w:rPr>
          <w:b/>
          <w:szCs w:val="22"/>
        </w:rPr>
      </w:pPr>
      <w:r>
        <w:rPr>
          <w:b/>
          <w:szCs w:val="22"/>
          <w:u w:val="none"/>
        </w:rPr>
        <w:t xml:space="preserve">1. </w:t>
      </w:r>
      <w:r>
        <w:rPr>
          <w:b/>
          <w:szCs w:val="22"/>
        </w:rPr>
        <w:t>Consistency with the legal system</w:t>
      </w:r>
    </w:p>
    <w:p w14:paraId="141539F3" w14:textId="77777777" w:rsidR="00676019" w:rsidRPr="00DC6D3D" w:rsidRDefault="00676019" w:rsidP="00F4239E">
      <w:pPr>
        <w:keepNext/>
      </w:pPr>
      <w:r>
        <w:t>The regulation is fully consistent with the legal system, having an impact solely on food quality. Specifically, it is consistent with the following regulations:</w:t>
      </w:r>
    </w:p>
    <w:p w14:paraId="0D5CE5DD" w14:textId="77777777" w:rsidR="00676019" w:rsidRPr="00DC6D3D" w:rsidRDefault="00676019" w:rsidP="00676019">
      <w:pPr>
        <w:numPr>
          <w:ilvl w:val="0"/>
          <w:numId w:val="6"/>
        </w:numPr>
      </w:pPr>
      <w:r>
        <w:t>Law 28/2015 of 30 July 2015 for the protection of food quality;</w:t>
      </w:r>
    </w:p>
    <w:p w14:paraId="3FEB06CF" w14:textId="77777777" w:rsidR="00676019" w:rsidRPr="00DC6D3D" w:rsidRDefault="00676019" w:rsidP="00676019">
      <w:pPr>
        <w:numPr>
          <w:ilvl w:val="0"/>
          <w:numId w:val="6"/>
        </w:numPr>
      </w:pPr>
      <w:r>
        <w:t>Regulation (EC) No 178/2002 of the European Parliament and of the Council of 28 January 2002 laying down the general principles and requirements of food law, establishing the European Food Safety Authority and laying down procedures in relation to food safety;</w:t>
      </w:r>
    </w:p>
    <w:p w14:paraId="3670FD87" w14:textId="77777777" w:rsidR="00676019" w:rsidRPr="00DC6D3D" w:rsidRDefault="00676019" w:rsidP="004E07EA">
      <w:pPr>
        <w:keepNext/>
        <w:keepLines/>
        <w:numPr>
          <w:ilvl w:val="0"/>
          <w:numId w:val="6"/>
        </w:numPr>
      </w:pPr>
      <w:r>
        <w:lastRenderedPageBreak/>
        <w:t>Regulation (EU) No 2017/625 of the European Parliament and of the Council of 15 March 2017 on official controls and other official activities performed to ensure the application of food and feed law, rules on animal health and welfare, plant health and plant protection products, and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w:t>
      </w:r>
    </w:p>
    <w:p w14:paraId="27BB0514" w14:textId="77777777" w:rsidR="00676019" w:rsidRPr="00DC6D3D" w:rsidRDefault="00676019" w:rsidP="00676019">
      <w:pPr>
        <w:numPr>
          <w:ilvl w:val="0"/>
          <w:numId w:val="6"/>
        </w:numPr>
        <w:rPr>
          <w:b/>
          <w:bCs/>
        </w:rPr>
      </w:pPr>
      <w:r>
        <w:t>Commission Regulation (EC) No 1881/2006 of 19 December 2006 setting maximum levels for certain contaminants in foodstuffs;</w:t>
      </w:r>
    </w:p>
    <w:p w14:paraId="4CBE8C5C" w14:textId="77777777" w:rsidR="00676019" w:rsidRPr="00DC6D3D" w:rsidRDefault="00676019" w:rsidP="00676019">
      <w:pPr>
        <w:numPr>
          <w:ilvl w:val="0"/>
          <w:numId w:val="6"/>
        </w:numPr>
      </w:pPr>
      <w:r>
        <w:t xml:space="preserve">Regulation (EC) No </w:t>
      </w:r>
      <w:hyperlink r:id="rId9" w:tgtFrame="_blank" w:tooltip="1331/2008" w:history="1">
        <w:r>
          <w:rPr>
            <w:rStyle w:val="Hyperlink"/>
            <w:bCs/>
            <w:color w:val="auto"/>
            <w:szCs w:val="24"/>
            <w:u w:val="none"/>
          </w:rPr>
          <w:t>1331/2008</w:t>
        </w:r>
      </w:hyperlink>
      <w:r>
        <w:t xml:space="preserve"> of the European Parliament and of the Council of 16 December 2008 establishing a common authorisation procedure for food additives, food enzymes and food flavourings;</w:t>
      </w:r>
    </w:p>
    <w:p w14:paraId="451B72D3" w14:textId="77777777" w:rsidR="00676019" w:rsidRPr="004E07EA" w:rsidRDefault="00676019" w:rsidP="00676019">
      <w:pPr>
        <w:numPr>
          <w:ilvl w:val="0"/>
          <w:numId w:val="6"/>
        </w:numPr>
        <w:rPr>
          <w:spacing w:val="-4"/>
        </w:rPr>
      </w:pPr>
      <w:r w:rsidRPr="004E07EA">
        <w:rPr>
          <w:spacing w:val="-4"/>
        </w:rPr>
        <w:t>Regulation (EC) No 1333/2008 of the European Parliament and of the Council of 16 December 2008 on food additives, and its implementing regulations;</w:t>
      </w:r>
    </w:p>
    <w:p w14:paraId="4910D47B" w14:textId="77777777" w:rsidR="00676019" w:rsidRPr="00DC6D3D" w:rsidRDefault="00676019" w:rsidP="00676019">
      <w:pPr>
        <w:numPr>
          <w:ilvl w:val="0"/>
          <w:numId w:val="6"/>
        </w:numPr>
      </w:pPr>
      <w:r>
        <w:t>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w:t>
      </w:r>
    </w:p>
    <w:p w14:paraId="25B445A2" w14:textId="77777777" w:rsidR="00134997" w:rsidRPr="00DC6D3D" w:rsidRDefault="00134997" w:rsidP="00F4239E">
      <w:pPr>
        <w:keepNext/>
      </w:pPr>
      <w:r>
        <w:t>This regulation is also consistent with European Union and national legislation on olive oil and olive-pomace oil, specifically:</w:t>
      </w:r>
    </w:p>
    <w:p w14:paraId="0FE00E41" w14:textId="77777777" w:rsidR="00134997" w:rsidRPr="00DC6D3D" w:rsidRDefault="00134997" w:rsidP="00134997">
      <w:pPr>
        <w:numPr>
          <w:ilvl w:val="0"/>
          <w:numId w:val="6"/>
        </w:numPr>
      </w:pPr>
      <w:r>
        <w:t xml:space="preserve">Commission Regulation (EEC) No 2568/91 of 11 July 1991 on the characteristics of olive oil and olive-residue oil and on the relevant methods of </w:t>
      </w:r>
      <w:proofErr w:type="gramStart"/>
      <w:r>
        <w:t>analysis;</w:t>
      </w:r>
      <w:proofErr w:type="gramEnd"/>
    </w:p>
    <w:p w14:paraId="218F8225" w14:textId="77777777" w:rsidR="00134997" w:rsidRPr="00DC6D3D" w:rsidRDefault="00134997" w:rsidP="00134997">
      <w:pPr>
        <w:numPr>
          <w:ilvl w:val="0"/>
          <w:numId w:val="6"/>
        </w:numPr>
      </w:pPr>
      <w:r>
        <w:t xml:space="preserve">Commission Implementing Regulation (EU) No 29/2012 of 13 January 2012 on marketing standards for olive </w:t>
      </w:r>
      <w:proofErr w:type="gramStart"/>
      <w:r>
        <w:t>oil;</w:t>
      </w:r>
      <w:proofErr w:type="gramEnd"/>
    </w:p>
    <w:p w14:paraId="19809791" w14:textId="77777777" w:rsidR="00460E61" w:rsidRPr="00DC6D3D" w:rsidRDefault="00460E61" w:rsidP="00460E61">
      <w:pPr>
        <w:numPr>
          <w:ilvl w:val="0"/>
          <w:numId w:val="6"/>
        </w:numPr>
      </w:pPr>
      <w:r>
        <w:t>Royal Decree 640/2015 of 10 July 2015 adopting the list of processing aids authorised for the production of edible vegetable oils and their identification and purity criteria, and amending Royal Decree 308/1983 of 25 January 1983 adopting the technical and health regulations for edible vegetable oils.</w:t>
      </w:r>
    </w:p>
    <w:p w14:paraId="75434C25" w14:textId="77777777" w:rsidR="00676019" w:rsidRPr="00DC6D3D" w:rsidRDefault="00676019" w:rsidP="00676019">
      <w:r>
        <w:t>Finally, it is in line with Royal Decree 176/2013 of 8 March 2013 repealing all or part of certain technical and health regulations and quality standards referring to food products, with respect to the health aspects of food products, since these are regulated in horizontal regulations within the European Union.</w:t>
      </w:r>
    </w:p>
    <w:p w14:paraId="31CD29AB" w14:textId="77777777" w:rsidR="00676019" w:rsidRPr="00DC6D3D" w:rsidRDefault="00676019" w:rsidP="00676019">
      <w:pPr>
        <w:pStyle w:val="Heading4"/>
        <w:numPr>
          <w:ilvl w:val="0"/>
          <w:numId w:val="0"/>
        </w:numPr>
        <w:ind w:left="864" w:hanging="864"/>
        <w:rPr>
          <w:b/>
        </w:rPr>
      </w:pPr>
      <w:r>
        <w:rPr>
          <w:b/>
          <w:u w:val="none"/>
        </w:rPr>
        <w:lastRenderedPageBreak/>
        <w:t xml:space="preserve">2. </w:t>
      </w:r>
      <w:r>
        <w:rPr>
          <w:b/>
        </w:rPr>
        <w:t>Official status</w:t>
      </w:r>
    </w:p>
    <w:p w14:paraId="26C45346" w14:textId="77777777" w:rsidR="00676019" w:rsidRPr="004E07EA" w:rsidRDefault="00676019" w:rsidP="00676019">
      <w:pPr>
        <w:rPr>
          <w:spacing w:val="-4"/>
        </w:rPr>
      </w:pPr>
      <w:r w:rsidRPr="004E07EA">
        <w:rPr>
          <w:spacing w:val="-4"/>
        </w:rPr>
        <w:t>The adoption by Royal Decree of this basic legislative regulation is based on the fourth final provision of Law 28/2015 of 30 July 2015 and, in accordance with the doctrine of the Constitutional Court, on the markedly technical nature of the purpose of the regulation and the need to establish a unitary regulatory framework that is applicable to the entire national territory and ensures equal treatment for all operators. This reasoning is supported by the fact that, while the proposed regulation has been drafted as a permanent measure, industry trends or the concurrence of conflicting circumstances could necessitate its amendment in the future.</w:t>
      </w:r>
    </w:p>
    <w:p w14:paraId="54BB6937" w14:textId="77777777" w:rsidR="00676019" w:rsidRPr="00DC6D3D" w:rsidRDefault="00676019" w:rsidP="00676019">
      <w:pPr>
        <w:rPr>
          <w:rFonts w:cs="Arial"/>
          <w:iCs/>
          <w:szCs w:val="24"/>
        </w:rPr>
      </w:pPr>
      <w:r>
        <w:t>This regulation is intended to achieve the sectoral policy objectives set out by the Spanish Constitution.</w:t>
      </w:r>
    </w:p>
    <w:p w14:paraId="34C03314" w14:textId="77777777" w:rsidR="00676019" w:rsidRPr="004E07EA" w:rsidRDefault="00676019" w:rsidP="00676019">
      <w:pPr>
        <w:rPr>
          <w:spacing w:val="-4"/>
        </w:rPr>
      </w:pPr>
      <w:r w:rsidRPr="004E07EA">
        <w:rPr>
          <w:spacing w:val="-4"/>
        </w:rPr>
        <w:t xml:space="preserve">With respect to its status, there are circumstances that justify the draft having the status of a royal decree, in accordance with the doctrine of the Constitutional Court. </w:t>
      </w:r>
    </w:p>
    <w:p w14:paraId="4C7466C6" w14:textId="77777777" w:rsidR="00676019" w:rsidRPr="00DC6D3D" w:rsidRDefault="00676019" w:rsidP="00493B24">
      <w:pPr>
        <w:pStyle w:val="Heading4"/>
        <w:numPr>
          <w:ilvl w:val="0"/>
          <w:numId w:val="0"/>
        </w:numPr>
        <w:rPr>
          <w:b/>
        </w:rPr>
      </w:pPr>
      <w:r>
        <w:rPr>
          <w:b/>
          <w:u w:val="none"/>
        </w:rPr>
        <w:t xml:space="preserve">3. </w:t>
      </w:r>
      <w:r>
        <w:rPr>
          <w:b/>
        </w:rPr>
        <w:t>Detailed list of regulations that will be partially replaced as a result of the regulation's entry into force</w:t>
      </w:r>
    </w:p>
    <w:p w14:paraId="289791F9" w14:textId="77777777" w:rsidR="00676019" w:rsidRPr="004E07EA" w:rsidRDefault="00676019" w:rsidP="00F4239E">
      <w:pPr>
        <w:pStyle w:val="Default"/>
        <w:keepNext/>
        <w:spacing w:before="100" w:beforeAutospacing="1" w:after="100" w:afterAutospacing="1"/>
        <w:jc w:val="both"/>
        <w:rPr>
          <w:rFonts w:ascii="Arial" w:hAnsi="Arial" w:cs="Arial"/>
          <w:color w:val="auto"/>
          <w:spacing w:val="-4"/>
        </w:rPr>
      </w:pPr>
      <w:r w:rsidRPr="004E07EA">
        <w:rPr>
          <w:rFonts w:ascii="Arial" w:hAnsi="Arial"/>
          <w:color w:val="auto"/>
          <w:spacing w:val="-4"/>
        </w:rPr>
        <w:t>As of the entry into force of this Royal Decree, the following provisions shall be repealed:</w:t>
      </w:r>
    </w:p>
    <w:p w14:paraId="59C7C157" w14:textId="77777777" w:rsidR="00676019" w:rsidRPr="00DC6D3D" w:rsidRDefault="00676019" w:rsidP="00676019">
      <w:pPr>
        <w:numPr>
          <w:ilvl w:val="0"/>
          <w:numId w:val="6"/>
        </w:numPr>
      </w:pPr>
      <w:r>
        <w:t>Royal Decree 3000/1979 of 7 December 1979 on the regulation of industrial processes in the olive oil sector;</w:t>
      </w:r>
    </w:p>
    <w:p w14:paraId="5F51162C" w14:textId="77777777" w:rsidR="00676019" w:rsidRPr="00DC6D3D" w:rsidRDefault="00676019" w:rsidP="00676019">
      <w:pPr>
        <w:numPr>
          <w:ilvl w:val="0"/>
          <w:numId w:val="6"/>
        </w:numPr>
      </w:pPr>
      <w:r>
        <w:t xml:space="preserve">Royal Decree 308/1983 of 25 January 1983 adopting the technical and health regulations for edible vegetable oils, where it refers to olive and olive-pomace oils; </w:t>
      </w:r>
    </w:p>
    <w:p w14:paraId="44CC8195" w14:textId="77777777" w:rsidR="00676019" w:rsidRPr="00DC6D3D" w:rsidRDefault="00676019" w:rsidP="00676019">
      <w:pPr>
        <w:numPr>
          <w:ilvl w:val="0"/>
          <w:numId w:val="6"/>
        </w:numPr>
      </w:pPr>
      <w:r>
        <w:t xml:space="preserve">Royal Decree 259/1985 of 20 February 1985 supplementing the technical and health regulations for edible vegetable oils with the application of the determination of </w:t>
      </w:r>
      <w:proofErr w:type="spellStart"/>
      <w:r>
        <w:t>erythrodiol</w:t>
      </w:r>
      <w:proofErr w:type="spellEnd"/>
      <w:r>
        <w:t xml:space="preserve"> in olive oils;</w:t>
      </w:r>
    </w:p>
    <w:p w14:paraId="749404AC" w14:textId="77777777" w:rsidR="00676019" w:rsidRPr="00DC6D3D" w:rsidRDefault="00676019" w:rsidP="00676019">
      <w:pPr>
        <w:numPr>
          <w:ilvl w:val="0"/>
          <w:numId w:val="6"/>
        </w:numPr>
      </w:pPr>
      <w:r>
        <w:t>Royal Decree 2551/1986 of 21 November 1986 regulating the processing and marketing of refined olive-pomace oil and olive oil;</w:t>
      </w:r>
    </w:p>
    <w:p w14:paraId="6D8428A0" w14:textId="77777777" w:rsidR="00676019" w:rsidRPr="00DC6D3D" w:rsidRDefault="00676019" w:rsidP="00676019">
      <w:pPr>
        <w:numPr>
          <w:ilvl w:val="0"/>
          <w:numId w:val="6"/>
        </w:numPr>
      </w:pPr>
      <w:r>
        <w:t>Royal Decree 538/1993 of 12 April 1993 amending certain provisions relating to industrial requirements for the production, circulation and trade of edible vegetable oils;</w:t>
      </w:r>
    </w:p>
    <w:p w14:paraId="021782EE" w14:textId="77777777" w:rsidR="009525FA" w:rsidRPr="00DC6D3D" w:rsidRDefault="009525FA" w:rsidP="009525FA">
      <w:pPr>
        <w:numPr>
          <w:ilvl w:val="0"/>
          <w:numId w:val="6"/>
        </w:numPr>
      </w:pPr>
      <w:r>
        <w:t>Royal Decree 1431/2003 of 21 November 2003 laying down certain marketing measures for the sector of olive oil and olive-pomace oil;</w:t>
      </w:r>
    </w:p>
    <w:p w14:paraId="5B06A13A" w14:textId="77777777" w:rsidR="00676019" w:rsidRPr="00DC6D3D" w:rsidRDefault="00676019" w:rsidP="00676019">
      <w:pPr>
        <w:numPr>
          <w:ilvl w:val="0"/>
          <w:numId w:val="6"/>
        </w:numPr>
      </w:pPr>
      <w:r>
        <w:t>Order of 12 December 1984 on the delivery of virgin olive oil by mills to their growers for self-consumption;</w:t>
      </w:r>
    </w:p>
    <w:p w14:paraId="286413D4" w14:textId="77777777" w:rsidR="00676019" w:rsidRPr="00DC6D3D" w:rsidRDefault="00676019" w:rsidP="00676019">
      <w:pPr>
        <w:numPr>
          <w:ilvl w:val="0"/>
          <w:numId w:val="6"/>
        </w:numPr>
      </w:pPr>
      <w:r>
        <w:t>Order APA/1343/2004 of 7 May 2004 regulating the general register of specific industries authorised to place olive oil on the market.</w:t>
      </w:r>
    </w:p>
    <w:p w14:paraId="225969C2" w14:textId="77777777" w:rsidR="00676019" w:rsidRPr="00DC6D3D" w:rsidRDefault="00676019" w:rsidP="00676019">
      <w:pPr>
        <w:pStyle w:val="Heading3"/>
        <w:numPr>
          <w:ilvl w:val="0"/>
          <w:numId w:val="0"/>
        </w:numPr>
        <w:spacing w:before="480"/>
        <w:rPr>
          <w:color w:val="auto"/>
        </w:rPr>
      </w:pPr>
      <w:r>
        <w:rPr>
          <w:color w:val="auto"/>
        </w:rPr>
        <w:lastRenderedPageBreak/>
        <w:t>IV. ADAPTATION OF THE REGULATION TO THE CONSTITUTIONAL ORDER ON THE DISTRIBUTION OF POWERS.</w:t>
      </w:r>
    </w:p>
    <w:p w14:paraId="5B3B04BA" w14:textId="77777777" w:rsidR="00676019" w:rsidRPr="00DC6D3D" w:rsidRDefault="00676019" w:rsidP="00676019">
      <w:pPr>
        <w:autoSpaceDE w:val="0"/>
        <w:autoSpaceDN w:val="0"/>
        <w:adjustRightInd w:val="0"/>
        <w:spacing w:before="100" w:beforeAutospacing="1" w:after="100" w:afterAutospacing="1"/>
      </w:pPr>
      <w:r>
        <w:t>Royal Decree 308/1983 of 25 January 1983 adopting the technical and health regulations for edible vegetable oils lays down the rules for obtaining, processing and marketing of edible vegetable oils and for their characteristics.</w:t>
      </w:r>
    </w:p>
    <w:p w14:paraId="023137D4" w14:textId="77777777" w:rsidR="00676019" w:rsidRPr="00DC6D3D" w:rsidRDefault="00676019" w:rsidP="00CF523F">
      <w:pPr>
        <w:rPr>
          <w:rFonts w:cs="Arial"/>
          <w:szCs w:val="24"/>
        </w:rPr>
      </w:pPr>
      <w:r>
        <w:t>Similarly, Law 28/2015 of 30 July 2015 on the protection of food quality lays the legislative foundations for protecting food quality, establishing basic rules and authorising the government to approve quality standards for food products, with the aim, among others, of adapting to European Union regulations and of simplifying, modernising and enhancing existing standards as well as improving the competitiveness of the sector, including advancements brought about by technological innovation.</w:t>
      </w:r>
    </w:p>
    <w:p w14:paraId="353774D7" w14:textId="77777777" w:rsidR="00676019" w:rsidRPr="00DC6D3D" w:rsidRDefault="00676019" w:rsidP="00676019">
      <w:pPr>
        <w:pStyle w:val="Pa6"/>
        <w:spacing w:before="100" w:beforeAutospacing="1" w:after="100" w:afterAutospacing="1" w:line="240" w:lineRule="auto"/>
        <w:ind w:firstLine="0"/>
        <w:rPr>
          <w:szCs w:val="20"/>
        </w:rPr>
      </w:pPr>
      <w:r>
        <w:t>This Royal Decree is laid down within the framework of Article 149(1)(13) of the Spanish Constitution, which grants the State exclusive competence to determine the bases and coordination of general planning of the economy.</w:t>
      </w:r>
    </w:p>
    <w:p w14:paraId="2B8A381F" w14:textId="77777777" w:rsidR="00F23426" w:rsidRPr="00DC6D3D" w:rsidRDefault="00F23426" w:rsidP="00F71254">
      <w:r>
        <w:t>It is worth mentioning that the draft Royal Decree establishes in Article 9(4) and (7), that a specific control plan for verifying the traceability of the olive and olive-pomace oil sector will be submitted to the Food Quality Coordination Board for discussion and review, limiting the role of the Ministry of Agriculture, Fisheries and Food to the coordination of that plan, thereby conforming to the constitutional order of the distribution of powers.</w:t>
      </w:r>
    </w:p>
    <w:p w14:paraId="7097C9D6" w14:textId="77777777" w:rsidR="00676019" w:rsidRPr="00DC6D3D" w:rsidRDefault="00676019" w:rsidP="00676019">
      <w:pPr>
        <w:pStyle w:val="Heading3"/>
        <w:numPr>
          <w:ilvl w:val="0"/>
          <w:numId w:val="0"/>
        </w:numPr>
        <w:spacing w:before="480"/>
        <w:rPr>
          <w:color w:val="auto"/>
        </w:rPr>
      </w:pPr>
      <w:r>
        <w:rPr>
          <w:color w:val="auto"/>
        </w:rPr>
        <w:t>V. DESCRIPTION OF THE PROCEDURE.</w:t>
      </w:r>
    </w:p>
    <w:p w14:paraId="0A270903" w14:textId="77777777" w:rsidR="00676019" w:rsidRPr="00DC6D3D" w:rsidRDefault="00676019" w:rsidP="00676019">
      <w:pPr>
        <w:pStyle w:val="Heading4"/>
        <w:numPr>
          <w:ilvl w:val="0"/>
          <w:numId w:val="0"/>
        </w:numPr>
        <w:ind w:left="864" w:hanging="864"/>
      </w:pPr>
      <w:r>
        <w:rPr>
          <w:b/>
        </w:rPr>
        <w:t>1. Preliminary procedures.</w:t>
      </w:r>
    </w:p>
    <w:p w14:paraId="16916BB8" w14:textId="77777777" w:rsidR="00676019" w:rsidRPr="00DC6D3D" w:rsidRDefault="00676019" w:rsidP="00676019">
      <w:r>
        <w:t>Firstly, a prior public consultation has been carried out in accordance with Article 26(2) of Government Law 50/1997 of 27 November 1997, gathering the opinions of those potentially affected by the regulation and of representative organisations from the sector.</w:t>
      </w:r>
    </w:p>
    <w:p w14:paraId="63DE2B16" w14:textId="77777777" w:rsidR="007D35C9" w:rsidRPr="00DC6D3D" w:rsidRDefault="007D35C9" w:rsidP="007D35C9">
      <w:r>
        <w:t>This prior public consultation was open for the submission of observations through the website of the Ministry of Agriculture and Fisheries, Food and the Environment from 15 December 2017 to 10 January 2018 (both inclusive).</w:t>
      </w:r>
    </w:p>
    <w:p w14:paraId="5D27E280" w14:textId="77777777" w:rsidR="007D35C9" w:rsidRPr="00DC6D3D" w:rsidRDefault="00191DAA" w:rsidP="00F4239E">
      <w:pPr>
        <w:keepNext/>
      </w:pPr>
      <w:r>
        <w:t>The observations submitted during the prior public consultation are listed below.</w:t>
      </w:r>
    </w:p>
    <w:p w14:paraId="5E293DD6" w14:textId="77777777" w:rsidR="00191DAA" w:rsidRPr="002E7D7A" w:rsidRDefault="00191DAA" w:rsidP="00CF523F">
      <w:pPr>
        <w:pStyle w:val="ListParagraph"/>
        <w:numPr>
          <w:ilvl w:val="0"/>
          <w:numId w:val="26"/>
        </w:numPr>
        <w:rPr>
          <w:lang w:val="pt-PT"/>
        </w:rPr>
      </w:pPr>
      <w:r w:rsidRPr="002E7D7A">
        <w:rPr>
          <w:lang w:val="pt-PT"/>
        </w:rPr>
        <w:t>Centre Mas de Bover Olivicultura, Elaiotècnica y Fruita Seca (IRTA)</w:t>
      </w:r>
    </w:p>
    <w:p w14:paraId="6F3625D0" w14:textId="77777777" w:rsidR="00191DAA" w:rsidRPr="002E7D7A" w:rsidRDefault="00191DAA" w:rsidP="00CF523F">
      <w:pPr>
        <w:pStyle w:val="ListParagraph"/>
        <w:numPr>
          <w:ilvl w:val="0"/>
          <w:numId w:val="26"/>
        </w:numPr>
        <w:rPr>
          <w:lang w:val="pt-PT"/>
        </w:rPr>
      </w:pPr>
      <w:r w:rsidRPr="002E7D7A">
        <w:rPr>
          <w:lang w:val="pt-PT"/>
        </w:rPr>
        <w:t>Asociación Nacional de Industriales Envasadores y Refinadores de Aceites Comestibles (ANIERAC)</w:t>
      </w:r>
    </w:p>
    <w:p w14:paraId="0B558C0F" w14:textId="77777777" w:rsidR="00191DAA" w:rsidRPr="002E7D7A" w:rsidRDefault="00191DAA" w:rsidP="00CF523F">
      <w:pPr>
        <w:pStyle w:val="ListParagraph"/>
        <w:numPr>
          <w:ilvl w:val="0"/>
          <w:numId w:val="26"/>
        </w:numPr>
        <w:rPr>
          <w:lang w:val="pt-PT"/>
        </w:rPr>
      </w:pPr>
      <w:r w:rsidRPr="002E7D7A">
        <w:rPr>
          <w:lang w:val="pt-PT"/>
        </w:rPr>
        <w:t>Unión de Pequeños Agricultores y Ganaderos (UPA)</w:t>
      </w:r>
    </w:p>
    <w:p w14:paraId="6BEAD9B6" w14:textId="77777777" w:rsidR="002C11BE" w:rsidRPr="002E7D7A" w:rsidRDefault="00191DAA" w:rsidP="00191DAA">
      <w:pPr>
        <w:pStyle w:val="ListParagraph"/>
        <w:numPr>
          <w:ilvl w:val="0"/>
          <w:numId w:val="26"/>
        </w:numPr>
        <w:rPr>
          <w:lang w:val="pt-PT"/>
        </w:rPr>
      </w:pPr>
      <w:r w:rsidRPr="002E7D7A">
        <w:rPr>
          <w:lang w:val="pt-PT"/>
        </w:rPr>
        <w:t>Federació de Cooperatives Agràries de Catalunya.</w:t>
      </w:r>
    </w:p>
    <w:p w14:paraId="2BAF1926" w14:textId="77777777" w:rsidR="002C11BE" w:rsidRPr="00DC6D3D" w:rsidRDefault="002C11BE" w:rsidP="00F71254">
      <w:r>
        <w:t xml:space="preserve">Attached to this report is an annex containing the detailed observations received during the prior public consultation. </w:t>
      </w:r>
    </w:p>
    <w:p w14:paraId="77648E5C" w14:textId="77777777" w:rsidR="00676019" w:rsidRPr="00DC6D3D" w:rsidRDefault="00676019" w:rsidP="00676019">
      <w:pPr>
        <w:pStyle w:val="Heading4"/>
        <w:numPr>
          <w:ilvl w:val="0"/>
          <w:numId w:val="0"/>
        </w:numPr>
        <w:ind w:left="864" w:hanging="864"/>
        <w:rPr>
          <w:b/>
          <w:bCs w:val="0"/>
        </w:rPr>
      </w:pPr>
      <w:r>
        <w:rPr>
          <w:b/>
          <w:bCs w:val="0"/>
        </w:rPr>
        <w:lastRenderedPageBreak/>
        <w:t>2. Reports received.</w:t>
      </w:r>
    </w:p>
    <w:p w14:paraId="67B64B2B" w14:textId="77777777" w:rsidR="004C1AB2" w:rsidRPr="00DC6D3D" w:rsidRDefault="004C1AB2" w:rsidP="00F4239E">
      <w:pPr>
        <w:keepNext/>
      </w:pPr>
      <w:r>
        <w:t>The following reports were requested during the processing of the regulation:</w:t>
      </w:r>
    </w:p>
    <w:p w14:paraId="576E9240" w14:textId="77777777" w:rsidR="004C1AB2" w:rsidRPr="00DC6D3D" w:rsidRDefault="004C1AB2" w:rsidP="004C1AB2">
      <w:pPr>
        <w:pStyle w:val="ListParagraph"/>
        <w:numPr>
          <w:ilvl w:val="0"/>
          <w:numId w:val="25"/>
        </w:numPr>
      </w:pPr>
      <w:r>
        <w:t>Report from the Ministry of Territorial Policy and Public Administration (in accordance with the provisions of Article 26(5)(6) of Government Law 50/1997 of 27 November 1997 regarding the potential impact on the distribution of powers among the State and the Autonomous Communities, and in accordance with Article 26(9), on the quality of regulatory activity, of Law 50/1997. Pending);</w:t>
      </w:r>
    </w:p>
    <w:p w14:paraId="47ED9517" w14:textId="77777777" w:rsidR="00535BA7" w:rsidRPr="00DC6D3D" w:rsidRDefault="00535BA7" w:rsidP="00CF523F">
      <w:pPr>
        <w:pStyle w:val="ListParagraph"/>
        <w:rPr>
          <w:lang w:val="es-ES"/>
        </w:rPr>
      </w:pPr>
    </w:p>
    <w:p w14:paraId="007D6628" w14:textId="77777777" w:rsidR="004C1AB2" w:rsidRPr="00DC6D3D" w:rsidRDefault="004C1AB2" w:rsidP="004C1AB2">
      <w:pPr>
        <w:pStyle w:val="ListParagraph"/>
        <w:numPr>
          <w:ilvl w:val="0"/>
          <w:numId w:val="25"/>
        </w:numPr>
      </w:pPr>
      <w:r>
        <w:t>Report from the Ministry of Consumer Affairs (in accordance with Article 26(5)(4) of Government Law 50/1997 of 27 November 1997);</w:t>
      </w:r>
    </w:p>
    <w:p w14:paraId="65C4B4FE" w14:textId="77777777" w:rsidR="00535BA7" w:rsidRPr="00DC6D3D" w:rsidRDefault="00535BA7" w:rsidP="00CF523F">
      <w:pPr>
        <w:pStyle w:val="ListParagraph"/>
        <w:rPr>
          <w:lang w:val="es-ES"/>
        </w:rPr>
      </w:pPr>
    </w:p>
    <w:p w14:paraId="46605169" w14:textId="77777777" w:rsidR="00535BA7" w:rsidRPr="00DC6D3D" w:rsidRDefault="00535BA7" w:rsidP="004C1AB2">
      <w:pPr>
        <w:pStyle w:val="ListParagraph"/>
        <w:numPr>
          <w:ilvl w:val="0"/>
          <w:numId w:val="25"/>
        </w:numPr>
      </w:pPr>
      <w:r>
        <w:t>Report from the Ministry of Health (in accordance with Article 26(5)(1) of Government Law 50/1997 of 27 November 1997);</w:t>
      </w:r>
    </w:p>
    <w:p w14:paraId="782005FA" w14:textId="77777777" w:rsidR="00AE5667" w:rsidRPr="00DC6D3D" w:rsidRDefault="00AE5667" w:rsidP="00CF523F">
      <w:pPr>
        <w:pStyle w:val="ListParagraph"/>
        <w:rPr>
          <w:lang w:val="es-ES"/>
        </w:rPr>
      </w:pPr>
    </w:p>
    <w:p w14:paraId="7F924A0B" w14:textId="77777777" w:rsidR="00AE5667" w:rsidRPr="00DC6D3D" w:rsidRDefault="00AE5667" w:rsidP="00AE5667">
      <w:pPr>
        <w:pStyle w:val="ListParagraph"/>
        <w:numPr>
          <w:ilvl w:val="0"/>
          <w:numId w:val="25"/>
        </w:numPr>
      </w:pPr>
      <w:r>
        <w:t xml:space="preserve">Report from the Ministry of Industry, Trade and Tourism (in accordance with Article 26(5)(1) of Government Law 50/1997 of 27 November 1997); </w:t>
      </w:r>
    </w:p>
    <w:p w14:paraId="2A2F7C83" w14:textId="77777777" w:rsidR="00AE5667" w:rsidRPr="00DC6D3D" w:rsidRDefault="00AE5667" w:rsidP="00CF523F">
      <w:pPr>
        <w:pStyle w:val="ListParagraph"/>
        <w:rPr>
          <w:lang w:val="es-ES"/>
        </w:rPr>
      </w:pPr>
    </w:p>
    <w:p w14:paraId="7AC87272" w14:textId="77777777" w:rsidR="00AE5667" w:rsidRPr="00DC6D3D" w:rsidRDefault="00AE5667" w:rsidP="006D1287">
      <w:pPr>
        <w:pStyle w:val="ListParagraph"/>
        <w:numPr>
          <w:ilvl w:val="0"/>
          <w:numId w:val="25"/>
        </w:numPr>
      </w:pPr>
      <w:r>
        <w:t xml:space="preserve">Report from the Ministry of Agriculture, Fisheries and Food (in accordance with Article 26(5)(4) of Government Law 50/1997 of 27 November 1997). </w:t>
      </w:r>
    </w:p>
    <w:p w14:paraId="76DB7CD7" w14:textId="77777777" w:rsidR="003E2698" w:rsidRPr="00DC6D3D" w:rsidRDefault="003E2698" w:rsidP="0029552B">
      <w:pPr>
        <w:pStyle w:val="ListParagraph"/>
        <w:rPr>
          <w:lang w:val="es-ES"/>
        </w:rPr>
      </w:pPr>
    </w:p>
    <w:p w14:paraId="5D514701" w14:textId="77777777" w:rsidR="003E2698" w:rsidRPr="00DC6D3D" w:rsidRDefault="001005DA" w:rsidP="00B83362">
      <w:pPr>
        <w:pStyle w:val="ListParagraph"/>
        <w:ind w:left="0"/>
      </w:pPr>
      <w:r w:rsidRPr="00DC6D3D">
        <w:fldChar w:fldCharType="begin"/>
      </w:r>
      <w:r w:rsidRPr="00DC6D3D">
        <w:instrText xml:space="preserve"> REF _Ref39569974 \h  \* MERGEFORMAT </w:instrText>
      </w:r>
      <w:r w:rsidRPr="00DC6D3D">
        <w:fldChar w:fldCharType="separate"/>
      </w:r>
      <w:r w:rsidRPr="00DC6D3D">
        <w:t>Tabl</w:t>
      </w:r>
      <w:r w:rsidR="002E7D7A">
        <w:t>e</w:t>
      </w:r>
      <w:r w:rsidRPr="00DC6D3D">
        <w:t xml:space="preserve"> 1</w:t>
      </w:r>
      <w:r w:rsidRPr="00DC6D3D">
        <w:fldChar w:fldCharType="end"/>
      </w:r>
      <w:r w:rsidR="003E2698">
        <w:t xml:space="preserve"> summarises the responses and observations received from the General Technical Secretariats of the Ministries involved.</w:t>
      </w:r>
    </w:p>
    <w:p w14:paraId="121DD7CB" w14:textId="77777777" w:rsidR="001005DA" w:rsidRPr="00DC6D3D" w:rsidRDefault="001005DA" w:rsidP="00CF523F">
      <w:pPr>
        <w:pStyle w:val="ListParagraph"/>
        <w:ind w:left="0"/>
        <w:rPr>
          <w:lang w:val="es-ES"/>
        </w:rPr>
      </w:pPr>
    </w:p>
    <w:p w14:paraId="1DEC45D7" w14:textId="77777777" w:rsidR="0029552B" w:rsidRPr="00DC6D3D" w:rsidRDefault="003E2698" w:rsidP="00F4239E">
      <w:pPr>
        <w:pStyle w:val="Caption"/>
        <w:keepNext/>
        <w:spacing w:after="0"/>
        <w:jc w:val="center"/>
        <w:rPr>
          <w:b/>
          <w:bCs/>
          <w:color w:val="auto"/>
        </w:rPr>
      </w:pPr>
      <w:bookmarkStart w:id="0" w:name="_Ref39569974"/>
      <w:r>
        <w:rPr>
          <w:b/>
          <w:bCs/>
          <w:i w:val="0"/>
          <w:iCs w:val="0"/>
          <w:color w:val="auto"/>
        </w:rPr>
        <w:t xml:space="preserve">Table </w:t>
      </w:r>
      <w:r w:rsidRPr="00DC6D3D">
        <w:rPr>
          <w:b/>
          <w:bCs/>
          <w:i w:val="0"/>
          <w:iCs w:val="0"/>
          <w:color w:val="auto"/>
        </w:rPr>
        <w:fldChar w:fldCharType="begin"/>
      </w:r>
      <w:r w:rsidRPr="00DC6D3D">
        <w:rPr>
          <w:b/>
          <w:bCs/>
          <w:i w:val="0"/>
          <w:iCs w:val="0"/>
          <w:color w:val="auto"/>
        </w:rPr>
        <w:instrText xml:space="preserve"> SEQ Tabla \* ARABIC </w:instrText>
      </w:r>
      <w:r w:rsidRPr="00DC6D3D">
        <w:rPr>
          <w:b/>
          <w:bCs/>
          <w:i w:val="0"/>
          <w:iCs w:val="0"/>
          <w:color w:val="auto"/>
        </w:rPr>
        <w:fldChar w:fldCharType="separate"/>
      </w:r>
      <w:r w:rsidR="00EE5284" w:rsidRPr="00DC6D3D">
        <w:rPr>
          <w:b/>
          <w:bCs/>
          <w:i w:val="0"/>
          <w:iCs w:val="0"/>
          <w:color w:val="auto"/>
        </w:rPr>
        <w:t>1</w:t>
      </w:r>
      <w:r w:rsidRPr="00DC6D3D">
        <w:rPr>
          <w:b/>
          <w:bCs/>
          <w:i w:val="0"/>
          <w:iCs w:val="0"/>
          <w:color w:val="auto"/>
        </w:rPr>
        <w:fldChar w:fldCharType="end"/>
      </w:r>
      <w:bookmarkEnd w:id="0"/>
      <w:r>
        <w:rPr>
          <w:b/>
          <w:bCs/>
          <w:i w:val="0"/>
          <w:iCs w:val="0"/>
          <w:color w:val="auto"/>
        </w:rPr>
        <w:t>: Table of observations received from the General Technical Secretariats of the involved Ministries.</w:t>
      </w:r>
    </w:p>
    <w:tbl>
      <w:tblPr>
        <w:tblW w:w="88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432"/>
        <w:gridCol w:w="2410"/>
        <w:gridCol w:w="2976"/>
      </w:tblGrid>
      <w:tr w:rsidR="00567E99" w:rsidRPr="004E07EA" w14:paraId="589F2C6D" w14:textId="77777777" w:rsidTr="00DC6D3D">
        <w:tc>
          <w:tcPr>
            <w:tcW w:w="3432" w:type="dxa"/>
            <w:vAlign w:val="center"/>
          </w:tcPr>
          <w:p w14:paraId="0C3FFA56" w14:textId="77777777" w:rsidR="0029552B" w:rsidRPr="004E07EA" w:rsidRDefault="0029552B" w:rsidP="00F4239E">
            <w:pPr>
              <w:keepNext/>
              <w:spacing w:before="0"/>
              <w:jc w:val="center"/>
              <w:rPr>
                <w:rFonts w:cs="Arial"/>
                <w:b/>
                <w:spacing w:val="-4"/>
                <w:sz w:val="22"/>
                <w:szCs w:val="22"/>
              </w:rPr>
            </w:pPr>
            <w:r w:rsidRPr="004E07EA">
              <w:rPr>
                <w:b/>
                <w:spacing w:val="-4"/>
                <w:sz w:val="22"/>
                <w:szCs w:val="22"/>
              </w:rPr>
              <w:t>Body</w:t>
            </w:r>
          </w:p>
        </w:tc>
        <w:tc>
          <w:tcPr>
            <w:tcW w:w="2410" w:type="dxa"/>
            <w:vAlign w:val="center"/>
          </w:tcPr>
          <w:p w14:paraId="0D7375AF" w14:textId="77777777" w:rsidR="0029552B" w:rsidRPr="004E07EA" w:rsidRDefault="0029552B" w:rsidP="00F4239E">
            <w:pPr>
              <w:keepNext/>
              <w:spacing w:before="0"/>
              <w:jc w:val="center"/>
              <w:rPr>
                <w:rFonts w:cs="Arial"/>
                <w:b/>
                <w:spacing w:val="-4"/>
                <w:sz w:val="22"/>
                <w:szCs w:val="22"/>
              </w:rPr>
            </w:pPr>
            <w:r w:rsidRPr="004E07EA">
              <w:rPr>
                <w:b/>
                <w:spacing w:val="-4"/>
                <w:sz w:val="22"/>
                <w:szCs w:val="22"/>
              </w:rPr>
              <w:t>No observations (N/O)</w:t>
            </w:r>
          </w:p>
        </w:tc>
        <w:tc>
          <w:tcPr>
            <w:tcW w:w="2976" w:type="dxa"/>
            <w:vAlign w:val="center"/>
          </w:tcPr>
          <w:p w14:paraId="21767625" w14:textId="77777777" w:rsidR="0029552B" w:rsidRPr="004E07EA" w:rsidRDefault="0029552B" w:rsidP="00F4239E">
            <w:pPr>
              <w:keepNext/>
              <w:spacing w:before="0"/>
              <w:jc w:val="center"/>
              <w:rPr>
                <w:rFonts w:cs="Arial"/>
                <w:b/>
                <w:spacing w:val="-4"/>
                <w:sz w:val="22"/>
                <w:szCs w:val="22"/>
              </w:rPr>
            </w:pPr>
            <w:r w:rsidRPr="004E07EA">
              <w:rPr>
                <w:b/>
                <w:spacing w:val="-4"/>
                <w:sz w:val="22"/>
                <w:szCs w:val="22"/>
              </w:rPr>
              <w:t>Observations submitted</w:t>
            </w:r>
          </w:p>
        </w:tc>
      </w:tr>
      <w:tr w:rsidR="00567E99" w:rsidRPr="004E07EA" w14:paraId="75CB9CEF" w14:textId="77777777" w:rsidTr="00DC6D3D">
        <w:tc>
          <w:tcPr>
            <w:tcW w:w="3432" w:type="dxa"/>
            <w:tcMar>
              <w:top w:w="57" w:type="dxa"/>
              <w:bottom w:w="57" w:type="dxa"/>
            </w:tcMar>
            <w:vAlign w:val="center"/>
          </w:tcPr>
          <w:p w14:paraId="6D783A45" w14:textId="77777777" w:rsidR="0029552B" w:rsidRPr="004E07EA" w:rsidRDefault="0029552B" w:rsidP="00CF523F">
            <w:pPr>
              <w:spacing w:before="0"/>
              <w:rPr>
                <w:rFonts w:cs="Arial"/>
                <w:b/>
                <w:spacing w:val="-4"/>
                <w:sz w:val="22"/>
                <w:szCs w:val="22"/>
              </w:rPr>
            </w:pPr>
            <w:r w:rsidRPr="004E07EA">
              <w:rPr>
                <w:spacing w:val="-4"/>
                <w:sz w:val="22"/>
                <w:szCs w:val="22"/>
              </w:rPr>
              <w:t>Ministry of Territorial Policy and Public Administration</w:t>
            </w:r>
          </w:p>
        </w:tc>
        <w:tc>
          <w:tcPr>
            <w:tcW w:w="2410" w:type="dxa"/>
            <w:vAlign w:val="center"/>
          </w:tcPr>
          <w:p w14:paraId="38605FC1" w14:textId="77777777" w:rsidR="0029552B" w:rsidRPr="004E07EA" w:rsidRDefault="0029552B" w:rsidP="00CF523F">
            <w:pPr>
              <w:spacing w:before="0"/>
              <w:jc w:val="center"/>
              <w:rPr>
                <w:rFonts w:cs="Arial"/>
                <w:b/>
                <w:strike/>
                <w:spacing w:val="-4"/>
                <w:sz w:val="22"/>
                <w:szCs w:val="22"/>
                <w:highlight w:val="cyan"/>
              </w:rPr>
            </w:pPr>
          </w:p>
        </w:tc>
        <w:tc>
          <w:tcPr>
            <w:tcW w:w="2976" w:type="dxa"/>
            <w:vAlign w:val="center"/>
          </w:tcPr>
          <w:p w14:paraId="64463E29" w14:textId="77777777" w:rsidR="0029552B" w:rsidRPr="004E07EA" w:rsidRDefault="0029552B" w:rsidP="00CF523F">
            <w:pPr>
              <w:spacing w:before="0"/>
              <w:jc w:val="center"/>
              <w:rPr>
                <w:rFonts w:cs="Arial"/>
                <w:spacing w:val="-4"/>
                <w:sz w:val="22"/>
                <w:szCs w:val="22"/>
                <w:highlight w:val="cyan"/>
              </w:rPr>
            </w:pPr>
            <w:r w:rsidRPr="004E07EA">
              <w:rPr>
                <w:spacing w:val="-4"/>
                <w:sz w:val="22"/>
                <w:szCs w:val="22"/>
              </w:rPr>
              <w:t>X</w:t>
            </w:r>
          </w:p>
        </w:tc>
      </w:tr>
      <w:tr w:rsidR="00567E99" w:rsidRPr="004E07EA" w14:paraId="0E997643" w14:textId="77777777" w:rsidTr="00DC6D3D">
        <w:tc>
          <w:tcPr>
            <w:tcW w:w="3432" w:type="dxa"/>
            <w:tcMar>
              <w:top w:w="57" w:type="dxa"/>
              <w:bottom w:w="57" w:type="dxa"/>
            </w:tcMar>
            <w:vAlign w:val="center"/>
          </w:tcPr>
          <w:p w14:paraId="1F506833" w14:textId="77777777" w:rsidR="0029552B" w:rsidRPr="004E07EA" w:rsidRDefault="0029552B" w:rsidP="00CF523F">
            <w:pPr>
              <w:spacing w:before="0"/>
              <w:rPr>
                <w:rFonts w:cs="Arial"/>
                <w:spacing w:val="-4"/>
                <w:sz w:val="22"/>
                <w:szCs w:val="22"/>
              </w:rPr>
            </w:pPr>
            <w:r w:rsidRPr="004E07EA">
              <w:rPr>
                <w:spacing w:val="-4"/>
                <w:sz w:val="22"/>
                <w:szCs w:val="22"/>
              </w:rPr>
              <w:t>Ministry of Consumer Affairs</w:t>
            </w:r>
          </w:p>
        </w:tc>
        <w:tc>
          <w:tcPr>
            <w:tcW w:w="2410" w:type="dxa"/>
            <w:vAlign w:val="center"/>
          </w:tcPr>
          <w:p w14:paraId="6ABA2B3D" w14:textId="77777777" w:rsidR="0029552B" w:rsidRPr="004E07EA" w:rsidRDefault="0029552B" w:rsidP="00CF523F">
            <w:pPr>
              <w:spacing w:before="0"/>
              <w:jc w:val="center"/>
              <w:rPr>
                <w:rFonts w:cs="Arial"/>
                <w:strike/>
                <w:spacing w:val="-4"/>
                <w:highlight w:val="cyan"/>
              </w:rPr>
            </w:pPr>
          </w:p>
        </w:tc>
        <w:tc>
          <w:tcPr>
            <w:tcW w:w="2976" w:type="dxa"/>
            <w:vAlign w:val="center"/>
          </w:tcPr>
          <w:p w14:paraId="0319C4A4" w14:textId="77777777" w:rsidR="0029552B" w:rsidRPr="004E07EA" w:rsidRDefault="0029552B" w:rsidP="00CF523F">
            <w:pPr>
              <w:spacing w:before="0"/>
              <w:jc w:val="center"/>
              <w:rPr>
                <w:rFonts w:cs="Arial"/>
                <w:spacing w:val="-4"/>
                <w:sz w:val="22"/>
                <w:szCs w:val="22"/>
              </w:rPr>
            </w:pPr>
            <w:r w:rsidRPr="004E07EA">
              <w:rPr>
                <w:spacing w:val="-4"/>
                <w:sz w:val="22"/>
                <w:szCs w:val="22"/>
              </w:rPr>
              <w:t>X</w:t>
            </w:r>
          </w:p>
        </w:tc>
      </w:tr>
      <w:tr w:rsidR="00567E99" w:rsidRPr="004E07EA" w14:paraId="1B1F8BF3" w14:textId="77777777" w:rsidTr="00DC6D3D">
        <w:tc>
          <w:tcPr>
            <w:tcW w:w="3432" w:type="dxa"/>
            <w:tcMar>
              <w:top w:w="57" w:type="dxa"/>
              <w:bottom w:w="57" w:type="dxa"/>
            </w:tcMar>
            <w:vAlign w:val="center"/>
          </w:tcPr>
          <w:p w14:paraId="305AA20A" w14:textId="77777777" w:rsidR="0029552B" w:rsidRPr="004E07EA" w:rsidRDefault="0029552B" w:rsidP="00CF523F">
            <w:pPr>
              <w:spacing w:before="0"/>
              <w:rPr>
                <w:rFonts w:cs="Arial"/>
                <w:strike/>
                <w:spacing w:val="-4"/>
                <w:sz w:val="22"/>
                <w:szCs w:val="22"/>
              </w:rPr>
            </w:pPr>
            <w:r w:rsidRPr="004E07EA">
              <w:rPr>
                <w:spacing w:val="-4"/>
                <w:sz w:val="22"/>
                <w:szCs w:val="22"/>
              </w:rPr>
              <w:t>Ministry of Health</w:t>
            </w:r>
          </w:p>
        </w:tc>
        <w:tc>
          <w:tcPr>
            <w:tcW w:w="2410" w:type="dxa"/>
            <w:vAlign w:val="center"/>
          </w:tcPr>
          <w:p w14:paraId="20071EDE" w14:textId="77777777" w:rsidR="0029552B" w:rsidRPr="004E07EA" w:rsidRDefault="003E2698" w:rsidP="00CF523F">
            <w:pPr>
              <w:spacing w:before="0"/>
              <w:jc w:val="center"/>
              <w:rPr>
                <w:rFonts w:cs="Arial"/>
                <w:spacing w:val="-4"/>
                <w:highlight w:val="cyan"/>
              </w:rPr>
            </w:pPr>
            <w:r w:rsidRPr="004E07EA">
              <w:rPr>
                <w:spacing w:val="-4"/>
              </w:rPr>
              <w:t>N/O</w:t>
            </w:r>
          </w:p>
        </w:tc>
        <w:tc>
          <w:tcPr>
            <w:tcW w:w="2976" w:type="dxa"/>
            <w:vAlign w:val="center"/>
          </w:tcPr>
          <w:p w14:paraId="4C37FE31" w14:textId="77777777" w:rsidR="0029552B" w:rsidRPr="004E07EA" w:rsidRDefault="0029552B" w:rsidP="00CF523F">
            <w:pPr>
              <w:spacing w:before="0"/>
              <w:jc w:val="center"/>
              <w:rPr>
                <w:rFonts w:cs="Arial"/>
                <w:spacing w:val="-4"/>
                <w:sz w:val="22"/>
                <w:szCs w:val="22"/>
              </w:rPr>
            </w:pPr>
          </w:p>
        </w:tc>
      </w:tr>
      <w:tr w:rsidR="00567E99" w:rsidRPr="004E07EA" w14:paraId="18EBF497" w14:textId="77777777" w:rsidTr="00DC6D3D">
        <w:tc>
          <w:tcPr>
            <w:tcW w:w="3432" w:type="dxa"/>
            <w:tcMar>
              <w:top w:w="57" w:type="dxa"/>
              <w:bottom w:w="57" w:type="dxa"/>
            </w:tcMar>
            <w:vAlign w:val="center"/>
          </w:tcPr>
          <w:p w14:paraId="24489D34" w14:textId="77777777" w:rsidR="00AE5667" w:rsidRPr="004E07EA" w:rsidRDefault="00AE5667">
            <w:pPr>
              <w:spacing w:before="0"/>
              <w:rPr>
                <w:rFonts w:cs="Arial"/>
                <w:spacing w:val="-4"/>
                <w:sz w:val="22"/>
                <w:szCs w:val="22"/>
              </w:rPr>
            </w:pPr>
            <w:r w:rsidRPr="004E07EA">
              <w:rPr>
                <w:spacing w:val="-4"/>
                <w:sz w:val="22"/>
                <w:szCs w:val="22"/>
              </w:rPr>
              <w:t>Ministry of Industry, Trade and Tourism</w:t>
            </w:r>
          </w:p>
        </w:tc>
        <w:tc>
          <w:tcPr>
            <w:tcW w:w="2410" w:type="dxa"/>
            <w:vAlign w:val="center"/>
          </w:tcPr>
          <w:p w14:paraId="10C3A903" w14:textId="77777777" w:rsidR="00AE5667" w:rsidRPr="004E07EA" w:rsidRDefault="00AE5667">
            <w:pPr>
              <w:spacing w:before="0"/>
              <w:jc w:val="center"/>
              <w:rPr>
                <w:rFonts w:cs="Arial"/>
                <w:spacing w:val="-4"/>
              </w:rPr>
            </w:pPr>
          </w:p>
        </w:tc>
        <w:tc>
          <w:tcPr>
            <w:tcW w:w="2976" w:type="dxa"/>
            <w:vAlign w:val="center"/>
          </w:tcPr>
          <w:p w14:paraId="3D3798C1" w14:textId="77777777" w:rsidR="00AE5667" w:rsidRPr="004E07EA" w:rsidRDefault="007C166B">
            <w:pPr>
              <w:spacing w:before="0"/>
              <w:jc w:val="center"/>
              <w:rPr>
                <w:rFonts w:cs="Arial"/>
                <w:spacing w:val="-4"/>
                <w:sz w:val="22"/>
                <w:szCs w:val="22"/>
              </w:rPr>
            </w:pPr>
            <w:r w:rsidRPr="004E07EA">
              <w:rPr>
                <w:spacing w:val="-4"/>
                <w:sz w:val="22"/>
                <w:szCs w:val="22"/>
              </w:rPr>
              <w:t>X</w:t>
            </w:r>
          </w:p>
        </w:tc>
      </w:tr>
      <w:tr w:rsidR="00567E99" w:rsidRPr="004E07EA" w14:paraId="4822A5C7" w14:textId="77777777" w:rsidTr="00DC6D3D">
        <w:tc>
          <w:tcPr>
            <w:tcW w:w="3432" w:type="dxa"/>
            <w:tcMar>
              <w:top w:w="57" w:type="dxa"/>
              <w:bottom w:w="57" w:type="dxa"/>
            </w:tcMar>
            <w:vAlign w:val="center"/>
          </w:tcPr>
          <w:p w14:paraId="2F12FB7B" w14:textId="77777777" w:rsidR="00AE5667" w:rsidRPr="004E07EA" w:rsidRDefault="00AE5667">
            <w:pPr>
              <w:spacing w:before="0"/>
              <w:rPr>
                <w:rFonts w:cs="Arial"/>
                <w:spacing w:val="-4"/>
                <w:sz w:val="22"/>
                <w:szCs w:val="22"/>
              </w:rPr>
            </w:pPr>
            <w:r w:rsidRPr="004E07EA">
              <w:rPr>
                <w:spacing w:val="-4"/>
                <w:sz w:val="22"/>
                <w:szCs w:val="22"/>
              </w:rPr>
              <w:t>Ministry of Agriculture, Fisheries and Food</w:t>
            </w:r>
          </w:p>
        </w:tc>
        <w:tc>
          <w:tcPr>
            <w:tcW w:w="2410" w:type="dxa"/>
            <w:vAlign w:val="center"/>
          </w:tcPr>
          <w:p w14:paraId="0646611F" w14:textId="77777777" w:rsidR="00AE5667" w:rsidRPr="004E07EA" w:rsidRDefault="006D1287">
            <w:pPr>
              <w:spacing w:before="0"/>
              <w:jc w:val="center"/>
              <w:rPr>
                <w:rFonts w:cs="Arial"/>
                <w:spacing w:val="-4"/>
              </w:rPr>
            </w:pPr>
            <w:r w:rsidRPr="004E07EA">
              <w:rPr>
                <w:spacing w:val="-4"/>
              </w:rPr>
              <w:t>N/O</w:t>
            </w:r>
          </w:p>
        </w:tc>
        <w:tc>
          <w:tcPr>
            <w:tcW w:w="2976" w:type="dxa"/>
            <w:vAlign w:val="center"/>
          </w:tcPr>
          <w:p w14:paraId="5508A805" w14:textId="77777777" w:rsidR="00AE5667" w:rsidRPr="004E07EA" w:rsidRDefault="00AE5667">
            <w:pPr>
              <w:spacing w:before="0"/>
              <w:jc w:val="center"/>
              <w:rPr>
                <w:rFonts w:cs="Arial"/>
                <w:spacing w:val="-4"/>
                <w:sz w:val="22"/>
                <w:szCs w:val="22"/>
              </w:rPr>
            </w:pPr>
          </w:p>
        </w:tc>
      </w:tr>
    </w:tbl>
    <w:p w14:paraId="743E9496" w14:textId="77777777" w:rsidR="007C166B" w:rsidRPr="00DC6D3D" w:rsidRDefault="007C166B" w:rsidP="007C166B">
      <w:pPr>
        <w:pStyle w:val="Heading4"/>
        <w:numPr>
          <w:ilvl w:val="0"/>
          <w:numId w:val="0"/>
        </w:numPr>
        <w:rPr>
          <w:b/>
          <w:bCs w:val="0"/>
        </w:rPr>
      </w:pPr>
      <w:r>
        <w:rPr>
          <w:b/>
          <w:bCs w:val="0"/>
        </w:rPr>
        <w:t>3. Public hearing and information process.</w:t>
      </w:r>
    </w:p>
    <w:p w14:paraId="1FD741C5" w14:textId="77777777" w:rsidR="007C166B" w:rsidRPr="00DC6D3D" w:rsidRDefault="00C543BB" w:rsidP="00CF523F">
      <w:r>
        <w:t>During the processing of the regulation, the public hearing and information process enabled us to gather the observations of affected citizens and people whose lawful rights and interests could be affected, as well as any additional contributions that may be made by other people and entities, in accordance with Article 26(6) of Government Law 50/1997 of 27 November 1997.</w:t>
      </w:r>
    </w:p>
    <w:p w14:paraId="2002DF09" w14:textId="77777777" w:rsidR="00C543BB" w:rsidRPr="00DC6D3D" w:rsidRDefault="00C543BB" w:rsidP="00C543BB">
      <w:r>
        <w:t xml:space="preserve">This public hearing and information process </w:t>
      </w:r>
      <w:proofErr w:type="gramStart"/>
      <w:r>
        <w:t>was</w:t>
      </w:r>
      <w:proofErr w:type="gramEnd"/>
      <w:r>
        <w:t xml:space="preserve"> open for the submission of observations through the website of the Ministry of Agriculture, Fisheries and Food from 13 February 2020 to 5 March 2020 (both inclusive).</w:t>
      </w:r>
    </w:p>
    <w:p w14:paraId="29332627" w14:textId="77777777" w:rsidR="00AA2DCC" w:rsidRPr="00DC6D3D" w:rsidRDefault="00AA2DCC" w:rsidP="00F4239E">
      <w:pPr>
        <w:keepNext/>
      </w:pPr>
      <w:r>
        <w:lastRenderedPageBreak/>
        <w:t>The people and entities that issued observations, as part of their participation in the public hearing and information process, through the website of the Ministry of Agriculture, Fisheries and Food are included in the following list:</w:t>
      </w:r>
    </w:p>
    <w:p w14:paraId="2A4B5D64" w14:textId="77777777" w:rsidR="00AA2DCC" w:rsidRPr="002E7D7A" w:rsidRDefault="00AA2DCC" w:rsidP="00AA2DCC">
      <w:pPr>
        <w:pStyle w:val="ListParagraph"/>
        <w:numPr>
          <w:ilvl w:val="0"/>
          <w:numId w:val="26"/>
        </w:numPr>
        <w:rPr>
          <w:lang w:val="pt-PT"/>
        </w:rPr>
      </w:pPr>
      <w:r w:rsidRPr="002E7D7A">
        <w:rPr>
          <w:lang w:val="pt-PT"/>
        </w:rPr>
        <w:t>KEL Grupo Alimentario S.L.</w:t>
      </w:r>
    </w:p>
    <w:p w14:paraId="284A9A26" w14:textId="77777777" w:rsidR="00AA2DCC" w:rsidRPr="00DC6D3D" w:rsidRDefault="00AA2DCC" w:rsidP="00AA2DCC">
      <w:pPr>
        <w:pStyle w:val="ListParagraph"/>
        <w:numPr>
          <w:ilvl w:val="0"/>
          <w:numId w:val="26"/>
        </w:numPr>
      </w:pPr>
      <w:proofErr w:type="spellStart"/>
      <w:r>
        <w:t>Asociación</w:t>
      </w:r>
      <w:proofErr w:type="spellEnd"/>
      <w:r>
        <w:t xml:space="preserve"> </w:t>
      </w:r>
      <w:proofErr w:type="spellStart"/>
      <w:r>
        <w:t>QvExtra</w:t>
      </w:r>
      <w:proofErr w:type="spellEnd"/>
      <w:r>
        <w:t>!</w:t>
      </w:r>
    </w:p>
    <w:p w14:paraId="51086EF5" w14:textId="77777777" w:rsidR="00AA2DCC" w:rsidRPr="00DC6D3D" w:rsidRDefault="00AA2DCC" w:rsidP="00AA2DCC">
      <w:pPr>
        <w:pStyle w:val="ListParagraph"/>
        <w:numPr>
          <w:ilvl w:val="0"/>
          <w:numId w:val="26"/>
        </w:numPr>
      </w:pPr>
      <w:r>
        <w:t>ES ANDALUCÍA (Co-op Association) and COAG ANDALUCÍA</w:t>
      </w:r>
    </w:p>
    <w:p w14:paraId="4B958DF6" w14:textId="77777777" w:rsidR="00AA2DCC" w:rsidRPr="00DC6D3D" w:rsidRDefault="00AA2DCC" w:rsidP="00AA2DCC">
      <w:pPr>
        <w:pStyle w:val="ListParagraph"/>
        <w:numPr>
          <w:ilvl w:val="0"/>
          <w:numId w:val="26"/>
        </w:numPr>
      </w:pPr>
      <w:proofErr w:type="spellStart"/>
      <w:r>
        <w:t>Aceites</w:t>
      </w:r>
      <w:proofErr w:type="spellEnd"/>
      <w:r>
        <w:t xml:space="preserve"> San-Lau S.L. and </w:t>
      </w:r>
      <w:proofErr w:type="spellStart"/>
      <w:r>
        <w:t>Aceites</w:t>
      </w:r>
      <w:proofErr w:type="spellEnd"/>
      <w:r>
        <w:t xml:space="preserve"> </w:t>
      </w:r>
      <w:proofErr w:type="spellStart"/>
      <w:r>
        <w:t>Triana</w:t>
      </w:r>
      <w:proofErr w:type="spellEnd"/>
      <w:r>
        <w:t xml:space="preserve"> S.L.</w:t>
      </w:r>
    </w:p>
    <w:p w14:paraId="4373F1DB" w14:textId="77777777" w:rsidR="00AA2DCC" w:rsidRPr="00DC6D3D" w:rsidRDefault="00AA2DCC" w:rsidP="00AA2DCC">
      <w:pPr>
        <w:pStyle w:val="ListParagraph"/>
        <w:numPr>
          <w:ilvl w:val="0"/>
          <w:numId w:val="26"/>
        </w:numPr>
      </w:pPr>
      <w:r>
        <w:t>FECOAM</w:t>
      </w:r>
    </w:p>
    <w:p w14:paraId="52123014" w14:textId="77777777" w:rsidR="00AA2DCC" w:rsidRPr="002E7D7A" w:rsidRDefault="00AA2DCC" w:rsidP="00AA2DCC">
      <w:pPr>
        <w:pStyle w:val="ListParagraph"/>
        <w:numPr>
          <w:ilvl w:val="0"/>
          <w:numId w:val="26"/>
        </w:numPr>
        <w:rPr>
          <w:lang w:val="pt-PT"/>
        </w:rPr>
      </w:pPr>
      <w:r w:rsidRPr="002E7D7A">
        <w:rPr>
          <w:lang w:val="pt-PT"/>
        </w:rPr>
        <w:t>Instituto de la Grasa (CSIC)</w:t>
      </w:r>
    </w:p>
    <w:p w14:paraId="1ECB6116" w14:textId="77777777" w:rsidR="00AA2DCC" w:rsidRPr="00DC6D3D" w:rsidRDefault="00AA2DCC" w:rsidP="000D6E76">
      <w:pPr>
        <w:pStyle w:val="ListParagraph"/>
        <w:numPr>
          <w:ilvl w:val="0"/>
          <w:numId w:val="26"/>
        </w:numPr>
      </w:pPr>
      <w:proofErr w:type="spellStart"/>
      <w:r>
        <w:t>Laboratorio</w:t>
      </w:r>
      <w:proofErr w:type="spellEnd"/>
      <w:r>
        <w:t xml:space="preserve"> </w:t>
      </w:r>
      <w:proofErr w:type="spellStart"/>
      <w:r>
        <w:t>Marcé</w:t>
      </w:r>
      <w:proofErr w:type="spellEnd"/>
      <w:r>
        <w:t>.</w:t>
      </w:r>
    </w:p>
    <w:p w14:paraId="7B583918" w14:textId="77777777" w:rsidR="00676019" w:rsidRPr="004E07EA" w:rsidRDefault="00AA2DCC" w:rsidP="00493B24">
      <w:pPr>
        <w:pStyle w:val="Heading4"/>
        <w:numPr>
          <w:ilvl w:val="0"/>
          <w:numId w:val="0"/>
        </w:numPr>
        <w:rPr>
          <w:b/>
          <w:bCs w:val="0"/>
          <w:spacing w:val="-4"/>
        </w:rPr>
      </w:pPr>
      <w:r w:rsidRPr="004E07EA">
        <w:rPr>
          <w:b/>
          <w:bCs w:val="0"/>
          <w:spacing w:val="-4"/>
          <w:u w:val="none"/>
        </w:rPr>
        <w:t xml:space="preserve">4. </w:t>
      </w:r>
      <w:r w:rsidRPr="004E07EA">
        <w:rPr>
          <w:b/>
          <w:bCs w:val="0"/>
          <w:spacing w:val="-4"/>
        </w:rPr>
        <w:t>Hearing procedure for representative organisations of the affected sectors</w:t>
      </w:r>
    </w:p>
    <w:p w14:paraId="02933F17" w14:textId="77777777" w:rsidR="00B83362" w:rsidRPr="00DC6D3D" w:rsidRDefault="00477E0F" w:rsidP="00B83362">
      <w:r>
        <w:t>During the processing of the regulation, the public hearing and information process also enabled us to gather the observations of the representative organisations of the affected sector, in accordance with Article 26(6) of Government Law 50/1997 of 27 November 1997.</w:t>
      </w:r>
    </w:p>
    <w:p w14:paraId="65E80216" w14:textId="77777777" w:rsidR="00AA2DCC" w:rsidRPr="00DC6D3D" w:rsidRDefault="00AA2DCC" w:rsidP="00B83362">
      <w:r>
        <w:t>This enabled us to directly obtain the opinions of legally-recognised organisations or associations that group together or represent people whose lawful rights or interests are affected by the regulation and whose purposes relate directly to that of this regulation.</w:t>
      </w:r>
    </w:p>
    <w:p w14:paraId="10A4F0B2" w14:textId="77777777" w:rsidR="00C163C4" w:rsidRPr="00DC6D3D" w:rsidRDefault="00C163C4" w:rsidP="00F4239E">
      <w:pPr>
        <w:keepNext/>
      </w:pPr>
      <w:r>
        <w:t>The sector organisations that submitted observations in response to this consultation are given in the following list:</w:t>
      </w:r>
    </w:p>
    <w:p w14:paraId="22B299F5" w14:textId="77777777" w:rsidR="00EE2FE4" w:rsidRPr="00DC6D3D" w:rsidRDefault="00EE2FE4" w:rsidP="00C163C4">
      <w:pPr>
        <w:pStyle w:val="ListParagraph"/>
        <w:numPr>
          <w:ilvl w:val="0"/>
          <w:numId w:val="26"/>
        </w:numPr>
      </w:pPr>
      <w:r>
        <w:t xml:space="preserve">COAG </w:t>
      </w:r>
      <w:proofErr w:type="spellStart"/>
      <w:r>
        <w:t>Servicios</w:t>
      </w:r>
      <w:proofErr w:type="spellEnd"/>
      <w:r>
        <w:t xml:space="preserve"> </w:t>
      </w:r>
      <w:proofErr w:type="spellStart"/>
      <w:r>
        <w:t>Centrales</w:t>
      </w:r>
      <w:proofErr w:type="spellEnd"/>
    </w:p>
    <w:p w14:paraId="38C915CF" w14:textId="77777777" w:rsidR="00EE2FE4" w:rsidRPr="00DC6D3D" w:rsidRDefault="00EE2FE4" w:rsidP="00C163C4">
      <w:pPr>
        <w:pStyle w:val="ListParagraph"/>
        <w:numPr>
          <w:ilvl w:val="0"/>
          <w:numId w:val="26"/>
        </w:numPr>
      </w:pPr>
      <w:proofErr w:type="spellStart"/>
      <w:r>
        <w:t>Cooperativas</w:t>
      </w:r>
      <w:proofErr w:type="spellEnd"/>
      <w:r>
        <w:t xml:space="preserve"> </w:t>
      </w:r>
      <w:proofErr w:type="spellStart"/>
      <w:r>
        <w:t>Agroalimentarias</w:t>
      </w:r>
      <w:proofErr w:type="spellEnd"/>
      <w:r>
        <w:t xml:space="preserve"> de </w:t>
      </w:r>
      <w:proofErr w:type="spellStart"/>
      <w:r>
        <w:t>España</w:t>
      </w:r>
      <w:proofErr w:type="spellEnd"/>
    </w:p>
    <w:p w14:paraId="15567CD2" w14:textId="77777777" w:rsidR="00AB52F8" w:rsidRPr="00DC6D3D" w:rsidRDefault="00AB52F8" w:rsidP="004C46D6">
      <w:pPr>
        <w:pStyle w:val="ListParagraph"/>
        <w:numPr>
          <w:ilvl w:val="0"/>
          <w:numId w:val="26"/>
        </w:numPr>
      </w:pPr>
      <w:r>
        <w:t>ANEO-INFAOLIVA-ANIERAC-ASOLIVA</w:t>
      </w:r>
    </w:p>
    <w:p w14:paraId="31FF36DE" w14:textId="77777777" w:rsidR="00F71415" w:rsidRPr="00DC6D3D" w:rsidRDefault="001C60C7" w:rsidP="00C163C4">
      <w:pPr>
        <w:pStyle w:val="ListParagraph"/>
        <w:numPr>
          <w:ilvl w:val="0"/>
          <w:numId w:val="26"/>
        </w:numPr>
      </w:pPr>
      <w:proofErr w:type="spellStart"/>
      <w:r>
        <w:t>Almazaras</w:t>
      </w:r>
      <w:proofErr w:type="spellEnd"/>
      <w:r>
        <w:t xml:space="preserve"> </w:t>
      </w:r>
      <w:proofErr w:type="spellStart"/>
      <w:r>
        <w:t>Federadas</w:t>
      </w:r>
      <w:proofErr w:type="spellEnd"/>
      <w:r>
        <w:t xml:space="preserve"> de </w:t>
      </w:r>
      <w:proofErr w:type="spellStart"/>
      <w:r>
        <w:t>España</w:t>
      </w:r>
      <w:proofErr w:type="spellEnd"/>
    </w:p>
    <w:p w14:paraId="26E8AD6E" w14:textId="77777777" w:rsidR="001C60C7" w:rsidRPr="00DC6D3D" w:rsidRDefault="001C60C7" w:rsidP="00C163C4">
      <w:pPr>
        <w:pStyle w:val="ListParagraph"/>
        <w:numPr>
          <w:ilvl w:val="0"/>
          <w:numId w:val="26"/>
        </w:numPr>
      </w:pPr>
      <w:r>
        <w:t>UPA</w:t>
      </w:r>
    </w:p>
    <w:p w14:paraId="47521314" w14:textId="77777777" w:rsidR="00C163C4" w:rsidRPr="002E7D7A" w:rsidRDefault="001C60C7">
      <w:pPr>
        <w:pStyle w:val="ListParagraph"/>
        <w:numPr>
          <w:ilvl w:val="0"/>
          <w:numId w:val="26"/>
        </w:numPr>
        <w:rPr>
          <w:lang w:val="pt-PT"/>
        </w:rPr>
      </w:pPr>
      <w:r w:rsidRPr="002E7D7A">
        <w:rPr>
          <w:lang w:val="pt-PT"/>
        </w:rPr>
        <w:t>Sectorial Nacional del Aceite de Oliva Virgen con Denominación de Origen.</w:t>
      </w:r>
    </w:p>
    <w:p w14:paraId="32B2AFFF" w14:textId="77777777" w:rsidR="00676019" w:rsidRPr="00DC6D3D" w:rsidRDefault="00F71147" w:rsidP="00676019">
      <w:pPr>
        <w:pStyle w:val="Heading4"/>
        <w:numPr>
          <w:ilvl w:val="0"/>
          <w:numId w:val="0"/>
        </w:numPr>
        <w:spacing w:before="480"/>
        <w:ind w:left="864" w:hanging="864"/>
        <w:rPr>
          <w:b/>
          <w:bCs w:val="0"/>
        </w:rPr>
      </w:pPr>
      <w:r>
        <w:rPr>
          <w:b/>
          <w:bCs w:val="0"/>
          <w:u w:val="none"/>
        </w:rPr>
        <w:t xml:space="preserve">5. </w:t>
      </w:r>
      <w:r>
        <w:rPr>
          <w:b/>
          <w:bCs w:val="0"/>
        </w:rPr>
        <w:t>Autonomous Community information process</w:t>
      </w:r>
    </w:p>
    <w:p w14:paraId="0C16994A" w14:textId="77777777" w:rsidR="00873C4F" w:rsidRPr="00DC6D3D" w:rsidRDefault="00873C4F" w:rsidP="00873C4F">
      <w:r>
        <w:t>During the processing of the regulation, the Autonomous Communities were also consulted on the text of the draft Royal Decree, in accordance with Article 3(1)(k) of Law 40/2015 of 1 October 2015 on the public sector legal system and with Article 26 of Government Law 50/1997 of 27 November 1997.</w:t>
      </w:r>
    </w:p>
    <w:p w14:paraId="5A036294" w14:textId="77777777" w:rsidR="00691B32" w:rsidRPr="00DC6D3D" w:rsidRDefault="00916B80" w:rsidP="00691B32">
      <w:pPr>
        <w:pStyle w:val="ListParagraph"/>
        <w:ind w:left="0"/>
      </w:pPr>
      <w:r w:rsidRPr="00DC6D3D">
        <w:fldChar w:fldCharType="begin"/>
      </w:r>
      <w:r w:rsidRPr="00DC6D3D">
        <w:instrText xml:space="preserve"> REF _Ref39575335 \h  \* MERGEFORMAT </w:instrText>
      </w:r>
      <w:r w:rsidRPr="00DC6D3D">
        <w:fldChar w:fldCharType="separate"/>
      </w:r>
      <w:r w:rsidRPr="00DC6D3D">
        <w:t>Tabl</w:t>
      </w:r>
      <w:r w:rsidR="002E7D7A">
        <w:t>e</w:t>
      </w:r>
      <w:r w:rsidRPr="00DC6D3D">
        <w:t xml:space="preserve"> 2</w:t>
      </w:r>
      <w:r w:rsidRPr="00DC6D3D">
        <w:fldChar w:fldCharType="end"/>
      </w:r>
      <w:r w:rsidR="00691B32">
        <w:t xml:space="preserve"> summarises the observations received from the Autonomous Communities that submitted a response.</w:t>
      </w:r>
    </w:p>
    <w:p w14:paraId="4EE9B888" w14:textId="77777777" w:rsidR="00691B32" w:rsidRPr="00DC6D3D" w:rsidRDefault="00691B32" w:rsidP="00691B32">
      <w:pPr>
        <w:pStyle w:val="ListParagraph"/>
        <w:ind w:left="0"/>
        <w:rPr>
          <w:lang w:val="es-ES"/>
        </w:rPr>
      </w:pPr>
    </w:p>
    <w:p w14:paraId="77592167" w14:textId="77777777" w:rsidR="00691B32" w:rsidRPr="00DC6D3D" w:rsidRDefault="007E3730" w:rsidP="00F4239E">
      <w:pPr>
        <w:pStyle w:val="Caption"/>
        <w:keepNext/>
        <w:spacing w:after="0"/>
        <w:jc w:val="center"/>
        <w:rPr>
          <w:b/>
          <w:bCs/>
          <w:color w:val="auto"/>
        </w:rPr>
      </w:pPr>
      <w:bookmarkStart w:id="1" w:name="_Ref39575335"/>
      <w:r>
        <w:rPr>
          <w:b/>
          <w:bCs/>
          <w:i w:val="0"/>
          <w:iCs w:val="0"/>
          <w:color w:val="auto"/>
        </w:rPr>
        <w:t xml:space="preserve">Table </w:t>
      </w:r>
      <w:r w:rsidRPr="00DC6D3D">
        <w:rPr>
          <w:b/>
          <w:bCs/>
          <w:i w:val="0"/>
          <w:iCs w:val="0"/>
          <w:color w:val="auto"/>
        </w:rPr>
        <w:fldChar w:fldCharType="begin"/>
      </w:r>
      <w:r w:rsidRPr="00DC6D3D">
        <w:rPr>
          <w:b/>
          <w:bCs/>
          <w:i w:val="0"/>
          <w:iCs w:val="0"/>
          <w:color w:val="auto"/>
        </w:rPr>
        <w:instrText xml:space="preserve"> SEQ Tabla \* ARABIC </w:instrText>
      </w:r>
      <w:r w:rsidRPr="00DC6D3D">
        <w:rPr>
          <w:b/>
          <w:bCs/>
          <w:i w:val="0"/>
          <w:iCs w:val="0"/>
          <w:color w:val="auto"/>
        </w:rPr>
        <w:fldChar w:fldCharType="separate"/>
      </w:r>
      <w:r w:rsidR="00EE5284" w:rsidRPr="00DC6D3D">
        <w:rPr>
          <w:b/>
          <w:bCs/>
          <w:i w:val="0"/>
          <w:iCs w:val="0"/>
          <w:color w:val="auto"/>
        </w:rPr>
        <w:t>2</w:t>
      </w:r>
      <w:r w:rsidRPr="00DC6D3D">
        <w:rPr>
          <w:b/>
          <w:bCs/>
          <w:i w:val="0"/>
          <w:iCs w:val="0"/>
          <w:color w:val="auto"/>
        </w:rPr>
        <w:fldChar w:fldCharType="end"/>
      </w:r>
      <w:bookmarkEnd w:id="1"/>
      <w:r>
        <w:rPr>
          <w:b/>
          <w:bCs/>
          <w:i w:val="0"/>
          <w:iCs w:val="0"/>
          <w:color w:val="auto"/>
        </w:rPr>
        <w:t>: Table of observations received from the Autonomous Communities.</w:t>
      </w:r>
    </w:p>
    <w:tbl>
      <w:tblPr>
        <w:tblW w:w="88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432"/>
        <w:gridCol w:w="2410"/>
        <w:gridCol w:w="2976"/>
      </w:tblGrid>
      <w:tr w:rsidR="00567E99" w:rsidRPr="004E07EA" w14:paraId="2930C8C4" w14:textId="77777777" w:rsidTr="00DC6D3D">
        <w:tc>
          <w:tcPr>
            <w:tcW w:w="3432" w:type="dxa"/>
            <w:vAlign w:val="center"/>
          </w:tcPr>
          <w:p w14:paraId="3163711E" w14:textId="77777777" w:rsidR="00691B32" w:rsidRPr="004E07EA" w:rsidRDefault="007E3730" w:rsidP="00F4239E">
            <w:pPr>
              <w:keepNext/>
              <w:spacing w:before="0"/>
              <w:jc w:val="center"/>
              <w:rPr>
                <w:rFonts w:cs="Arial"/>
                <w:b/>
                <w:spacing w:val="-4"/>
                <w:sz w:val="22"/>
                <w:szCs w:val="22"/>
              </w:rPr>
            </w:pPr>
            <w:r w:rsidRPr="004E07EA">
              <w:rPr>
                <w:b/>
                <w:spacing w:val="-4"/>
                <w:sz w:val="22"/>
                <w:szCs w:val="22"/>
              </w:rPr>
              <w:t>Autonomous Community</w:t>
            </w:r>
          </w:p>
        </w:tc>
        <w:tc>
          <w:tcPr>
            <w:tcW w:w="2410" w:type="dxa"/>
            <w:vAlign w:val="center"/>
          </w:tcPr>
          <w:p w14:paraId="4EF759C0" w14:textId="77777777" w:rsidR="00691B32" w:rsidRPr="004E07EA" w:rsidRDefault="00691B32" w:rsidP="00F4239E">
            <w:pPr>
              <w:keepNext/>
              <w:spacing w:before="0"/>
              <w:jc w:val="center"/>
              <w:rPr>
                <w:rFonts w:cs="Arial"/>
                <w:b/>
                <w:spacing w:val="-4"/>
                <w:sz w:val="22"/>
                <w:szCs w:val="22"/>
              </w:rPr>
            </w:pPr>
            <w:r w:rsidRPr="004E07EA">
              <w:rPr>
                <w:b/>
                <w:spacing w:val="-4"/>
                <w:sz w:val="22"/>
                <w:szCs w:val="22"/>
              </w:rPr>
              <w:t>No observations (N/O)</w:t>
            </w:r>
          </w:p>
        </w:tc>
        <w:tc>
          <w:tcPr>
            <w:tcW w:w="2976" w:type="dxa"/>
            <w:vAlign w:val="center"/>
          </w:tcPr>
          <w:p w14:paraId="023AEA07" w14:textId="77777777" w:rsidR="00691B32" w:rsidRPr="004E07EA" w:rsidRDefault="00691B32" w:rsidP="00F4239E">
            <w:pPr>
              <w:keepNext/>
              <w:spacing w:before="0"/>
              <w:jc w:val="center"/>
              <w:rPr>
                <w:rFonts w:cs="Arial"/>
                <w:b/>
                <w:spacing w:val="-4"/>
                <w:sz w:val="22"/>
                <w:szCs w:val="22"/>
              </w:rPr>
            </w:pPr>
            <w:r w:rsidRPr="004E07EA">
              <w:rPr>
                <w:b/>
                <w:spacing w:val="-4"/>
                <w:sz w:val="22"/>
                <w:szCs w:val="22"/>
              </w:rPr>
              <w:t>Observations submitted</w:t>
            </w:r>
          </w:p>
        </w:tc>
      </w:tr>
      <w:tr w:rsidR="00567E99" w:rsidRPr="004E07EA" w14:paraId="2D4F6B6D" w14:textId="77777777" w:rsidTr="00DC6D3D">
        <w:tc>
          <w:tcPr>
            <w:tcW w:w="3432" w:type="dxa"/>
            <w:tcMar>
              <w:top w:w="57" w:type="dxa"/>
              <w:bottom w:w="57" w:type="dxa"/>
            </w:tcMar>
            <w:vAlign w:val="center"/>
          </w:tcPr>
          <w:p w14:paraId="4F92BFDA" w14:textId="77777777" w:rsidR="00691B32" w:rsidRPr="004E07EA" w:rsidRDefault="00916B80" w:rsidP="000951E1">
            <w:pPr>
              <w:spacing w:before="0"/>
              <w:rPr>
                <w:rFonts w:cs="Arial"/>
                <w:bCs/>
                <w:spacing w:val="-4"/>
                <w:sz w:val="22"/>
                <w:szCs w:val="22"/>
              </w:rPr>
            </w:pPr>
            <w:r w:rsidRPr="004E07EA">
              <w:rPr>
                <w:bCs/>
                <w:spacing w:val="-4"/>
                <w:sz w:val="22"/>
                <w:szCs w:val="22"/>
              </w:rPr>
              <w:t>Autonomous Community of Madrid</w:t>
            </w:r>
          </w:p>
        </w:tc>
        <w:tc>
          <w:tcPr>
            <w:tcW w:w="2410" w:type="dxa"/>
            <w:vAlign w:val="center"/>
          </w:tcPr>
          <w:p w14:paraId="4BD6E4F6" w14:textId="77777777" w:rsidR="00691B32" w:rsidRPr="004E07EA" w:rsidRDefault="00691B32" w:rsidP="000951E1">
            <w:pPr>
              <w:spacing w:before="0"/>
              <w:jc w:val="center"/>
              <w:rPr>
                <w:rFonts w:cs="Arial"/>
                <w:bCs/>
                <w:strike/>
                <w:spacing w:val="-4"/>
                <w:sz w:val="22"/>
                <w:szCs w:val="22"/>
                <w:highlight w:val="cyan"/>
              </w:rPr>
            </w:pPr>
          </w:p>
        </w:tc>
        <w:tc>
          <w:tcPr>
            <w:tcW w:w="2976" w:type="dxa"/>
            <w:vAlign w:val="center"/>
          </w:tcPr>
          <w:p w14:paraId="0E1A983F" w14:textId="77777777" w:rsidR="00691B32" w:rsidRPr="004E07EA" w:rsidRDefault="00691B32" w:rsidP="000951E1">
            <w:pPr>
              <w:spacing w:before="0"/>
              <w:jc w:val="center"/>
              <w:rPr>
                <w:rFonts w:cs="Arial"/>
                <w:bCs/>
                <w:spacing w:val="-4"/>
                <w:sz w:val="22"/>
                <w:szCs w:val="22"/>
                <w:highlight w:val="cyan"/>
              </w:rPr>
            </w:pPr>
            <w:r w:rsidRPr="004E07EA">
              <w:rPr>
                <w:bCs/>
                <w:spacing w:val="-4"/>
                <w:sz w:val="22"/>
                <w:szCs w:val="22"/>
              </w:rPr>
              <w:t>X</w:t>
            </w:r>
          </w:p>
        </w:tc>
      </w:tr>
      <w:tr w:rsidR="00567E99" w:rsidRPr="004E07EA" w14:paraId="32B13ACB" w14:textId="77777777" w:rsidTr="00DC6D3D">
        <w:tc>
          <w:tcPr>
            <w:tcW w:w="3432" w:type="dxa"/>
            <w:tcMar>
              <w:top w:w="57" w:type="dxa"/>
              <w:bottom w:w="57" w:type="dxa"/>
            </w:tcMar>
            <w:vAlign w:val="center"/>
          </w:tcPr>
          <w:p w14:paraId="5AD8F376" w14:textId="77777777" w:rsidR="00691B32" w:rsidRPr="004E07EA" w:rsidRDefault="00916B80" w:rsidP="000951E1">
            <w:pPr>
              <w:spacing w:before="0"/>
              <w:rPr>
                <w:rFonts w:cs="Arial"/>
                <w:spacing w:val="-4"/>
                <w:sz w:val="22"/>
                <w:szCs w:val="22"/>
              </w:rPr>
            </w:pPr>
            <w:r w:rsidRPr="004E07EA">
              <w:rPr>
                <w:spacing w:val="-4"/>
                <w:sz w:val="22"/>
                <w:szCs w:val="22"/>
              </w:rPr>
              <w:t>Autonomous Community of Catalonia</w:t>
            </w:r>
          </w:p>
        </w:tc>
        <w:tc>
          <w:tcPr>
            <w:tcW w:w="2410" w:type="dxa"/>
            <w:vAlign w:val="center"/>
          </w:tcPr>
          <w:p w14:paraId="5000DEEA" w14:textId="77777777" w:rsidR="00691B32" w:rsidRPr="004E07EA" w:rsidRDefault="00916B80" w:rsidP="000951E1">
            <w:pPr>
              <w:spacing w:before="0"/>
              <w:jc w:val="center"/>
              <w:rPr>
                <w:rFonts w:cs="Arial"/>
                <w:spacing w:val="-4"/>
                <w:highlight w:val="cyan"/>
              </w:rPr>
            </w:pPr>
            <w:r w:rsidRPr="004E07EA">
              <w:rPr>
                <w:spacing w:val="-4"/>
              </w:rPr>
              <w:t>N/O</w:t>
            </w:r>
          </w:p>
        </w:tc>
        <w:tc>
          <w:tcPr>
            <w:tcW w:w="2976" w:type="dxa"/>
            <w:vAlign w:val="center"/>
          </w:tcPr>
          <w:p w14:paraId="4C74AA2C" w14:textId="77777777" w:rsidR="00691B32" w:rsidRPr="004E07EA" w:rsidRDefault="00691B32" w:rsidP="000951E1">
            <w:pPr>
              <w:spacing w:before="0"/>
              <w:jc w:val="center"/>
              <w:rPr>
                <w:rFonts w:cs="Arial"/>
                <w:spacing w:val="-4"/>
                <w:sz w:val="22"/>
                <w:szCs w:val="22"/>
              </w:rPr>
            </w:pPr>
          </w:p>
        </w:tc>
      </w:tr>
      <w:tr w:rsidR="00567E99" w:rsidRPr="004E07EA" w14:paraId="6327C046" w14:textId="77777777" w:rsidTr="00DC6D3D">
        <w:tc>
          <w:tcPr>
            <w:tcW w:w="3432" w:type="dxa"/>
            <w:tcMar>
              <w:top w:w="57" w:type="dxa"/>
              <w:bottom w:w="57" w:type="dxa"/>
            </w:tcMar>
            <w:vAlign w:val="center"/>
          </w:tcPr>
          <w:p w14:paraId="54294B4C" w14:textId="77777777" w:rsidR="00691B32" w:rsidRPr="004E07EA" w:rsidRDefault="00916B80" w:rsidP="000951E1">
            <w:pPr>
              <w:spacing w:before="0"/>
              <w:rPr>
                <w:rFonts w:cs="Arial"/>
                <w:strike/>
                <w:spacing w:val="-4"/>
                <w:sz w:val="22"/>
                <w:szCs w:val="22"/>
              </w:rPr>
            </w:pPr>
            <w:r w:rsidRPr="004E07EA">
              <w:rPr>
                <w:bCs/>
                <w:spacing w:val="-4"/>
                <w:sz w:val="22"/>
                <w:szCs w:val="22"/>
              </w:rPr>
              <w:lastRenderedPageBreak/>
              <w:t>Autonomous Community of Aragon</w:t>
            </w:r>
          </w:p>
        </w:tc>
        <w:tc>
          <w:tcPr>
            <w:tcW w:w="2410" w:type="dxa"/>
            <w:vAlign w:val="center"/>
          </w:tcPr>
          <w:p w14:paraId="4F3A7C5F" w14:textId="77777777" w:rsidR="00691B32" w:rsidRPr="004E07EA" w:rsidRDefault="00691B32" w:rsidP="000951E1">
            <w:pPr>
              <w:spacing w:before="0"/>
              <w:jc w:val="center"/>
              <w:rPr>
                <w:rFonts w:cs="Arial"/>
                <w:spacing w:val="-4"/>
                <w:highlight w:val="cyan"/>
              </w:rPr>
            </w:pPr>
            <w:r w:rsidRPr="004E07EA">
              <w:rPr>
                <w:spacing w:val="-4"/>
              </w:rPr>
              <w:t>N/O</w:t>
            </w:r>
          </w:p>
        </w:tc>
        <w:tc>
          <w:tcPr>
            <w:tcW w:w="2976" w:type="dxa"/>
            <w:vAlign w:val="center"/>
          </w:tcPr>
          <w:p w14:paraId="11C23995" w14:textId="77777777" w:rsidR="00691B32" w:rsidRPr="004E07EA" w:rsidRDefault="00691B32" w:rsidP="000951E1">
            <w:pPr>
              <w:spacing w:before="0"/>
              <w:jc w:val="center"/>
              <w:rPr>
                <w:rFonts w:cs="Arial"/>
                <w:spacing w:val="-4"/>
                <w:sz w:val="22"/>
                <w:szCs w:val="22"/>
              </w:rPr>
            </w:pPr>
          </w:p>
        </w:tc>
      </w:tr>
      <w:tr w:rsidR="00567E99" w:rsidRPr="004E07EA" w14:paraId="3E50DF52" w14:textId="77777777" w:rsidTr="00DC6D3D">
        <w:tc>
          <w:tcPr>
            <w:tcW w:w="3432" w:type="dxa"/>
            <w:tcMar>
              <w:top w:w="57" w:type="dxa"/>
              <w:bottom w:w="57" w:type="dxa"/>
            </w:tcMar>
            <w:vAlign w:val="center"/>
          </w:tcPr>
          <w:p w14:paraId="070831A6" w14:textId="77777777" w:rsidR="00916B80" w:rsidRPr="004E07EA" w:rsidRDefault="00916B80" w:rsidP="000951E1">
            <w:pPr>
              <w:spacing w:before="0"/>
              <w:rPr>
                <w:rFonts w:cs="Arial"/>
                <w:bCs/>
                <w:spacing w:val="-4"/>
                <w:sz w:val="22"/>
                <w:szCs w:val="22"/>
              </w:rPr>
            </w:pPr>
            <w:r w:rsidRPr="004E07EA">
              <w:rPr>
                <w:bCs/>
                <w:spacing w:val="-4"/>
                <w:sz w:val="22"/>
                <w:szCs w:val="22"/>
              </w:rPr>
              <w:t>Autonomous Community of Extremadura</w:t>
            </w:r>
          </w:p>
        </w:tc>
        <w:tc>
          <w:tcPr>
            <w:tcW w:w="2410" w:type="dxa"/>
            <w:vAlign w:val="center"/>
          </w:tcPr>
          <w:p w14:paraId="60655637" w14:textId="77777777" w:rsidR="00916B80" w:rsidRPr="004E07EA" w:rsidRDefault="00916B80" w:rsidP="000951E1">
            <w:pPr>
              <w:spacing w:before="0"/>
              <w:jc w:val="center"/>
              <w:rPr>
                <w:rFonts w:cs="Arial"/>
                <w:spacing w:val="-4"/>
              </w:rPr>
            </w:pPr>
          </w:p>
        </w:tc>
        <w:tc>
          <w:tcPr>
            <w:tcW w:w="2976" w:type="dxa"/>
            <w:vAlign w:val="center"/>
          </w:tcPr>
          <w:p w14:paraId="2AA95C91" w14:textId="77777777" w:rsidR="00916B80" w:rsidRPr="004E07EA" w:rsidRDefault="00916B80" w:rsidP="000951E1">
            <w:pPr>
              <w:spacing w:before="0"/>
              <w:jc w:val="center"/>
              <w:rPr>
                <w:rFonts w:cs="Arial"/>
                <w:spacing w:val="-4"/>
                <w:sz w:val="22"/>
                <w:szCs w:val="22"/>
              </w:rPr>
            </w:pPr>
            <w:r w:rsidRPr="004E07EA">
              <w:rPr>
                <w:spacing w:val="-4"/>
                <w:sz w:val="22"/>
                <w:szCs w:val="22"/>
              </w:rPr>
              <w:t>X</w:t>
            </w:r>
          </w:p>
        </w:tc>
      </w:tr>
      <w:tr w:rsidR="00567E99" w:rsidRPr="004E07EA" w14:paraId="51D625FF" w14:textId="77777777" w:rsidTr="00DC6D3D">
        <w:tc>
          <w:tcPr>
            <w:tcW w:w="3432" w:type="dxa"/>
            <w:tcMar>
              <w:top w:w="57" w:type="dxa"/>
              <w:bottom w:w="57" w:type="dxa"/>
            </w:tcMar>
            <w:vAlign w:val="center"/>
          </w:tcPr>
          <w:p w14:paraId="3F9432EB" w14:textId="77777777" w:rsidR="00916B80" w:rsidRPr="004E07EA" w:rsidRDefault="00916B80" w:rsidP="000951E1">
            <w:pPr>
              <w:spacing w:before="0"/>
              <w:rPr>
                <w:rFonts w:cs="Arial"/>
                <w:bCs/>
                <w:spacing w:val="-4"/>
                <w:sz w:val="22"/>
                <w:szCs w:val="22"/>
              </w:rPr>
            </w:pPr>
            <w:r w:rsidRPr="004E07EA">
              <w:rPr>
                <w:bCs/>
                <w:spacing w:val="-4"/>
                <w:sz w:val="22"/>
                <w:szCs w:val="22"/>
              </w:rPr>
              <w:t>Valencian Community</w:t>
            </w:r>
          </w:p>
        </w:tc>
        <w:tc>
          <w:tcPr>
            <w:tcW w:w="2410" w:type="dxa"/>
            <w:vAlign w:val="center"/>
          </w:tcPr>
          <w:p w14:paraId="33722AF4" w14:textId="77777777" w:rsidR="00916B80" w:rsidRPr="004E07EA" w:rsidRDefault="00916B80" w:rsidP="000951E1">
            <w:pPr>
              <w:spacing w:before="0"/>
              <w:jc w:val="center"/>
              <w:rPr>
                <w:rFonts w:cs="Arial"/>
                <w:spacing w:val="-4"/>
              </w:rPr>
            </w:pPr>
          </w:p>
        </w:tc>
        <w:tc>
          <w:tcPr>
            <w:tcW w:w="2976" w:type="dxa"/>
            <w:vAlign w:val="center"/>
          </w:tcPr>
          <w:p w14:paraId="3DE6945A" w14:textId="77777777" w:rsidR="00916B80" w:rsidRPr="004E07EA" w:rsidRDefault="00916B80" w:rsidP="000951E1">
            <w:pPr>
              <w:spacing w:before="0"/>
              <w:jc w:val="center"/>
              <w:rPr>
                <w:rFonts w:cs="Arial"/>
                <w:spacing w:val="-4"/>
                <w:sz w:val="22"/>
                <w:szCs w:val="22"/>
              </w:rPr>
            </w:pPr>
            <w:r w:rsidRPr="004E07EA">
              <w:rPr>
                <w:spacing w:val="-4"/>
                <w:sz w:val="22"/>
                <w:szCs w:val="22"/>
              </w:rPr>
              <w:t>X</w:t>
            </w:r>
          </w:p>
        </w:tc>
      </w:tr>
      <w:tr w:rsidR="00567E99" w:rsidRPr="004E07EA" w14:paraId="788DCF00" w14:textId="77777777" w:rsidTr="00DC6D3D">
        <w:tc>
          <w:tcPr>
            <w:tcW w:w="3432" w:type="dxa"/>
            <w:tcMar>
              <w:top w:w="57" w:type="dxa"/>
              <w:bottom w:w="57" w:type="dxa"/>
            </w:tcMar>
            <w:vAlign w:val="center"/>
          </w:tcPr>
          <w:p w14:paraId="1F7C97A8" w14:textId="77777777" w:rsidR="00916B80" w:rsidRPr="004E07EA" w:rsidRDefault="00916B80" w:rsidP="000951E1">
            <w:pPr>
              <w:spacing w:before="0"/>
              <w:rPr>
                <w:rFonts w:cs="Arial"/>
                <w:bCs/>
                <w:spacing w:val="-4"/>
                <w:sz w:val="22"/>
                <w:szCs w:val="22"/>
              </w:rPr>
            </w:pPr>
            <w:r w:rsidRPr="004E07EA">
              <w:rPr>
                <w:bCs/>
                <w:spacing w:val="-4"/>
                <w:sz w:val="22"/>
                <w:szCs w:val="22"/>
              </w:rPr>
              <w:t>Autonomous Community of Galicia</w:t>
            </w:r>
          </w:p>
        </w:tc>
        <w:tc>
          <w:tcPr>
            <w:tcW w:w="2410" w:type="dxa"/>
            <w:vAlign w:val="center"/>
          </w:tcPr>
          <w:p w14:paraId="09D2D0B7" w14:textId="77777777" w:rsidR="00916B80" w:rsidRPr="004E07EA" w:rsidRDefault="00916B80" w:rsidP="000951E1">
            <w:pPr>
              <w:spacing w:before="0"/>
              <w:jc w:val="center"/>
              <w:rPr>
                <w:rFonts w:cs="Arial"/>
                <w:spacing w:val="-4"/>
              </w:rPr>
            </w:pPr>
          </w:p>
        </w:tc>
        <w:tc>
          <w:tcPr>
            <w:tcW w:w="2976" w:type="dxa"/>
            <w:vAlign w:val="center"/>
          </w:tcPr>
          <w:p w14:paraId="779DB74C" w14:textId="77777777" w:rsidR="00916B80" w:rsidRPr="004E07EA" w:rsidRDefault="00916B80" w:rsidP="000951E1">
            <w:pPr>
              <w:spacing w:before="0"/>
              <w:jc w:val="center"/>
              <w:rPr>
                <w:rFonts w:cs="Arial"/>
                <w:spacing w:val="-4"/>
                <w:sz w:val="22"/>
                <w:szCs w:val="22"/>
              </w:rPr>
            </w:pPr>
            <w:r w:rsidRPr="004E07EA">
              <w:rPr>
                <w:spacing w:val="-4"/>
                <w:sz w:val="22"/>
                <w:szCs w:val="22"/>
              </w:rPr>
              <w:t>X</w:t>
            </w:r>
          </w:p>
        </w:tc>
      </w:tr>
      <w:tr w:rsidR="00567E99" w:rsidRPr="004E07EA" w14:paraId="5A84AD6A" w14:textId="77777777" w:rsidTr="00DC6D3D">
        <w:tc>
          <w:tcPr>
            <w:tcW w:w="3432" w:type="dxa"/>
            <w:tcMar>
              <w:top w:w="57" w:type="dxa"/>
              <w:bottom w:w="57" w:type="dxa"/>
            </w:tcMar>
            <w:vAlign w:val="center"/>
          </w:tcPr>
          <w:p w14:paraId="734B1E85" w14:textId="77777777" w:rsidR="00916B80" w:rsidRPr="004E07EA" w:rsidRDefault="00916B80" w:rsidP="000951E1">
            <w:pPr>
              <w:spacing w:before="0"/>
              <w:rPr>
                <w:rFonts w:cs="Arial"/>
                <w:bCs/>
                <w:spacing w:val="-4"/>
                <w:sz w:val="22"/>
                <w:szCs w:val="22"/>
              </w:rPr>
            </w:pPr>
            <w:r w:rsidRPr="004E07EA">
              <w:rPr>
                <w:bCs/>
                <w:spacing w:val="-4"/>
                <w:sz w:val="22"/>
                <w:szCs w:val="22"/>
              </w:rPr>
              <w:t>Autonomous Community of Castile-La Mancha</w:t>
            </w:r>
          </w:p>
        </w:tc>
        <w:tc>
          <w:tcPr>
            <w:tcW w:w="2410" w:type="dxa"/>
            <w:vAlign w:val="center"/>
          </w:tcPr>
          <w:p w14:paraId="23DEC755" w14:textId="77777777" w:rsidR="00916B80" w:rsidRPr="004E07EA" w:rsidRDefault="00916B80" w:rsidP="000951E1">
            <w:pPr>
              <w:spacing w:before="0"/>
              <w:jc w:val="center"/>
              <w:rPr>
                <w:rFonts w:cs="Arial"/>
                <w:spacing w:val="-4"/>
              </w:rPr>
            </w:pPr>
          </w:p>
        </w:tc>
        <w:tc>
          <w:tcPr>
            <w:tcW w:w="2976" w:type="dxa"/>
            <w:vAlign w:val="center"/>
          </w:tcPr>
          <w:p w14:paraId="3491DAD3" w14:textId="77777777" w:rsidR="00916B80" w:rsidRPr="004E07EA" w:rsidRDefault="00916B80" w:rsidP="000951E1">
            <w:pPr>
              <w:spacing w:before="0"/>
              <w:jc w:val="center"/>
              <w:rPr>
                <w:rFonts w:cs="Arial"/>
                <w:spacing w:val="-4"/>
                <w:sz w:val="22"/>
                <w:szCs w:val="22"/>
              </w:rPr>
            </w:pPr>
            <w:r w:rsidRPr="004E07EA">
              <w:rPr>
                <w:spacing w:val="-4"/>
                <w:sz w:val="22"/>
                <w:szCs w:val="22"/>
              </w:rPr>
              <w:t>X</w:t>
            </w:r>
          </w:p>
        </w:tc>
      </w:tr>
      <w:tr w:rsidR="00567E99" w:rsidRPr="004E07EA" w14:paraId="487D00F5" w14:textId="77777777" w:rsidTr="00DC6D3D">
        <w:tc>
          <w:tcPr>
            <w:tcW w:w="3432" w:type="dxa"/>
            <w:tcMar>
              <w:top w:w="57" w:type="dxa"/>
              <w:bottom w:w="57" w:type="dxa"/>
            </w:tcMar>
            <w:vAlign w:val="center"/>
          </w:tcPr>
          <w:p w14:paraId="2EFD9067" w14:textId="77777777" w:rsidR="00916B80" w:rsidRPr="004E07EA" w:rsidRDefault="00B26862" w:rsidP="000951E1">
            <w:pPr>
              <w:spacing w:before="0"/>
              <w:rPr>
                <w:rFonts w:cs="Arial"/>
                <w:bCs/>
                <w:spacing w:val="-4"/>
                <w:sz w:val="22"/>
                <w:szCs w:val="22"/>
              </w:rPr>
            </w:pPr>
            <w:r w:rsidRPr="004E07EA">
              <w:rPr>
                <w:bCs/>
                <w:spacing w:val="-4"/>
                <w:sz w:val="22"/>
                <w:szCs w:val="22"/>
              </w:rPr>
              <w:t>Autonomous Community of Andalusia</w:t>
            </w:r>
          </w:p>
        </w:tc>
        <w:tc>
          <w:tcPr>
            <w:tcW w:w="2410" w:type="dxa"/>
            <w:vAlign w:val="center"/>
          </w:tcPr>
          <w:p w14:paraId="5099918A" w14:textId="77777777" w:rsidR="00916B80" w:rsidRPr="004E07EA" w:rsidRDefault="00916B80" w:rsidP="000951E1">
            <w:pPr>
              <w:spacing w:before="0"/>
              <w:jc w:val="center"/>
              <w:rPr>
                <w:rFonts w:cs="Arial"/>
                <w:spacing w:val="-4"/>
              </w:rPr>
            </w:pPr>
          </w:p>
        </w:tc>
        <w:tc>
          <w:tcPr>
            <w:tcW w:w="2976" w:type="dxa"/>
            <w:vAlign w:val="center"/>
          </w:tcPr>
          <w:p w14:paraId="2E7137F8" w14:textId="77777777" w:rsidR="00916B80" w:rsidRPr="004E07EA" w:rsidRDefault="00B26862" w:rsidP="000951E1">
            <w:pPr>
              <w:spacing w:before="0"/>
              <w:jc w:val="center"/>
              <w:rPr>
                <w:rFonts w:cs="Arial"/>
                <w:spacing w:val="-4"/>
                <w:sz w:val="22"/>
                <w:szCs w:val="22"/>
              </w:rPr>
            </w:pPr>
            <w:r w:rsidRPr="004E07EA">
              <w:rPr>
                <w:spacing w:val="-4"/>
                <w:sz w:val="22"/>
                <w:szCs w:val="22"/>
              </w:rPr>
              <w:t>X</w:t>
            </w:r>
          </w:p>
        </w:tc>
      </w:tr>
      <w:tr w:rsidR="00567E99" w:rsidRPr="004E07EA" w14:paraId="09494FC9" w14:textId="77777777" w:rsidTr="00DC6D3D">
        <w:tc>
          <w:tcPr>
            <w:tcW w:w="3432" w:type="dxa"/>
            <w:tcMar>
              <w:top w:w="57" w:type="dxa"/>
              <w:bottom w:w="57" w:type="dxa"/>
            </w:tcMar>
            <w:vAlign w:val="center"/>
          </w:tcPr>
          <w:p w14:paraId="7E9A8500" w14:textId="77777777" w:rsidR="006108D2" w:rsidRPr="004E07EA" w:rsidRDefault="006108D2" w:rsidP="000951E1">
            <w:pPr>
              <w:spacing w:before="0"/>
              <w:rPr>
                <w:rFonts w:cs="Arial"/>
                <w:bCs/>
                <w:spacing w:val="-4"/>
                <w:sz w:val="22"/>
                <w:szCs w:val="22"/>
              </w:rPr>
            </w:pPr>
            <w:r w:rsidRPr="004E07EA">
              <w:rPr>
                <w:bCs/>
                <w:spacing w:val="-4"/>
                <w:sz w:val="22"/>
                <w:szCs w:val="22"/>
              </w:rPr>
              <w:t>Autonomous Community of the Balearic Islands</w:t>
            </w:r>
          </w:p>
        </w:tc>
        <w:tc>
          <w:tcPr>
            <w:tcW w:w="2410" w:type="dxa"/>
            <w:vAlign w:val="center"/>
          </w:tcPr>
          <w:p w14:paraId="08ED5494" w14:textId="77777777" w:rsidR="006108D2" w:rsidRPr="004E07EA" w:rsidRDefault="006108D2" w:rsidP="000951E1">
            <w:pPr>
              <w:spacing w:before="0"/>
              <w:jc w:val="center"/>
              <w:rPr>
                <w:rFonts w:cs="Arial"/>
                <w:spacing w:val="-4"/>
              </w:rPr>
            </w:pPr>
          </w:p>
        </w:tc>
        <w:tc>
          <w:tcPr>
            <w:tcW w:w="2976" w:type="dxa"/>
            <w:vAlign w:val="center"/>
          </w:tcPr>
          <w:p w14:paraId="13D263BF" w14:textId="77777777" w:rsidR="006108D2" w:rsidRPr="004E07EA" w:rsidRDefault="006108D2" w:rsidP="000951E1">
            <w:pPr>
              <w:spacing w:before="0"/>
              <w:jc w:val="center"/>
              <w:rPr>
                <w:rFonts w:cs="Arial"/>
                <w:spacing w:val="-4"/>
                <w:sz w:val="22"/>
                <w:szCs w:val="22"/>
              </w:rPr>
            </w:pPr>
            <w:r w:rsidRPr="004E07EA">
              <w:rPr>
                <w:spacing w:val="-4"/>
                <w:sz w:val="22"/>
                <w:szCs w:val="22"/>
              </w:rPr>
              <w:t>X</w:t>
            </w:r>
          </w:p>
        </w:tc>
      </w:tr>
    </w:tbl>
    <w:p w14:paraId="5C868ABD" w14:textId="77777777" w:rsidR="00570F16" w:rsidRPr="00DC6D3D" w:rsidRDefault="00570F16" w:rsidP="00F4239E">
      <w:pPr>
        <w:pStyle w:val="Heading4"/>
        <w:numPr>
          <w:ilvl w:val="0"/>
          <w:numId w:val="0"/>
        </w:numPr>
        <w:spacing w:before="480"/>
        <w:ind w:left="864" w:hanging="864"/>
        <w:rPr>
          <w:b/>
          <w:bCs w:val="0"/>
        </w:rPr>
      </w:pPr>
      <w:r>
        <w:rPr>
          <w:b/>
          <w:bCs w:val="0"/>
          <w:u w:val="none"/>
        </w:rPr>
        <w:t xml:space="preserve">6. </w:t>
      </w:r>
      <w:r>
        <w:rPr>
          <w:b/>
          <w:bCs w:val="0"/>
        </w:rPr>
        <w:t>Other consultations</w:t>
      </w:r>
    </w:p>
    <w:p w14:paraId="308561C2" w14:textId="77777777" w:rsidR="00570F16" w:rsidRPr="00DC6D3D" w:rsidRDefault="00570F16" w:rsidP="00873C4F">
      <w:r>
        <w:t>During the processing of the regulation, the Organisation of Consumers and Users (OCU) was also consulted to request its opinion on the protection of users.</w:t>
      </w:r>
    </w:p>
    <w:p w14:paraId="080414F0" w14:textId="77777777" w:rsidR="00777753" w:rsidRPr="00DC6D3D" w:rsidRDefault="00B63ED9" w:rsidP="00F4239E">
      <w:pPr>
        <w:keepNext/>
        <w:rPr>
          <w:b/>
          <w:bCs/>
          <w:u w:val="single"/>
        </w:rPr>
      </w:pPr>
      <w:r>
        <w:rPr>
          <w:b/>
          <w:bCs/>
        </w:rPr>
        <w:t xml:space="preserve">7. </w:t>
      </w:r>
      <w:r>
        <w:rPr>
          <w:b/>
          <w:bCs/>
          <w:u w:val="single"/>
        </w:rPr>
        <w:t>Non-suspension of deadlines during state of emergency</w:t>
      </w:r>
    </w:p>
    <w:p w14:paraId="1FA3FD47" w14:textId="77777777" w:rsidR="00777753" w:rsidRPr="004E07EA" w:rsidRDefault="00777753" w:rsidP="00777753">
      <w:pPr>
        <w:rPr>
          <w:rFonts w:cs="Arial"/>
          <w:spacing w:val="-4"/>
          <w:szCs w:val="24"/>
        </w:rPr>
      </w:pPr>
      <w:r w:rsidRPr="004E07EA">
        <w:rPr>
          <w:spacing w:val="-4"/>
        </w:rPr>
        <w:t>The third additional provision of Royal Decree 463/2020 of 14 March 2020, declaring the state of emergency for managing the health crisis situation caused by COVID-19, suspends the administrative deadlines for the processing of public sector entity procedures and provides that the counting of days towards such deadlines shall resume when that Royal Decree or any extensions thereto expires.</w:t>
      </w:r>
    </w:p>
    <w:p w14:paraId="71384835" w14:textId="77777777" w:rsidR="00777753" w:rsidRPr="004E07EA" w:rsidRDefault="00777753" w:rsidP="00777753">
      <w:pPr>
        <w:rPr>
          <w:rFonts w:cs="Arial"/>
          <w:spacing w:val="-4"/>
          <w:szCs w:val="24"/>
        </w:rPr>
      </w:pPr>
      <w:r w:rsidRPr="004E07EA">
        <w:rPr>
          <w:spacing w:val="-4"/>
        </w:rPr>
        <w:t>However, it is envisaged that this draft legislation will have to be extended since it responds to a need aimed at protecting the general interest. With Spain being the world's leading producer and exporter of olive oil, its legislation needs to be updated by drafting its own regulation that places special emphasis on preventing fraudulent practices and preserving and increasing the value of olive and olive-pomace oils. This is essential to promote food quality, improve consumer confidence, distinguish between similar products and recover and strengthen the market, given that protecting the quality and authenticity of olive oils is one of the most essential tools available for addressing the price crisis that currently has a hold over the sector.</w:t>
      </w:r>
    </w:p>
    <w:p w14:paraId="17371B08" w14:textId="77777777" w:rsidR="00777753" w:rsidRPr="00DC6D3D" w:rsidRDefault="00777753" w:rsidP="00777753">
      <w:pPr>
        <w:spacing w:after="240"/>
        <w:rPr>
          <w:rFonts w:cs="Arial"/>
          <w:szCs w:val="24"/>
        </w:rPr>
      </w:pPr>
      <w:r>
        <w:t>Considering the points raised, and by virtue of paragraph 4 of the third additional provision of Royal Decree 463/2020 of 14 March 2020, the General Secretariat of Agriculture and Food has issued a Resolution, dated 27 April 2020, ordering the non-suspension of the deadlines for the processing of this draft Royal Decree.</w:t>
      </w:r>
    </w:p>
    <w:p w14:paraId="3814CC76" w14:textId="77777777" w:rsidR="00EF6DD4" w:rsidRPr="00DC6D3D" w:rsidRDefault="00B63ED9" w:rsidP="00F4239E">
      <w:pPr>
        <w:keepNext/>
        <w:spacing w:after="240"/>
        <w:rPr>
          <w:b/>
          <w:u w:val="single"/>
        </w:rPr>
      </w:pPr>
      <w:r>
        <w:rPr>
          <w:b/>
          <w:u w:val="single"/>
        </w:rPr>
        <w:lastRenderedPageBreak/>
        <w:t>8. Second public hearing and information process</w:t>
      </w:r>
    </w:p>
    <w:p w14:paraId="10F49A72" w14:textId="77777777" w:rsidR="00EF6DD4" w:rsidRPr="004E07EA" w:rsidRDefault="00EF6DD4" w:rsidP="004E07EA">
      <w:pPr>
        <w:keepNext/>
        <w:keepLines/>
        <w:spacing w:after="240"/>
        <w:rPr>
          <w:rFonts w:cs="Arial"/>
          <w:spacing w:val="-4"/>
          <w:szCs w:val="24"/>
        </w:rPr>
      </w:pPr>
      <w:r w:rsidRPr="004E07EA">
        <w:rPr>
          <w:spacing w:val="-4"/>
        </w:rPr>
        <w:t>Based on the observations received during the public hearing and information process, and with a view to incorporating possible solutions to address the serious price crisis currently affecting the sector, amendments have been made to the draft Royal Decree that are of sufficient scope to justify a second public hearing and information process. This will be used to gather, in accordance with Article 26(6) of Government Law 50/1997 of 27 November 1997, the observations of affected citizens and of people whose lawful rights and interests may be affected by such modifications to the text, as well as to obtain any additional contributions made by other people and entities. In accordance with the aforementioned article, a period of 7 business days was given for submitting observations due to the need to proceed with the established processing periods and taking into account that the new measures justifying this second public hearing and information process are limited to two articles: namely, the obligation to report all movements of olive oil and the creation of a dedicated computer system set up by the Ministry of Agriculture, Fisheries and Food for such purpose, and the prohibition of the use of plastic as a packaging material for extra virgin olive oil intended for end consumers.</w:t>
      </w:r>
    </w:p>
    <w:p w14:paraId="12D5B725" w14:textId="77777777" w:rsidR="00EF6DD4" w:rsidRPr="00DC6D3D" w:rsidRDefault="00EF6DD4" w:rsidP="00EF6DD4">
      <w:r>
        <w:t>This second public hearing and information process was open for the submission of observations through the website of the Ministry of Agriculture, Fisheries and Food from 19 June 2020 to 30 June 2020 (both inclusive).</w:t>
      </w:r>
    </w:p>
    <w:p w14:paraId="2BDFD4F8" w14:textId="77777777" w:rsidR="00C37323" w:rsidRPr="00DC6D3D" w:rsidRDefault="00C37323" w:rsidP="00F4239E">
      <w:pPr>
        <w:keepNext/>
      </w:pPr>
      <w:r>
        <w:t>The people and entities that issued observations, as part of their participation in the public hearing and information process, through the website of the Ministry of Agriculture, Fisheries and Food are included in the following list:</w:t>
      </w:r>
    </w:p>
    <w:p w14:paraId="44F9EF5B" w14:textId="77777777" w:rsidR="00C37323" w:rsidRPr="00DC6D3D" w:rsidRDefault="00C37323" w:rsidP="00C37323">
      <w:pPr>
        <w:pStyle w:val="ListParagraph"/>
        <w:numPr>
          <w:ilvl w:val="0"/>
          <w:numId w:val="26"/>
        </w:numPr>
      </w:pPr>
      <w:r>
        <w:t>FECOAM</w:t>
      </w:r>
    </w:p>
    <w:p w14:paraId="436057EA" w14:textId="77777777" w:rsidR="00C37323" w:rsidRPr="00DC6D3D" w:rsidRDefault="00C37323" w:rsidP="00C37323">
      <w:pPr>
        <w:pStyle w:val="ListParagraph"/>
        <w:numPr>
          <w:ilvl w:val="0"/>
          <w:numId w:val="26"/>
        </w:numPr>
      </w:pPr>
      <w:r>
        <w:t>AEVIN</w:t>
      </w:r>
    </w:p>
    <w:p w14:paraId="62198E63" w14:textId="77777777" w:rsidR="00C37323" w:rsidRPr="00DC6D3D" w:rsidRDefault="00C37323" w:rsidP="00C37323">
      <w:pPr>
        <w:pStyle w:val="ListParagraph"/>
        <w:numPr>
          <w:ilvl w:val="0"/>
          <w:numId w:val="26"/>
        </w:numPr>
      </w:pPr>
      <w:r>
        <w:t>ASEMESA</w:t>
      </w:r>
    </w:p>
    <w:p w14:paraId="097858C4" w14:textId="77777777" w:rsidR="00C37323" w:rsidRPr="00DC6D3D" w:rsidRDefault="00C37323" w:rsidP="00C37323">
      <w:pPr>
        <w:pStyle w:val="ListParagraph"/>
        <w:numPr>
          <w:ilvl w:val="0"/>
          <w:numId w:val="26"/>
        </w:numPr>
      </w:pPr>
      <w:proofErr w:type="spellStart"/>
      <w:r>
        <w:t>Landaluz</w:t>
      </w:r>
      <w:proofErr w:type="spellEnd"/>
    </w:p>
    <w:p w14:paraId="68F200C9" w14:textId="77777777" w:rsidR="00C37323" w:rsidRPr="00DC6D3D" w:rsidRDefault="00C37323" w:rsidP="00C37323">
      <w:pPr>
        <w:pStyle w:val="ListParagraph"/>
        <w:numPr>
          <w:ilvl w:val="0"/>
          <w:numId w:val="26"/>
        </w:numPr>
      </w:pPr>
      <w:r>
        <w:t>DO Oli de Mallorca</w:t>
      </w:r>
    </w:p>
    <w:p w14:paraId="271517F5" w14:textId="77777777" w:rsidR="00C37323" w:rsidRPr="00DC6D3D" w:rsidRDefault="00C37323" w:rsidP="00C37323">
      <w:pPr>
        <w:pStyle w:val="ListParagraph"/>
        <w:numPr>
          <w:ilvl w:val="0"/>
          <w:numId w:val="26"/>
        </w:numPr>
      </w:pPr>
      <w:proofErr w:type="spellStart"/>
      <w:r>
        <w:t>Aceites</w:t>
      </w:r>
      <w:proofErr w:type="spellEnd"/>
      <w:r>
        <w:t xml:space="preserve"> San-Lau S.L. and </w:t>
      </w:r>
      <w:proofErr w:type="spellStart"/>
      <w:r>
        <w:t>Aceites</w:t>
      </w:r>
      <w:proofErr w:type="spellEnd"/>
      <w:r>
        <w:t xml:space="preserve"> </w:t>
      </w:r>
      <w:proofErr w:type="spellStart"/>
      <w:r>
        <w:t>Triana</w:t>
      </w:r>
      <w:proofErr w:type="spellEnd"/>
      <w:r>
        <w:t xml:space="preserve"> S.L.</w:t>
      </w:r>
    </w:p>
    <w:p w14:paraId="6F44CBEC" w14:textId="77777777" w:rsidR="00C37323" w:rsidRPr="00DC6D3D" w:rsidRDefault="00C37323" w:rsidP="00C37323">
      <w:pPr>
        <w:pStyle w:val="ListParagraph"/>
        <w:numPr>
          <w:ilvl w:val="0"/>
          <w:numId w:val="26"/>
        </w:numPr>
      </w:pPr>
      <w:proofErr w:type="spellStart"/>
      <w:r>
        <w:t>Asociación</w:t>
      </w:r>
      <w:proofErr w:type="spellEnd"/>
      <w:r>
        <w:t xml:space="preserve"> </w:t>
      </w:r>
      <w:proofErr w:type="spellStart"/>
      <w:r>
        <w:t>QvExtra</w:t>
      </w:r>
      <w:proofErr w:type="spellEnd"/>
      <w:r>
        <w:t>!</w:t>
      </w:r>
    </w:p>
    <w:p w14:paraId="3D50063C" w14:textId="77777777" w:rsidR="008E6FB5" w:rsidRPr="00DC6D3D" w:rsidRDefault="008E6FB5" w:rsidP="00C37323">
      <w:pPr>
        <w:pStyle w:val="ListParagraph"/>
        <w:numPr>
          <w:ilvl w:val="0"/>
          <w:numId w:val="26"/>
        </w:numPr>
      </w:pPr>
      <w:r>
        <w:t>379 claims by consumers and manufacturers against the ban on plastic as a packaging material for extra virgin olive oil.</w:t>
      </w:r>
    </w:p>
    <w:p w14:paraId="420BFC0C" w14:textId="77777777" w:rsidR="008662EE" w:rsidRPr="004E07EA" w:rsidRDefault="008662EE" w:rsidP="008662EE">
      <w:pPr>
        <w:rPr>
          <w:spacing w:val="-4"/>
        </w:rPr>
      </w:pPr>
      <w:r w:rsidRPr="004E07EA">
        <w:rPr>
          <w:spacing w:val="-4"/>
        </w:rPr>
        <w:t>Likewise, this second public hearing and information process enabled us to directly obtain the opinions of legally-recognised organisations or associations that group together or represent people whose lawful rights or interests are affected by the regulation and whose purposes relate directly to that of this regulation.</w:t>
      </w:r>
    </w:p>
    <w:p w14:paraId="60D12070" w14:textId="77777777" w:rsidR="008662EE" w:rsidRPr="00DC6D3D" w:rsidRDefault="008662EE" w:rsidP="00F4239E">
      <w:pPr>
        <w:keepNext/>
      </w:pPr>
      <w:r>
        <w:t>The sector organisations that submitted observations in response to this consultation are given in the following list:</w:t>
      </w:r>
    </w:p>
    <w:p w14:paraId="51D65ED9" w14:textId="77777777" w:rsidR="00124D4E" w:rsidRPr="00DC6D3D" w:rsidRDefault="00124D4E" w:rsidP="00124D4E">
      <w:pPr>
        <w:pStyle w:val="ListParagraph"/>
        <w:numPr>
          <w:ilvl w:val="0"/>
          <w:numId w:val="26"/>
        </w:numPr>
      </w:pPr>
      <w:r>
        <w:t>ANEO-INFAOLIVA-ANIERAC-ASOLIVA</w:t>
      </w:r>
    </w:p>
    <w:p w14:paraId="280195D5" w14:textId="77777777" w:rsidR="00124D4E" w:rsidRPr="00DC6D3D" w:rsidRDefault="00124D4E" w:rsidP="008662EE">
      <w:pPr>
        <w:pStyle w:val="ListParagraph"/>
        <w:numPr>
          <w:ilvl w:val="0"/>
          <w:numId w:val="26"/>
        </w:numPr>
      </w:pPr>
      <w:r>
        <w:t>FIAB</w:t>
      </w:r>
    </w:p>
    <w:p w14:paraId="5FDDCE8A" w14:textId="77777777" w:rsidR="00124D4E" w:rsidRPr="00DC6D3D" w:rsidRDefault="00124D4E" w:rsidP="00124D4E">
      <w:pPr>
        <w:pStyle w:val="ListParagraph"/>
        <w:numPr>
          <w:ilvl w:val="0"/>
          <w:numId w:val="26"/>
        </w:numPr>
      </w:pPr>
      <w:proofErr w:type="spellStart"/>
      <w:r>
        <w:t>Cooperativas</w:t>
      </w:r>
      <w:proofErr w:type="spellEnd"/>
      <w:r>
        <w:t xml:space="preserve"> </w:t>
      </w:r>
      <w:proofErr w:type="spellStart"/>
      <w:r>
        <w:t>Agroalimentarias</w:t>
      </w:r>
      <w:proofErr w:type="spellEnd"/>
      <w:r>
        <w:t xml:space="preserve"> de </w:t>
      </w:r>
      <w:proofErr w:type="spellStart"/>
      <w:r>
        <w:t>España</w:t>
      </w:r>
      <w:proofErr w:type="spellEnd"/>
    </w:p>
    <w:p w14:paraId="5B496CE2" w14:textId="77777777" w:rsidR="00124D4E" w:rsidRPr="00DC6D3D" w:rsidRDefault="00124D4E" w:rsidP="00124D4E">
      <w:pPr>
        <w:pStyle w:val="ListParagraph"/>
        <w:numPr>
          <w:ilvl w:val="0"/>
          <w:numId w:val="26"/>
        </w:numPr>
      </w:pPr>
      <w:proofErr w:type="spellStart"/>
      <w:r>
        <w:t>Almazaras</w:t>
      </w:r>
      <w:proofErr w:type="spellEnd"/>
      <w:r>
        <w:t xml:space="preserve"> </w:t>
      </w:r>
      <w:proofErr w:type="spellStart"/>
      <w:r>
        <w:t>Federadas</w:t>
      </w:r>
      <w:proofErr w:type="spellEnd"/>
      <w:r>
        <w:t xml:space="preserve"> de </w:t>
      </w:r>
      <w:proofErr w:type="spellStart"/>
      <w:r>
        <w:t>España</w:t>
      </w:r>
      <w:proofErr w:type="spellEnd"/>
    </w:p>
    <w:p w14:paraId="2AE2F165" w14:textId="77777777" w:rsidR="00124D4E" w:rsidRPr="002E7D7A" w:rsidRDefault="00124D4E" w:rsidP="00124D4E">
      <w:pPr>
        <w:pStyle w:val="ListParagraph"/>
        <w:numPr>
          <w:ilvl w:val="0"/>
          <w:numId w:val="26"/>
        </w:numPr>
        <w:rPr>
          <w:lang w:val="pt-PT"/>
        </w:rPr>
      </w:pPr>
      <w:r w:rsidRPr="002E7D7A">
        <w:rPr>
          <w:lang w:val="pt-PT"/>
        </w:rPr>
        <w:t>Sectorial Nacional del Aceite de Oliva Virgen con Denominación de Origen</w:t>
      </w:r>
    </w:p>
    <w:p w14:paraId="5F537A9E" w14:textId="77777777" w:rsidR="00124D4E" w:rsidRPr="002E7D7A" w:rsidRDefault="00124D4E" w:rsidP="008662EE">
      <w:pPr>
        <w:pStyle w:val="ListParagraph"/>
        <w:numPr>
          <w:ilvl w:val="0"/>
          <w:numId w:val="26"/>
        </w:numPr>
        <w:rPr>
          <w:lang w:val="pt-PT"/>
        </w:rPr>
      </w:pPr>
      <w:r w:rsidRPr="002E7D7A">
        <w:rPr>
          <w:lang w:val="pt-PT"/>
        </w:rPr>
        <w:t>Unión de Uniones and La Unió de Llauradors</w:t>
      </w:r>
    </w:p>
    <w:p w14:paraId="2093F1D1" w14:textId="77777777" w:rsidR="00124D4E" w:rsidRPr="00DC6D3D" w:rsidRDefault="00124D4E" w:rsidP="00124D4E">
      <w:pPr>
        <w:pStyle w:val="ListParagraph"/>
        <w:numPr>
          <w:ilvl w:val="0"/>
          <w:numId w:val="26"/>
        </w:numPr>
      </w:pPr>
      <w:r>
        <w:t>UPA</w:t>
      </w:r>
    </w:p>
    <w:p w14:paraId="66B0A069" w14:textId="77777777" w:rsidR="00124D4E" w:rsidRPr="00DC6D3D" w:rsidRDefault="00124D4E" w:rsidP="00124D4E">
      <w:pPr>
        <w:pStyle w:val="ListParagraph"/>
        <w:numPr>
          <w:ilvl w:val="0"/>
          <w:numId w:val="26"/>
        </w:numPr>
      </w:pPr>
      <w:r>
        <w:t>COAG</w:t>
      </w:r>
    </w:p>
    <w:p w14:paraId="2106D2E8" w14:textId="77777777" w:rsidR="00124D4E" w:rsidRPr="00DC6D3D" w:rsidRDefault="00124D4E" w:rsidP="008662EE">
      <w:pPr>
        <w:pStyle w:val="ListParagraph"/>
        <w:numPr>
          <w:ilvl w:val="0"/>
          <w:numId w:val="26"/>
        </w:numPr>
      </w:pPr>
      <w:r>
        <w:lastRenderedPageBreak/>
        <w:t>ASEDAS</w:t>
      </w:r>
    </w:p>
    <w:p w14:paraId="1DD5E44D" w14:textId="77777777" w:rsidR="00124D4E" w:rsidRPr="00DC6D3D" w:rsidRDefault="00124D4E" w:rsidP="008662EE">
      <w:pPr>
        <w:pStyle w:val="ListParagraph"/>
        <w:numPr>
          <w:ilvl w:val="0"/>
          <w:numId w:val="26"/>
        </w:numPr>
      </w:pPr>
      <w:r>
        <w:t>ASAJA.</w:t>
      </w:r>
    </w:p>
    <w:p w14:paraId="31A42588" w14:textId="77777777" w:rsidR="00EE5284" w:rsidRPr="00DC6D3D" w:rsidRDefault="00DB2824" w:rsidP="00EE5284">
      <w:r>
        <w:t>Furthermore, during the second public hearing and information process, the Autonomous Communities were also consulted on the text of the draft Royal Decree, in accordance with Article 3(1)(k) of Law 40/2015 of 1 October 2015 on the public sector legal system and with Article 26 of Government Law 50/1997 of 27 November 1997.</w:t>
      </w:r>
    </w:p>
    <w:p w14:paraId="014097CB" w14:textId="77777777" w:rsidR="00EE5284" w:rsidRPr="00DC6D3D" w:rsidRDefault="00EE5284" w:rsidP="00EE5284">
      <w:pPr>
        <w:pStyle w:val="ListParagraph"/>
        <w:ind w:left="0"/>
      </w:pPr>
      <w:r w:rsidRPr="00DC6D3D">
        <w:fldChar w:fldCharType="begin"/>
      </w:r>
      <w:r w:rsidRPr="00DC6D3D">
        <w:instrText xml:space="preserve"> REF _Ref45197667 \h </w:instrText>
      </w:r>
      <w:r w:rsidR="00BE308A" w:rsidRPr="00DC6D3D">
        <w:instrText xml:space="preserve"> \* MERGEFORMAT </w:instrText>
      </w:r>
      <w:r w:rsidRPr="00DC6D3D">
        <w:fldChar w:fldCharType="separate"/>
      </w:r>
      <w:r w:rsidRPr="00DC6D3D">
        <w:t>Tabl</w:t>
      </w:r>
      <w:r w:rsidR="002E7D7A">
        <w:t>e</w:t>
      </w:r>
      <w:r w:rsidRPr="00DC6D3D">
        <w:t xml:space="preserve"> 3</w:t>
      </w:r>
      <w:r w:rsidRPr="00DC6D3D">
        <w:fldChar w:fldCharType="end"/>
      </w:r>
      <w:r>
        <w:t xml:space="preserve"> summarises the observations received from the Autonomous Communities that submitted a response.</w:t>
      </w:r>
    </w:p>
    <w:p w14:paraId="260C01DE" w14:textId="77777777" w:rsidR="00DB2824" w:rsidRPr="00DC6D3D" w:rsidRDefault="00DB2824" w:rsidP="00EF6DD4">
      <w:pPr>
        <w:rPr>
          <w:lang w:val="es-ES"/>
        </w:rPr>
      </w:pPr>
    </w:p>
    <w:p w14:paraId="35B06131" w14:textId="77777777" w:rsidR="00EE5284" w:rsidRPr="00DC6D3D" w:rsidRDefault="00EE5284" w:rsidP="00F4239E">
      <w:pPr>
        <w:pStyle w:val="Caption"/>
        <w:keepNext/>
        <w:spacing w:after="0"/>
        <w:jc w:val="center"/>
        <w:rPr>
          <w:b/>
          <w:color w:val="auto"/>
        </w:rPr>
      </w:pPr>
      <w:bookmarkStart w:id="2" w:name="_Ref45197667"/>
      <w:r>
        <w:rPr>
          <w:b/>
          <w:i w:val="0"/>
          <w:color w:val="auto"/>
        </w:rPr>
        <w:t xml:space="preserve">Table </w:t>
      </w:r>
      <w:r w:rsidRPr="00DC6D3D">
        <w:rPr>
          <w:b/>
          <w:i w:val="0"/>
          <w:color w:val="auto"/>
        </w:rPr>
        <w:fldChar w:fldCharType="begin"/>
      </w:r>
      <w:r w:rsidRPr="00DC6D3D">
        <w:rPr>
          <w:b/>
          <w:i w:val="0"/>
          <w:color w:val="auto"/>
        </w:rPr>
        <w:instrText xml:space="preserve"> SEQ Tabla \* ARABIC </w:instrText>
      </w:r>
      <w:r w:rsidRPr="00DC6D3D">
        <w:rPr>
          <w:b/>
          <w:i w:val="0"/>
          <w:color w:val="auto"/>
        </w:rPr>
        <w:fldChar w:fldCharType="separate"/>
      </w:r>
      <w:r w:rsidRPr="00DC6D3D">
        <w:rPr>
          <w:b/>
          <w:i w:val="0"/>
          <w:color w:val="auto"/>
        </w:rPr>
        <w:t>3</w:t>
      </w:r>
      <w:r w:rsidRPr="00DC6D3D">
        <w:rPr>
          <w:b/>
          <w:i w:val="0"/>
          <w:color w:val="auto"/>
        </w:rPr>
        <w:fldChar w:fldCharType="end"/>
      </w:r>
      <w:bookmarkEnd w:id="2"/>
      <w:r>
        <w:rPr>
          <w:b/>
          <w:i w:val="0"/>
          <w:color w:val="auto"/>
        </w:rPr>
        <w:t>: Table of observations received from the Autonomous Communities.</w:t>
      </w:r>
    </w:p>
    <w:tbl>
      <w:tblPr>
        <w:tblW w:w="88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432"/>
        <w:gridCol w:w="2410"/>
        <w:gridCol w:w="2976"/>
      </w:tblGrid>
      <w:tr w:rsidR="00567E99" w:rsidRPr="004E07EA" w14:paraId="38166C4D" w14:textId="77777777" w:rsidTr="00DC6D3D">
        <w:tc>
          <w:tcPr>
            <w:tcW w:w="3432" w:type="dxa"/>
            <w:vAlign w:val="center"/>
          </w:tcPr>
          <w:p w14:paraId="4A8D54FA" w14:textId="77777777" w:rsidR="00EE5284" w:rsidRPr="004E07EA" w:rsidRDefault="00EE5284" w:rsidP="00F4239E">
            <w:pPr>
              <w:keepNext/>
              <w:spacing w:before="0"/>
              <w:jc w:val="center"/>
              <w:rPr>
                <w:rFonts w:cs="Arial"/>
                <w:b/>
                <w:spacing w:val="-4"/>
                <w:sz w:val="22"/>
                <w:szCs w:val="22"/>
              </w:rPr>
            </w:pPr>
            <w:r w:rsidRPr="004E07EA">
              <w:rPr>
                <w:b/>
                <w:spacing w:val="-4"/>
                <w:sz w:val="22"/>
                <w:szCs w:val="22"/>
              </w:rPr>
              <w:t>Autonomous Community</w:t>
            </w:r>
          </w:p>
        </w:tc>
        <w:tc>
          <w:tcPr>
            <w:tcW w:w="2410" w:type="dxa"/>
            <w:vAlign w:val="center"/>
          </w:tcPr>
          <w:p w14:paraId="2B01D795" w14:textId="77777777" w:rsidR="00EE5284" w:rsidRPr="004E07EA" w:rsidRDefault="00EE5284" w:rsidP="00F4239E">
            <w:pPr>
              <w:keepNext/>
              <w:spacing w:before="0"/>
              <w:jc w:val="center"/>
              <w:rPr>
                <w:rFonts w:cs="Arial"/>
                <w:b/>
                <w:spacing w:val="-4"/>
                <w:sz w:val="22"/>
                <w:szCs w:val="22"/>
              </w:rPr>
            </w:pPr>
            <w:r w:rsidRPr="004E07EA">
              <w:rPr>
                <w:b/>
                <w:spacing w:val="-4"/>
                <w:sz w:val="22"/>
                <w:szCs w:val="22"/>
              </w:rPr>
              <w:t>No observations (N/O)</w:t>
            </w:r>
          </w:p>
        </w:tc>
        <w:tc>
          <w:tcPr>
            <w:tcW w:w="2976" w:type="dxa"/>
            <w:vAlign w:val="center"/>
          </w:tcPr>
          <w:p w14:paraId="00B84407" w14:textId="77777777" w:rsidR="00EE5284" w:rsidRPr="004E07EA" w:rsidRDefault="00EE5284" w:rsidP="00F4239E">
            <w:pPr>
              <w:keepNext/>
              <w:spacing w:before="0"/>
              <w:jc w:val="center"/>
              <w:rPr>
                <w:rFonts w:cs="Arial"/>
                <w:b/>
                <w:spacing w:val="-4"/>
                <w:sz w:val="22"/>
                <w:szCs w:val="22"/>
              </w:rPr>
            </w:pPr>
            <w:r w:rsidRPr="004E07EA">
              <w:rPr>
                <w:b/>
                <w:spacing w:val="-4"/>
                <w:sz w:val="22"/>
                <w:szCs w:val="22"/>
              </w:rPr>
              <w:t>Observations submitted</w:t>
            </w:r>
          </w:p>
        </w:tc>
      </w:tr>
      <w:tr w:rsidR="00567E99" w:rsidRPr="004E07EA" w14:paraId="2BD5AC0C" w14:textId="77777777" w:rsidTr="00DC6D3D">
        <w:tc>
          <w:tcPr>
            <w:tcW w:w="3432" w:type="dxa"/>
            <w:tcMar>
              <w:top w:w="57" w:type="dxa"/>
              <w:bottom w:w="57" w:type="dxa"/>
            </w:tcMar>
            <w:vAlign w:val="center"/>
          </w:tcPr>
          <w:p w14:paraId="4F45A2CF" w14:textId="77777777" w:rsidR="00EE5284" w:rsidRPr="004E07EA" w:rsidRDefault="003614B8" w:rsidP="00C91CC3">
            <w:pPr>
              <w:spacing w:before="0"/>
              <w:rPr>
                <w:rFonts w:cs="Arial"/>
                <w:bCs/>
                <w:spacing w:val="-4"/>
                <w:sz w:val="22"/>
                <w:szCs w:val="22"/>
              </w:rPr>
            </w:pPr>
            <w:r w:rsidRPr="004E07EA">
              <w:rPr>
                <w:bCs/>
                <w:spacing w:val="-4"/>
                <w:sz w:val="22"/>
                <w:szCs w:val="22"/>
              </w:rPr>
              <w:t>Autonomous Community of Andalusia</w:t>
            </w:r>
          </w:p>
        </w:tc>
        <w:tc>
          <w:tcPr>
            <w:tcW w:w="2410" w:type="dxa"/>
            <w:vAlign w:val="center"/>
          </w:tcPr>
          <w:p w14:paraId="3D83C687" w14:textId="77777777" w:rsidR="00EE5284" w:rsidRPr="004E07EA" w:rsidRDefault="00EE5284" w:rsidP="00C91CC3">
            <w:pPr>
              <w:spacing w:before="0"/>
              <w:jc w:val="center"/>
              <w:rPr>
                <w:rFonts w:cs="Arial"/>
                <w:bCs/>
                <w:strike/>
                <w:spacing w:val="-4"/>
                <w:sz w:val="22"/>
                <w:szCs w:val="22"/>
                <w:highlight w:val="cyan"/>
              </w:rPr>
            </w:pPr>
          </w:p>
        </w:tc>
        <w:tc>
          <w:tcPr>
            <w:tcW w:w="2976" w:type="dxa"/>
            <w:vAlign w:val="center"/>
          </w:tcPr>
          <w:p w14:paraId="0363EF08" w14:textId="77777777" w:rsidR="00EE5284" w:rsidRPr="004E07EA" w:rsidRDefault="00EE5284" w:rsidP="00C91CC3">
            <w:pPr>
              <w:spacing w:before="0"/>
              <w:jc w:val="center"/>
              <w:rPr>
                <w:rFonts w:cs="Arial"/>
                <w:bCs/>
                <w:spacing w:val="-4"/>
                <w:sz w:val="22"/>
                <w:szCs w:val="22"/>
                <w:highlight w:val="cyan"/>
              </w:rPr>
            </w:pPr>
            <w:r w:rsidRPr="004E07EA">
              <w:rPr>
                <w:bCs/>
                <w:spacing w:val="-4"/>
                <w:sz w:val="22"/>
                <w:szCs w:val="22"/>
              </w:rPr>
              <w:t>X</w:t>
            </w:r>
          </w:p>
        </w:tc>
      </w:tr>
      <w:tr w:rsidR="00567E99" w:rsidRPr="004E07EA" w14:paraId="58D15606" w14:textId="77777777" w:rsidTr="00DC6D3D">
        <w:tc>
          <w:tcPr>
            <w:tcW w:w="3432" w:type="dxa"/>
            <w:tcMar>
              <w:top w:w="57" w:type="dxa"/>
              <w:bottom w:w="57" w:type="dxa"/>
            </w:tcMar>
            <w:vAlign w:val="center"/>
          </w:tcPr>
          <w:p w14:paraId="3F360D4B" w14:textId="77777777" w:rsidR="00EE5284" w:rsidRPr="004E07EA" w:rsidRDefault="003614B8" w:rsidP="00C91CC3">
            <w:pPr>
              <w:spacing w:before="0"/>
              <w:rPr>
                <w:rFonts w:cs="Arial"/>
                <w:spacing w:val="-4"/>
                <w:sz w:val="22"/>
                <w:szCs w:val="22"/>
              </w:rPr>
            </w:pPr>
            <w:r w:rsidRPr="004E07EA">
              <w:rPr>
                <w:bCs/>
                <w:spacing w:val="-4"/>
                <w:sz w:val="22"/>
                <w:szCs w:val="22"/>
              </w:rPr>
              <w:t>Autonomous Community of Aragon</w:t>
            </w:r>
          </w:p>
        </w:tc>
        <w:tc>
          <w:tcPr>
            <w:tcW w:w="2410" w:type="dxa"/>
            <w:vAlign w:val="center"/>
          </w:tcPr>
          <w:p w14:paraId="17A8D449" w14:textId="77777777" w:rsidR="00EE5284" w:rsidRPr="004E07EA" w:rsidRDefault="00EE5284" w:rsidP="00C91CC3">
            <w:pPr>
              <w:spacing w:before="0"/>
              <w:jc w:val="center"/>
              <w:rPr>
                <w:rFonts w:cs="Arial"/>
                <w:spacing w:val="-4"/>
                <w:highlight w:val="cyan"/>
              </w:rPr>
            </w:pPr>
            <w:r w:rsidRPr="004E07EA">
              <w:rPr>
                <w:spacing w:val="-4"/>
              </w:rPr>
              <w:t>N/O</w:t>
            </w:r>
          </w:p>
        </w:tc>
        <w:tc>
          <w:tcPr>
            <w:tcW w:w="2976" w:type="dxa"/>
            <w:vAlign w:val="center"/>
          </w:tcPr>
          <w:p w14:paraId="42E4A66C" w14:textId="77777777" w:rsidR="00EE5284" w:rsidRPr="004E07EA" w:rsidRDefault="00EE5284" w:rsidP="00C91CC3">
            <w:pPr>
              <w:spacing w:before="0"/>
              <w:jc w:val="center"/>
              <w:rPr>
                <w:rFonts w:cs="Arial"/>
                <w:spacing w:val="-4"/>
                <w:sz w:val="22"/>
                <w:szCs w:val="22"/>
              </w:rPr>
            </w:pPr>
          </w:p>
        </w:tc>
      </w:tr>
      <w:tr w:rsidR="00567E99" w:rsidRPr="004E07EA" w14:paraId="345C22FE" w14:textId="77777777" w:rsidTr="00DC6D3D">
        <w:tc>
          <w:tcPr>
            <w:tcW w:w="3432" w:type="dxa"/>
            <w:tcMar>
              <w:top w:w="57" w:type="dxa"/>
              <w:bottom w:w="57" w:type="dxa"/>
            </w:tcMar>
            <w:vAlign w:val="center"/>
          </w:tcPr>
          <w:p w14:paraId="71DE0762" w14:textId="77777777" w:rsidR="00EE5284" w:rsidRPr="004E07EA" w:rsidRDefault="003614B8" w:rsidP="00C91CC3">
            <w:pPr>
              <w:spacing w:before="0"/>
              <w:rPr>
                <w:rFonts w:cs="Arial"/>
                <w:strike/>
                <w:spacing w:val="-4"/>
                <w:sz w:val="22"/>
                <w:szCs w:val="22"/>
              </w:rPr>
            </w:pPr>
            <w:r w:rsidRPr="004E07EA">
              <w:rPr>
                <w:bCs/>
                <w:spacing w:val="-4"/>
                <w:sz w:val="22"/>
                <w:szCs w:val="22"/>
              </w:rPr>
              <w:t>Autonomous Community of the Balearic Islands</w:t>
            </w:r>
          </w:p>
        </w:tc>
        <w:tc>
          <w:tcPr>
            <w:tcW w:w="2410" w:type="dxa"/>
            <w:vAlign w:val="center"/>
          </w:tcPr>
          <w:p w14:paraId="6DCE2752" w14:textId="77777777" w:rsidR="00EE5284" w:rsidRPr="004E07EA" w:rsidRDefault="00EE5284" w:rsidP="00C91CC3">
            <w:pPr>
              <w:spacing w:before="0"/>
              <w:jc w:val="center"/>
              <w:rPr>
                <w:rFonts w:cs="Arial"/>
                <w:spacing w:val="-4"/>
                <w:highlight w:val="cyan"/>
              </w:rPr>
            </w:pPr>
          </w:p>
        </w:tc>
        <w:tc>
          <w:tcPr>
            <w:tcW w:w="2976" w:type="dxa"/>
            <w:vAlign w:val="center"/>
          </w:tcPr>
          <w:p w14:paraId="18C76436" w14:textId="77777777" w:rsidR="00EE5284" w:rsidRPr="004E07EA" w:rsidRDefault="003614B8" w:rsidP="00C91CC3">
            <w:pPr>
              <w:spacing w:before="0"/>
              <w:jc w:val="center"/>
              <w:rPr>
                <w:rFonts w:cs="Arial"/>
                <w:spacing w:val="-4"/>
                <w:sz w:val="22"/>
                <w:szCs w:val="22"/>
              </w:rPr>
            </w:pPr>
            <w:r w:rsidRPr="004E07EA">
              <w:rPr>
                <w:spacing w:val="-4"/>
                <w:sz w:val="22"/>
                <w:szCs w:val="22"/>
              </w:rPr>
              <w:t>X</w:t>
            </w:r>
          </w:p>
        </w:tc>
      </w:tr>
      <w:tr w:rsidR="00567E99" w:rsidRPr="004E07EA" w14:paraId="77B8187A" w14:textId="77777777" w:rsidTr="00DC6D3D">
        <w:tc>
          <w:tcPr>
            <w:tcW w:w="3432" w:type="dxa"/>
            <w:tcMar>
              <w:top w:w="57" w:type="dxa"/>
              <w:bottom w:w="57" w:type="dxa"/>
            </w:tcMar>
            <w:vAlign w:val="center"/>
          </w:tcPr>
          <w:p w14:paraId="4DB726AA" w14:textId="77777777" w:rsidR="003614B8" w:rsidRPr="004E07EA" w:rsidRDefault="003614B8" w:rsidP="003614B8">
            <w:pPr>
              <w:spacing w:before="0"/>
              <w:rPr>
                <w:rFonts w:cs="Arial"/>
                <w:bCs/>
                <w:spacing w:val="-4"/>
                <w:sz w:val="22"/>
                <w:szCs w:val="22"/>
              </w:rPr>
            </w:pPr>
            <w:r w:rsidRPr="004E07EA">
              <w:rPr>
                <w:spacing w:val="-4"/>
                <w:sz w:val="22"/>
                <w:szCs w:val="22"/>
              </w:rPr>
              <w:t>Autonomous Community of Cantabria</w:t>
            </w:r>
          </w:p>
        </w:tc>
        <w:tc>
          <w:tcPr>
            <w:tcW w:w="2410" w:type="dxa"/>
            <w:vAlign w:val="center"/>
          </w:tcPr>
          <w:p w14:paraId="06533109" w14:textId="77777777" w:rsidR="003614B8" w:rsidRPr="004E07EA" w:rsidRDefault="003614B8" w:rsidP="003614B8">
            <w:pPr>
              <w:spacing w:before="0"/>
              <w:jc w:val="center"/>
              <w:rPr>
                <w:rFonts w:cs="Arial"/>
                <w:spacing w:val="-4"/>
              </w:rPr>
            </w:pPr>
            <w:r w:rsidRPr="004E07EA">
              <w:rPr>
                <w:spacing w:val="-4"/>
              </w:rPr>
              <w:t>N/O</w:t>
            </w:r>
          </w:p>
        </w:tc>
        <w:tc>
          <w:tcPr>
            <w:tcW w:w="2976" w:type="dxa"/>
            <w:vAlign w:val="center"/>
          </w:tcPr>
          <w:p w14:paraId="408CE19D" w14:textId="77777777" w:rsidR="003614B8" w:rsidRPr="004E07EA" w:rsidRDefault="003614B8" w:rsidP="003614B8">
            <w:pPr>
              <w:spacing w:before="0"/>
              <w:jc w:val="center"/>
              <w:rPr>
                <w:rFonts w:cs="Arial"/>
                <w:spacing w:val="-4"/>
                <w:sz w:val="22"/>
                <w:szCs w:val="22"/>
              </w:rPr>
            </w:pPr>
          </w:p>
        </w:tc>
      </w:tr>
      <w:tr w:rsidR="00567E99" w:rsidRPr="004E07EA" w14:paraId="1CFCF3A9" w14:textId="77777777" w:rsidTr="00DC6D3D">
        <w:tc>
          <w:tcPr>
            <w:tcW w:w="3432" w:type="dxa"/>
            <w:tcMar>
              <w:top w:w="57" w:type="dxa"/>
              <w:bottom w:w="57" w:type="dxa"/>
            </w:tcMar>
            <w:vAlign w:val="center"/>
          </w:tcPr>
          <w:p w14:paraId="6C8FF55B" w14:textId="77777777" w:rsidR="003614B8" w:rsidRPr="004E07EA" w:rsidRDefault="003614B8" w:rsidP="003614B8">
            <w:pPr>
              <w:spacing w:before="0"/>
              <w:rPr>
                <w:rFonts w:cs="Arial"/>
                <w:bCs/>
                <w:spacing w:val="-4"/>
                <w:sz w:val="22"/>
                <w:szCs w:val="22"/>
              </w:rPr>
            </w:pPr>
            <w:r w:rsidRPr="004E07EA">
              <w:rPr>
                <w:bCs/>
                <w:spacing w:val="-4"/>
                <w:sz w:val="22"/>
                <w:szCs w:val="22"/>
              </w:rPr>
              <w:t>Autonomous Community of Castile-La Mancha</w:t>
            </w:r>
          </w:p>
        </w:tc>
        <w:tc>
          <w:tcPr>
            <w:tcW w:w="2410" w:type="dxa"/>
            <w:vAlign w:val="center"/>
          </w:tcPr>
          <w:p w14:paraId="69C499C5" w14:textId="77777777" w:rsidR="003614B8" w:rsidRPr="004E07EA" w:rsidRDefault="003614B8" w:rsidP="003614B8">
            <w:pPr>
              <w:spacing w:before="0"/>
              <w:jc w:val="center"/>
              <w:rPr>
                <w:rFonts w:cs="Arial"/>
                <w:spacing w:val="-4"/>
              </w:rPr>
            </w:pPr>
          </w:p>
        </w:tc>
        <w:tc>
          <w:tcPr>
            <w:tcW w:w="2976" w:type="dxa"/>
            <w:vAlign w:val="center"/>
          </w:tcPr>
          <w:p w14:paraId="364C0231" w14:textId="77777777" w:rsidR="003614B8" w:rsidRPr="004E07EA" w:rsidRDefault="003614B8" w:rsidP="003614B8">
            <w:pPr>
              <w:spacing w:before="0"/>
              <w:jc w:val="center"/>
              <w:rPr>
                <w:rFonts w:cs="Arial"/>
                <w:spacing w:val="-4"/>
                <w:sz w:val="22"/>
                <w:szCs w:val="22"/>
              </w:rPr>
            </w:pPr>
            <w:r w:rsidRPr="004E07EA">
              <w:rPr>
                <w:spacing w:val="-4"/>
                <w:sz w:val="22"/>
                <w:szCs w:val="22"/>
              </w:rPr>
              <w:t>X</w:t>
            </w:r>
          </w:p>
        </w:tc>
      </w:tr>
      <w:tr w:rsidR="00567E99" w:rsidRPr="004E07EA" w14:paraId="7959B025" w14:textId="77777777" w:rsidTr="00DC6D3D">
        <w:tc>
          <w:tcPr>
            <w:tcW w:w="3432" w:type="dxa"/>
            <w:tcMar>
              <w:top w:w="57" w:type="dxa"/>
              <w:bottom w:w="57" w:type="dxa"/>
            </w:tcMar>
            <w:vAlign w:val="center"/>
          </w:tcPr>
          <w:p w14:paraId="2F1C566A" w14:textId="77777777" w:rsidR="003614B8" w:rsidRPr="004E07EA" w:rsidRDefault="003614B8" w:rsidP="003614B8">
            <w:pPr>
              <w:spacing w:before="0"/>
              <w:rPr>
                <w:rFonts w:cs="Arial"/>
                <w:bCs/>
                <w:spacing w:val="-4"/>
                <w:sz w:val="22"/>
                <w:szCs w:val="22"/>
              </w:rPr>
            </w:pPr>
            <w:r w:rsidRPr="004E07EA">
              <w:rPr>
                <w:bCs/>
                <w:spacing w:val="-4"/>
                <w:sz w:val="22"/>
                <w:szCs w:val="22"/>
              </w:rPr>
              <w:t>Autonomous Community of Galicia</w:t>
            </w:r>
          </w:p>
        </w:tc>
        <w:tc>
          <w:tcPr>
            <w:tcW w:w="2410" w:type="dxa"/>
            <w:vAlign w:val="center"/>
          </w:tcPr>
          <w:p w14:paraId="6D2BE6F0" w14:textId="77777777" w:rsidR="003614B8" w:rsidRPr="004E07EA" w:rsidRDefault="003614B8" w:rsidP="003614B8">
            <w:pPr>
              <w:spacing w:before="0"/>
              <w:jc w:val="center"/>
              <w:rPr>
                <w:rFonts w:cs="Arial"/>
                <w:spacing w:val="-4"/>
              </w:rPr>
            </w:pPr>
          </w:p>
        </w:tc>
        <w:tc>
          <w:tcPr>
            <w:tcW w:w="2976" w:type="dxa"/>
            <w:vAlign w:val="center"/>
          </w:tcPr>
          <w:p w14:paraId="48477B80" w14:textId="77777777" w:rsidR="003614B8" w:rsidRPr="004E07EA" w:rsidRDefault="003614B8" w:rsidP="003614B8">
            <w:pPr>
              <w:spacing w:before="0"/>
              <w:jc w:val="center"/>
              <w:rPr>
                <w:rFonts w:cs="Arial"/>
                <w:spacing w:val="-4"/>
                <w:sz w:val="22"/>
                <w:szCs w:val="22"/>
              </w:rPr>
            </w:pPr>
            <w:r w:rsidRPr="004E07EA">
              <w:rPr>
                <w:spacing w:val="-4"/>
                <w:sz w:val="22"/>
                <w:szCs w:val="22"/>
              </w:rPr>
              <w:t>X</w:t>
            </w:r>
          </w:p>
        </w:tc>
      </w:tr>
      <w:tr w:rsidR="00567E99" w:rsidRPr="004E07EA" w14:paraId="69F3199F" w14:textId="77777777" w:rsidTr="00DC6D3D">
        <w:tc>
          <w:tcPr>
            <w:tcW w:w="3432" w:type="dxa"/>
            <w:tcMar>
              <w:top w:w="57" w:type="dxa"/>
              <w:bottom w:w="57" w:type="dxa"/>
            </w:tcMar>
            <w:vAlign w:val="center"/>
          </w:tcPr>
          <w:p w14:paraId="00C762B2" w14:textId="77777777" w:rsidR="003614B8" w:rsidRPr="004E07EA" w:rsidRDefault="003614B8" w:rsidP="003614B8">
            <w:pPr>
              <w:spacing w:before="0"/>
              <w:rPr>
                <w:rFonts w:cs="Arial"/>
                <w:bCs/>
                <w:spacing w:val="-4"/>
                <w:sz w:val="22"/>
                <w:szCs w:val="22"/>
              </w:rPr>
            </w:pPr>
            <w:r w:rsidRPr="004E07EA">
              <w:rPr>
                <w:spacing w:val="-4"/>
                <w:sz w:val="22"/>
                <w:szCs w:val="22"/>
              </w:rPr>
              <w:t>Autonomous Community of Catalonia</w:t>
            </w:r>
          </w:p>
        </w:tc>
        <w:tc>
          <w:tcPr>
            <w:tcW w:w="2410" w:type="dxa"/>
            <w:vAlign w:val="center"/>
          </w:tcPr>
          <w:p w14:paraId="7C2205D3" w14:textId="77777777" w:rsidR="003614B8" w:rsidRPr="004E07EA" w:rsidRDefault="003614B8" w:rsidP="003614B8">
            <w:pPr>
              <w:spacing w:before="0"/>
              <w:jc w:val="center"/>
              <w:rPr>
                <w:rFonts w:cs="Arial"/>
                <w:spacing w:val="-4"/>
              </w:rPr>
            </w:pPr>
          </w:p>
        </w:tc>
        <w:tc>
          <w:tcPr>
            <w:tcW w:w="2976" w:type="dxa"/>
            <w:vAlign w:val="center"/>
          </w:tcPr>
          <w:p w14:paraId="40467494" w14:textId="77777777" w:rsidR="003614B8" w:rsidRPr="004E07EA" w:rsidRDefault="003614B8" w:rsidP="003614B8">
            <w:pPr>
              <w:spacing w:before="0"/>
              <w:jc w:val="center"/>
              <w:rPr>
                <w:rFonts w:cs="Arial"/>
                <w:spacing w:val="-4"/>
                <w:sz w:val="22"/>
                <w:szCs w:val="22"/>
              </w:rPr>
            </w:pPr>
            <w:r w:rsidRPr="004E07EA">
              <w:rPr>
                <w:spacing w:val="-4"/>
                <w:sz w:val="22"/>
                <w:szCs w:val="22"/>
              </w:rPr>
              <w:t>X</w:t>
            </w:r>
          </w:p>
        </w:tc>
      </w:tr>
      <w:tr w:rsidR="00567E99" w:rsidRPr="004E07EA" w14:paraId="087C5CB0" w14:textId="77777777" w:rsidTr="00DC6D3D">
        <w:tc>
          <w:tcPr>
            <w:tcW w:w="3432" w:type="dxa"/>
            <w:tcMar>
              <w:top w:w="57" w:type="dxa"/>
              <w:bottom w:w="57" w:type="dxa"/>
            </w:tcMar>
            <w:vAlign w:val="center"/>
          </w:tcPr>
          <w:p w14:paraId="2E2ACA05" w14:textId="77777777" w:rsidR="00840049" w:rsidRPr="004E07EA" w:rsidRDefault="00840049" w:rsidP="00840049">
            <w:pPr>
              <w:spacing w:before="0"/>
              <w:rPr>
                <w:rFonts w:cs="Arial"/>
                <w:bCs/>
                <w:spacing w:val="-4"/>
                <w:sz w:val="22"/>
                <w:szCs w:val="22"/>
              </w:rPr>
            </w:pPr>
            <w:r w:rsidRPr="004E07EA">
              <w:rPr>
                <w:spacing w:val="-4"/>
                <w:sz w:val="22"/>
                <w:szCs w:val="22"/>
              </w:rPr>
              <w:t>Autonomous Community of the Region of Murcia</w:t>
            </w:r>
          </w:p>
        </w:tc>
        <w:tc>
          <w:tcPr>
            <w:tcW w:w="2410" w:type="dxa"/>
            <w:vAlign w:val="center"/>
          </w:tcPr>
          <w:p w14:paraId="3A94F2D1" w14:textId="77777777" w:rsidR="00840049" w:rsidRPr="004E07EA" w:rsidRDefault="00840049" w:rsidP="00840049">
            <w:pPr>
              <w:spacing w:before="0"/>
              <w:jc w:val="center"/>
              <w:rPr>
                <w:rFonts w:cs="Arial"/>
                <w:spacing w:val="-4"/>
              </w:rPr>
            </w:pPr>
          </w:p>
        </w:tc>
        <w:tc>
          <w:tcPr>
            <w:tcW w:w="2976" w:type="dxa"/>
            <w:vAlign w:val="center"/>
          </w:tcPr>
          <w:p w14:paraId="7F33FCF6" w14:textId="77777777" w:rsidR="00840049" w:rsidRPr="004E07EA" w:rsidRDefault="00840049" w:rsidP="00840049">
            <w:pPr>
              <w:spacing w:before="0"/>
              <w:jc w:val="center"/>
              <w:rPr>
                <w:rFonts w:cs="Arial"/>
                <w:spacing w:val="-4"/>
                <w:sz w:val="22"/>
                <w:szCs w:val="22"/>
              </w:rPr>
            </w:pPr>
            <w:r w:rsidRPr="004E07EA">
              <w:rPr>
                <w:spacing w:val="-4"/>
                <w:sz w:val="22"/>
                <w:szCs w:val="22"/>
              </w:rPr>
              <w:t>X</w:t>
            </w:r>
          </w:p>
        </w:tc>
      </w:tr>
    </w:tbl>
    <w:p w14:paraId="25FC6E08" w14:textId="77777777" w:rsidR="00B63ED9" w:rsidRPr="00DC6D3D" w:rsidRDefault="00B63ED9" w:rsidP="00F4239E">
      <w:pPr>
        <w:keepNext/>
        <w:rPr>
          <w:b/>
          <w:bCs/>
          <w:u w:val="single"/>
        </w:rPr>
      </w:pPr>
      <w:r>
        <w:rPr>
          <w:b/>
          <w:bCs/>
        </w:rPr>
        <w:t xml:space="preserve">9. </w:t>
      </w:r>
      <w:r>
        <w:rPr>
          <w:b/>
          <w:bCs/>
          <w:u w:val="single"/>
        </w:rPr>
        <w:t>Impact of the observations</w:t>
      </w:r>
    </w:p>
    <w:p w14:paraId="6015F52E" w14:textId="77777777" w:rsidR="00B63ED9" w:rsidRPr="00DC6D3D" w:rsidRDefault="00B63ED9" w:rsidP="00B63ED9">
      <w:r>
        <w:t xml:space="preserve">As a result of the public hearing and information process, the observations gathered during consultations with the Autonomous Communities and representative organisations from the sector, and the reports issued by the General Technical Secretariats of the different Ministries involved, amendments have been introduced. </w:t>
      </w:r>
    </w:p>
    <w:p w14:paraId="456BE277" w14:textId="77777777" w:rsidR="00B63ED9" w:rsidRPr="00DC6D3D" w:rsidRDefault="00B63ED9" w:rsidP="00F4239E">
      <w:pPr>
        <w:keepNext/>
      </w:pPr>
      <w:r>
        <w:lastRenderedPageBreak/>
        <w:t>The main changes to the text of the Royal Decree that was the subject of the consultation are as follows:</w:t>
      </w:r>
    </w:p>
    <w:p w14:paraId="56DBD9A1" w14:textId="77777777" w:rsidR="00B63ED9" w:rsidRPr="004E07EA" w:rsidRDefault="00B63ED9" w:rsidP="004E07EA">
      <w:pPr>
        <w:keepNext/>
        <w:keepLines/>
        <w:rPr>
          <w:spacing w:val="-4"/>
        </w:rPr>
      </w:pPr>
      <w:r w:rsidRPr="004E07EA">
        <w:rPr>
          <w:spacing w:val="-4"/>
        </w:rPr>
        <w:t xml:space="preserve">Firstly, it is worth mentioning the disagreement with the incorporation of the terms ‘mild’ and ‘intense’ on the labelling of olive oils that only contain refined olive oils and virgin olive oils. The main complaints concern a possible confusion among consumers with respect to labelling with such wording and a lack of analysis methods as a tool in official controls. For these reasons, it has been decided that the provisions giving legislative space to such labelling terms shall be deleted from the text. </w:t>
      </w:r>
    </w:p>
    <w:p w14:paraId="4B38CCA1" w14:textId="77777777" w:rsidR="00B63ED9" w:rsidRPr="00DC6D3D" w:rsidRDefault="00B63ED9" w:rsidP="00B63ED9">
      <w:r>
        <w:t>Secondly, given the demands of the sector in terms of the importance of controlling oil movements and that such movements be reported to the authorities in advance, the obligation to report such movements via a computer and/or electronic tracking system that will be controlled directly by the administration has been incorporated. To respond to this request and make it easier for operators to comply with this obligation and for the competent authorities to provide control, the tool shall be developed by the Ministry of Agriculture, Fisheries and Food. This will help reduce fraud in the transport of olive and olive-pomace oils. Similarly, certain aspects have been clarified with respect to the obligations regarding the maintenance of traceability records and the operators it affects.</w:t>
      </w:r>
    </w:p>
    <w:p w14:paraId="5D0F1FD7" w14:textId="77777777" w:rsidR="006067D0" w:rsidRPr="004E07EA" w:rsidRDefault="000678EE" w:rsidP="00EF6DD4">
      <w:pPr>
        <w:rPr>
          <w:rFonts w:cs="Arial"/>
          <w:spacing w:val="-4"/>
        </w:rPr>
      </w:pPr>
      <w:r w:rsidRPr="004E07EA">
        <w:rPr>
          <w:spacing w:val="-4"/>
        </w:rPr>
        <w:t>Regarding the specific obligations for facilities, given the demands of the sector and to avoid the substantial economic impact that compliance would entail for the facilities affected, the requirement of having to separate facilities within a transitional period of time has been lifted for those that are not appropriately separated as of the entry into force of the regulation. The separation requirement shall therefore only apply to newly-opened facilities as of the entry into force of the regulation. However, in order to prevent fraudulent practices resulting from the non-separation of these facilities, they shall be subject to stricter reporting obligations. This shall include the requirement to report all movements of olive oil and olive-pomace oil between oil mills, refineries and extractors located in the facility, and the drafting of an annual report to be sent to the competent control authorities clearly indicating their bulk stocks for each category of oil that they produce, store or sell.</w:t>
      </w:r>
    </w:p>
    <w:p w14:paraId="284575C4" w14:textId="77777777" w:rsidR="000678EE" w:rsidRPr="00DC6D3D" w:rsidRDefault="000678EE" w:rsidP="000678EE">
      <w:r>
        <w:t>Meanwhile, a ban on placing extra virgin olive oils sold in plastic containers on the retail market has been introduced into the text. This measure serves to promote the exceptional quality of these oils, which belong to the highest category of olive oils. It is considered a mechanism that will considerably improve the image and increase the value of extra virgin olive oils, and which will therefore help to overcome the serious price crisis currently affecting the sector. This measure also has a very positive environmental impact as it helps to reduce the use of plastics, replacing them with an inert material with a much lower impact. This will put the sector on a path towards achieving its sustainable development targets and help the transition to an environmental and sustainable economy. The entry into force of this prohibition is planned for 2024 for containers of up to one litre and for 1 January 2025 for all other containers.</w:t>
      </w:r>
    </w:p>
    <w:p w14:paraId="0BC3A0F2" w14:textId="77777777" w:rsidR="00B3784C" w:rsidRPr="00DC6D3D" w:rsidRDefault="00C91CC3" w:rsidP="00EF6DD4">
      <w:pPr>
        <w:rPr>
          <w:rFonts w:cs="Arial"/>
        </w:rPr>
      </w:pPr>
      <w:r>
        <w:t>Meanwhile, in view of the problems that may arise in terms of competition, and to ensure consistency with European Union legislation, the rules on permitted tolerance on optional labelling indications have been removed from the text.</w:t>
      </w:r>
    </w:p>
    <w:p w14:paraId="6B0214FD" w14:textId="77777777" w:rsidR="00CB2DFD" w:rsidRPr="00DC6D3D" w:rsidRDefault="00CB2DFD" w:rsidP="004E07EA">
      <w:pPr>
        <w:keepNext/>
        <w:keepLines/>
        <w:rPr>
          <w:rFonts w:cs="Arial"/>
        </w:rPr>
      </w:pPr>
      <w:r>
        <w:lastRenderedPageBreak/>
        <w:t>In addition, given the tax implications that could derive from the previous definition, the definition of ‘grower’ has been corrected. It is now emphasised that it refers to a farmer, namely the owner of the olive farm, who produces the olives and to which the oil mill exclusively provides milling services, such that the grower retains ownership of the extracted virgin olive oil. At present, the Order of 12 December 1984 regulates the delivery of virgin olive oil by mills to their growers for self-consumption. Mills occasionally supply virgin olive oil directly to growers who previously delivered olives for grinding. Supplies to growers who deliver olives to mills simply involve the delivery of the oil to their owners, since there has been no sale of olives. In such cases, depending on their use of the delivered oil, the grower will either be an end consumer to whom the oil is delivered with all the applicable guarantees, where the oil is for self-consumption, or an operator, where the oil is to be placed on the market. The definition of grower and the provisions that apply to it throughout the text are intended to ensure that the proper obligations are met in either of the two cases of growers.</w:t>
      </w:r>
    </w:p>
    <w:p w14:paraId="49EC2D23" w14:textId="77777777" w:rsidR="00B03E26" w:rsidRPr="004E07EA" w:rsidRDefault="00996078" w:rsidP="00F71254">
      <w:pPr>
        <w:spacing w:after="240"/>
        <w:rPr>
          <w:rFonts w:cs="Arial"/>
          <w:spacing w:val="-4"/>
        </w:rPr>
      </w:pPr>
      <w:r w:rsidRPr="004E07EA">
        <w:rPr>
          <w:spacing w:val="-4"/>
        </w:rPr>
        <w:t>Likewise, to dispel any doubts that may arise in relation to the definition of operator, a subsection has been introduced in the preamble, clarifying that the definition shall apply to all natural or legal persons that intervene in any way and during any of stage of the production and marketing of olive and olive-pomace oils. This therefore includes olive purchasing centres, cooperatives and mobile oil mills.</w:t>
      </w:r>
    </w:p>
    <w:p w14:paraId="048C820B" w14:textId="77777777" w:rsidR="000678EE" w:rsidRPr="00DC6D3D" w:rsidRDefault="000678EE" w:rsidP="000678EE">
      <w:r>
        <w:t>It should also be noted that many of the observations have led to minor changes that improve the content and understanding of the legal text.</w:t>
      </w:r>
    </w:p>
    <w:p w14:paraId="1D6589CF" w14:textId="77777777" w:rsidR="000678EE" w:rsidRPr="00DC6D3D" w:rsidRDefault="000678EE" w:rsidP="000678EE">
      <w:r>
        <w:t xml:space="preserve">Attached to this report is an annex containing detailed observations received during the process, along with an evaluation and consideration of each one. </w:t>
      </w:r>
    </w:p>
    <w:p w14:paraId="5B648B50" w14:textId="77777777" w:rsidR="009E41E2" w:rsidRPr="00DC6D3D" w:rsidRDefault="000B1CC6" w:rsidP="00F4239E">
      <w:pPr>
        <w:keepNext/>
        <w:rPr>
          <w:b/>
        </w:rPr>
      </w:pPr>
      <w:r>
        <w:rPr>
          <w:b/>
        </w:rPr>
        <w:t>10.</w:t>
      </w:r>
      <w:r>
        <w:t xml:space="preserve"> </w:t>
      </w:r>
      <w:r>
        <w:rPr>
          <w:b/>
          <w:u w:val="single"/>
        </w:rPr>
        <w:t xml:space="preserve">Report from the </w:t>
      </w:r>
      <w:proofErr w:type="spellStart"/>
      <w:r>
        <w:rPr>
          <w:b/>
          <w:u w:val="single"/>
        </w:rPr>
        <w:t>Interministerial</w:t>
      </w:r>
      <w:proofErr w:type="spellEnd"/>
      <w:r>
        <w:rPr>
          <w:b/>
          <w:u w:val="single"/>
        </w:rPr>
        <w:t xml:space="preserve"> Commission for Food Management</w:t>
      </w:r>
      <w:r>
        <w:rPr>
          <w:b/>
        </w:rPr>
        <w:t xml:space="preserve"> </w:t>
      </w:r>
    </w:p>
    <w:p w14:paraId="3B414FFC" w14:textId="77777777" w:rsidR="00451A30" w:rsidRPr="00DC6D3D" w:rsidRDefault="00451A30" w:rsidP="00F71254">
      <w:pPr>
        <w:spacing w:after="240"/>
        <w:rPr>
          <w:bCs/>
        </w:rPr>
      </w:pPr>
      <w:r>
        <w:t xml:space="preserve">At the session held by the Plenary of the </w:t>
      </w:r>
      <w:proofErr w:type="spellStart"/>
      <w:r>
        <w:t>Interministerial</w:t>
      </w:r>
      <w:proofErr w:type="spellEnd"/>
      <w:r>
        <w:t xml:space="preserve"> Commission for Food Management on 14 July 2020, the draft Royal Decree adopting the Quality Standard for Olive and Olive-Pomace Oils, having received a favourable report dated 15 July 2020, was submitted to the attendees specified in point 2.1 of the agenda for consideration.</w:t>
      </w:r>
    </w:p>
    <w:p w14:paraId="53A63ACE" w14:textId="77777777" w:rsidR="00341FD5" w:rsidRPr="00DC6D3D" w:rsidRDefault="00341FD5" w:rsidP="00F71254">
      <w:pPr>
        <w:spacing w:after="240"/>
        <w:rPr>
          <w:bCs/>
        </w:rPr>
      </w:pPr>
      <w:r>
        <w:t xml:space="preserve">As a result of complaints raised by the sector, an amendment to the text was introduced after that session, increasing the transitional period in relation to the ban on packaging in plastic containers. </w:t>
      </w:r>
    </w:p>
    <w:p w14:paraId="2B2ADCE2" w14:textId="77777777" w:rsidR="00F4239E" w:rsidRDefault="0061109A" w:rsidP="00F4239E">
      <w:pPr>
        <w:keepNext/>
        <w:rPr>
          <w:b/>
        </w:rPr>
      </w:pPr>
      <w:r>
        <w:rPr>
          <w:b/>
        </w:rPr>
        <w:t xml:space="preserve">11. </w:t>
      </w:r>
      <w:r>
        <w:rPr>
          <w:b/>
          <w:u w:val="single"/>
        </w:rPr>
        <w:t>Compliance with mandatory procedures in European Union Law</w:t>
      </w:r>
      <w:r>
        <w:rPr>
          <w:b/>
        </w:rPr>
        <w:t xml:space="preserve"> </w:t>
      </w:r>
    </w:p>
    <w:p w14:paraId="2668A118" w14:textId="77777777" w:rsidR="00676019" w:rsidRPr="00DC6D3D" w:rsidRDefault="00676019" w:rsidP="00F4239E">
      <w:pPr>
        <w:keepNext/>
      </w:pPr>
      <w:r>
        <w:t>INCLINE</w:t>
      </w:r>
    </w:p>
    <w:p w14:paraId="16F8EB24" w14:textId="77777777" w:rsidR="007B7A2A" w:rsidRPr="00DC6D3D" w:rsidRDefault="007B7A2A" w:rsidP="007B7A2A">
      <w:pPr>
        <w:pStyle w:val="ListParagraph"/>
        <w:numPr>
          <w:ilvl w:val="0"/>
          <w:numId w:val="27"/>
        </w:numPr>
        <w:spacing w:before="0"/>
        <w:ind w:left="426" w:hanging="284"/>
        <w:contextualSpacing w:val="0"/>
        <w:rPr>
          <w:rFonts w:cs="Arial"/>
          <w:iCs/>
          <w:szCs w:val="24"/>
        </w:rPr>
      </w:pPr>
      <w:r>
        <w:t xml:space="preserve">Notification to the European Commission in accordance with Directive (EU) 1535/1535 of the European Parliament and of the Council of 9 September 2015 laying down a procedure for the provision of information in the field of technical regulations and of rules on Information Society services. </w:t>
      </w:r>
    </w:p>
    <w:p w14:paraId="66617A40" w14:textId="77777777" w:rsidR="007B7A2A" w:rsidRPr="00DC6D3D" w:rsidRDefault="007B7A2A" w:rsidP="007B7A2A">
      <w:pPr>
        <w:pStyle w:val="ListParagraph"/>
        <w:numPr>
          <w:ilvl w:val="0"/>
          <w:numId w:val="27"/>
        </w:numPr>
        <w:spacing w:before="0"/>
        <w:ind w:left="426" w:hanging="284"/>
        <w:contextualSpacing w:val="0"/>
        <w:rPr>
          <w:rFonts w:cs="Arial"/>
          <w:iCs/>
          <w:szCs w:val="24"/>
        </w:rPr>
      </w:pPr>
      <w:r>
        <w:t>Similarly, the standard has been notified in accordance with Article 45 of Regulation (EU) No 1169/2011 of the European Parliament and of the Council of 25 October 2011 on the provision of food information to consumers as it contains mandatory provisions on food information.</w:t>
      </w:r>
    </w:p>
    <w:p w14:paraId="449BCF9A" w14:textId="77777777" w:rsidR="00DC6D3D" w:rsidRPr="00DC6D3D" w:rsidRDefault="00DC6D3D" w:rsidP="000D6E76">
      <w:pPr>
        <w:spacing w:before="0"/>
        <w:rPr>
          <w:b/>
          <w:lang w:val="es-ES"/>
        </w:rPr>
      </w:pPr>
    </w:p>
    <w:p w14:paraId="2878256F" w14:textId="77777777" w:rsidR="008D0FCF" w:rsidRPr="00DC6D3D" w:rsidRDefault="005504F1" w:rsidP="000D6E76">
      <w:pPr>
        <w:spacing w:before="0"/>
        <w:rPr>
          <w:rFonts w:cs="Arial"/>
          <w:iCs/>
          <w:szCs w:val="24"/>
        </w:rPr>
      </w:pPr>
      <w:r>
        <w:rPr>
          <w:b/>
        </w:rPr>
        <w:lastRenderedPageBreak/>
        <w:t xml:space="preserve">12. </w:t>
      </w:r>
      <w:r>
        <w:rPr>
          <w:b/>
          <w:u w:val="single"/>
        </w:rPr>
        <w:t>Compliance with mandatory procedures for reporting to the World Trade Organization</w:t>
      </w:r>
      <w:r>
        <w:rPr>
          <w:b/>
        </w:rPr>
        <w:t xml:space="preserve"> </w:t>
      </w:r>
      <w:r>
        <w:t>PENDING</w:t>
      </w:r>
    </w:p>
    <w:p w14:paraId="2440C8AD" w14:textId="77777777" w:rsidR="00162058" w:rsidRPr="00DC6D3D" w:rsidRDefault="005504F1" w:rsidP="00162058">
      <w:pPr>
        <w:pStyle w:val="Heading4"/>
        <w:numPr>
          <w:ilvl w:val="0"/>
          <w:numId w:val="0"/>
        </w:numPr>
        <w:spacing w:before="480"/>
      </w:pPr>
      <w:r>
        <w:rPr>
          <w:b/>
          <w:bCs w:val="0"/>
          <w:u w:val="none"/>
        </w:rPr>
        <w:t xml:space="preserve">13. </w:t>
      </w:r>
      <w:r>
        <w:rPr>
          <w:b/>
        </w:rPr>
        <w:t>Opinion of the Council of State</w:t>
      </w:r>
      <w:r>
        <w:t xml:space="preserve"> PENDING</w:t>
      </w:r>
    </w:p>
    <w:p w14:paraId="645F54E9" w14:textId="77777777" w:rsidR="00676019" w:rsidRPr="00DC6D3D" w:rsidRDefault="00676019" w:rsidP="00676019">
      <w:pPr>
        <w:autoSpaceDE w:val="0"/>
        <w:autoSpaceDN w:val="0"/>
        <w:adjustRightInd w:val="0"/>
        <w:spacing w:before="0"/>
        <w:jc w:val="left"/>
        <w:rPr>
          <w:rFonts w:cs="Arial"/>
          <w:szCs w:val="24"/>
          <w:lang w:val="es-ES"/>
        </w:rPr>
      </w:pPr>
    </w:p>
    <w:p w14:paraId="38495419" w14:textId="77777777" w:rsidR="00676019" w:rsidRPr="00DC6D3D" w:rsidRDefault="00676019" w:rsidP="00F4239E">
      <w:pPr>
        <w:pStyle w:val="Heading2"/>
        <w:numPr>
          <w:ilvl w:val="0"/>
          <w:numId w:val="0"/>
        </w:numPr>
        <w:spacing w:before="0"/>
        <w:ind w:left="578" w:hanging="578"/>
      </w:pPr>
      <w:r>
        <w:rPr>
          <w:u w:val="none"/>
        </w:rPr>
        <w:t xml:space="preserve">VI. </w:t>
      </w:r>
      <w:r>
        <w:t>IMPACT ANALYSIS</w:t>
      </w:r>
    </w:p>
    <w:p w14:paraId="702C1AAC" w14:textId="77777777" w:rsidR="00676019" w:rsidRPr="00DC6D3D" w:rsidRDefault="00676019" w:rsidP="00F4239E">
      <w:pPr>
        <w:keepNext/>
        <w:rPr>
          <w:lang w:val="es-ES"/>
        </w:rPr>
      </w:pPr>
    </w:p>
    <w:p w14:paraId="67081F49" w14:textId="77777777" w:rsidR="00676019" w:rsidRPr="00DC6D3D" w:rsidRDefault="00676019" w:rsidP="00F4239E">
      <w:pPr>
        <w:keepNext/>
        <w:rPr>
          <w:b/>
          <w:u w:val="single"/>
        </w:rPr>
      </w:pPr>
      <w:r>
        <w:t xml:space="preserve">1. </w:t>
      </w:r>
      <w:r>
        <w:rPr>
          <w:b/>
          <w:u w:val="single"/>
        </w:rPr>
        <w:t>Economic and budgetary impact</w:t>
      </w:r>
    </w:p>
    <w:p w14:paraId="3DA51574" w14:textId="77777777" w:rsidR="00676019" w:rsidRPr="00DC6D3D" w:rsidRDefault="00676019" w:rsidP="00F4239E">
      <w:pPr>
        <w:keepNext/>
      </w:pPr>
      <w:r>
        <w:t xml:space="preserve">1.1 </w:t>
      </w:r>
      <w:r>
        <w:rPr>
          <w:u w:val="single"/>
        </w:rPr>
        <w:t>Overall economic impact</w:t>
      </w:r>
    </w:p>
    <w:p w14:paraId="0134C621" w14:textId="77777777" w:rsidR="00676019" w:rsidRPr="00DC6D3D" w:rsidRDefault="00676019" w:rsidP="00676019">
      <w:pPr>
        <w:spacing w:after="240"/>
      </w:pPr>
      <w:r>
        <w:t>While the aim of the draft regulation is to improve the quality of oils, as well as to prevent fraudulent practices, it is understood that its general impact on the economy will be positive and will also be boosted by the beneficial effect that the proposed regulation will have on the guarantee of competition.</w:t>
      </w:r>
    </w:p>
    <w:p w14:paraId="60A1A24C" w14:textId="77777777" w:rsidR="00461E63" w:rsidRPr="00DC6D3D" w:rsidRDefault="00676019" w:rsidP="00676019">
      <w:r>
        <w:t>In terms of the economic impact that approval of the regulation will have on the sector, the main cost will derive from the ban on placing extra virgin olive oils packaged in plastic containers on the retail market, which includes the modifications operators will be forced to make to their packaging lines to adapt them to the new materials or formats used, as well as any other costs derived from the new form of presentation.</w:t>
      </w:r>
    </w:p>
    <w:p w14:paraId="33DC344C" w14:textId="77777777" w:rsidR="00676019" w:rsidRPr="00DC6D3D" w:rsidRDefault="00676019" w:rsidP="00676019">
      <w:pPr>
        <w:pStyle w:val="Heading4"/>
        <w:numPr>
          <w:ilvl w:val="0"/>
          <w:numId w:val="0"/>
        </w:numPr>
        <w:ind w:left="864" w:hanging="864"/>
      </w:pPr>
      <w:r>
        <w:rPr>
          <w:u w:val="none"/>
        </w:rPr>
        <w:t xml:space="preserve">1.2 </w:t>
      </w:r>
      <w:r>
        <w:t>Effects on competition in the market</w:t>
      </w:r>
    </w:p>
    <w:p w14:paraId="21CF2220" w14:textId="77777777" w:rsidR="00676019" w:rsidRPr="004E07EA" w:rsidRDefault="00676019" w:rsidP="00676019">
      <w:pPr>
        <w:rPr>
          <w:spacing w:val="-4"/>
        </w:rPr>
      </w:pPr>
      <w:r w:rsidRPr="004E07EA">
        <w:rPr>
          <w:spacing w:val="-4"/>
        </w:rPr>
        <w:t>Since the proposed regulation does not limit the number or variety of market operators, does not restrict the ability of operators to compete and does not reduce their incentives to compete, it is not expected to have negative effects on competition in the market. On the contrary, the effect will be beneficial: ensuring fair competition between industries within the framework of the single market, providing the same conditions to all producers and improving the competitiveness of the sector.</w:t>
      </w:r>
    </w:p>
    <w:p w14:paraId="225CE94A" w14:textId="77777777" w:rsidR="005F0DF5" w:rsidRPr="004E07EA" w:rsidRDefault="005F0DF5" w:rsidP="00676019">
      <w:pPr>
        <w:rPr>
          <w:spacing w:val="-4"/>
        </w:rPr>
      </w:pPr>
      <w:r w:rsidRPr="004E07EA">
        <w:rPr>
          <w:spacing w:val="-4"/>
        </w:rPr>
        <w:t>In relation to Law 20/2013 of 9 December 2013 on the Guarantee of Market Unity, the regulation is neutral and contains no provisions that could be considered incompatible with it. On the contrary, the content of the draft – which respects the principles of necessity and proportionality envisaged in that law – provides even greater unity to the market, if possible, as it clarifies the rules to be followed by all operators in the olive oil and olive-pomace oil sector throughout the national territory.</w:t>
      </w:r>
    </w:p>
    <w:p w14:paraId="616E702E" w14:textId="77777777" w:rsidR="00676019" w:rsidRPr="00DC6D3D" w:rsidRDefault="00676019" w:rsidP="00676019">
      <w:pPr>
        <w:pStyle w:val="Heading4"/>
        <w:numPr>
          <w:ilvl w:val="0"/>
          <w:numId w:val="0"/>
        </w:numPr>
      </w:pPr>
      <w:r>
        <w:t xml:space="preserve">1.3 Analysis of administrative burdens </w:t>
      </w:r>
    </w:p>
    <w:p w14:paraId="64D28CAB" w14:textId="77777777" w:rsidR="00676019" w:rsidRPr="00DC6D3D" w:rsidRDefault="00676019" w:rsidP="00F4239E">
      <w:pPr>
        <w:pStyle w:val="Heading4"/>
        <w:keepNext w:val="0"/>
        <w:numPr>
          <w:ilvl w:val="0"/>
          <w:numId w:val="0"/>
        </w:numPr>
        <w:rPr>
          <w:rFonts w:cs="Arial"/>
          <w:iCs/>
          <w:szCs w:val="24"/>
          <w:u w:val="none"/>
        </w:rPr>
      </w:pPr>
      <w:r>
        <w:rPr>
          <w:iCs/>
          <w:szCs w:val="24"/>
          <w:u w:val="none"/>
        </w:rPr>
        <w:t xml:space="preserve">Administrative burdens refer to administrative tasks to be carried out by companies and citizens to comply with the obligations deriving from the regulation. </w:t>
      </w:r>
    </w:p>
    <w:p w14:paraId="7C6B74E7" w14:textId="77777777" w:rsidR="00676019" w:rsidRPr="00DC6D3D" w:rsidRDefault="00676019" w:rsidP="00F4239E">
      <w:pPr>
        <w:pStyle w:val="Heading4"/>
        <w:keepNext w:val="0"/>
        <w:numPr>
          <w:ilvl w:val="0"/>
          <w:numId w:val="0"/>
        </w:numPr>
        <w:rPr>
          <w:rFonts w:cs="Arial"/>
          <w:iCs/>
          <w:szCs w:val="24"/>
          <w:u w:val="none"/>
        </w:rPr>
      </w:pPr>
      <w:r>
        <w:rPr>
          <w:szCs w:val="24"/>
          <w:u w:val="none"/>
        </w:rPr>
        <w:t>As regards the possible generation of such burdens by the draft, Article 2(1)(e) of Royal Decree 931/2017 of 27 October 2017 governing the regulatory impact analysis report requires that the content of the same include the ‘detection and measurement of such administrative burdens’.</w:t>
      </w:r>
      <w:r>
        <w:rPr>
          <w:iCs/>
          <w:szCs w:val="24"/>
          <w:u w:val="none"/>
        </w:rPr>
        <w:t xml:space="preserve"> </w:t>
      </w:r>
    </w:p>
    <w:p w14:paraId="4170BAA1" w14:textId="77777777" w:rsidR="001B01CF" w:rsidRPr="004E07EA" w:rsidRDefault="00676019" w:rsidP="004E07EA">
      <w:pPr>
        <w:pStyle w:val="ListParagraph"/>
        <w:keepNext/>
        <w:keepLines/>
        <w:ind w:left="0"/>
        <w:rPr>
          <w:spacing w:val="-4"/>
        </w:rPr>
      </w:pPr>
      <w:r w:rsidRPr="004E07EA">
        <w:rPr>
          <w:spacing w:val="-4"/>
        </w:rPr>
        <w:lastRenderedPageBreak/>
        <w:t xml:space="preserve">Consequently, having conducted a preliminary analysis of the impact of the draft, it has been determined that the main increase in administrative burdens for operators in the sector will derive from the obligation to report all movements of olive oil and olive-pomace oils envisaged in Article 4(3) to the dedicated computer system. According to official sources (Food Information and Control Agency), the quantity of olive oil and olive-pomace oil declared through the Olive Market Information System (SIMO) is 4 million tonnes. </w:t>
      </w:r>
      <w:proofErr w:type="gramStart"/>
      <w:r w:rsidRPr="004E07EA">
        <w:rPr>
          <w:spacing w:val="-4"/>
        </w:rPr>
        <w:t>Taking into account</w:t>
      </w:r>
      <w:proofErr w:type="gramEnd"/>
      <w:r w:rsidRPr="004E07EA">
        <w:rPr>
          <w:spacing w:val="-4"/>
        </w:rPr>
        <w:t xml:space="preserve"> that the tank capacity of a transport truck is 20 t, there are 200 000 movements per year that must be reported to the system. Since the cost of electronic filing is expected to be EUR 2, the administrative burdens derived from this measure are quantified at EUR 400 000 per year.</w:t>
      </w:r>
    </w:p>
    <w:p w14:paraId="1CB47DF2" w14:textId="77777777" w:rsidR="001B01CF" w:rsidRPr="00DC6D3D" w:rsidRDefault="001B01CF" w:rsidP="001B01CF">
      <w:pPr>
        <w:pStyle w:val="ListParagraph"/>
        <w:ind w:left="0"/>
        <w:rPr>
          <w:lang w:val="es-ES"/>
        </w:rPr>
      </w:pPr>
    </w:p>
    <w:p w14:paraId="53505D04" w14:textId="77777777" w:rsidR="00965209" w:rsidRPr="00DC6D3D" w:rsidRDefault="001B01CF" w:rsidP="00965209">
      <w:pPr>
        <w:pStyle w:val="ListParagraph"/>
        <w:ind w:left="0"/>
      </w:pPr>
      <w:r>
        <w:t xml:space="preserve">Meanwhile, this regulation also places additional administrative burdens on companies that comprise olive mills, refineries or pomace oil extractors not separately located as of the entry into force of the regulation, which shall be required to submit an annual report to the competent control authorities on their traceability records that clearly states their bulk stocks for each category of oil that they produce, store or sell, as provided for in Article 4(4). According to official sources (Food Information and Control Agency), there are 23 companies in Spain that do not meet the facilities requirements provided for in the quality standard, therefore these companies must submit an annual report on their internal traceability records to the competent authority. According to the calculation guidelines, the unit cost of submitting a report is expected to be EUR 500, therefore the administrative burdens for the sector resulting from this measure are quantified at EUR 11 500 per year. </w:t>
      </w:r>
    </w:p>
    <w:p w14:paraId="4D0D53D2" w14:textId="77777777" w:rsidR="00A54AFA" w:rsidRPr="00DC6D3D" w:rsidRDefault="00A54AFA" w:rsidP="00965209">
      <w:pPr>
        <w:pStyle w:val="ListParagraph"/>
        <w:ind w:left="0"/>
        <w:rPr>
          <w:lang w:val="es-ES"/>
        </w:rPr>
      </w:pPr>
    </w:p>
    <w:p w14:paraId="13557250" w14:textId="77777777" w:rsidR="00A54AFA" w:rsidRPr="00DC6D3D" w:rsidRDefault="00A54AFA" w:rsidP="00F71254">
      <w:pPr>
        <w:pStyle w:val="ListParagraph"/>
        <w:ind w:left="0"/>
      </w:pPr>
      <w:r>
        <w:t>Regarding the obligation to maintain an internal traceability record, this measure is not anticipated to place any additional administrative burdens beyond those already existing given that, although it is a new obligation, the maintenance of traceability records was already required under the provisions of Regulation (EC) No 178/2002 of the European Parliament and of the Council of 28 January 2002. Therefore, the obligation introduced is not considered to increase the administrative burdens on companies and citizens. Furthermore, Royal Decree 861/2018 of 13 July 2018 laying down basic regulations with regard to mandatory declarations in the olive oil and table olive sectors, and amending Royal Decree 772/2017 of 28 July 2017 regulating potential viticultural production, establishes the information that is to be reported to the Olive Market Information System (SIMO). Even though this information is reported every month, Article 11 establishes the requirement to maintain a document back-up, as provided for in Annex XI thereto. The same Annex XI requires the daily accounting of inward olives, inward and outward oil and outward pomace. For all these reasons, it is considered that the maintenance of this traceability record imposes no greater burdens on companies than those already in place.</w:t>
      </w:r>
    </w:p>
    <w:p w14:paraId="500F246E" w14:textId="77777777" w:rsidR="00676019" w:rsidRPr="00DC6D3D" w:rsidRDefault="00676019" w:rsidP="00676019">
      <w:pPr>
        <w:pStyle w:val="Heading4"/>
        <w:numPr>
          <w:ilvl w:val="0"/>
          <w:numId w:val="0"/>
        </w:numPr>
      </w:pPr>
      <w:r>
        <w:rPr>
          <w:u w:val="none"/>
        </w:rPr>
        <w:t xml:space="preserve">1.4 </w:t>
      </w:r>
      <w:r>
        <w:t>Budgetary impact</w:t>
      </w:r>
    </w:p>
    <w:p w14:paraId="6FF560BB" w14:textId="77777777" w:rsidR="00676019" w:rsidRPr="00DC6D3D" w:rsidRDefault="00052E33" w:rsidP="00676019">
      <w:pPr>
        <w:spacing w:before="100" w:beforeAutospacing="1" w:after="100" w:afterAutospacing="1"/>
        <w:rPr>
          <w:rFonts w:cs="Arial"/>
          <w:szCs w:val="24"/>
        </w:rPr>
      </w:pPr>
      <w:r>
        <w:t>This regulatory draft is an update of Royal Decree 308/1983 to adapt it to technological advances, and does not imply an increase in allowances or salaries or other personnel expenses.</w:t>
      </w:r>
    </w:p>
    <w:p w14:paraId="338CDECB" w14:textId="77777777" w:rsidR="00052E33" w:rsidRPr="00DC6D3D" w:rsidRDefault="00052E33" w:rsidP="00676019">
      <w:pPr>
        <w:spacing w:before="100" w:beforeAutospacing="1" w:after="100" w:afterAutospacing="1"/>
      </w:pPr>
      <w:r>
        <w:lastRenderedPageBreak/>
        <w:t>However, the application of this Royal Decree does require the development of a computer system by the Ministry of Agriculture, Fisheries and Food for reporting all transportation of olive oils and olive-pomace oils. This system is to be implemented and managed using the financial and personnel resources of the Ministry of Agriculture, Fisheries and Food.</w:t>
      </w:r>
    </w:p>
    <w:p w14:paraId="3E4BEB23" w14:textId="77777777" w:rsidR="00676019" w:rsidRPr="00DC6D3D" w:rsidRDefault="00676019" w:rsidP="00676019">
      <w:pPr>
        <w:pStyle w:val="Heading3"/>
        <w:numPr>
          <w:ilvl w:val="0"/>
          <w:numId w:val="0"/>
        </w:numPr>
        <w:spacing w:before="480"/>
        <w:rPr>
          <w:color w:val="auto"/>
        </w:rPr>
      </w:pPr>
      <w:r>
        <w:rPr>
          <w:color w:val="auto"/>
          <w:u w:val="none"/>
        </w:rPr>
        <w:t xml:space="preserve">2. </w:t>
      </w:r>
      <w:r>
        <w:rPr>
          <w:color w:val="auto"/>
        </w:rPr>
        <w:t>Gender impact</w:t>
      </w:r>
    </w:p>
    <w:p w14:paraId="01886BF2" w14:textId="77777777" w:rsidR="00676019" w:rsidRPr="00DC6D3D" w:rsidRDefault="000951E1" w:rsidP="00676019">
      <w:pPr>
        <w:rPr>
          <w:rFonts w:cs="Arial"/>
          <w:szCs w:val="24"/>
        </w:rPr>
      </w:pPr>
      <w:r>
        <w:t>In accordance with the provisions of Law 30/2003 of 13 October 2003 on measures for incorporating the assessment of gender impact into regulatory provisions drawn up by the government, and with Article 19 of Organic Law 3/2007 of 22 March 2007 on equality between men and women, this draft Royal Decree has no gender impact whatsoever and contains no measures that are discriminatory on the basis of gender, which may violate or represent an attack against the principle of equal opportunities between men and women.</w:t>
      </w:r>
    </w:p>
    <w:p w14:paraId="69A1C84D" w14:textId="77777777" w:rsidR="000337D8" w:rsidRPr="00DC6D3D" w:rsidRDefault="000337D8" w:rsidP="00676019">
      <w:pPr>
        <w:rPr>
          <w:rFonts w:cs="Arial"/>
          <w:b/>
          <w:i/>
          <w:iCs/>
          <w:szCs w:val="24"/>
        </w:rPr>
      </w:pPr>
    </w:p>
    <w:p w14:paraId="7E8E2450" w14:textId="77777777" w:rsidR="00676019" w:rsidRPr="00DC6D3D" w:rsidRDefault="00676019" w:rsidP="00F4239E">
      <w:pPr>
        <w:keepNext/>
        <w:rPr>
          <w:b/>
          <w:szCs w:val="24"/>
          <w:u w:val="single"/>
        </w:rPr>
      </w:pPr>
      <w:r>
        <w:rPr>
          <w:b/>
          <w:iCs/>
          <w:szCs w:val="24"/>
        </w:rPr>
        <w:t xml:space="preserve">3. </w:t>
      </w:r>
      <w:r>
        <w:rPr>
          <w:b/>
          <w:szCs w:val="24"/>
          <w:u w:val="single"/>
        </w:rPr>
        <w:t>Impact in regard to equal opportunities, non-discrimination and universal access for persons with disabilities</w:t>
      </w:r>
    </w:p>
    <w:p w14:paraId="2E13FD69" w14:textId="77777777" w:rsidR="00676019" w:rsidRPr="00DC6D3D" w:rsidRDefault="00676019" w:rsidP="00676019">
      <w:pPr>
        <w:pStyle w:val="FootnoteText"/>
        <w:tabs>
          <w:tab w:val="left" w:pos="-2552"/>
        </w:tabs>
        <w:rPr>
          <w:rFonts w:cs="Arial"/>
          <w:szCs w:val="24"/>
        </w:rPr>
      </w:pPr>
      <w:r>
        <w:t>The draft Royal Decree has no other impacts in regard to equal opportunities, non-discrimination or universal access for persons with disabilities.</w:t>
      </w:r>
    </w:p>
    <w:p w14:paraId="4FED71CC" w14:textId="77777777" w:rsidR="00676019" w:rsidRPr="00DC6D3D" w:rsidRDefault="00676019" w:rsidP="00676019">
      <w:pPr>
        <w:rPr>
          <w:rFonts w:cs="Arial"/>
          <w:b/>
          <w:bCs/>
          <w:i/>
          <w:iCs/>
          <w:szCs w:val="24"/>
        </w:rPr>
      </w:pPr>
    </w:p>
    <w:p w14:paraId="633371FA" w14:textId="77777777" w:rsidR="00676019" w:rsidRPr="00DC6D3D" w:rsidRDefault="00676019" w:rsidP="00F4239E">
      <w:pPr>
        <w:keepNext/>
        <w:rPr>
          <w:rFonts w:cs="Arial"/>
          <w:b/>
          <w:bCs/>
          <w:iCs/>
          <w:szCs w:val="24"/>
          <w:u w:val="single"/>
        </w:rPr>
      </w:pPr>
      <w:r>
        <w:rPr>
          <w:b/>
          <w:bCs/>
          <w:iCs/>
          <w:szCs w:val="24"/>
        </w:rPr>
        <w:t>4.</w:t>
      </w:r>
      <w:r>
        <w:rPr>
          <w:b/>
          <w:bCs/>
          <w:i/>
          <w:iCs/>
          <w:szCs w:val="24"/>
        </w:rPr>
        <w:t xml:space="preserve"> </w:t>
      </w:r>
      <w:r>
        <w:rPr>
          <w:b/>
          <w:bCs/>
          <w:iCs/>
          <w:szCs w:val="24"/>
          <w:u w:val="single"/>
        </w:rPr>
        <w:t>Family impact</w:t>
      </w:r>
    </w:p>
    <w:p w14:paraId="47A87FFA" w14:textId="77777777" w:rsidR="00676019" w:rsidRPr="004E07EA" w:rsidRDefault="00AD0578" w:rsidP="00676019">
      <w:pPr>
        <w:rPr>
          <w:rFonts w:cs="Arial"/>
          <w:spacing w:val="-4"/>
          <w:szCs w:val="24"/>
        </w:rPr>
      </w:pPr>
      <w:r w:rsidRPr="004E07EA">
        <w:rPr>
          <w:spacing w:val="-4"/>
        </w:rPr>
        <w:t xml:space="preserve">In accordance with the requirements of the tenth additional provision of Law 40/2003 of 18 November 2003 on the protection of large families, introduced by Law 26/2015 of 28 July 2015 amending the system of protection for childhood and adolescence, which establishes the obligation to include the impact of regulations on the family in the regulatory impact analysis reports that must accompany draft laws and draft regulations, this Royal Decree has no impact whatsoever on the family. </w:t>
      </w:r>
    </w:p>
    <w:p w14:paraId="264272D6" w14:textId="77777777" w:rsidR="000337D8" w:rsidRPr="00DC6D3D" w:rsidRDefault="000337D8" w:rsidP="00676019">
      <w:pPr>
        <w:rPr>
          <w:rFonts w:cs="Arial"/>
          <w:b/>
          <w:bCs/>
          <w:iCs/>
          <w:szCs w:val="24"/>
          <w:u w:val="single"/>
        </w:rPr>
      </w:pPr>
    </w:p>
    <w:p w14:paraId="5E3C4D7D" w14:textId="77777777" w:rsidR="00676019" w:rsidRPr="00DC6D3D" w:rsidRDefault="00676019" w:rsidP="00F4239E">
      <w:pPr>
        <w:keepNext/>
        <w:rPr>
          <w:rFonts w:cs="Arial"/>
          <w:b/>
          <w:bCs/>
          <w:iCs/>
          <w:szCs w:val="24"/>
          <w:u w:val="single"/>
        </w:rPr>
      </w:pPr>
      <w:r>
        <w:rPr>
          <w:b/>
          <w:bCs/>
          <w:iCs/>
          <w:szCs w:val="24"/>
        </w:rPr>
        <w:t xml:space="preserve">5. </w:t>
      </w:r>
      <w:r>
        <w:rPr>
          <w:b/>
          <w:bCs/>
          <w:iCs/>
          <w:szCs w:val="24"/>
          <w:u w:val="single"/>
        </w:rPr>
        <w:t>Impact on childhood and adolescence</w:t>
      </w:r>
    </w:p>
    <w:p w14:paraId="4A7594C5" w14:textId="77777777" w:rsidR="00676019" w:rsidRPr="00DC6D3D" w:rsidRDefault="00676019" w:rsidP="00676019">
      <w:pPr>
        <w:rPr>
          <w:rFonts w:cs="Arial"/>
          <w:szCs w:val="24"/>
        </w:rPr>
      </w:pPr>
      <w:r>
        <w:t>The draft Royal Decree has no impact on the legal protection of minors established in Organic Law 1/1996 of 15 January 1996 on the legal protection of minors, partially amending the Civil Code and the Civil Procedure Law.</w:t>
      </w:r>
    </w:p>
    <w:p w14:paraId="1BD913AC" w14:textId="77777777" w:rsidR="00676019" w:rsidRPr="00DC6D3D" w:rsidRDefault="00676019" w:rsidP="00676019">
      <w:pPr>
        <w:rPr>
          <w:rFonts w:cs="Arial"/>
          <w:szCs w:val="24"/>
        </w:rPr>
      </w:pPr>
    </w:p>
    <w:p w14:paraId="71D4799C" w14:textId="77777777" w:rsidR="00676019" w:rsidRPr="00DC6D3D" w:rsidRDefault="00676019" w:rsidP="00F4239E">
      <w:pPr>
        <w:keepNext/>
        <w:rPr>
          <w:rFonts w:cs="Arial"/>
          <w:b/>
          <w:bCs/>
          <w:iCs/>
          <w:szCs w:val="24"/>
          <w:u w:val="single"/>
        </w:rPr>
      </w:pPr>
      <w:r>
        <w:rPr>
          <w:b/>
          <w:bCs/>
          <w:iCs/>
          <w:szCs w:val="24"/>
        </w:rPr>
        <w:t>6.</w:t>
      </w:r>
      <w:r>
        <w:rPr>
          <w:b/>
          <w:bCs/>
          <w:i/>
          <w:iCs/>
          <w:szCs w:val="24"/>
        </w:rPr>
        <w:t xml:space="preserve"> </w:t>
      </w:r>
      <w:r>
        <w:rPr>
          <w:b/>
          <w:bCs/>
          <w:iCs/>
          <w:szCs w:val="24"/>
          <w:u w:val="single"/>
        </w:rPr>
        <w:t>Other impacts</w:t>
      </w:r>
    </w:p>
    <w:p w14:paraId="7F4A447D" w14:textId="77777777" w:rsidR="00700BE5" w:rsidRPr="004E07EA" w:rsidRDefault="00700BE5" w:rsidP="00700BE5">
      <w:pPr>
        <w:rPr>
          <w:rFonts w:cs="Arial"/>
          <w:iCs/>
          <w:spacing w:val="-6"/>
          <w:szCs w:val="24"/>
        </w:rPr>
      </w:pPr>
      <w:r w:rsidRPr="004E07EA">
        <w:rPr>
          <w:spacing w:val="-6"/>
        </w:rPr>
        <w:t>There is no anticipated impact in terms of equal opportunities, non-discrimination or the universal accessibility of people with disabilities, within the terms set out in the Consolidated Text of the General Law on the rights of people with disabilities and their social inclusion, approved by Royal Legislative Decree 1/2013 of 29 November 2013.</w:t>
      </w:r>
    </w:p>
    <w:p w14:paraId="5F326220" w14:textId="77777777" w:rsidR="000337D8" w:rsidRPr="00DC6D3D" w:rsidRDefault="00700BE5" w:rsidP="00700BE5">
      <w:pPr>
        <w:rPr>
          <w:rFonts w:cs="Arial"/>
          <w:iCs/>
          <w:szCs w:val="24"/>
        </w:rPr>
      </w:pPr>
      <w:r>
        <w:t>There is also expected to be no additional impact of a social nature.</w:t>
      </w:r>
    </w:p>
    <w:p w14:paraId="2AEB4310" w14:textId="77777777" w:rsidR="00700BE5" w:rsidRPr="004E07EA" w:rsidRDefault="000337D8" w:rsidP="004E07EA">
      <w:pPr>
        <w:keepNext/>
        <w:keepLines/>
        <w:rPr>
          <w:rFonts w:cs="Arial"/>
          <w:iCs/>
          <w:spacing w:val="-4"/>
          <w:szCs w:val="24"/>
        </w:rPr>
      </w:pPr>
      <w:r w:rsidRPr="004E07EA">
        <w:rPr>
          <w:spacing w:val="-4"/>
        </w:rPr>
        <w:lastRenderedPageBreak/>
        <w:t>Regarding the environmental impact of this regulation, it is expected that its approval will have a positive impact deriving from the ban on the use of plastic containers for the marketing of extra virgin olive oils intended for the end consumer, reducing the use of plastic, in line with sustainable development policies.</w:t>
      </w:r>
    </w:p>
    <w:p w14:paraId="1E7883B2" w14:textId="77777777" w:rsidR="00676019" w:rsidRPr="00DC6D3D" w:rsidRDefault="00676019" w:rsidP="00676019"/>
    <w:p w14:paraId="10611710" w14:textId="77777777" w:rsidR="00676019" w:rsidRPr="00DC6D3D" w:rsidRDefault="00676019" w:rsidP="00F4239E">
      <w:pPr>
        <w:keepNext/>
        <w:rPr>
          <w:b/>
          <w:u w:val="single"/>
        </w:rPr>
      </w:pPr>
      <w:r>
        <w:rPr>
          <w:b/>
        </w:rPr>
        <w:t xml:space="preserve">VII. </w:t>
      </w:r>
      <w:r>
        <w:rPr>
          <w:b/>
          <w:u w:val="single"/>
        </w:rPr>
        <w:t>Ex-post evaluation</w:t>
      </w:r>
    </w:p>
    <w:p w14:paraId="77BE7AA7" w14:textId="77777777" w:rsidR="00C03AF0" w:rsidRPr="00DC6D3D" w:rsidRDefault="00676019" w:rsidP="00676019">
      <w:pPr>
        <w:rPr>
          <w:b/>
          <w:u w:val="single"/>
        </w:rPr>
      </w:pPr>
      <w:r>
        <w:t>Having considered the provisions of Article 28(2) of the Government Law and Article 3 of Royal Decree 286/2017 of 24 March 2017 regulating the Annual Regulatory Plan and the Annual Regulatory Evaluation Report of the General State Administration and creating the Board of Regulatory Planning and Evaluation, due to the nature and content of the regulation, it is considered that the draft regulation is not subject to evaluation based on its results.</w:t>
      </w:r>
    </w:p>
    <w:sectPr w:rsidR="00C03AF0" w:rsidRPr="00DC6D3D" w:rsidSect="00C93C23">
      <w:headerReference w:type="default" r:id="rId10"/>
      <w:footerReference w:type="default" r:id="rId11"/>
      <w:footerReference w:type="first" r:id="rId12"/>
      <w:type w:val="continuous"/>
      <w:pgSz w:w="11906" w:h="16838" w:code="9"/>
      <w:pgMar w:top="1134" w:right="1418" w:bottom="1134" w:left="1418" w:header="289" w:footer="408" w:gutter="0"/>
      <w:cols w:space="720" w:equalWidth="0">
        <w:col w:w="85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D3AEC" w14:textId="77777777" w:rsidR="00353126" w:rsidRDefault="00353126">
      <w:r>
        <w:separator/>
      </w:r>
    </w:p>
  </w:endnote>
  <w:endnote w:type="continuationSeparator" w:id="0">
    <w:p w14:paraId="0D280809" w14:textId="77777777" w:rsidR="00353126" w:rsidRDefault="0035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Bodoni SvtyTwo OS ITC TT-Book">
    <w:altName w:val="Courier New"/>
    <w:charset w:val="00"/>
    <w:family w:val="auto"/>
    <w:pitch w:val="variable"/>
    <w:sig w:usb0="00000003" w:usb1="00000000" w:usb2="00000000" w:usb3="00000000" w:csb0="00000001" w:csb1="00000000"/>
  </w:font>
  <w:font w:name="ヒラギノ角ゴ Pro W3">
    <w:altName w:val="Arial Unicode MS"/>
    <w:charset w:val="80"/>
    <w:family w:val="auto"/>
    <w:pitch w:val="variable"/>
    <w:sig w:usb0="00000001" w:usb1="00000000" w:usb2="01000407" w:usb3="00000000" w:csb0="0002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1E64C" w14:textId="77777777" w:rsidR="00A22EAB" w:rsidRPr="00B83FAC" w:rsidRDefault="00A22EAB" w:rsidP="00F1690A">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887D50">
      <w:rPr>
        <w:rStyle w:val="PageNumber"/>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87D50">
      <w:rPr>
        <w:rStyle w:val="PageNumber"/>
      </w:rPr>
      <w:t>25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37" w:type="dxa"/>
      <w:tblBorders>
        <w:insideV w:val="single" w:sz="4" w:space="0" w:color="auto"/>
      </w:tblBorders>
      <w:tblCellMar>
        <w:left w:w="70" w:type="dxa"/>
        <w:right w:w="70" w:type="dxa"/>
      </w:tblCellMar>
      <w:tblLook w:val="0000" w:firstRow="0" w:lastRow="0" w:firstColumn="0" w:lastColumn="0" w:noHBand="0" w:noVBand="0"/>
    </w:tblPr>
    <w:tblGrid>
      <w:gridCol w:w="7441"/>
      <w:gridCol w:w="1596"/>
    </w:tblGrid>
    <w:tr w:rsidR="00A22EAB" w:rsidRPr="00700DB8" w14:paraId="0CDCEE19" w14:textId="77777777" w:rsidTr="00F56843">
      <w:tc>
        <w:tcPr>
          <w:tcW w:w="7441" w:type="dxa"/>
          <w:vAlign w:val="center"/>
        </w:tcPr>
        <w:p w14:paraId="78159062" w14:textId="77777777" w:rsidR="00A22EAB" w:rsidRDefault="00A22EAB" w:rsidP="00CE02B3">
          <w:pPr>
            <w:pStyle w:val="FootnoteText"/>
            <w:tabs>
              <w:tab w:val="left" w:pos="1021"/>
              <w:tab w:val="left" w:pos="8080"/>
            </w:tabs>
            <w:spacing w:before="20" w:after="20"/>
            <w:rPr>
              <w:rFonts w:ascii="Gill Sans MT" w:hAnsi="Gill Sans MT"/>
              <w:sz w:val="14"/>
            </w:rPr>
          </w:pPr>
          <w:r>
            <w:rPr>
              <w:rFonts w:ascii="Gill Sans MT" w:hAnsi="Gill Sans MT"/>
              <w:sz w:val="14"/>
            </w:rPr>
            <w:t>www.mapa.gob.es</w:t>
          </w:r>
        </w:p>
        <w:p w14:paraId="6E50F370" w14:textId="77777777" w:rsidR="00A22EAB" w:rsidRPr="00700DB8" w:rsidRDefault="00A22EAB" w:rsidP="00E114F1">
          <w:pPr>
            <w:pStyle w:val="FootnoteText"/>
            <w:tabs>
              <w:tab w:val="left" w:pos="1021"/>
              <w:tab w:val="left" w:pos="8080"/>
            </w:tabs>
            <w:spacing w:before="20" w:after="20"/>
            <w:jc w:val="left"/>
            <w:rPr>
              <w:rFonts w:ascii="Gill Sans MT" w:hAnsi="Gill Sans MT"/>
              <w:sz w:val="14"/>
            </w:rPr>
          </w:pPr>
          <w:r>
            <w:rPr>
              <w:rFonts w:ascii="Gill Sans MT" w:hAnsi="Gill Sans MT"/>
              <w:sz w:val="14"/>
            </w:rPr>
            <w:t>dgia@mapama.es</w:t>
          </w:r>
        </w:p>
      </w:tc>
      <w:tc>
        <w:tcPr>
          <w:tcW w:w="1596" w:type="dxa"/>
        </w:tcPr>
        <w:p w14:paraId="329808FF" w14:textId="77777777" w:rsidR="00A22EAB" w:rsidRPr="002E7D7A" w:rsidRDefault="00A22EAB" w:rsidP="00CE02B3">
          <w:pPr>
            <w:pStyle w:val="FootnoteText"/>
            <w:tabs>
              <w:tab w:val="left" w:pos="1915"/>
              <w:tab w:val="left" w:pos="8080"/>
            </w:tabs>
            <w:spacing w:before="20"/>
            <w:rPr>
              <w:rFonts w:ascii="Gill Sans MT" w:hAnsi="Gill Sans MT"/>
              <w:sz w:val="14"/>
              <w:lang w:val="pt-PT"/>
            </w:rPr>
          </w:pPr>
          <w:r w:rsidRPr="002E7D7A">
            <w:rPr>
              <w:rFonts w:ascii="Gill Sans MT" w:hAnsi="Gill Sans MT"/>
              <w:sz w:val="14"/>
              <w:lang w:val="pt-PT"/>
            </w:rPr>
            <w:t>Pº INFANTA ISABEL, 1</w:t>
          </w:r>
        </w:p>
        <w:p w14:paraId="0D9DFB7A" w14:textId="77777777" w:rsidR="00A22EAB" w:rsidRPr="002E7D7A" w:rsidRDefault="00A22EAB" w:rsidP="00CE02B3">
          <w:pPr>
            <w:pStyle w:val="FootnoteText"/>
            <w:tabs>
              <w:tab w:val="left" w:pos="1915"/>
              <w:tab w:val="left" w:pos="8080"/>
            </w:tabs>
            <w:spacing w:before="20"/>
            <w:rPr>
              <w:rFonts w:ascii="Gill Sans MT" w:hAnsi="Gill Sans MT"/>
              <w:sz w:val="14"/>
              <w:lang w:val="pt-PT"/>
            </w:rPr>
          </w:pPr>
          <w:r w:rsidRPr="002E7D7A">
            <w:rPr>
              <w:rFonts w:ascii="Gill Sans MT" w:hAnsi="Gill Sans MT"/>
              <w:sz w:val="14"/>
              <w:lang w:val="pt-PT"/>
            </w:rPr>
            <w:t>28071 MADRID</w:t>
          </w:r>
        </w:p>
        <w:p w14:paraId="00C52CD3" w14:textId="77777777" w:rsidR="00A22EAB" w:rsidRPr="002E7D7A" w:rsidRDefault="00A22EAB" w:rsidP="00CE02B3">
          <w:pPr>
            <w:pStyle w:val="FootnoteText"/>
            <w:tabs>
              <w:tab w:val="left" w:pos="1915"/>
              <w:tab w:val="left" w:pos="8080"/>
            </w:tabs>
            <w:spacing w:before="20"/>
            <w:rPr>
              <w:rFonts w:ascii="Gill Sans MT" w:hAnsi="Gill Sans MT"/>
              <w:sz w:val="14"/>
              <w:lang w:val="pt-PT"/>
            </w:rPr>
          </w:pPr>
          <w:r w:rsidRPr="002E7D7A">
            <w:rPr>
              <w:rFonts w:ascii="Gill Sans MT" w:hAnsi="Gill Sans MT"/>
              <w:sz w:val="14"/>
              <w:lang w:val="pt-PT"/>
            </w:rPr>
            <w:t>TEL: +34 913475361</w:t>
          </w:r>
        </w:p>
        <w:p w14:paraId="2755424B" w14:textId="77777777" w:rsidR="00A22EAB" w:rsidRPr="00700DB8" w:rsidRDefault="00A22EAB" w:rsidP="00CE02B3">
          <w:pPr>
            <w:pStyle w:val="FootnoteText"/>
            <w:tabs>
              <w:tab w:val="left" w:pos="1915"/>
              <w:tab w:val="left" w:pos="8080"/>
            </w:tabs>
            <w:spacing w:before="20"/>
            <w:rPr>
              <w:rFonts w:ascii="Gill Sans MT" w:hAnsi="Gill Sans MT"/>
              <w:sz w:val="14"/>
            </w:rPr>
          </w:pPr>
          <w:r>
            <w:rPr>
              <w:rFonts w:ascii="Gill Sans MT" w:hAnsi="Gill Sans MT"/>
              <w:sz w:val="14"/>
            </w:rPr>
            <w:t>FAX: +34 91347770</w:t>
          </w:r>
        </w:p>
      </w:tc>
    </w:tr>
  </w:tbl>
  <w:p w14:paraId="12A6F290" w14:textId="77777777" w:rsidR="00A22EAB" w:rsidRDefault="00A22EAB" w:rsidP="00B83F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6D226" w14:textId="77777777" w:rsidR="00353126" w:rsidRDefault="00353126">
      <w:r>
        <w:separator/>
      </w:r>
    </w:p>
  </w:footnote>
  <w:footnote w:type="continuationSeparator" w:id="0">
    <w:p w14:paraId="77A07CC2" w14:textId="77777777" w:rsidR="00353126" w:rsidRDefault="00353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063DB" w14:textId="77777777" w:rsidR="00A22EAB" w:rsidRDefault="00A22EAB" w:rsidP="00EC1516">
    <w:pPr>
      <w:ind w:right="-87"/>
      <w:jc w:val="right"/>
    </w:pPr>
    <w:r>
      <w:rPr>
        <w:noProof/>
      </w:rPr>
      <mc:AlternateContent>
        <mc:Choice Requires="wps">
          <w:drawing>
            <wp:anchor distT="0" distB="0" distL="114300" distR="114300" simplePos="0" relativeHeight="251657728" behindDoc="0" locked="0" layoutInCell="0" allowOverlap="1" wp14:anchorId="73485176" wp14:editId="386A0435">
              <wp:simplePos x="0" y="0"/>
              <wp:positionH relativeFrom="column">
                <wp:posOffset>6041390</wp:posOffset>
              </wp:positionH>
              <wp:positionV relativeFrom="paragraph">
                <wp:posOffset>823595</wp:posOffset>
              </wp:positionV>
              <wp:extent cx="868680" cy="0"/>
              <wp:effectExtent l="12065" t="13970" r="5080" b="508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BEEE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7pt,64.85pt" to="544.1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" o:allowincell="f"/>
          </w:pict>
        </mc:Fallback>
      </mc:AlternateContent>
    </w:r>
    <w:r>
      <w:rPr>
        <w:noProof/>
      </w:rPr>
      <w:drawing>
        <wp:inline distT="0" distB="0" distL="0" distR="0" wp14:anchorId="56302983" wp14:editId="10B572A4">
          <wp:extent cx="838200" cy="8763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8200" cy="8763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089E"/>
    <w:multiLevelType w:val="hybridMultilevel"/>
    <w:tmpl w:val="A720074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071009"/>
    <w:multiLevelType w:val="singleLevel"/>
    <w:tmpl w:val="FAFC5D3A"/>
    <w:name w:val="List Bullet 2__1"/>
    <w:lvl w:ilvl="0">
      <w:start w:val="1"/>
      <w:numFmt w:val="bullet"/>
      <w:pStyle w:val="ListBullet2"/>
      <w:lvlText w:val=""/>
      <w:lvlJc w:val="left"/>
      <w:pPr>
        <w:tabs>
          <w:tab w:val="num" w:pos="1134"/>
        </w:tabs>
        <w:ind w:left="1134" w:hanging="283"/>
      </w:pPr>
      <w:rPr>
        <w:rFonts w:ascii="Symbol" w:hAnsi="Symbol" w:hint="default"/>
      </w:rPr>
    </w:lvl>
  </w:abstractNum>
  <w:abstractNum w:abstractNumId="2" w15:restartNumberingAfterBreak="0">
    <w:nsid w:val="0A255CFF"/>
    <w:multiLevelType w:val="hybridMultilevel"/>
    <w:tmpl w:val="7690DF4A"/>
    <w:lvl w:ilvl="0" w:tplc="9A7C0D60">
      <w:start w:val="1"/>
      <w:numFmt w:val="lowerLetter"/>
      <w:lvlText w:val="%1)"/>
      <w:lvlJc w:val="left"/>
      <w:pPr>
        <w:ind w:left="720" w:hanging="360"/>
      </w:pPr>
      <w:rPr>
        <w:rFonts w:hint="default"/>
        <w:b w:val="0"/>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415579"/>
    <w:multiLevelType w:val="hybridMultilevel"/>
    <w:tmpl w:val="7DF0EE36"/>
    <w:lvl w:ilvl="0" w:tplc="315E71BC">
      <w:start w:val="1"/>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FA1987"/>
    <w:multiLevelType w:val="hybridMultilevel"/>
    <w:tmpl w:val="12720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561AA1"/>
    <w:multiLevelType w:val="hybridMultilevel"/>
    <w:tmpl w:val="72B86C06"/>
    <w:lvl w:ilvl="0" w:tplc="0C0A0001">
      <w:start w:val="1"/>
      <w:numFmt w:val="bullet"/>
      <w:lvlText w:val=""/>
      <w:lvlJc w:val="left"/>
      <w:pPr>
        <w:ind w:left="1260" w:hanging="360"/>
      </w:pPr>
      <w:rPr>
        <w:rFonts w:ascii="Symbol" w:hAnsi="Symbol"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6" w15:restartNumberingAfterBreak="0">
    <w:nsid w:val="2C2D7F4D"/>
    <w:multiLevelType w:val="multilevel"/>
    <w:tmpl w:val="C0E22A40"/>
    <w:styleLink w:val="EstiloConvietas"/>
    <w:lvl w:ilvl="0">
      <w:start w:val="1"/>
      <w:numFmt w:val="bullet"/>
      <w:lvlText w:val="–"/>
      <w:lvlJc w:val="left"/>
      <w:pPr>
        <w:tabs>
          <w:tab w:val="num" w:pos="360"/>
        </w:tabs>
        <w:ind w:left="360" w:hanging="360"/>
      </w:pPr>
      <w:rPr>
        <w:rFonts w:ascii="Arial" w:hAnsi="Arial"/>
        <w:sz w:val="24"/>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3DB74B86"/>
    <w:multiLevelType w:val="hybridMultilevel"/>
    <w:tmpl w:val="1AEE6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15F0928"/>
    <w:multiLevelType w:val="multilevel"/>
    <w:tmpl w:val="88EE9D42"/>
    <w:lvl w:ilvl="0">
      <w:start w:val="1"/>
      <w:numFmt w:val="none"/>
      <w:pStyle w:val="Heading1"/>
      <w:lvlText w:val=""/>
      <w:lvlJc w:val="left"/>
      <w:pPr>
        <w:tabs>
          <w:tab w:val="num" w:pos="432"/>
        </w:tabs>
        <w:ind w:left="432" w:hanging="432"/>
      </w:pPr>
      <w:rPr>
        <w:rFonts w:hint="default"/>
      </w:rPr>
    </w:lvl>
    <w:lvl w:ilvl="1">
      <w:start w:val="1"/>
      <w:numFmt w:val="upperRoman"/>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5%1.%2.%3.%4.%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CC323BD"/>
    <w:multiLevelType w:val="hybridMultilevel"/>
    <w:tmpl w:val="78388C86"/>
    <w:lvl w:ilvl="0" w:tplc="315E71B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CD5402C"/>
    <w:multiLevelType w:val="hybridMultilevel"/>
    <w:tmpl w:val="27CACF3A"/>
    <w:lvl w:ilvl="0" w:tplc="F956166E">
      <w:start w:val="1"/>
      <w:numFmt w:val="lowerLetter"/>
      <w:lvlText w:val="%1)"/>
      <w:lvlJc w:val="left"/>
      <w:pPr>
        <w:ind w:left="4754" w:hanging="360"/>
      </w:pPr>
      <w:rPr>
        <w:rFonts w:ascii="Arial" w:hAnsi="Arial" w:hint="default"/>
        <w:sz w:val="24"/>
      </w:r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11" w15:restartNumberingAfterBreak="0">
    <w:nsid w:val="52250CF5"/>
    <w:multiLevelType w:val="hybridMultilevel"/>
    <w:tmpl w:val="97807ECE"/>
    <w:lvl w:ilvl="0" w:tplc="F72C04DA">
      <w:start w:val="1"/>
      <w:numFmt w:val="bullet"/>
      <w:lvlText w:val="–"/>
      <w:lvlJc w:val="left"/>
      <w:pPr>
        <w:tabs>
          <w:tab w:val="num" w:pos="360"/>
        </w:tabs>
        <w:ind w:left="360" w:hanging="360"/>
      </w:pPr>
      <w:rPr>
        <w:rFonts w:ascii="Arial" w:hAnsi="Arial" w:hint="default"/>
      </w:rPr>
    </w:lvl>
    <w:lvl w:ilvl="1" w:tplc="912E21D6" w:tentative="1">
      <w:start w:val="1"/>
      <w:numFmt w:val="bullet"/>
      <w:lvlText w:val="o"/>
      <w:lvlJc w:val="left"/>
      <w:pPr>
        <w:tabs>
          <w:tab w:val="num" w:pos="1440"/>
        </w:tabs>
        <w:ind w:left="1440" w:hanging="360"/>
      </w:pPr>
      <w:rPr>
        <w:rFonts w:ascii="Courier New" w:hAnsi="Courier New" w:cs="Courier New" w:hint="default"/>
      </w:rPr>
    </w:lvl>
    <w:lvl w:ilvl="2" w:tplc="84CACF00" w:tentative="1">
      <w:start w:val="1"/>
      <w:numFmt w:val="bullet"/>
      <w:lvlText w:val=""/>
      <w:lvlJc w:val="left"/>
      <w:pPr>
        <w:tabs>
          <w:tab w:val="num" w:pos="2160"/>
        </w:tabs>
        <w:ind w:left="2160" w:hanging="360"/>
      </w:pPr>
      <w:rPr>
        <w:rFonts w:ascii="Wingdings" w:hAnsi="Wingdings" w:hint="default"/>
      </w:rPr>
    </w:lvl>
    <w:lvl w:ilvl="3" w:tplc="E1588DA2" w:tentative="1">
      <w:start w:val="1"/>
      <w:numFmt w:val="bullet"/>
      <w:lvlText w:val=""/>
      <w:lvlJc w:val="left"/>
      <w:pPr>
        <w:tabs>
          <w:tab w:val="num" w:pos="2880"/>
        </w:tabs>
        <w:ind w:left="2880" w:hanging="360"/>
      </w:pPr>
      <w:rPr>
        <w:rFonts w:ascii="Symbol" w:hAnsi="Symbol" w:hint="default"/>
      </w:rPr>
    </w:lvl>
    <w:lvl w:ilvl="4" w:tplc="2C9CC22A" w:tentative="1">
      <w:start w:val="1"/>
      <w:numFmt w:val="bullet"/>
      <w:lvlText w:val="o"/>
      <w:lvlJc w:val="left"/>
      <w:pPr>
        <w:tabs>
          <w:tab w:val="num" w:pos="3600"/>
        </w:tabs>
        <w:ind w:left="3600" w:hanging="360"/>
      </w:pPr>
      <w:rPr>
        <w:rFonts w:ascii="Courier New" w:hAnsi="Courier New" w:cs="Courier New" w:hint="default"/>
      </w:rPr>
    </w:lvl>
    <w:lvl w:ilvl="5" w:tplc="3EDCE0A6" w:tentative="1">
      <w:start w:val="1"/>
      <w:numFmt w:val="bullet"/>
      <w:lvlText w:val=""/>
      <w:lvlJc w:val="left"/>
      <w:pPr>
        <w:tabs>
          <w:tab w:val="num" w:pos="4320"/>
        </w:tabs>
        <w:ind w:left="4320" w:hanging="360"/>
      </w:pPr>
      <w:rPr>
        <w:rFonts w:ascii="Wingdings" w:hAnsi="Wingdings" w:hint="default"/>
      </w:rPr>
    </w:lvl>
    <w:lvl w:ilvl="6" w:tplc="EA3215FE" w:tentative="1">
      <w:start w:val="1"/>
      <w:numFmt w:val="bullet"/>
      <w:lvlText w:val=""/>
      <w:lvlJc w:val="left"/>
      <w:pPr>
        <w:tabs>
          <w:tab w:val="num" w:pos="5040"/>
        </w:tabs>
        <w:ind w:left="5040" w:hanging="360"/>
      </w:pPr>
      <w:rPr>
        <w:rFonts w:ascii="Symbol" w:hAnsi="Symbol" w:hint="default"/>
      </w:rPr>
    </w:lvl>
    <w:lvl w:ilvl="7" w:tplc="1F9E4B1E" w:tentative="1">
      <w:start w:val="1"/>
      <w:numFmt w:val="bullet"/>
      <w:lvlText w:val="o"/>
      <w:lvlJc w:val="left"/>
      <w:pPr>
        <w:tabs>
          <w:tab w:val="num" w:pos="5760"/>
        </w:tabs>
        <w:ind w:left="5760" w:hanging="360"/>
      </w:pPr>
      <w:rPr>
        <w:rFonts w:ascii="Courier New" w:hAnsi="Courier New" w:cs="Courier New" w:hint="default"/>
      </w:rPr>
    </w:lvl>
    <w:lvl w:ilvl="8" w:tplc="21F0611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A35298"/>
    <w:multiLevelType w:val="multilevel"/>
    <w:tmpl w:val="3ADEA386"/>
    <w:lvl w:ilvl="0">
      <w:start w:val="1"/>
      <w:numFmt w:val="decimal"/>
      <w:pStyle w:val="Apartado"/>
      <w:suff w:val="space"/>
      <w:lvlText w:val="%1."/>
      <w:lvlJc w:val="left"/>
      <w:pPr>
        <w:ind w:left="360" w:hanging="360"/>
      </w:pPr>
      <w:rPr>
        <w:rFonts w:hint="default"/>
        <w:b w:val="0"/>
        <w:i w:val="0"/>
        <w:sz w:val="24"/>
      </w:rPr>
    </w:lvl>
    <w:lvl w:ilvl="1">
      <w:start w:val="1"/>
      <w:numFmt w:val="decimal"/>
      <w:lvlText w:val="%2."/>
      <w:lvlJc w:val="left"/>
      <w:pPr>
        <w:tabs>
          <w:tab w:val="num" w:pos="709"/>
        </w:tabs>
        <w:ind w:left="792" w:hanging="432"/>
      </w:pPr>
      <w:rPr>
        <w:rFonts w:hint="defau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5D327EDE"/>
    <w:multiLevelType w:val="hybridMultilevel"/>
    <w:tmpl w:val="D4AC54E8"/>
    <w:lvl w:ilvl="0" w:tplc="315E71B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315E71BC">
      <w:start w:val="1"/>
      <w:numFmt w:val="bullet"/>
      <w:lvlText w:val="–"/>
      <w:lvlJc w:val="left"/>
      <w:pPr>
        <w:ind w:left="2160" w:hanging="360"/>
      </w:pPr>
      <w:rPr>
        <w:rFonts w:ascii="Arial" w:hAnsi="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29411CA"/>
    <w:multiLevelType w:val="hybridMultilevel"/>
    <w:tmpl w:val="50C052B8"/>
    <w:lvl w:ilvl="0" w:tplc="3F608F5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B0F6BAE"/>
    <w:multiLevelType w:val="hybridMultilevel"/>
    <w:tmpl w:val="5DDC1DF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71D831C5"/>
    <w:multiLevelType w:val="hybridMultilevel"/>
    <w:tmpl w:val="37C4C4F0"/>
    <w:lvl w:ilvl="0" w:tplc="0D54CA40">
      <w:start w:val="1"/>
      <w:numFmt w:val="bullet"/>
      <w:lvlText w:val="–"/>
      <w:lvlJc w:val="left"/>
      <w:pPr>
        <w:tabs>
          <w:tab w:val="num" w:pos="644"/>
        </w:tabs>
        <w:ind w:left="644" w:hanging="360"/>
      </w:pPr>
      <w:rPr>
        <w:rFonts w:ascii="Arial" w:hAnsi="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3F71830"/>
    <w:multiLevelType w:val="hybridMultilevel"/>
    <w:tmpl w:val="D32CC510"/>
    <w:lvl w:ilvl="0" w:tplc="E6D050D0">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6EE52EA"/>
    <w:multiLevelType w:val="hybridMultilevel"/>
    <w:tmpl w:val="86A2895A"/>
    <w:lvl w:ilvl="0" w:tplc="0C0A000F">
      <w:start w:val="1"/>
      <w:numFmt w:val="decimal"/>
      <w:lvlText w:val="%1."/>
      <w:lvlJc w:val="left"/>
      <w:pPr>
        <w:tabs>
          <w:tab w:val="num" w:pos="644"/>
        </w:tabs>
        <w:ind w:left="644" w:hanging="360"/>
      </w:pPr>
      <w:rPr>
        <w:rFont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E17CEAA4">
      <w:start w:val="1"/>
      <w:numFmt w:val="lowerLetter"/>
      <w:lvlText w:val="%3)"/>
      <w:lvlJc w:val="left"/>
      <w:pPr>
        <w:ind w:left="2520" w:hanging="360"/>
      </w:pPr>
      <w:rPr>
        <w:rFonts w:hint="default"/>
      </w:rPr>
    </w:lvl>
    <w:lvl w:ilvl="3" w:tplc="0C0A000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A141351"/>
    <w:multiLevelType w:val="hybridMultilevel"/>
    <w:tmpl w:val="A9F6B5CE"/>
    <w:lvl w:ilvl="0" w:tplc="315E71BC">
      <w:start w:val="1"/>
      <w:numFmt w:val="bullet"/>
      <w:lvlText w:val="–"/>
      <w:lvlJc w:val="left"/>
      <w:pPr>
        <w:tabs>
          <w:tab w:val="num" w:pos="360"/>
        </w:tabs>
        <w:ind w:left="360" w:hanging="360"/>
      </w:pPr>
      <w:rPr>
        <w:rFonts w:ascii="Arial" w:hAnsi="Arial" w:hint="default"/>
      </w:rPr>
    </w:lvl>
    <w:lvl w:ilvl="1" w:tplc="A01A9354" w:tentative="1">
      <w:start w:val="1"/>
      <w:numFmt w:val="bullet"/>
      <w:lvlText w:val="o"/>
      <w:lvlJc w:val="left"/>
      <w:pPr>
        <w:tabs>
          <w:tab w:val="num" w:pos="1440"/>
        </w:tabs>
        <w:ind w:left="1440" w:hanging="360"/>
      </w:pPr>
      <w:rPr>
        <w:rFonts w:ascii="Courier New" w:hAnsi="Courier New" w:cs="Courier New" w:hint="default"/>
      </w:rPr>
    </w:lvl>
    <w:lvl w:ilvl="2" w:tplc="661E1E8E" w:tentative="1">
      <w:start w:val="1"/>
      <w:numFmt w:val="bullet"/>
      <w:lvlText w:val=""/>
      <w:lvlJc w:val="left"/>
      <w:pPr>
        <w:tabs>
          <w:tab w:val="num" w:pos="2160"/>
        </w:tabs>
        <w:ind w:left="2160" w:hanging="360"/>
      </w:pPr>
      <w:rPr>
        <w:rFonts w:ascii="Wingdings" w:hAnsi="Wingdings" w:hint="default"/>
      </w:rPr>
    </w:lvl>
    <w:lvl w:ilvl="3" w:tplc="7E1EBA9A" w:tentative="1">
      <w:start w:val="1"/>
      <w:numFmt w:val="bullet"/>
      <w:lvlText w:val=""/>
      <w:lvlJc w:val="left"/>
      <w:pPr>
        <w:tabs>
          <w:tab w:val="num" w:pos="2880"/>
        </w:tabs>
        <w:ind w:left="2880" w:hanging="360"/>
      </w:pPr>
      <w:rPr>
        <w:rFonts w:ascii="Symbol" w:hAnsi="Symbol" w:hint="default"/>
      </w:rPr>
    </w:lvl>
    <w:lvl w:ilvl="4" w:tplc="504283E4" w:tentative="1">
      <w:start w:val="1"/>
      <w:numFmt w:val="bullet"/>
      <w:lvlText w:val="o"/>
      <w:lvlJc w:val="left"/>
      <w:pPr>
        <w:tabs>
          <w:tab w:val="num" w:pos="3600"/>
        </w:tabs>
        <w:ind w:left="3600" w:hanging="360"/>
      </w:pPr>
      <w:rPr>
        <w:rFonts w:ascii="Courier New" w:hAnsi="Courier New" w:cs="Courier New" w:hint="default"/>
      </w:rPr>
    </w:lvl>
    <w:lvl w:ilvl="5" w:tplc="21229004" w:tentative="1">
      <w:start w:val="1"/>
      <w:numFmt w:val="bullet"/>
      <w:lvlText w:val=""/>
      <w:lvlJc w:val="left"/>
      <w:pPr>
        <w:tabs>
          <w:tab w:val="num" w:pos="4320"/>
        </w:tabs>
        <w:ind w:left="4320" w:hanging="360"/>
      </w:pPr>
      <w:rPr>
        <w:rFonts w:ascii="Wingdings" w:hAnsi="Wingdings" w:hint="default"/>
      </w:rPr>
    </w:lvl>
    <w:lvl w:ilvl="6" w:tplc="6FD0D8E8" w:tentative="1">
      <w:start w:val="1"/>
      <w:numFmt w:val="bullet"/>
      <w:lvlText w:val=""/>
      <w:lvlJc w:val="left"/>
      <w:pPr>
        <w:tabs>
          <w:tab w:val="num" w:pos="5040"/>
        </w:tabs>
        <w:ind w:left="5040" w:hanging="360"/>
      </w:pPr>
      <w:rPr>
        <w:rFonts w:ascii="Symbol" w:hAnsi="Symbol" w:hint="default"/>
      </w:rPr>
    </w:lvl>
    <w:lvl w:ilvl="7" w:tplc="D402E896" w:tentative="1">
      <w:start w:val="1"/>
      <w:numFmt w:val="bullet"/>
      <w:lvlText w:val="o"/>
      <w:lvlJc w:val="left"/>
      <w:pPr>
        <w:tabs>
          <w:tab w:val="num" w:pos="5760"/>
        </w:tabs>
        <w:ind w:left="5760" w:hanging="360"/>
      </w:pPr>
      <w:rPr>
        <w:rFonts w:ascii="Courier New" w:hAnsi="Courier New" w:cs="Courier New" w:hint="default"/>
      </w:rPr>
    </w:lvl>
    <w:lvl w:ilvl="8" w:tplc="7EF029D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1117CA"/>
    <w:multiLevelType w:val="hybridMultilevel"/>
    <w:tmpl w:val="FFF853E8"/>
    <w:lvl w:ilvl="0" w:tplc="76A2A2E4">
      <w:start w:val="4"/>
      <w:numFmt w:val="bullet"/>
      <w:lvlText w:val="-"/>
      <w:lvlJc w:val="left"/>
      <w:pPr>
        <w:ind w:left="720" w:hanging="360"/>
      </w:pPr>
      <w:rPr>
        <w:rFonts w:ascii="Arial" w:eastAsia="Times New Roman" w:hAnsi="Arial" w:cs="Arial" w:hint="default"/>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9"/>
  </w:num>
  <w:num w:numId="4">
    <w:abstractNumId w:val="11"/>
  </w:num>
  <w:num w:numId="5">
    <w:abstractNumId w:val="8"/>
  </w:num>
  <w:num w:numId="6">
    <w:abstractNumId w:val="16"/>
  </w:num>
  <w:num w:numId="7">
    <w:abstractNumId w:val="12"/>
  </w:num>
  <w:num w:numId="8">
    <w:abstractNumId w:val="3"/>
  </w:num>
  <w:num w:numId="9">
    <w:abstractNumId w:val="5"/>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18"/>
  </w:num>
  <w:num w:numId="23">
    <w:abstractNumId w:val="9"/>
  </w:num>
  <w:num w:numId="24">
    <w:abstractNumId w:val="13"/>
  </w:num>
  <w:num w:numId="25">
    <w:abstractNumId w:val="0"/>
  </w:num>
  <w:num w:numId="26">
    <w:abstractNumId w:val="17"/>
  </w:num>
  <w:num w:numId="27">
    <w:abstractNumId w:val="14"/>
  </w:num>
  <w:num w:numId="28">
    <w:abstractNumId w:val="2"/>
  </w:num>
  <w:num w:numId="29">
    <w:abstractNumId w:val="10"/>
  </w:num>
  <w:num w:numId="30">
    <w:abstractNumId w:val="20"/>
  </w:num>
  <w:num w:numId="31">
    <w:abstractNumId w:val="7"/>
  </w:num>
  <w:num w:numId="32">
    <w:abstractNumId w:val="15"/>
  </w:num>
  <w:num w:numId="3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30"/>
    <w:rsid w:val="00000916"/>
    <w:rsid w:val="000026F7"/>
    <w:rsid w:val="00003ED6"/>
    <w:rsid w:val="00003FD6"/>
    <w:rsid w:val="00004A7E"/>
    <w:rsid w:val="00005B14"/>
    <w:rsid w:val="000061DC"/>
    <w:rsid w:val="00007430"/>
    <w:rsid w:val="00010FDF"/>
    <w:rsid w:val="000134FB"/>
    <w:rsid w:val="00015F11"/>
    <w:rsid w:val="0001755F"/>
    <w:rsid w:val="00017D18"/>
    <w:rsid w:val="00020561"/>
    <w:rsid w:val="00021854"/>
    <w:rsid w:val="0002191F"/>
    <w:rsid w:val="00021B0D"/>
    <w:rsid w:val="00027084"/>
    <w:rsid w:val="0003211D"/>
    <w:rsid w:val="00032A00"/>
    <w:rsid w:val="00032A66"/>
    <w:rsid w:val="0003330A"/>
    <w:rsid w:val="000337D8"/>
    <w:rsid w:val="000349F5"/>
    <w:rsid w:val="00034BA0"/>
    <w:rsid w:val="000353E1"/>
    <w:rsid w:val="00035477"/>
    <w:rsid w:val="000413CC"/>
    <w:rsid w:val="000416BE"/>
    <w:rsid w:val="00042209"/>
    <w:rsid w:val="00043CB1"/>
    <w:rsid w:val="00052E33"/>
    <w:rsid w:val="0005337D"/>
    <w:rsid w:val="00053452"/>
    <w:rsid w:val="00053BD1"/>
    <w:rsid w:val="00054110"/>
    <w:rsid w:val="00055312"/>
    <w:rsid w:val="0006216C"/>
    <w:rsid w:val="00062959"/>
    <w:rsid w:val="000637C7"/>
    <w:rsid w:val="00063D67"/>
    <w:rsid w:val="000644B5"/>
    <w:rsid w:val="00066E1F"/>
    <w:rsid w:val="000678EE"/>
    <w:rsid w:val="00076DA4"/>
    <w:rsid w:val="000827CA"/>
    <w:rsid w:val="00084688"/>
    <w:rsid w:val="000849E1"/>
    <w:rsid w:val="0008517D"/>
    <w:rsid w:val="00085794"/>
    <w:rsid w:val="00085DB8"/>
    <w:rsid w:val="00091E7E"/>
    <w:rsid w:val="00092F23"/>
    <w:rsid w:val="00093790"/>
    <w:rsid w:val="000951E1"/>
    <w:rsid w:val="00097C3D"/>
    <w:rsid w:val="000A00E7"/>
    <w:rsid w:val="000A161F"/>
    <w:rsid w:val="000A2E2C"/>
    <w:rsid w:val="000A3740"/>
    <w:rsid w:val="000A37B3"/>
    <w:rsid w:val="000A6A4C"/>
    <w:rsid w:val="000B0B60"/>
    <w:rsid w:val="000B1745"/>
    <w:rsid w:val="000B1CC6"/>
    <w:rsid w:val="000B2F6F"/>
    <w:rsid w:val="000B39B8"/>
    <w:rsid w:val="000B3F3B"/>
    <w:rsid w:val="000B44C5"/>
    <w:rsid w:val="000B4B07"/>
    <w:rsid w:val="000B5894"/>
    <w:rsid w:val="000B5DE2"/>
    <w:rsid w:val="000B709A"/>
    <w:rsid w:val="000C0E3F"/>
    <w:rsid w:val="000C2CCA"/>
    <w:rsid w:val="000C3EC5"/>
    <w:rsid w:val="000C56B0"/>
    <w:rsid w:val="000C5AE7"/>
    <w:rsid w:val="000C643A"/>
    <w:rsid w:val="000C758D"/>
    <w:rsid w:val="000D0E37"/>
    <w:rsid w:val="000D167D"/>
    <w:rsid w:val="000D2B0C"/>
    <w:rsid w:val="000D2FA4"/>
    <w:rsid w:val="000D516D"/>
    <w:rsid w:val="000D6E76"/>
    <w:rsid w:val="000D7FFA"/>
    <w:rsid w:val="000E1BAF"/>
    <w:rsid w:val="000E4831"/>
    <w:rsid w:val="000E591F"/>
    <w:rsid w:val="000E64CB"/>
    <w:rsid w:val="000F2B75"/>
    <w:rsid w:val="000F301E"/>
    <w:rsid w:val="000F4417"/>
    <w:rsid w:val="000F64BC"/>
    <w:rsid w:val="000F66C8"/>
    <w:rsid w:val="001005DA"/>
    <w:rsid w:val="00102C1C"/>
    <w:rsid w:val="00103E19"/>
    <w:rsid w:val="00106203"/>
    <w:rsid w:val="00107B28"/>
    <w:rsid w:val="0011319A"/>
    <w:rsid w:val="00113876"/>
    <w:rsid w:val="00113B6A"/>
    <w:rsid w:val="001140A2"/>
    <w:rsid w:val="0011436A"/>
    <w:rsid w:val="0011609B"/>
    <w:rsid w:val="00116AE4"/>
    <w:rsid w:val="00117AF8"/>
    <w:rsid w:val="0012007D"/>
    <w:rsid w:val="00120992"/>
    <w:rsid w:val="001211DC"/>
    <w:rsid w:val="00124C6A"/>
    <w:rsid w:val="00124D4E"/>
    <w:rsid w:val="00125980"/>
    <w:rsid w:val="00127270"/>
    <w:rsid w:val="0012770D"/>
    <w:rsid w:val="001311CD"/>
    <w:rsid w:val="00133778"/>
    <w:rsid w:val="00133DBE"/>
    <w:rsid w:val="00134997"/>
    <w:rsid w:val="001351E4"/>
    <w:rsid w:val="0013552E"/>
    <w:rsid w:val="00135C66"/>
    <w:rsid w:val="00136D02"/>
    <w:rsid w:val="0014033D"/>
    <w:rsid w:val="001406F4"/>
    <w:rsid w:val="001445CF"/>
    <w:rsid w:val="0014494D"/>
    <w:rsid w:val="00145F7C"/>
    <w:rsid w:val="00146DCD"/>
    <w:rsid w:val="0015289D"/>
    <w:rsid w:val="00153ADE"/>
    <w:rsid w:val="00153F59"/>
    <w:rsid w:val="00154A65"/>
    <w:rsid w:val="00155C95"/>
    <w:rsid w:val="001564F7"/>
    <w:rsid w:val="001605E5"/>
    <w:rsid w:val="00162058"/>
    <w:rsid w:val="00162801"/>
    <w:rsid w:val="00163224"/>
    <w:rsid w:val="0016342F"/>
    <w:rsid w:val="00163E28"/>
    <w:rsid w:val="0016452E"/>
    <w:rsid w:val="00164A9B"/>
    <w:rsid w:val="00164FD3"/>
    <w:rsid w:val="00165C77"/>
    <w:rsid w:val="00166FDA"/>
    <w:rsid w:val="00167AED"/>
    <w:rsid w:val="00171568"/>
    <w:rsid w:val="00171D2C"/>
    <w:rsid w:val="00172F06"/>
    <w:rsid w:val="0017506E"/>
    <w:rsid w:val="0017608E"/>
    <w:rsid w:val="001765C5"/>
    <w:rsid w:val="00176862"/>
    <w:rsid w:val="0017795B"/>
    <w:rsid w:val="001825C0"/>
    <w:rsid w:val="00182CAB"/>
    <w:rsid w:val="00185414"/>
    <w:rsid w:val="00191DAA"/>
    <w:rsid w:val="001946E9"/>
    <w:rsid w:val="00194893"/>
    <w:rsid w:val="00194CF0"/>
    <w:rsid w:val="00196B75"/>
    <w:rsid w:val="001A04FF"/>
    <w:rsid w:val="001A3B5D"/>
    <w:rsid w:val="001A43EC"/>
    <w:rsid w:val="001A53BC"/>
    <w:rsid w:val="001A56A5"/>
    <w:rsid w:val="001A5E28"/>
    <w:rsid w:val="001B01CF"/>
    <w:rsid w:val="001B5C93"/>
    <w:rsid w:val="001B6782"/>
    <w:rsid w:val="001B780A"/>
    <w:rsid w:val="001C10C3"/>
    <w:rsid w:val="001C20F3"/>
    <w:rsid w:val="001C26ED"/>
    <w:rsid w:val="001C4E58"/>
    <w:rsid w:val="001C53CD"/>
    <w:rsid w:val="001C60C7"/>
    <w:rsid w:val="001D0979"/>
    <w:rsid w:val="001D0E62"/>
    <w:rsid w:val="001D25E6"/>
    <w:rsid w:val="001D46B7"/>
    <w:rsid w:val="001E0532"/>
    <w:rsid w:val="001E584B"/>
    <w:rsid w:val="001E5EA8"/>
    <w:rsid w:val="001F1F67"/>
    <w:rsid w:val="001F2176"/>
    <w:rsid w:val="001F3E37"/>
    <w:rsid w:val="001F4015"/>
    <w:rsid w:val="001F563E"/>
    <w:rsid w:val="001F5B69"/>
    <w:rsid w:val="001F7D35"/>
    <w:rsid w:val="00202648"/>
    <w:rsid w:val="00202D70"/>
    <w:rsid w:val="00204A5C"/>
    <w:rsid w:val="002105E1"/>
    <w:rsid w:val="002118F6"/>
    <w:rsid w:val="00211E35"/>
    <w:rsid w:val="00215E8D"/>
    <w:rsid w:val="00216E6D"/>
    <w:rsid w:val="00216EC1"/>
    <w:rsid w:val="00216FE4"/>
    <w:rsid w:val="002218E3"/>
    <w:rsid w:val="00221B11"/>
    <w:rsid w:val="00221B30"/>
    <w:rsid w:val="002263FD"/>
    <w:rsid w:val="00226525"/>
    <w:rsid w:val="00232190"/>
    <w:rsid w:val="002325EB"/>
    <w:rsid w:val="00235469"/>
    <w:rsid w:val="002355CA"/>
    <w:rsid w:val="002422AA"/>
    <w:rsid w:val="00242713"/>
    <w:rsid w:val="002437AE"/>
    <w:rsid w:val="0024389B"/>
    <w:rsid w:val="00244553"/>
    <w:rsid w:val="00244B57"/>
    <w:rsid w:val="00245AFF"/>
    <w:rsid w:val="00246B77"/>
    <w:rsid w:val="00246D25"/>
    <w:rsid w:val="00246D30"/>
    <w:rsid w:val="00247653"/>
    <w:rsid w:val="00250BAB"/>
    <w:rsid w:val="002519A2"/>
    <w:rsid w:val="002555BE"/>
    <w:rsid w:val="002567B8"/>
    <w:rsid w:val="00262D95"/>
    <w:rsid w:val="002634A1"/>
    <w:rsid w:val="00264707"/>
    <w:rsid w:val="002666BC"/>
    <w:rsid w:val="00266861"/>
    <w:rsid w:val="00267918"/>
    <w:rsid w:val="00267E49"/>
    <w:rsid w:val="00270DC1"/>
    <w:rsid w:val="00274A31"/>
    <w:rsid w:val="00274B68"/>
    <w:rsid w:val="0027742D"/>
    <w:rsid w:val="00277DE7"/>
    <w:rsid w:val="00281DF2"/>
    <w:rsid w:val="00291396"/>
    <w:rsid w:val="00292F54"/>
    <w:rsid w:val="0029552B"/>
    <w:rsid w:val="00295E6C"/>
    <w:rsid w:val="002A36D0"/>
    <w:rsid w:val="002A3E93"/>
    <w:rsid w:val="002A5F5D"/>
    <w:rsid w:val="002A7BDD"/>
    <w:rsid w:val="002B06EC"/>
    <w:rsid w:val="002B0A98"/>
    <w:rsid w:val="002B16B3"/>
    <w:rsid w:val="002B1711"/>
    <w:rsid w:val="002B3AF6"/>
    <w:rsid w:val="002B4E6E"/>
    <w:rsid w:val="002B68F3"/>
    <w:rsid w:val="002B6C0A"/>
    <w:rsid w:val="002C078A"/>
    <w:rsid w:val="002C11BE"/>
    <w:rsid w:val="002C1A9A"/>
    <w:rsid w:val="002C22E5"/>
    <w:rsid w:val="002C4AAD"/>
    <w:rsid w:val="002C602D"/>
    <w:rsid w:val="002C779E"/>
    <w:rsid w:val="002D021E"/>
    <w:rsid w:val="002D05EC"/>
    <w:rsid w:val="002D240A"/>
    <w:rsid w:val="002D67D7"/>
    <w:rsid w:val="002D6F6C"/>
    <w:rsid w:val="002E01D3"/>
    <w:rsid w:val="002E43BA"/>
    <w:rsid w:val="002E4410"/>
    <w:rsid w:val="002E7D7A"/>
    <w:rsid w:val="002E7E6E"/>
    <w:rsid w:val="002F36F4"/>
    <w:rsid w:val="002F3AA7"/>
    <w:rsid w:val="002F43B7"/>
    <w:rsid w:val="003028BA"/>
    <w:rsid w:val="00302B05"/>
    <w:rsid w:val="00303D7C"/>
    <w:rsid w:val="0030485C"/>
    <w:rsid w:val="0030720D"/>
    <w:rsid w:val="00310BC9"/>
    <w:rsid w:val="0031253D"/>
    <w:rsid w:val="00312D12"/>
    <w:rsid w:val="00313812"/>
    <w:rsid w:val="00316D53"/>
    <w:rsid w:val="003217BE"/>
    <w:rsid w:val="00323E6E"/>
    <w:rsid w:val="00324F65"/>
    <w:rsid w:val="00326E27"/>
    <w:rsid w:val="0033099E"/>
    <w:rsid w:val="003316D1"/>
    <w:rsid w:val="00332E07"/>
    <w:rsid w:val="003338AD"/>
    <w:rsid w:val="00334B38"/>
    <w:rsid w:val="003357CB"/>
    <w:rsid w:val="0033598A"/>
    <w:rsid w:val="003375A3"/>
    <w:rsid w:val="00337B87"/>
    <w:rsid w:val="00341FD5"/>
    <w:rsid w:val="00345A95"/>
    <w:rsid w:val="0034762B"/>
    <w:rsid w:val="0034785D"/>
    <w:rsid w:val="003508A2"/>
    <w:rsid w:val="00351ED8"/>
    <w:rsid w:val="003520E2"/>
    <w:rsid w:val="003529AF"/>
    <w:rsid w:val="00353126"/>
    <w:rsid w:val="00356A03"/>
    <w:rsid w:val="0035703E"/>
    <w:rsid w:val="003614B8"/>
    <w:rsid w:val="00361A06"/>
    <w:rsid w:val="00361E44"/>
    <w:rsid w:val="00364E46"/>
    <w:rsid w:val="00371449"/>
    <w:rsid w:val="00373DB8"/>
    <w:rsid w:val="00375717"/>
    <w:rsid w:val="00375CA2"/>
    <w:rsid w:val="00377405"/>
    <w:rsid w:val="003778ED"/>
    <w:rsid w:val="003804BE"/>
    <w:rsid w:val="003805A0"/>
    <w:rsid w:val="00381C60"/>
    <w:rsid w:val="003828A5"/>
    <w:rsid w:val="00383975"/>
    <w:rsid w:val="00386E60"/>
    <w:rsid w:val="00390E56"/>
    <w:rsid w:val="003938AB"/>
    <w:rsid w:val="003A01AD"/>
    <w:rsid w:val="003A0772"/>
    <w:rsid w:val="003A28D9"/>
    <w:rsid w:val="003A4045"/>
    <w:rsid w:val="003A4402"/>
    <w:rsid w:val="003B0746"/>
    <w:rsid w:val="003B0C10"/>
    <w:rsid w:val="003B1DE2"/>
    <w:rsid w:val="003B4740"/>
    <w:rsid w:val="003B6821"/>
    <w:rsid w:val="003C0877"/>
    <w:rsid w:val="003C0D09"/>
    <w:rsid w:val="003C0ED3"/>
    <w:rsid w:val="003C2E3F"/>
    <w:rsid w:val="003C6388"/>
    <w:rsid w:val="003D2687"/>
    <w:rsid w:val="003D3CDB"/>
    <w:rsid w:val="003D4A9F"/>
    <w:rsid w:val="003D4E5D"/>
    <w:rsid w:val="003D5E47"/>
    <w:rsid w:val="003E2698"/>
    <w:rsid w:val="003E37EC"/>
    <w:rsid w:val="003E3A0D"/>
    <w:rsid w:val="003E3EF6"/>
    <w:rsid w:val="003E55B3"/>
    <w:rsid w:val="003E5C5B"/>
    <w:rsid w:val="003F1736"/>
    <w:rsid w:val="003F21B0"/>
    <w:rsid w:val="003F3EF2"/>
    <w:rsid w:val="003F423E"/>
    <w:rsid w:val="003F4F9D"/>
    <w:rsid w:val="003F5699"/>
    <w:rsid w:val="003F63B5"/>
    <w:rsid w:val="00402B41"/>
    <w:rsid w:val="00406573"/>
    <w:rsid w:val="00407B1A"/>
    <w:rsid w:val="00411798"/>
    <w:rsid w:val="00412AC8"/>
    <w:rsid w:val="00413042"/>
    <w:rsid w:val="004214CD"/>
    <w:rsid w:val="0042227C"/>
    <w:rsid w:val="00423F58"/>
    <w:rsid w:val="00424FFF"/>
    <w:rsid w:val="00431D69"/>
    <w:rsid w:val="00433524"/>
    <w:rsid w:val="0043708A"/>
    <w:rsid w:val="004370B9"/>
    <w:rsid w:val="00440E4C"/>
    <w:rsid w:val="00441816"/>
    <w:rsid w:val="00441B58"/>
    <w:rsid w:val="00447EF1"/>
    <w:rsid w:val="00450D3D"/>
    <w:rsid w:val="00451188"/>
    <w:rsid w:val="00451A30"/>
    <w:rsid w:val="00451BF5"/>
    <w:rsid w:val="00460CEE"/>
    <w:rsid w:val="00460E61"/>
    <w:rsid w:val="00461E63"/>
    <w:rsid w:val="00462244"/>
    <w:rsid w:val="004627B9"/>
    <w:rsid w:val="00465A43"/>
    <w:rsid w:val="004667A6"/>
    <w:rsid w:val="00467F61"/>
    <w:rsid w:val="00471488"/>
    <w:rsid w:val="0047258D"/>
    <w:rsid w:val="00473014"/>
    <w:rsid w:val="004738D0"/>
    <w:rsid w:val="00475D87"/>
    <w:rsid w:val="004765B9"/>
    <w:rsid w:val="00476DCD"/>
    <w:rsid w:val="00477E0F"/>
    <w:rsid w:val="004802C0"/>
    <w:rsid w:val="00482A33"/>
    <w:rsid w:val="00483B68"/>
    <w:rsid w:val="0048400F"/>
    <w:rsid w:val="004848FD"/>
    <w:rsid w:val="00484E22"/>
    <w:rsid w:val="004856AD"/>
    <w:rsid w:val="00486F20"/>
    <w:rsid w:val="00486F52"/>
    <w:rsid w:val="00493B24"/>
    <w:rsid w:val="00493C10"/>
    <w:rsid w:val="00495DEF"/>
    <w:rsid w:val="004A30B6"/>
    <w:rsid w:val="004A74E2"/>
    <w:rsid w:val="004A7960"/>
    <w:rsid w:val="004B2B46"/>
    <w:rsid w:val="004B3276"/>
    <w:rsid w:val="004B4763"/>
    <w:rsid w:val="004C1AB2"/>
    <w:rsid w:val="004C2DCD"/>
    <w:rsid w:val="004C46D6"/>
    <w:rsid w:val="004C4F8C"/>
    <w:rsid w:val="004C5C5C"/>
    <w:rsid w:val="004C68CF"/>
    <w:rsid w:val="004C748A"/>
    <w:rsid w:val="004C7523"/>
    <w:rsid w:val="004D0457"/>
    <w:rsid w:val="004D0BFB"/>
    <w:rsid w:val="004D4AAE"/>
    <w:rsid w:val="004D5BA9"/>
    <w:rsid w:val="004D647F"/>
    <w:rsid w:val="004E07EA"/>
    <w:rsid w:val="004E2EE2"/>
    <w:rsid w:val="004E41CD"/>
    <w:rsid w:val="004E5C1E"/>
    <w:rsid w:val="004F3322"/>
    <w:rsid w:val="004F499C"/>
    <w:rsid w:val="004F51A0"/>
    <w:rsid w:val="004F54D8"/>
    <w:rsid w:val="00500AB2"/>
    <w:rsid w:val="00500EBF"/>
    <w:rsid w:val="0050140F"/>
    <w:rsid w:val="005022DC"/>
    <w:rsid w:val="00505CC0"/>
    <w:rsid w:val="0051114E"/>
    <w:rsid w:val="00511155"/>
    <w:rsid w:val="0051310D"/>
    <w:rsid w:val="00515CC5"/>
    <w:rsid w:val="0051713B"/>
    <w:rsid w:val="00520239"/>
    <w:rsid w:val="00522668"/>
    <w:rsid w:val="005254D8"/>
    <w:rsid w:val="00532689"/>
    <w:rsid w:val="00532A48"/>
    <w:rsid w:val="00532CBE"/>
    <w:rsid w:val="005335E7"/>
    <w:rsid w:val="00535248"/>
    <w:rsid w:val="00535BA7"/>
    <w:rsid w:val="005403A4"/>
    <w:rsid w:val="005418C2"/>
    <w:rsid w:val="00542968"/>
    <w:rsid w:val="0054639B"/>
    <w:rsid w:val="005467B1"/>
    <w:rsid w:val="00546B5B"/>
    <w:rsid w:val="005476B0"/>
    <w:rsid w:val="005504F1"/>
    <w:rsid w:val="005510A2"/>
    <w:rsid w:val="005512C5"/>
    <w:rsid w:val="00552F02"/>
    <w:rsid w:val="00553837"/>
    <w:rsid w:val="00554839"/>
    <w:rsid w:val="00554D4C"/>
    <w:rsid w:val="005577A5"/>
    <w:rsid w:val="005638E3"/>
    <w:rsid w:val="00565FB1"/>
    <w:rsid w:val="00567185"/>
    <w:rsid w:val="005677FD"/>
    <w:rsid w:val="00567E99"/>
    <w:rsid w:val="00570143"/>
    <w:rsid w:val="00570F16"/>
    <w:rsid w:val="005714B1"/>
    <w:rsid w:val="00571FF9"/>
    <w:rsid w:val="0057581F"/>
    <w:rsid w:val="0057653B"/>
    <w:rsid w:val="00580694"/>
    <w:rsid w:val="00582252"/>
    <w:rsid w:val="0058283B"/>
    <w:rsid w:val="00583722"/>
    <w:rsid w:val="00585C9C"/>
    <w:rsid w:val="00586A54"/>
    <w:rsid w:val="00587054"/>
    <w:rsid w:val="00591484"/>
    <w:rsid w:val="005916CC"/>
    <w:rsid w:val="00592D5D"/>
    <w:rsid w:val="005930DF"/>
    <w:rsid w:val="00596A01"/>
    <w:rsid w:val="005B0835"/>
    <w:rsid w:val="005B22B5"/>
    <w:rsid w:val="005B2937"/>
    <w:rsid w:val="005B2AF3"/>
    <w:rsid w:val="005B44F0"/>
    <w:rsid w:val="005B6410"/>
    <w:rsid w:val="005B644A"/>
    <w:rsid w:val="005B6595"/>
    <w:rsid w:val="005B6879"/>
    <w:rsid w:val="005C0758"/>
    <w:rsid w:val="005C6153"/>
    <w:rsid w:val="005D4DBC"/>
    <w:rsid w:val="005D61A3"/>
    <w:rsid w:val="005D7301"/>
    <w:rsid w:val="005D7B58"/>
    <w:rsid w:val="005E038B"/>
    <w:rsid w:val="005E0926"/>
    <w:rsid w:val="005E16C6"/>
    <w:rsid w:val="005E1BF5"/>
    <w:rsid w:val="005E22B5"/>
    <w:rsid w:val="005E35B3"/>
    <w:rsid w:val="005F06D7"/>
    <w:rsid w:val="005F0B12"/>
    <w:rsid w:val="005F0DF5"/>
    <w:rsid w:val="005F0F39"/>
    <w:rsid w:val="005F3F5C"/>
    <w:rsid w:val="005F4E45"/>
    <w:rsid w:val="005F56A4"/>
    <w:rsid w:val="005F72D2"/>
    <w:rsid w:val="00600F68"/>
    <w:rsid w:val="006012D3"/>
    <w:rsid w:val="00601F0C"/>
    <w:rsid w:val="00603B19"/>
    <w:rsid w:val="0060460F"/>
    <w:rsid w:val="00604DA3"/>
    <w:rsid w:val="0060500B"/>
    <w:rsid w:val="006067D0"/>
    <w:rsid w:val="006108D2"/>
    <w:rsid w:val="0061109A"/>
    <w:rsid w:val="006122C3"/>
    <w:rsid w:val="00613DF0"/>
    <w:rsid w:val="006169C8"/>
    <w:rsid w:val="0062217C"/>
    <w:rsid w:val="00623047"/>
    <w:rsid w:val="006239F7"/>
    <w:rsid w:val="00627220"/>
    <w:rsid w:val="006300BA"/>
    <w:rsid w:val="006304E5"/>
    <w:rsid w:val="0063193C"/>
    <w:rsid w:val="006319DF"/>
    <w:rsid w:val="00631D7A"/>
    <w:rsid w:val="006343F2"/>
    <w:rsid w:val="00635400"/>
    <w:rsid w:val="006363EA"/>
    <w:rsid w:val="00637E07"/>
    <w:rsid w:val="00641C8B"/>
    <w:rsid w:val="00641E72"/>
    <w:rsid w:val="006422E1"/>
    <w:rsid w:val="00643740"/>
    <w:rsid w:val="006455FB"/>
    <w:rsid w:val="00647C4F"/>
    <w:rsid w:val="00647F06"/>
    <w:rsid w:val="0065067D"/>
    <w:rsid w:val="00652F41"/>
    <w:rsid w:val="00655A58"/>
    <w:rsid w:val="006565E7"/>
    <w:rsid w:val="00660D5B"/>
    <w:rsid w:val="00666C07"/>
    <w:rsid w:val="00672718"/>
    <w:rsid w:val="00672BE3"/>
    <w:rsid w:val="006745F1"/>
    <w:rsid w:val="00675201"/>
    <w:rsid w:val="006757AE"/>
    <w:rsid w:val="006757D9"/>
    <w:rsid w:val="00676019"/>
    <w:rsid w:val="006761D8"/>
    <w:rsid w:val="00676963"/>
    <w:rsid w:val="00683F9A"/>
    <w:rsid w:val="00685420"/>
    <w:rsid w:val="0068681A"/>
    <w:rsid w:val="006875BE"/>
    <w:rsid w:val="00687A7D"/>
    <w:rsid w:val="00687B6F"/>
    <w:rsid w:val="00691B32"/>
    <w:rsid w:val="006943D6"/>
    <w:rsid w:val="006A03E8"/>
    <w:rsid w:val="006A1FB8"/>
    <w:rsid w:val="006A2466"/>
    <w:rsid w:val="006A488C"/>
    <w:rsid w:val="006A5626"/>
    <w:rsid w:val="006A777A"/>
    <w:rsid w:val="006B3B59"/>
    <w:rsid w:val="006B3F46"/>
    <w:rsid w:val="006B7214"/>
    <w:rsid w:val="006C0B35"/>
    <w:rsid w:val="006C1801"/>
    <w:rsid w:val="006C4FEE"/>
    <w:rsid w:val="006D1248"/>
    <w:rsid w:val="006D1287"/>
    <w:rsid w:val="006D16E2"/>
    <w:rsid w:val="006D1EAB"/>
    <w:rsid w:val="006D44B8"/>
    <w:rsid w:val="006D6207"/>
    <w:rsid w:val="006D667F"/>
    <w:rsid w:val="006E0384"/>
    <w:rsid w:val="006E16E8"/>
    <w:rsid w:val="006E2C1E"/>
    <w:rsid w:val="006E33FF"/>
    <w:rsid w:val="006E3C53"/>
    <w:rsid w:val="006E517A"/>
    <w:rsid w:val="006E5602"/>
    <w:rsid w:val="006E5B73"/>
    <w:rsid w:val="006F2F41"/>
    <w:rsid w:val="006F36FD"/>
    <w:rsid w:val="006F4209"/>
    <w:rsid w:val="006F4BDE"/>
    <w:rsid w:val="006F5A81"/>
    <w:rsid w:val="006F782E"/>
    <w:rsid w:val="00700BE5"/>
    <w:rsid w:val="00700DB8"/>
    <w:rsid w:val="00701927"/>
    <w:rsid w:val="0070453F"/>
    <w:rsid w:val="00706A76"/>
    <w:rsid w:val="00706D42"/>
    <w:rsid w:val="00710C56"/>
    <w:rsid w:val="00713BF7"/>
    <w:rsid w:val="00714AEE"/>
    <w:rsid w:val="007215BA"/>
    <w:rsid w:val="00721E76"/>
    <w:rsid w:val="00722F0C"/>
    <w:rsid w:val="00724849"/>
    <w:rsid w:val="00731110"/>
    <w:rsid w:val="007342E3"/>
    <w:rsid w:val="00734334"/>
    <w:rsid w:val="00737110"/>
    <w:rsid w:val="007428B9"/>
    <w:rsid w:val="00743862"/>
    <w:rsid w:val="00743E79"/>
    <w:rsid w:val="0074695D"/>
    <w:rsid w:val="00747013"/>
    <w:rsid w:val="007472B5"/>
    <w:rsid w:val="007524BB"/>
    <w:rsid w:val="0075283E"/>
    <w:rsid w:val="00753E7C"/>
    <w:rsid w:val="00754722"/>
    <w:rsid w:val="007562A8"/>
    <w:rsid w:val="007563F0"/>
    <w:rsid w:val="007566C0"/>
    <w:rsid w:val="00757D19"/>
    <w:rsid w:val="00757FCA"/>
    <w:rsid w:val="00761BC6"/>
    <w:rsid w:val="0076278D"/>
    <w:rsid w:val="00762C9A"/>
    <w:rsid w:val="00765B96"/>
    <w:rsid w:val="00766D87"/>
    <w:rsid w:val="0077376A"/>
    <w:rsid w:val="00773B58"/>
    <w:rsid w:val="007749FC"/>
    <w:rsid w:val="007770FE"/>
    <w:rsid w:val="00777753"/>
    <w:rsid w:val="00782F72"/>
    <w:rsid w:val="00785377"/>
    <w:rsid w:val="007867A4"/>
    <w:rsid w:val="00792730"/>
    <w:rsid w:val="0079292A"/>
    <w:rsid w:val="00792948"/>
    <w:rsid w:val="00793524"/>
    <w:rsid w:val="007979FD"/>
    <w:rsid w:val="00797A2F"/>
    <w:rsid w:val="007A011D"/>
    <w:rsid w:val="007A2791"/>
    <w:rsid w:val="007A495A"/>
    <w:rsid w:val="007B4D72"/>
    <w:rsid w:val="007B4FB4"/>
    <w:rsid w:val="007B7A2A"/>
    <w:rsid w:val="007B7F67"/>
    <w:rsid w:val="007C0352"/>
    <w:rsid w:val="007C166B"/>
    <w:rsid w:val="007C1EC9"/>
    <w:rsid w:val="007C2998"/>
    <w:rsid w:val="007C39F9"/>
    <w:rsid w:val="007C6246"/>
    <w:rsid w:val="007C7814"/>
    <w:rsid w:val="007D1909"/>
    <w:rsid w:val="007D35C9"/>
    <w:rsid w:val="007D53F5"/>
    <w:rsid w:val="007E0301"/>
    <w:rsid w:val="007E14B0"/>
    <w:rsid w:val="007E3730"/>
    <w:rsid w:val="007E3F4D"/>
    <w:rsid w:val="007E41AD"/>
    <w:rsid w:val="007F03AE"/>
    <w:rsid w:val="007F0907"/>
    <w:rsid w:val="007F0A2C"/>
    <w:rsid w:val="007F1ED0"/>
    <w:rsid w:val="007F3BF3"/>
    <w:rsid w:val="007F5149"/>
    <w:rsid w:val="007F5B30"/>
    <w:rsid w:val="007F6DAE"/>
    <w:rsid w:val="00800486"/>
    <w:rsid w:val="008045A7"/>
    <w:rsid w:val="0080611E"/>
    <w:rsid w:val="00811C93"/>
    <w:rsid w:val="008124E6"/>
    <w:rsid w:val="0081290F"/>
    <w:rsid w:val="008147D1"/>
    <w:rsid w:val="008170D4"/>
    <w:rsid w:val="00817B3A"/>
    <w:rsid w:val="00817C14"/>
    <w:rsid w:val="00817D6A"/>
    <w:rsid w:val="008203E0"/>
    <w:rsid w:val="0082152D"/>
    <w:rsid w:val="0082251A"/>
    <w:rsid w:val="00822A7B"/>
    <w:rsid w:val="008239C9"/>
    <w:rsid w:val="008241BC"/>
    <w:rsid w:val="00827576"/>
    <w:rsid w:val="00827894"/>
    <w:rsid w:val="0083239B"/>
    <w:rsid w:val="00832584"/>
    <w:rsid w:val="00840049"/>
    <w:rsid w:val="008409EC"/>
    <w:rsid w:val="00841497"/>
    <w:rsid w:val="00842B72"/>
    <w:rsid w:val="00845023"/>
    <w:rsid w:val="008457AF"/>
    <w:rsid w:val="00851D72"/>
    <w:rsid w:val="00856E83"/>
    <w:rsid w:val="00861B36"/>
    <w:rsid w:val="0086265B"/>
    <w:rsid w:val="008633BF"/>
    <w:rsid w:val="008662EE"/>
    <w:rsid w:val="00870487"/>
    <w:rsid w:val="0087053E"/>
    <w:rsid w:val="00870F97"/>
    <w:rsid w:val="0087183C"/>
    <w:rsid w:val="00871EB3"/>
    <w:rsid w:val="00872B99"/>
    <w:rsid w:val="00872FE6"/>
    <w:rsid w:val="00873C4F"/>
    <w:rsid w:val="00874D06"/>
    <w:rsid w:val="00875357"/>
    <w:rsid w:val="0088065C"/>
    <w:rsid w:val="00884014"/>
    <w:rsid w:val="008859F3"/>
    <w:rsid w:val="008868D8"/>
    <w:rsid w:val="00887D50"/>
    <w:rsid w:val="008910BA"/>
    <w:rsid w:val="00892100"/>
    <w:rsid w:val="008926D5"/>
    <w:rsid w:val="00894CE1"/>
    <w:rsid w:val="00897251"/>
    <w:rsid w:val="008A28CF"/>
    <w:rsid w:val="008A2DE8"/>
    <w:rsid w:val="008A551E"/>
    <w:rsid w:val="008A5637"/>
    <w:rsid w:val="008A5E1D"/>
    <w:rsid w:val="008A7471"/>
    <w:rsid w:val="008A7C6C"/>
    <w:rsid w:val="008B0679"/>
    <w:rsid w:val="008B2649"/>
    <w:rsid w:val="008B4BA5"/>
    <w:rsid w:val="008B5102"/>
    <w:rsid w:val="008B754E"/>
    <w:rsid w:val="008C2CD2"/>
    <w:rsid w:val="008C31F5"/>
    <w:rsid w:val="008C3760"/>
    <w:rsid w:val="008C40B7"/>
    <w:rsid w:val="008C5A8F"/>
    <w:rsid w:val="008C5B5F"/>
    <w:rsid w:val="008C69DE"/>
    <w:rsid w:val="008D0FCF"/>
    <w:rsid w:val="008D2C50"/>
    <w:rsid w:val="008D35C3"/>
    <w:rsid w:val="008E68E2"/>
    <w:rsid w:val="008E6FB5"/>
    <w:rsid w:val="008F372F"/>
    <w:rsid w:val="008F6EF8"/>
    <w:rsid w:val="009008A3"/>
    <w:rsid w:val="00903D80"/>
    <w:rsid w:val="00905131"/>
    <w:rsid w:val="0090533C"/>
    <w:rsid w:val="00905BFA"/>
    <w:rsid w:val="00910E3F"/>
    <w:rsid w:val="00911AB4"/>
    <w:rsid w:val="00911D8B"/>
    <w:rsid w:val="00914242"/>
    <w:rsid w:val="009166CC"/>
    <w:rsid w:val="00916B80"/>
    <w:rsid w:val="00917534"/>
    <w:rsid w:val="00927126"/>
    <w:rsid w:val="00927AFD"/>
    <w:rsid w:val="00930011"/>
    <w:rsid w:val="009307BE"/>
    <w:rsid w:val="009318B7"/>
    <w:rsid w:val="00931B74"/>
    <w:rsid w:val="00935252"/>
    <w:rsid w:val="00940CED"/>
    <w:rsid w:val="00941620"/>
    <w:rsid w:val="0094332D"/>
    <w:rsid w:val="0094398E"/>
    <w:rsid w:val="009450C6"/>
    <w:rsid w:val="0094774C"/>
    <w:rsid w:val="009525FA"/>
    <w:rsid w:val="00952896"/>
    <w:rsid w:val="00952914"/>
    <w:rsid w:val="00952CF1"/>
    <w:rsid w:val="009615EB"/>
    <w:rsid w:val="00962C32"/>
    <w:rsid w:val="00965209"/>
    <w:rsid w:val="0096548B"/>
    <w:rsid w:val="00966090"/>
    <w:rsid w:val="009667A5"/>
    <w:rsid w:val="0096747F"/>
    <w:rsid w:val="00970CA2"/>
    <w:rsid w:val="00973817"/>
    <w:rsid w:val="009755E5"/>
    <w:rsid w:val="00975F25"/>
    <w:rsid w:val="00976D2D"/>
    <w:rsid w:val="00977BED"/>
    <w:rsid w:val="00981716"/>
    <w:rsid w:val="00986822"/>
    <w:rsid w:val="00986E4F"/>
    <w:rsid w:val="00987F60"/>
    <w:rsid w:val="0099031A"/>
    <w:rsid w:val="00991A39"/>
    <w:rsid w:val="00994CBA"/>
    <w:rsid w:val="00995501"/>
    <w:rsid w:val="00995FB9"/>
    <w:rsid w:val="00996078"/>
    <w:rsid w:val="0099764B"/>
    <w:rsid w:val="009A01B0"/>
    <w:rsid w:val="009A0508"/>
    <w:rsid w:val="009A0C28"/>
    <w:rsid w:val="009A3F3B"/>
    <w:rsid w:val="009A76F8"/>
    <w:rsid w:val="009B15E4"/>
    <w:rsid w:val="009B1DB0"/>
    <w:rsid w:val="009B200A"/>
    <w:rsid w:val="009B293E"/>
    <w:rsid w:val="009B3355"/>
    <w:rsid w:val="009B532B"/>
    <w:rsid w:val="009B5B62"/>
    <w:rsid w:val="009B5FBF"/>
    <w:rsid w:val="009B627B"/>
    <w:rsid w:val="009C2676"/>
    <w:rsid w:val="009C424E"/>
    <w:rsid w:val="009C59F1"/>
    <w:rsid w:val="009C67CB"/>
    <w:rsid w:val="009D11B3"/>
    <w:rsid w:val="009D1E3A"/>
    <w:rsid w:val="009D3203"/>
    <w:rsid w:val="009D3824"/>
    <w:rsid w:val="009D49EB"/>
    <w:rsid w:val="009D5A2D"/>
    <w:rsid w:val="009D7410"/>
    <w:rsid w:val="009E08C0"/>
    <w:rsid w:val="009E13E2"/>
    <w:rsid w:val="009E1A71"/>
    <w:rsid w:val="009E21BE"/>
    <w:rsid w:val="009E41E2"/>
    <w:rsid w:val="009F4178"/>
    <w:rsid w:val="009F4B04"/>
    <w:rsid w:val="009F4BAB"/>
    <w:rsid w:val="009F67F0"/>
    <w:rsid w:val="00A022F7"/>
    <w:rsid w:val="00A03EE1"/>
    <w:rsid w:val="00A04010"/>
    <w:rsid w:val="00A05061"/>
    <w:rsid w:val="00A05991"/>
    <w:rsid w:val="00A06B98"/>
    <w:rsid w:val="00A07371"/>
    <w:rsid w:val="00A074A6"/>
    <w:rsid w:val="00A10316"/>
    <w:rsid w:val="00A10E26"/>
    <w:rsid w:val="00A115DD"/>
    <w:rsid w:val="00A12346"/>
    <w:rsid w:val="00A141CC"/>
    <w:rsid w:val="00A1591E"/>
    <w:rsid w:val="00A17206"/>
    <w:rsid w:val="00A17334"/>
    <w:rsid w:val="00A17346"/>
    <w:rsid w:val="00A21578"/>
    <w:rsid w:val="00A2241E"/>
    <w:rsid w:val="00A22EAB"/>
    <w:rsid w:val="00A23088"/>
    <w:rsid w:val="00A2352B"/>
    <w:rsid w:val="00A244BA"/>
    <w:rsid w:val="00A24D85"/>
    <w:rsid w:val="00A27B0E"/>
    <w:rsid w:val="00A31A07"/>
    <w:rsid w:val="00A3595B"/>
    <w:rsid w:val="00A36A56"/>
    <w:rsid w:val="00A41FA2"/>
    <w:rsid w:val="00A42133"/>
    <w:rsid w:val="00A44AE4"/>
    <w:rsid w:val="00A464D8"/>
    <w:rsid w:val="00A466AD"/>
    <w:rsid w:val="00A50211"/>
    <w:rsid w:val="00A507BF"/>
    <w:rsid w:val="00A5115D"/>
    <w:rsid w:val="00A513C6"/>
    <w:rsid w:val="00A51FA7"/>
    <w:rsid w:val="00A53940"/>
    <w:rsid w:val="00A53E2A"/>
    <w:rsid w:val="00A54AFA"/>
    <w:rsid w:val="00A55561"/>
    <w:rsid w:val="00A56C91"/>
    <w:rsid w:val="00A5728F"/>
    <w:rsid w:val="00A63A5A"/>
    <w:rsid w:val="00A643FD"/>
    <w:rsid w:val="00A7040D"/>
    <w:rsid w:val="00A72D45"/>
    <w:rsid w:val="00A73713"/>
    <w:rsid w:val="00A7454D"/>
    <w:rsid w:val="00A80CD7"/>
    <w:rsid w:val="00A82AA1"/>
    <w:rsid w:val="00A82F95"/>
    <w:rsid w:val="00A834C0"/>
    <w:rsid w:val="00A8354B"/>
    <w:rsid w:val="00A87B80"/>
    <w:rsid w:val="00A95071"/>
    <w:rsid w:val="00A9609E"/>
    <w:rsid w:val="00A96FD6"/>
    <w:rsid w:val="00AA07EC"/>
    <w:rsid w:val="00AA1A66"/>
    <w:rsid w:val="00AA2675"/>
    <w:rsid w:val="00AA276D"/>
    <w:rsid w:val="00AA2DCC"/>
    <w:rsid w:val="00AA2FE0"/>
    <w:rsid w:val="00AA4BF1"/>
    <w:rsid w:val="00AA4F8F"/>
    <w:rsid w:val="00AA5027"/>
    <w:rsid w:val="00AA70DA"/>
    <w:rsid w:val="00AA7969"/>
    <w:rsid w:val="00AB1DE0"/>
    <w:rsid w:val="00AB2597"/>
    <w:rsid w:val="00AB259E"/>
    <w:rsid w:val="00AB2A3B"/>
    <w:rsid w:val="00AB2C8C"/>
    <w:rsid w:val="00AB4261"/>
    <w:rsid w:val="00AB4534"/>
    <w:rsid w:val="00AB5097"/>
    <w:rsid w:val="00AB52F8"/>
    <w:rsid w:val="00AB693B"/>
    <w:rsid w:val="00AC0647"/>
    <w:rsid w:val="00AC2671"/>
    <w:rsid w:val="00AC271E"/>
    <w:rsid w:val="00AC41BB"/>
    <w:rsid w:val="00AC4CFB"/>
    <w:rsid w:val="00AD0578"/>
    <w:rsid w:val="00AD18A6"/>
    <w:rsid w:val="00AD3989"/>
    <w:rsid w:val="00AD60C0"/>
    <w:rsid w:val="00AD792F"/>
    <w:rsid w:val="00AE0E2B"/>
    <w:rsid w:val="00AE1870"/>
    <w:rsid w:val="00AE2398"/>
    <w:rsid w:val="00AE5667"/>
    <w:rsid w:val="00AE6635"/>
    <w:rsid w:val="00AE6D9B"/>
    <w:rsid w:val="00AE794B"/>
    <w:rsid w:val="00AF00B9"/>
    <w:rsid w:val="00AF20D1"/>
    <w:rsid w:val="00AF287C"/>
    <w:rsid w:val="00AF30D5"/>
    <w:rsid w:val="00AF3B93"/>
    <w:rsid w:val="00AF43AA"/>
    <w:rsid w:val="00B00747"/>
    <w:rsid w:val="00B00F25"/>
    <w:rsid w:val="00B015B4"/>
    <w:rsid w:val="00B03E26"/>
    <w:rsid w:val="00B0629A"/>
    <w:rsid w:val="00B06672"/>
    <w:rsid w:val="00B07D3F"/>
    <w:rsid w:val="00B135DB"/>
    <w:rsid w:val="00B14CEE"/>
    <w:rsid w:val="00B15E85"/>
    <w:rsid w:val="00B1696A"/>
    <w:rsid w:val="00B16BB8"/>
    <w:rsid w:val="00B22549"/>
    <w:rsid w:val="00B22E40"/>
    <w:rsid w:val="00B243E7"/>
    <w:rsid w:val="00B266E0"/>
    <w:rsid w:val="00B26862"/>
    <w:rsid w:val="00B27896"/>
    <w:rsid w:val="00B3323F"/>
    <w:rsid w:val="00B3784C"/>
    <w:rsid w:val="00B40E09"/>
    <w:rsid w:val="00B4123A"/>
    <w:rsid w:val="00B41B6C"/>
    <w:rsid w:val="00B4277A"/>
    <w:rsid w:val="00B42783"/>
    <w:rsid w:val="00B4484E"/>
    <w:rsid w:val="00B47DCC"/>
    <w:rsid w:val="00B51110"/>
    <w:rsid w:val="00B54238"/>
    <w:rsid w:val="00B548B2"/>
    <w:rsid w:val="00B5685D"/>
    <w:rsid w:val="00B57EBD"/>
    <w:rsid w:val="00B60003"/>
    <w:rsid w:val="00B618D7"/>
    <w:rsid w:val="00B627A3"/>
    <w:rsid w:val="00B63ED9"/>
    <w:rsid w:val="00B64AF5"/>
    <w:rsid w:val="00B650B4"/>
    <w:rsid w:val="00B67163"/>
    <w:rsid w:val="00B6727C"/>
    <w:rsid w:val="00B67F38"/>
    <w:rsid w:val="00B7184E"/>
    <w:rsid w:val="00B7220E"/>
    <w:rsid w:val="00B75259"/>
    <w:rsid w:val="00B75A09"/>
    <w:rsid w:val="00B83362"/>
    <w:rsid w:val="00B835FA"/>
    <w:rsid w:val="00B83FAC"/>
    <w:rsid w:val="00B83FEF"/>
    <w:rsid w:val="00B8431A"/>
    <w:rsid w:val="00B850B4"/>
    <w:rsid w:val="00B9631E"/>
    <w:rsid w:val="00B969E4"/>
    <w:rsid w:val="00B97389"/>
    <w:rsid w:val="00BA019F"/>
    <w:rsid w:val="00BA31AA"/>
    <w:rsid w:val="00BA3411"/>
    <w:rsid w:val="00BA5559"/>
    <w:rsid w:val="00BA7C66"/>
    <w:rsid w:val="00BB0E1C"/>
    <w:rsid w:val="00BB2DE6"/>
    <w:rsid w:val="00BB2ED7"/>
    <w:rsid w:val="00BB34DA"/>
    <w:rsid w:val="00BC0600"/>
    <w:rsid w:val="00BC22EF"/>
    <w:rsid w:val="00BC6CB4"/>
    <w:rsid w:val="00BD3609"/>
    <w:rsid w:val="00BD6BB2"/>
    <w:rsid w:val="00BD788C"/>
    <w:rsid w:val="00BE065B"/>
    <w:rsid w:val="00BE0A2D"/>
    <w:rsid w:val="00BE1620"/>
    <w:rsid w:val="00BE2EC3"/>
    <w:rsid w:val="00BE308A"/>
    <w:rsid w:val="00BE7E10"/>
    <w:rsid w:val="00BE7EFC"/>
    <w:rsid w:val="00BF0D5D"/>
    <w:rsid w:val="00BF215F"/>
    <w:rsid w:val="00BF2795"/>
    <w:rsid w:val="00BF2EAB"/>
    <w:rsid w:val="00BF355C"/>
    <w:rsid w:val="00BF6AC0"/>
    <w:rsid w:val="00BF79D2"/>
    <w:rsid w:val="00C03093"/>
    <w:rsid w:val="00C03AF0"/>
    <w:rsid w:val="00C046E9"/>
    <w:rsid w:val="00C062D0"/>
    <w:rsid w:val="00C07A4B"/>
    <w:rsid w:val="00C07BD6"/>
    <w:rsid w:val="00C11D38"/>
    <w:rsid w:val="00C11E5A"/>
    <w:rsid w:val="00C12098"/>
    <w:rsid w:val="00C163C4"/>
    <w:rsid w:val="00C20899"/>
    <w:rsid w:val="00C20AF5"/>
    <w:rsid w:val="00C210FE"/>
    <w:rsid w:val="00C22FB4"/>
    <w:rsid w:val="00C24961"/>
    <w:rsid w:val="00C24CD5"/>
    <w:rsid w:val="00C25F97"/>
    <w:rsid w:val="00C2611B"/>
    <w:rsid w:val="00C322E2"/>
    <w:rsid w:val="00C343D0"/>
    <w:rsid w:val="00C353D9"/>
    <w:rsid w:val="00C36A1D"/>
    <w:rsid w:val="00C37323"/>
    <w:rsid w:val="00C41FAF"/>
    <w:rsid w:val="00C42112"/>
    <w:rsid w:val="00C4416C"/>
    <w:rsid w:val="00C445C2"/>
    <w:rsid w:val="00C47DED"/>
    <w:rsid w:val="00C51033"/>
    <w:rsid w:val="00C51A48"/>
    <w:rsid w:val="00C52A18"/>
    <w:rsid w:val="00C54119"/>
    <w:rsid w:val="00C54204"/>
    <w:rsid w:val="00C543BB"/>
    <w:rsid w:val="00C54D3E"/>
    <w:rsid w:val="00C571A3"/>
    <w:rsid w:val="00C60E01"/>
    <w:rsid w:val="00C6222E"/>
    <w:rsid w:val="00C62737"/>
    <w:rsid w:val="00C65368"/>
    <w:rsid w:val="00C67DA4"/>
    <w:rsid w:val="00C70048"/>
    <w:rsid w:val="00C70A03"/>
    <w:rsid w:val="00C7672B"/>
    <w:rsid w:val="00C80795"/>
    <w:rsid w:val="00C80843"/>
    <w:rsid w:val="00C80B5D"/>
    <w:rsid w:val="00C824D5"/>
    <w:rsid w:val="00C83567"/>
    <w:rsid w:val="00C83A9D"/>
    <w:rsid w:val="00C84A3B"/>
    <w:rsid w:val="00C86392"/>
    <w:rsid w:val="00C86E44"/>
    <w:rsid w:val="00C86F26"/>
    <w:rsid w:val="00C87C1C"/>
    <w:rsid w:val="00C91CC3"/>
    <w:rsid w:val="00C93C23"/>
    <w:rsid w:val="00C95394"/>
    <w:rsid w:val="00C95E10"/>
    <w:rsid w:val="00C96FA1"/>
    <w:rsid w:val="00C97DD3"/>
    <w:rsid w:val="00CA07F5"/>
    <w:rsid w:val="00CA0811"/>
    <w:rsid w:val="00CA1858"/>
    <w:rsid w:val="00CA18FC"/>
    <w:rsid w:val="00CA23FE"/>
    <w:rsid w:val="00CA3F86"/>
    <w:rsid w:val="00CA5662"/>
    <w:rsid w:val="00CA7C1D"/>
    <w:rsid w:val="00CA7EE9"/>
    <w:rsid w:val="00CB1111"/>
    <w:rsid w:val="00CB2DFD"/>
    <w:rsid w:val="00CB3BB5"/>
    <w:rsid w:val="00CB3EC2"/>
    <w:rsid w:val="00CB725A"/>
    <w:rsid w:val="00CB7FB6"/>
    <w:rsid w:val="00CC04CE"/>
    <w:rsid w:val="00CC0AD9"/>
    <w:rsid w:val="00CC0C47"/>
    <w:rsid w:val="00CC12A2"/>
    <w:rsid w:val="00CC18D1"/>
    <w:rsid w:val="00CC37AF"/>
    <w:rsid w:val="00CC3882"/>
    <w:rsid w:val="00CC46B6"/>
    <w:rsid w:val="00CC4D30"/>
    <w:rsid w:val="00CC5097"/>
    <w:rsid w:val="00CC5A49"/>
    <w:rsid w:val="00CC620B"/>
    <w:rsid w:val="00CC75BB"/>
    <w:rsid w:val="00CC76BB"/>
    <w:rsid w:val="00CD25BE"/>
    <w:rsid w:val="00CD72DA"/>
    <w:rsid w:val="00CD7D93"/>
    <w:rsid w:val="00CE02B3"/>
    <w:rsid w:val="00CE196D"/>
    <w:rsid w:val="00CE1F83"/>
    <w:rsid w:val="00CE29A1"/>
    <w:rsid w:val="00CE2E0B"/>
    <w:rsid w:val="00CE2E53"/>
    <w:rsid w:val="00CE572F"/>
    <w:rsid w:val="00CE7737"/>
    <w:rsid w:val="00CE7A43"/>
    <w:rsid w:val="00CE7DC2"/>
    <w:rsid w:val="00CE7EC4"/>
    <w:rsid w:val="00CF0BC5"/>
    <w:rsid w:val="00CF1475"/>
    <w:rsid w:val="00CF1491"/>
    <w:rsid w:val="00CF400A"/>
    <w:rsid w:val="00CF523F"/>
    <w:rsid w:val="00CF5DB3"/>
    <w:rsid w:val="00CF68F2"/>
    <w:rsid w:val="00CF7270"/>
    <w:rsid w:val="00CF750F"/>
    <w:rsid w:val="00D010A4"/>
    <w:rsid w:val="00D03ECB"/>
    <w:rsid w:val="00D06842"/>
    <w:rsid w:val="00D06BEF"/>
    <w:rsid w:val="00D07350"/>
    <w:rsid w:val="00D1029E"/>
    <w:rsid w:val="00D10B89"/>
    <w:rsid w:val="00D2092B"/>
    <w:rsid w:val="00D221E6"/>
    <w:rsid w:val="00D22A81"/>
    <w:rsid w:val="00D2589F"/>
    <w:rsid w:val="00D25BA2"/>
    <w:rsid w:val="00D277C7"/>
    <w:rsid w:val="00D27FC1"/>
    <w:rsid w:val="00D302EB"/>
    <w:rsid w:val="00D33DBC"/>
    <w:rsid w:val="00D34F0A"/>
    <w:rsid w:val="00D37B67"/>
    <w:rsid w:val="00D41831"/>
    <w:rsid w:val="00D4282E"/>
    <w:rsid w:val="00D42E8C"/>
    <w:rsid w:val="00D46910"/>
    <w:rsid w:val="00D47F2D"/>
    <w:rsid w:val="00D51173"/>
    <w:rsid w:val="00D52412"/>
    <w:rsid w:val="00D5273E"/>
    <w:rsid w:val="00D52C27"/>
    <w:rsid w:val="00D53988"/>
    <w:rsid w:val="00D54D4B"/>
    <w:rsid w:val="00D55C8C"/>
    <w:rsid w:val="00D56A97"/>
    <w:rsid w:val="00D56CF5"/>
    <w:rsid w:val="00D60173"/>
    <w:rsid w:val="00D61AC0"/>
    <w:rsid w:val="00D656FF"/>
    <w:rsid w:val="00D71203"/>
    <w:rsid w:val="00D76C11"/>
    <w:rsid w:val="00D84F54"/>
    <w:rsid w:val="00D8656A"/>
    <w:rsid w:val="00D87066"/>
    <w:rsid w:val="00D870CF"/>
    <w:rsid w:val="00D9025A"/>
    <w:rsid w:val="00D91F2D"/>
    <w:rsid w:val="00D93ECD"/>
    <w:rsid w:val="00D94476"/>
    <w:rsid w:val="00D9661D"/>
    <w:rsid w:val="00DA0A97"/>
    <w:rsid w:val="00DA12D9"/>
    <w:rsid w:val="00DA660B"/>
    <w:rsid w:val="00DA6AB8"/>
    <w:rsid w:val="00DA6ED2"/>
    <w:rsid w:val="00DA7735"/>
    <w:rsid w:val="00DB0A90"/>
    <w:rsid w:val="00DB114B"/>
    <w:rsid w:val="00DB2824"/>
    <w:rsid w:val="00DB42B8"/>
    <w:rsid w:val="00DB601D"/>
    <w:rsid w:val="00DC00E9"/>
    <w:rsid w:val="00DC0507"/>
    <w:rsid w:val="00DC0701"/>
    <w:rsid w:val="00DC1D50"/>
    <w:rsid w:val="00DC50F9"/>
    <w:rsid w:val="00DC5E80"/>
    <w:rsid w:val="00DC5ECE"/>
    <w:rsid w:val="00DC6A30"/>
    <w:rsid w:val="00DC6D3D"/>
    <w:rsid w:val="00DC7F08"/>
    <w:rsid w:val="00DD131A"/>
    <w:rsid w:val="00DD2A9B"/>
    <w:rsid w:val="00DD4211"/>
    <w:rsid w:val="00DD469E"/>
    <w:rsid w:val="00DD5B96"/>
    <w:rsid w:val="00DD6ACE"/>
    <w:rsid w:val="00DD6B1B"/>
    <w:rsid w:val="00DE771D"/>
    <w:rsid w:val="00DE785E"/>
    <w:rsid w:val="00DE7E2F"/>
    <w:rsid w:val="00DF5199"/>
    <w:rsid w:val="00DF6D64"/>
    <w:rsid w:val="00DF72C8"/>
    <w:rsid w:val="00E02D33"/>
    <w:rsid w:val="00E033B9"/>
    <w:rsid w:val="00E03AF9"/>
    <w:rsid w:val="00E0759A"/>
    <w:rsid w:val="00E110CB"/>
    <w:rsid w:val="00E114F1"/>
    <w:rsid w:val="00E121D5"/>
    <w:rsid w:val="00E126FA"/>
    <w:rsid w:val="00E137DB"/>
    <w:rsid w:val="00E15A62"/>
    <w:rsid w:val="00E1631D"/>
    <w:rsid w:val="00E168C5"/>
    <w:rsid w:val="00E16F74"/>
    <w:rsid w:val="00E171AC"/>
    <w:rsid w:val="00E17FFB"/>
    <w:rsid w:val="00E20DD5"/>
    <w:rsid w:val="00E22994"/>
    <w:rsid w:val="00E2336E"/>
    <w:rsid w:val="00E24235"/>
    <w:rsid w:val="00E277D7"/>
    <w:rsid w:val="00E3026F"/>
    <w:rsid w:val="00E3150B"/>
    <w:rsid w:val="00E32002"/>
    <w:rsid w:val="00E32197"/>
    <w:rsid w:val="00E32CA4"/>
    <w:rsid w:val="00E33C29"/>
    <w:rsid w:val="00E36745"/>
    <w:rsid w:val="00E37F4D"/>
    <w:rsid w:val="00E40962"/>
    <w:rsid w:val="00E40A61"/>
    <w:rsid w:val="00E44582"/>
    <w:rsid w:val="00E469BC"/>
    <w:rsid w:val="00E50382"/>
    <w:rsid w:val="00E50BB6"/>
    <w:rsid w:val="00E51911"/>
    <w:rsid w:val="00E52AF8"/>
    <w:rsid w:val="00E5386E"/>
    <w:rsid w:val="00E539A3"/>
    <w:rsid w:val="00E53EC8"/>
    <w:rsid w:val="00E572A5"/>
    <w:rsid w:val="00E57920"/>
    <w:rsid w:val="00E57CCF"/>
    <w:rsid w:val="00E61115"/>
    <w:rsid w:val="00E61A33"/>
    <w:rsid w:val="00E62628"/>
    <w:rsid w:val="00E62A16"/>
    <w:rsid w:val="00E637D4"/>
    <w:rsid w:val="00E638DE"/>
    <w:rsid w:val="00E63EE5"/>
    <w:rsid w:val="00E65DD5"/>
    <w:rsid w:val="00E668CB"/>
    <w:rsid w:val="00E66FCC"/>
    <w:rsid w:val="00E71735"/>
    <w:rsid w:val="00E759D1"/>
    <w:rsid w:val="00E769AC"/>
    <w:rsid w:val="00E77098"/>
    <w:rsid w:val="00E8233B"/>
    <w:rsid w:val="00E82AE8"/>
    <w:rsid w:val="00E82BE9"/>
    <w:rsid w:val="00E83614"/>
    <w:rsid w:val="00E849A9"/>
    <w:rsid w:val="00E92751"/>
    <w:rsid w:val="00E96909"/>
    <w:rsid w:val="00E972FE"/>
    <w:rsid w:val="00EA17BA"/>
    <w:rsid w:val="00EA3873"/>
    <w:rsid w:val="00EA77FF"/>
    <w:rsid w:val="00EB3601"/>
    <w:rsid w:val="00EB39A3"/>
    <w:rsid w:val="00EB6D2B"/>
    <w:rsid w:val="00EC1516"/>
    <w:rsid w:val="00EC348C"/>
    <w:rsid w:val="00ED1BE8"/>
    <w:rsid w:val="00ED3045"/>
    <w:rsid w:val="00ED34D0"/>
    <w:rsid w:val="00ED79DB"/>
    <w:rsid w:val="00EE262C"/>
    <w:rsid w:val="00EE2FE4"/>
    <w:rsid w:val="00EE3CBD"/>
    <w:rsid w:val="00EE5284"/>
    <w:rsid w:val="00EE59F3"/>
    <w:rsid w:val="00EE5DB6"/>
    <w:rsid w:val="00EE7711"/>
    <w:rsid w:val="00EF19FF"/>
    <w:rsid w:val="00EF1D13"/>
    <w:rsid w:val="00EF331D"/>
    <w:rsid w:val="00EF6DD4"/>
    <w:rsid w:val="00F01658"/>
    <w:rsid w:val="00F02F33"/>
    <w:rsid w:val="00F0659F"/>
    <w:rsid w:val="00F10240"/>
    <w:rsid w:val="00F1690A"/>
    <w:rsid w:val="00F2030E"/>
    <w:rsid w:val="00F20803"/>
    <w:rsid w:val="00F21FF6"/>
    <w:rsid w:val="00F221CA"/>
    <w:rsid w:val="00F22549"/>
    <w:rsid w:val="00F23426"/>
    <w:rsid w:val="00F244B4"/>
    <w:rsid w:val="00F25BFA"/>
    <w:rsid w:val="00F3005D"/>
    <w:rsid w:val="00F3279D"/>
    <w:rsid w:val="00F3303E"/>
    <w:rsid w:val="00F35D06"/>
    <w:rsid w:val="00F3633B"/>
    <w:rsid w:val="00F376D5"/>
    <w:rsid w:val="00F40958"/>
    <w:rsid w:val="00F40E0D"/>
    <w:rsid w:val="00F40ECE"/>
    <w:rsid w:val="00F4239E"/>
    <w:rsid w:val="00F426FD"/>
    <w:rsid w:val="00F43392"/>
    <w:rsid w:val="00F44124"/>
    <w:rsid w:val="00F44219"/>
    <w:rsid w:val="00F44F73"/>
    <w:rsid w:val="00F45046"/>
    <w:rsid w:val="00F47E52"/>
    <w:rsid w:val="00F51C2D"/>
    <w:rsid w:val="00F53BFF"/>
    <w:rsid w:val="00F53C80"/>
    <w:rsid w:val="00F53F5E"/>
    <w:rsid w:val="00F54A7D"/>
    <w:rsid w:val="00F554A0"/>
    <w:rsid w:val="00F56843"/>
    <w:rsid w:val="00F56E31"/>
    <w:rsid w:val="00F6190B"/>
    <w:rsid w:val="00F62FAC"/>
    <w:rsid w:val="00F6380A"/>
    <w:rsid w:val="00F65DE4"/>
    <w:rsid w:val="00F66E01"/>
    <w:rsid w:val="00F70719"/>
    <w:rsid w:val="00F70DB8"/>
    <w:rsid w:val="00F71147"/>
    <w:rsid w:val="00F71254"/>
    <w:rsid w:val="00F71415"/>
    <w:rsid w:val="00F7180A"/>
    <w:rsid w:val="00F71C6E"/>
    <w:rsid w:val="00F7204C"/>
    <w:rsid w:val="00F73B6C"/>
    <w:rsid w:val="00F7484F"/>
    <w:rsid w:val="00F7543F"/>
    <w:rsid w:val="00F762DD"/>
    <w:rsid w:val="00F763A0"/>
    <w:rsid w:val="00F7688E"/>
    <w:rsid w:val="00F77CC3"/>
    <w:rsid w:val="00F83987"/>
    <w:rsid w:val="00F84118"/>
    <w:rsid w:val="00F8549A"/>
    <w:rsid w:val="00F906C2"/>
    <w:rsid w:val="00F90982"/>
    <w:rsid w:val="00F92A87"/>
    <w:rsid w:val="00F946F4"/>
    <w:rsid w:val="00F94CB6"/>
    <w:rsid w:val="00F95452"/>
    <w:rsid w:val="00F95E3C"/>
    <w:rsid w:val="00F96437"/>
    <w:rsid w:val="00F9688E"/>
    <w:rsid w:val="00FA2427"/>
    <w:rsid w:val="00FA5343"/>
    <w:rsid w:val="00FA579D"/>
    <w:rsid w:val="00FA5B89"/>
    <w:rsid w:val="00FB0372"/>
    <w:rsid w:val="00FB10C5"/>
    <w:rsid w:val="00FB116F"/>
    <w:rsid w:val="00FB1B51"/>
    <w:rsid w:val="00FB326D"/>
    <w:rsid w:val="00FB346A"/>
    <w:rsid w:val="00FB38D7"/>
    <w:rsid w:val="00FB4422"/>
    <w:rsid w:val="00FB48FE"/>
    <w:rsid w:val="00FC04DD"/>
    <w:rsid w:val="00FC2A02"/>
    <w:rsid w:val="00FC45F4"/>
    <w:rsid w:val="00FC6DF5"/>
    <w:rsid w:val="00FD04F7"/>
    <w:rsid w:val="00FD1E1C"/>
    <w:rsid w:val="00FD20EF"/>
    <w:rsid w:val="00FD23D9"/>
    <w:rsid w:val="00FD33DD"/>
    <w:rsid w:val="00FD3D25"/>
    <w:rsid w:val="00FE03CF"/>
    <w:rsid w:val="00FE062D"/>
    <w:rsid w:val="00FE0B8A"/>
    <w:rsid w:val="00FE1937"/>
    <w:rsid w:val="00FE28C9"/>
    <w:rsid w:val="00FE37E6"/>
    <w:rsid w:val="00FE42A4"/>
    <w:rsid w:val="00FE6102"/>
    <w:rsid w:val="00FF107E"/>
    <w:rsid w:val="00FF1AF6"/>
    <w:rsid w:val="00FF5565"/>
    <w:rsid w:val="00FF5E00"/>
    <w:rsid w:val="00FF732A"/>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56FCAD"/>
  <w15:docId w15:val="{FCBC29CD-A3FB-40B6-ADBC-1D8F2713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9AC"/>
    <w:pPr>
      <w:spacing w:before="120"/>
      <w:jc w:val="both"/>
    </w:pPr>
    <w:rPr>
      <w:rFonts w:ascii="Arial" w:hAnsi="Arial"/>
      <w:sz w:val="24"/>
    </w:rPr>
  </w:style>
  <w:style w:type="paragraph" w:styleId="Heading1">
    <w:name w:val="heading 1"/>
    <w:basedOn w:val="Normal"/>
    <w:next w:val="Normal"/>
    <w:qFormat/>
    <w:rsid w:val="00B8431A"/>
    <w:pPr>
      <w:keepNext/>
      <w:numPr>
        <w:numId w:val="5"/>
      </w:numPr>
      <w:spacing w:before="480"/>
      <w:outlineLvl w:val="0"/>
    </w:pPr>
    <w:rPr>
      <w:b/>
      <w:u w:val="single"/>
    </w:rPr>
  </w:style>
  <w:style w:type="paragraph" w:styleId="Heading2">
    <w:name w:val="heading 2"/>
    <w:basedOn w:val="Normal"/>
    <w:next w:val="Normal"/>
    <w:qFormat/>
    <w:rsid w:val="00B8431A"/>
    <w:pPr>
      <w:keepNext/>
      <w:widowControl w:val="0"/>
      <w:numPr>
        <w:ilvl w:val="1"/>
        <w:numId w:val="5"/>
      </w:numPr>
      <w:spacing w:before="480"/>
      <w:ind w:left="578" w:hanging="578"/>
      <w:outlineLvl w:val="1"/>
    </w:pPr>
    <w:rPr>
      <w:b/>
      <w:u w:val="single"/>
    </w:rPr>
  </w:style>
  <w:style w:type="paragraph" w:styleId="Heading3">
    <w:name w:val="heading 3"/>
    <w:basedOn w:val="Normal"/>
    <w:next w:val="Normal"/>
    <w:link w:val="Heading3Char"/>
    <w:qFormat/>
    <w:rsid w:val="00B8431A"/>
    <w:pPr>
      <w:keepNext/>
      <w:numPr>
        <w:ilvl w:val="2"/>
        <w:numId w:val="5"/>
      </w:numPr>
      <w:spacing w:before="240"/>
      <w:outlineLvl w:val="2"/>
    </w:pPr>
    <w:rPr>
      <w:b/>
      <w:snapToGrid w:val="0"/>
      <w:color w:val="000000"/>
      <w:u w:val="single"/>
    </w:rPr>
  </w:style>
  <w:style w:type="paragraph" w:styleId="Heading4">
    <w:name w:val="heading 4"/>
    <w:basedOn w:val="Normal"/>
    <w:next w:val="Normal"/>
    <w:qFormat/>
    <w:rsid w:val="009D49EB"/>
    <w:pPr>
      <w:keepNext/>
      <w:numPr>
        <w:ilvl w:val="3"/>
        <w:numId w:val="5"/>
      </w:numPr>
      <w:spacing w:before="240"/>
      <w:outlineLvl w:val="3"/>
    </w:pPr>
    <w:rPr>
      <w:bCs/>
      <w:szCs w:val="28"/>
      <w:u w:val="single"/>
    </w:rPr>
  </w:style>
  <w:style w:type="paragraph" w:styleId="Heading5">
    <w:name w:val="heading 5"/>
    <w:basedOn w:val="Normal"/>
    <w:next w:val="Normal"/>
    <w:qFormat/>
    <w:rsid w:val="00B8431A"/>
    <w:pPr>
      <w:numPr>
        <w:ilvl w:val="4"/>
        <w:numId w:val="5"/>
      </w:numPr>
      <w:spacing w:before="240" w:after="60"/>
      <w:outlineLvl w:val="4"/>
    </w:pPr>
    <w:rPr>
      <w:b/>
      <w:bCs/>
      <w:i/>
      <w:iCs/>
      <w:sz w:val="26"/>
      <w:szCs w:val="26"/>
    </w:rPr>
  </w:style>
  <w:style w:type="paragraph" w:styleId="Heading6">
    <w:name w:val="heading 6"/>
    <w:basedOn w:val="Normal"/>
    <w:next w:val="Normal"/>
    <w:qFormat/>
    <w:rsid w:val="00B8431A"/>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qFormat/>
    <w:rsid w:val="00B8431A"/>
    <w:pPr>
      <w:numPr>
        <w:ilvl w:val="6"/>
        <w:numId w:val="5"/>
      </w:numPr>
      <w:spacing w:before="240" w:after="60"/>
      <w:outlineLvl w:val="6"/>
    </w:pPr>
    <w:rPr>
      <w:rFonts w:ascii="Times New Roman" w:hAnsi="Times New Roman"/>
      <w:szCs w:val="24"/>
    </w:rPr>
  </w:style>
  <w:style w:type="paragraph" w:styleId="Heading8">
    <w:name w:val="heading 8"/>
    <w:basedOn w:val="Normal"/>
    <w:next w:val="Normal"/>
    <w:qFormat/>
    <w:rsid w:val="00B8431A"/>
    <w:pPr>
      <w:numPr>
        <w:ilvl w:val="7"/>
        <w:numId w:val="5"/>
      </w:numPr>
      <w:spacing w:before="240" w:after="60"/>
      <w:outlineLvl w:val="7"/>
    </w:pPr>
    <w:rPr>
      <w:rFonts w:ascii="Times New Roman" w:hAnsi="Times New Roman"/>
      <w:i/>
      <w:iCs/>
      <w:szCs w:val="24"/>
    </w:rPr>
  </w:style>
  <w:style w:type="paragraph" w:styleId="Heading9">
    <w:name w:val="heading 9"/>
    <w:basedOn w:val="Normal"/>
    <w:next w:val="Normal"/>
    <w:qFormat/>
    <w:rsid w:val="00B8431A"/>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culo">
    <w:name w:val="Artículo"/>
    <w:basedOn w:val="Normal"/>
    <w:rsid w:val="00F71C6E"/>
    <w:pPr>
      <w:spacing w:before="240"/>
    </w:pPr>
    <w:rPr>
      <w:szCs w:val="24"/>
    </w:rPr>
  </w:style>
  <w:style w:type="paragraph" w:customStyle="1" w:styleId="EstiloTtulo3Subrayado">
    <w:name w:val="Estilo Título 3 + Subrayado"/>
    <w:basedOn w:val="Heading3"/>
    <w:rsid w:val="00F71C6E"/>
    <w:rPr>
      <w:rFonts w:cs="Arial"/>
      <w:b w:val="0"/>
      <w:bCs/>
      <w:snapToGrid/>
      <w:color w:val="auto"/>
      <w:szCs w:val="26"/>
    </w:rPr>
  </w:style>
  <w:style w:type="paragraph" w:styleId="FootnoteText">
    <w:name w:val="footnote text"/>
    <w:basedOn w:val="Normal"/>
    <w:link w:val="FootnoteTextChar"/>
    <w:uiPriority w:val="99"/>
    <w:semiHidden/>
    <w:rsid w:val="00CE7EC4"/>
  </w:style>
  <w:style w:type="character" w:styleId="FootnoteReference">
    <w:name w:val="footnote reference"/>
    <w:basedOn w:val="DefaultParagraphFont"/>
    <w:semiHidden/>
    <w:rsid w:val="00CE7EC4"/>
    <w:rPr>
      <w:vertAlign w:val="superscript"/>
    </w:rPr>
  </w:style>
  <w:style w:type="paragraph" w:customStyle="1" w:styleId="EstiloTtulo3Subrayado1">
    <w:name w:val="Estilo Título 3 + Subrayado1"/>
    <w:basedOn w:val="Heading3"/>
    <w:rsid w:val="00F71C6E"/>
    <w:rPr>
      <w:rFonts w:cs="Arial"/>
      <w:b w:val="0"/>
      <w:bCs/>
      <w:snapToGrid/>
      <w:color w:val="auto"/>
      <w:szCs w:val="26"/>
    </w:rPr>
  </w:style>
  <w:style w:type="paragraph" w:customStyle="1" w:styleId="EstiloEstiloTtulo3Subrayado1Negrita">
    <w:name w:val="Estilo Estilo Título 3 + Subrayado1 + Negrita"/>
    <w:basedOn w:val="EstiloTtulo3Subrayado1"/>
    <w:rsid w:val="00F71C6E"/>
    <w:rPr>
      <w:b/>
    </w:rPr>
  </w:style>
  <w:style w:type="paragraph" w:customStyle="1" w:styleId="EstiloTtulo3SinNegrita">
    <w:name w:val="Estilo Título 3 + Sin Negrita"/>
    <w:basedOn w:val="Heading3"/>
    <w:rsid w:val="00F71C6E"/>
    <w:rPr>
      <w:rFonts w:cs="Arial"/>
      <w:b w:val="0"/>
      <w:snapToGrid/>
      <w:color w:val="auto"/>
      <w:szCs w:val="26"/>
    </w:rPr>
  </w:style>
  <w:style w:type="numbering" w:customStyle="1" w:styleId="EstiloConvietas">
    <w:name w:val="Estilo Con viñetas"/>
    <w:basedOn w:val="NoList"/>
    <w:rsid w:val="00F71C6E"/>
    <w:pPr>
      <w:numPr>
        <w:numId w:val="1"/>
      </w:numPr>
    </w:pPr>
  </w:style>
  <w:style w:type="table" w:styleId="TableGrid">
    <w:name w:val="Table Grid"/>
    <w:basedOn w:val="TableNormal"/>
    <w:rsid w:val="00F71C6E"/>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a">
    <w:name w:val="Normal tabla"/>
    <w:basedOn w:val="Normal"/>
    <w:rsid w:val="00F71C6E"/>
    <w:pPr>
      <w:spacing w:before="60" w:after="60"/>
    </w:pPr>
    <w:rPr>
      <w:sz w:val="22"/>
      <w:szCs w:val="24"/>
    </w:rPr>
  </w:style>
  <w:style w:type="character" w:styleId="CommentReference">
    <w:name w:val="annotation reference"/>
    <w:basedOn w:val="DefaultParagraphFont"/>
    <w:semiHidden/>
    <w:rsid w:val="00F71C6E"/>
    <w:rPr>
      <w:sz w:val="16"/>
      <w:szCs w:val="16"/>
    </w:rPr>
  </w:style>
  <w:style w:type="paragraph" w:styleId="CommentText">
    <w:name w:val="annotation text"/>
    <w:basedOn w:val="Normal"/>
    <w:semiHidden/>
    <w:rsid w:val="00F71C6E"/>
  </w:style>
  <w:style w:type="paragraph" w:styleId="CommentSubject">
    <w:name w:val="annotation subject"/>
    <w:basedOn w:val="CommentText"/>
    <w:next w:val="CommentText"/>
    <w:semiHidden/>
    <w:rsid w:val="00F71C6E"/>
    <w:rPr>
      <w:b/>
      <w:bCs/>
    </w:rPr>
  </w:style>
  <w:style w:type="paragraph" w:styleId="BalloonText">
    <w:name w:val="Balloon Text"/>
    <w:basedOn w:val="Normal"/>
    <w:semiHidden/>
    <w:rsid w:val="00F71C6E"/>
    <w:rPr>
      <w:rFonts w:ascii="Tahoma" w:hAnsi="Tahoma" w:cs="Tahoma"/>
      <w:sz w:val="16"/>
      <w:szCs w:val="16"/>
    </w:rPr>
  </w:style>
  <w:style w:type="paragraph" w:styleId="Header">
    <w:name w:val="header"/>
    <w:basedOn w:val="Normal"/>
    <w:link w:val="HeaderChar"/>
    <w:rsid w:val="00F71C6E"/>
    <w:pPr>
      <w:tabs>
        <w:tab w:val="center" w:pos="4252"/>
        <w:tab w:val="right" w:pos="8504"/>
      </w:tabs>
    </w:pPr>
    <w:rPr>
      <w:szCs w:val="24"/>
    </w:rPr>
  </w:style>
  <w:style w:type="paragraph" w:styleId="DocumentMap">
    <w:name w:val="Document Map"/>
    <w:basedOn w:val="Normal"/>
    <w:semiHidden/>
    <w:rsid w:val="00CE7EC4"/>
    <w:pPr>
      <w:shd w:val="clear" w:color="auto" w:fill="000080"/>
    </w:pPr>
    <w:rPr>
      <w:rFonts w:ascii="Tahoma" w:hAnsi="Tahoma" w:cs="Tahoma"/>
    </w:rPr>
  </w:style>
  <w:style w:type="paragraph" w:styleId="Footer">
    <w:name w:val="footer"/>
    <w:basedOn w:val="Normal"/>
    <w:rsid w:val="00F71C6E"/>
    <w:pPr>
      <w:tabs>
        <w:tab w:val="center" w:pos="4252"/>
        <w:tab w:val="right" w:pos="8504"/>
      </w:tabs>
    </w:pPr>
    <w:rPr>
      <w:szCs w:val="24"/>
    </w:rPr>
  </w:style>
  <w:style w:type="character" w:styleId="PageNumber">
    <w:name w:val="page number"/>
    <w:basedOn w:val="DefaultParagraphFont"/>
    <w:rsid w:val="00F71C6E"/>
  </w:style>
  <w:style w:type="paragraph" w:styleId="TOC1">
    <w:name w:val="toc 1"/>
    <w:basedOn w:val="Normal"/>
    <w:next w:val="Normal"/>
    <w:autoRedefine/>
    <w:semiHidden/>
    <w:rsid w:val="00F71C6E"/>
    <w:pPr>
      <w:tabs>
        <w:tab w:val="right" w:leader="dot" w:pos="9540"/>
      </w:tabs>
      <w:ind w:right="-110"/>
    </w:pPr>
    <w:rPr>
      <w:szCs w:val="24"/>
    </w:rPr>
  </w:style>
  <w:style w:type="paragraph" w:styleId="TOC2">
    <w:name w:val="toc 2"/>
    <w:basedOn w:val="Normal"/>
    <w:next w:val="Normal"/>
    <w:autoRedefine/>
    <w:semiHidden/>
    <w:rsid w:val="00F71C6E"/>
    <w:pPr>
      <w:tabs>
        <w:tab w:val="left" w:pos="720"/>
        <w:tab w:val="right" w:leader="dot" w:pos="9540"/>
      </w:tabs>
      <w:ind w:left="240"/>
    </w:pPr>
    <w:rPr>
      <w:szCs w:val="24"/>
    </w:rPr>
  </w:style>
  <w:style w:type="paragraph" w:styleId="TOC3">
    <w:name w:val="toc 3"/>
    <w:basedOn w:val="Normal"/>
    <w:next w:val="Normal"/>
    <w:autoRedefine/>
    <w:semiHidden/>
    <w:rsid w:val="00F71C6E"/>
    <w:pPr>
      <w:tabs>
        <w:tab w:val="left" w:pos="1080"/>
        <w:tab w:val="right" w:leader="dot" w:pos="9540"/>
      </w:tabs>
      <w:ind w:left="1080" w:hanging="723"/>
    </w:pPr>
    <w:rPr>
      <w:szCs w:val="24"/>
    </w:rPr>
  </w:style>
  <w:style w:type="character" w:styleId="Hyperlink">
    <w:name w:val="Hyperlink"/>
    <w:basedOn w:val="DefaultParagraphFont"/>
    <w:rsid w:val="00F71C6E"/>
    <w:rPr>
      <w:color w:val="0000FF"/>
      <w:u w:val="single"/>
    </w:rPr>
  </w:style>
  <w:style w:type="paragraph" w:styleId="NormalWeb">
    <w:name w:val="Normal (Web)"/>
    <w:basedOn w:val="Normal"/>
    <w:rsid w:val="00F71C6E"/>
    <w:pPr>
      <w:spacing w:before="100" w:beforeAutospacing="1" w:after="100" w:afterAutospacing="1"/>
    </w:pPr>
    <w:rPr>
      <w:rFonts w:ascii="Verdana" w:hAnsi="Verdana"/>
      <w:sz w:val="17"/>
      <w:szCs w:val="17"/>
    </w:rPr>
  </w:style>
  <w:style w:type="character" w:styleId="HTMLCite">
    <w:name w:val="HTML Cite"/>
    <w:basedOn w:val="DefaultParagraphFont"/>
    <w:rsid w:val="00F71C6E"/>
    <w:rPr>
      <w:rFonts w:ascii="Times New Roman" w:hAnsi="Times New Roman" w:cs="Times New Roman" w:hint="default"/>
      <w:i/>
      <w:iCs/>
      <w:sz w:val="18"/>
      <w:szCs w:val="18"/>
    </w:rPr>
  </w:style>
  <w:style w:type="character" w:styleId="Strong">
    <w:name w:val="Strong"/>
    <w:basedOn w:val="DefaultParagraphFont"/>
    <w:qFormat/>
    <w:rsid w:val="00F71C6E"/>
    <w:rPr>
      <w:b/>
      <w:bCs/>
    </w:rPr>
  </w:style>
  <w:style w:type="paragraph" w:styleId="ListBullet2">
    <w:name w:val="List Bullet 2"/>
    <w:basedOn w:val="Normal"/>
    <w:rsid w:val="00F71C6E"/>
    <w:pPr>
      <w:numPr>
        <w:numId w:val="2"/>
      </w:numPr>
      <w:spacing w:after="120"/>
    </w:pPr>
    <w:rPr>
      <w:rFonts w:ascii="Times New Roman" w:hAnsi="Times New Roman"/>
      <w:snapToGrid w:val="0"/>
      <w:szCs w:val="24"/>
      <w:lang w:eastAsia="en-GB"/>
    </w:rPr>
  </w:style>
  <w:style w:type="paragraph" w:customStyle="1" w:styleId="EstiloTtulo1Izquierda0cmPrimeralnea0cm">
    <w:name w:val="Estilo Título 1 + Izquierda:  0 cm Primera línea:  0 cm"/>
    <w:basedOn w:val="Heading1"/>
    <w:rsid w:val="00F71C6E"/>
    <w:pPr>
      <w:ind w:left="0" w:firstLine="0"/>
    </w:pPr>
    <w:rPr>
      <w:bCs/>
      <w:kern w:val="32"/>
    </w:rPr>
  </w:style>
  <w:style w:type="paragraph" w:customStyle="1" w:styleId="Institutionquisigne">
    <w:name w:val="Institution qui signe"/>
    <w:basedOn w:val="Normal"/>
    <w:next w:val="Personnequisigne"/>
    <w:rsid w:val="00F71C6E"/>
    <w:pPr>
      <w:keepNext/>
      <w:tabs>
        <w:tab w:val="left" w:pos="4252"/>
      </w:tabs>
      <w:spacing w:before="720"/>
    </w:pPr>
    <w:rPr>
      <w:rFonts w:ascii="Times New Roman" w:hAnsi="Times New Roman"/>
      <w:i/>
      <w:szCs w:val="24"/>
      <w:lang w:eastAsia="de-DE"/>
    </w:rPr>
  </w:style>
  <w:style w:type="paragraph" w:customStyle="1" w:styleId="Personnequisigne">
    <w:name w:val="Personne qui signe"/>
    <w:basedOn w:val="Normal"/>
    <w:next w:val="Institutionquisigne"/>
    <w:rsid w:val="00F71C6E"/>
    <w:pPr>
      <w:tabs>
        <w:tab w:val="left" w:pos="4252"/>
      </w:tabs>
      <w:spacing w:before="0"/>
      <w:jc w:val="left"/>
    </w:pPr>
    <w:rPr>
      <w:rFonts w:ascii="Times New Roman" w:hAnsi="Times New Roman"/>
      <w:i/>
      <w:szCs w:val="24"/>
      <w:lang w:eastAsia="de-DE"/>
    </w:rPr>
  </w:style>
  <w:style w:type="character" w:customStyle="1" w:styleId="texte1">
    <w:name w:val="texte1"/>
    <w:basedOn w:val="DefaultParagraphFont"/>
    <w:rsid w:val="00F71C6E"/>
    <w:rPr>
      <w:rFonts w:ascii="Verdana" w:hAnsi="Verdana" w:cs="Times New Roman"/>
      <w:color w:val="000000"/>
      <w:sz w:val="15"/>
      <w:szCs w:val="15"/>
      <w:u w:val="none"/>
      <w:effect w:val="none"/>
    </w:rPr>
  </w:style>
  <w:style w:type="character" w:customStyle="1" w:styleId="Heading3Char">
    <w:name w:val="Heading 3 Char"/>
    <w:basedOn w:val="DefaultParagraphFont"/>
    <w:link w:val="Heading3"/>
    <w:rsid w:val="00B8431A"/>
    <w:rPr>
      <w:rFonts w:ascii="Arial" w:hAnsi="Arial"/>
      <w:b/>
      <w:snapToGrid w:val="0"/>
      <w:color w:val="000000"/>
      <w:sz w:val="24"/>
      <w:u w:val="single"/>
      <w:lang w:val="en-GB"/>
    </w:rPr>
  </w:style>
  <w:style w:type="paragraph" w:customStyle="1" w:styleId="documento2">
    <w:name w:val="documento2"/>
    <w:basedOn w:val="Normal"/>
    <w:rsid w:val="00F71C6E"/>
    <w:pPr>
      <w:spacing w:before="0"/>
      <w:jc w:val="left"/>
    </w:pPr>
    <w:rPr>
      <w:rFonts w:ascii="Times New Roman" w:hAnsi="Times New Roman"/>
      <w:szCs w:val="24"/>
    </w:rPr>
  </w:style>
  <w:style w:type="paragraph" w:customStyle="1" w:styleId="Point1">
    <w:name w:val="Point 1"/>
    <w:basedOn w:val="Normal"/>
    <w:rsid w:val="00F71C6E"/>
    <w:pPr>
      <w:spacing w:after="120"/>
      <w:ind w:left="1417" w:hanging="567"/>
    </w:pPr>
    <w:rPr>
      <w:rFonts w:ascii="Times New Roman" w:hAnsi="Times New Roman"/>
      <w:szCs w:val="24"/>
      <w:lang w:eastAsia="de-DE"/>
    </w:rPr>
  </w:style>
  <w:style w:type="paragraph" w:customStyle="1" w:styleId="CM1">
    <w:name w:val="CM1"/>
    <w:basedOn w:val="Normal"/>
    <w:next w:val="Normal"/>
    <w:rsid w:val="00F71C6E"/>
    <w:pPr>
      <w:autoSpaceDE w:val="0"/>
      <w:autoSpaceDN w:val="0"/>
      <w:adjustRightInd w:val="0"/>
      <w:spacing w:before="0"/>
      <w:jc w:val="left"/>
    </w:pPr>
    <w:rPr>
      <w:rFonts w:ascii="EUAlbertina" w:hAnsi="EUAlbertina"/>
      <w:szCs w:val="24"/>
    </w:rPr>
  </w:style>
  <w:style w:type="paragraph" w:customStyle="1" w:styleId="CM4">
    <w:name w:val="CM4"/>
    <w:basedOn w:val="Normal"/>
    <w:next w:val="Normal"/>
    <w:rsid w:val="00F71C6E"/>
    <w:pPr>
      <w:autoSpaceDE w:val="0"/>
      <w:autoSpaceDN w:val="0"/>
      <w:adjustRightInd w:val="0"/>
      <w:spacing w:before="0"/>
      <w:jc w:val="left"/>
    </w:pPr>
    <w:rPr>
      <w:rFonts w:ascii="EUAlbertina" w:hAnsi="EUAlbertina"/>
      <w:szCs w:val="24"/>
    </w:rPr>
  </w:style>
  <w:style w:type="paragraph" w:customStyle="1" w:styleId="documento-tit1">
    <w:name w:val="documento-tit1"/>
    <w:basedOn w:val="Normal"/>
    <w:rsid w:val="00F71C6E"/>
    <w:pPr>
      <w:pBdr>
        <w:top w:val="single" w:sz="6" w:space="6" w:color="AAAAAA"/>
        <w:left w:val="single" w:sz="6" w:space="18" w:color="AAAAAA"/>
        <w:bottom w:val="single" w:sz="6" w:space="6" w:color="AAAAAA"/>
        <w:right w:val="single" w:sz="6" w:space="18" w:color="AAAAAA"/>
      </w:pBdr>
      <w:shd w:val="clear" w:color="auto" w:fill="FFFFFF"/>
      <w:spacing w:after="120"/>
      <w:jc w:val="left"/>
    </w:pPr>
    <w:rPr>
      <w:rFonts w:ascii="Times New Roman" w:hAnsi="Times New Roman"/>
      <w:szCs w:val="24"/>
    </w:rPr>
  </w:style>
  <w:style w:type="character" w:styleId="Emphasis">
    <w:name w:val="Emphasis"/>
    <w:basedOn w:val="DefaultParagraphFont"/>
    <w:qFormat/>
    <w:rsid w:val="00F71C6E"/>
    <w:rPr>
      <w:i/>
      <w:iCs/>
    </w:rPr>
  </w:style>
  <w:style w:type="paragraph" w:customStyle="1" w:styleId="Text1">
    <w:name w:val="Text 1"/>
    <w:basedOn w:val="Normal"/>
    <w:rsid w:val="00F71C6E"/>
    <w:pPr>
      <w:spacing w:after="120"/>
      <w:ind w:left="850"/>
    </w:pPr>
    <w:rPr>
      <w:rFonts w:ascii="Times New Roman" w:hAnsi="Times New Roman"/>
      <w:szCs w:val="24"/>
      <w:lang w:eastAsia="de-DE"/>
    </w:rPr>
  </w:style>
  <w:style w:type="paragraph" w:customStyle="1" w:styleId="Typedudocument">
    <w:name w:val="Type du document"/>
    <w:basedOn w:val="Normal"/>
    <w:next w:val="Datedadoption"/>
    <w:rsid w:val="00F71C6E"/>
    <w:pPr>
      <w:spacing w:before="360"/>
      <w:jc w:val="center"/>
    </w:pPr>
    <w:rPr>
      <w:rFonts w:ascii="Times New Roman" w:hAnsi="Times New Roman"/>
      <w:b/>
      <w:szCs w:val="24"/>
      <w:lang w:eastAsia="de-DE"/>
    </w:rPr>
  </w:style>
  <w:style w:type="paragraph" w:customStyle="1" w:styleId="Datedadoption">
    <w:name w:val="Date d'adoption"/>
    <w:basedOn w:val="Normal"/>
    <w:next w:val="Titreobjet"/>
    <w:rsid w:val="00F71C6E"/>
    <w:pPr>
      <w:spacing w:before="360"/>
      <w:jc w:val="center"/>
    </w:pPr>
    <w:rPr>
      <w:rFonts w:ascii="Times New Roman" w:hAnsi="Times New Roman"/>
      <w:b/>
      <w:szCs w:val="24"/>
      <w:lang w:eastAsia="de-DE"/>
    </w:rPr>
  </w:style>
  <w:style w:type="paragraph" w:customStyle="1" w:styleId="Titreobjet">
    <w:name w:val="Titre objet"/>
    <w:basedOn w:val="Normal"/>
    <w:next w:val="Normal"/>
    <w:rsid w:val="00F71C6E"/>
    <w:pPr>
      <w:spacing w:before="360" w:after="360"/>
      <w:jc w:val="center"/>
    </w:pPr>
    <w:rPr>
      <w:rFonts w:ascii="Times New Roman" w:hAnsi="Times New Roman"/>
      <w:b/>
      <w:szCs w:val="24"/>
      <w:lang w:eastAsia="de-DE"/>
    </w:rPr>
  </w:style>
  <w:style w:type="paragraph" w:customStyle="1" w:styleId="Statut">
    <w:name w:val="Statut"/>
    <w:basedOn w:val="Normal"/>
    <w:next w:val="Typedudocument"/>
    <w:rsid w:val="00F71C6E"/>
    <w:pPr>
      <w:spacing w:before="360"/>
      <w:jc w:val="center"/>
    </w:pPr>
    <w:rPr>
      <w:rFonts w:ascii="Times New Roman" w:hAnsi="Times New Roman"/>
      <w:snapToGrid w:val="0"/>
      <w:szCs w:val="24"/>
      <w:lang w:eastAsia="en-GB"/>
    </w:rPr>
  </w:style>
  <w:style w:type="paragraph" w:customStyle="1" w:styleId="Default">
    <w:name w:val="Default"/>
    <w:rsid w:val="00F71C6E"/>
    <w:pPr>
      <w:autoSpaceDE w:val="0"/>
      <w:autoSpaceDN w:val="0"/>
      <w:adjustRightInd w:val="0"/>
    </w:pPr>
    <w:rPr>
      <w:rFonts w:ascii="EUAlbertina" w:hAnsi="EUAlbertina" w:cs="EUAlbertina"/>
      <w:color w:val="000000"/>
      <w:sz w:val="24"/>
      <w:szCs w:val="24"/>
    </w:rPr>
  </w:style>
  <w:style w:type="paragraph" w:styleId="TOC4">
    <w:name w:val="toc 4"/>
    <w:basedOn w:val="Normal"/>
    <w:next w:val="Normal"/>
    <w:autoRedefine/>
    <w:semiHidden/>
    <w:rsid w:val="00F71C6E"/>
    <w:pPr>
      <w:ind w:left="720"/>
    </w:pPr>
    <w:rPr>
      <w:szCs w:val="24"/>
    </w:rPr>
  </w:style>
  <w:style w:type="paragraph" w:styleId="TOC5">
    <w:name w:val="toc 5"/>
    <w:basedOn w:val="Normal"/>
    <w:next w:val="Normal"/>
    <w:autoRedefine/>
    <w:semiHidden/>
    <w:rsid w:val="00F71C6E"/>
    <w:pPr>
      <w:spacing w:before="0"/>
      <w:ind w:left="960"/>
      <w:jc w:val="left"/>
    </w:pPr>
    <w:rPr>
      <w:rFonts w:ascii="Times New Roman" w:hAnsi="Times New Roman"/>
      <w:szCs w:val="24"/>
    </w:rPr>
  </w:style>
  <w:style w:type="paragraph" w:styleId="TOC6">
    <w:name w:val="toc 6"/>
    <w:basedOn w:val="Normal"/>
    <w:next w:val="Normal"/>
    <w:autoRedefine/>
    <w:semiHidden/>
    <w:rsid w:val="00F71C6E"/>
    <w:pPr>
      <w:spacing w:before="0"/>
      <w:ind w:left="1200"/>
      <w:jc w:val="left"/>
    </w:pPr>
    <w:rPr>
      <w:rFonts w:ascii="Times New Roman" w:hAnsi="Times New Roman"/>
      <w:szCs w:val="24"/>
    </w:rPr>
  </w:style>
  <w:style w:type="paragraph" w:styleId="TOC7">
    <w:name w:val="toc 7"/>
    <w:basedOn w:val="Normal"/>
    <w:next w:val="Normal"/>
    <w:autoRedefine/>
    <w:semiHidden/>
    <w:rsid w:val="00F71C6E"/>
    <w:pPr>
      <w:spacing w:before="0"/>
      <w:ind w:left="1440"/>
      <w:jc w:val="left"/>
    </w:pPr>
    <w:rPr>
      <w:rFonts w:ascii="Times New Roman" w:hAnsi="Times New Roman"/>
      <w:szCs w:val="24"/>
    </w:rPr>
  </w:style>
  <w:style w:type="paragraph" w:styleId="TOC8">
    <w:name w:val="toc 8"/>
    <w:basedOn w:val="Normal"/>
    <w:next w:val="Normal"/>
    <w:autoRedefine/>
    <w:semiHidden/>
    <w:rsid w:val="00F71C6E"/>
    <w:pPr>
      <w:spacing w:before="0"/>
      <w:ind w:left="1680"/>
      <w:jc w:val="left"/>
    </w:pPr>
    <w:rPr>
      <w:rFonts w:ascii="Times New Roman" w:hAnsi="Times New Roman"/>
      <w:szCs w:val="24"/>
    </w:rPr>
  </w:style>
  <w:style w:type="paragraph" w:styleId="TOC9">
    <w:name w:val="toc 9"/>
    <w:basedOn w:val="Normal"/>
    <w:next w:val="Normal"/>
    <w:autoRedefine/>
    <w:semiHidden/>
    <w:rsid w:val="00F71C6E"/>
    <w:pPr>
      <w:spacing w:before="0"/>
      <w:ind w:left="1920"/>
      <w:jc w:val="left"/>
    </w:pPr>
    <w:rPr>
      <w:rFonts w:ascii="Times New Roman" w:hAnsi="Times New Roman"/>
      <w:szCs w:val="24"/>
    </w:rPr>
  </w:style>
  <w:style w:type="paragraph" w:customStyle="1" w:styleId="EstiloTtulo2Antes36pto">
    <w:name w:val="Estilo Título 2 + Antes:  36 pto"/>
    <w:basedOn w:val="Heading2"/>
    <w:rsid w:val="00D06842"/>
    <w:pPr>
      <w:spacing w:before="720"/>
      <w:ind w:left="0" w:firstLine="0"/>
    </w:pPr>
    <w:rPr>
      <w:bCs/>
    </w:rPr>
  </w:style>
  <w:style w:type="paragraph" w:customStyle="1" w:styleId="EstiloTtulo2Antes36pto1">
    <w:name w:val="Estilo Título 2 + Antes:  36 pto1"/>
    <w:basedOn w:val="Heading2"/>
    <w:rsid w:val="00D06842"/>
    <w:pPr>
      <w:tabs>
        <w:tab w:val="clear" w:pos="576"/>
        <w:tab w:val="num" w:pos="709"/>
      </w:tabs>
      <w:spacing w:before="720"/>
      <w:ind w:left="709" w:hanging="709"/>
    </w:pPr>
    <w:rPr>
      <w:bCs/>
    </w:rPr>
  </w:style>
  <w:style w:type="paragraph" w:styleId="BodyText">
    <w:name w:val="Body Text"/>
    <w:basedOn w:val="Normal"/>
    <w:rsid w:val="00D52412"/>
    <w:pPr>
      <w:tabs>
        <w:tab w:val="left" w:pos="-720"/>
      </w:tabs>
      <w:spacing w:before="360" w:line="288" w:lineRule="auto"/>
    </w:pPr>
    <w:rPr>
      <w:spacing w:val="-3"/>
      <w:sz w:val="20"/>
    </w:rPr>
  </w:style>
  <w:style w:type="paragraph" w:styleId="BodyTextIndent">
    <w:name w:val="Body Text Indent"/>
    <w:basedOn w:val="Normal"/>
    <w:rsid w:val="00D52412"/>
    <w:pPr>
      <w:tabs>
        <w:tab w:val="center" w:pos="4393"/>
      </w:tabs>
      <w:spacing w:before="240"/>
      <w:ind w:firstLine="737"/>
    </w:pPr>
    <w:rPr>
      <w:spacing w:val="-3"/>
    </w:rPr>
  </w:style>
  <w:style w:type="paragraph" w:styleId="BodyTextIndent3">
    <w:name w:val="Body Text Indent 3"/>
    <w:basedOn w:val="Normal"/>
    <w:rsid w:val="00D52412"/>
    <w:pPr>
      <w:spacing w:before="0" w:after="120"/>
      <w:ind w:left="283"/>
      <w:jc w:val="left"/>
    </w:pPr>
    <w:rPr>
      <w:rFonts w:ascii="Times New Roman" w:hAnsi="Times New Roman"/>
      <w:sz w:val="16"/>
      <w:szCs w:val="16"/>
    </w:rPr>
  </w:style>
  <w:style w:type="character" w:customStyle="1" w:styleId="HeaderChar">
    <w:name w:val="Header Char"/>
    <w:basedOn w:val="DefaultParagraphFont"/>
    <w:link w:val="Header"/>
    <w:rsid w:val="00062959"/>
    <w:rPr>
      <w:rFonts w:ascii="Arial" w:hAnsi="Arial"/>
      <w:sz w:val="24"/>
      <w:szCs w:val="24"/>
      <w:lang w:val="en-GB" w:eastAsia="es-ES" w:bidi="ar-SA"/>
    </w:rPr>
  </w:style>
  <w:style w:type="paragraph" w:customStyle="1" w:styleId="Cuerpo">
    <w:name w:val="Cuerpo"/>
    <w:rsid w:val="00062959"/>
    <w:pPr>
      <w:spacing w:before="200" w:after="80" w:line="336" w:lineRule="auto"/>
    </w:pPr>
    <w:rPr>
      <w:rFonts w:ascii="Bodoni SvtyTwo OS ITC TT-Book" w:eastAsia="ヒラギノ角ゴ Pro W3" w:hAnsi="Bodoni SvtyTwo OS ITC TT-Book"/>
      <w:color w:val="000000"/>
      <w:sz w:val="24"/>
      <w:lang w:eastAsia="en-US"/>
    </w:rPr>
  </w:style>
  <w:style w:type="paragraph" w:customStyle="1" w:styleId="Formatolibre">
    <w:name w:val="Formato libre"/>
    <w:rsid w:val="00062959"/>
    <w:pPr>
      <w:spacing w:line="336" w:lineRule="auto"/>
    </w:pPr>
    <w:rPr>
      <w:rFonts w:ascii="Bodoni SvtyTwo OS ITC TT-Book" w:eastAsia="ヒラギノ角ゴ Pro W3" w:hAnsi="Bodoni SvtyTwo OS ITC TT-Book"/>
      <w:color w:val="000000"/>
      <w:sz w:val="24"/>
      <w:lang w:eastAsia="en-US"/>
    </w:rPr>
  </w:style>
  <w:style w:type="paragraph" w:customStyle="1" w:styleId="EstiloArtculoPrimeralnea0cmInterlineadosencillo">
    <w:name w:val="Estilo Artículo + Primera línea:  0 cm Interlineado:  sencillo"/>
    <w:basedOn w:val="Artculo"/>
    <w:rsid w:val="00F7543F"/>
    <w:pPr>
      <w:keepNext/>
      <w:tabs>
        <w:tab w:val="left" w:pos="-720"/>
      </w:tabs>
      <w:suppressAutoHyphens/>
      <w:spacing w:before="480"/>
    </w:pPr>
    <w:rPr>
      <w:spacing w:val="-3"/>
      <w:szCs w:val="20"/>
    </w:rPr>
  </w:style>
  <w:style w:type="character" w:customStyle="1" w:styleId="CITE">
    <w:name w:val="CITE"/>
    <w:rsid w:val="005C0758"/>
    <w:rPr>
      <w:i/>
    </w:rPr>
  </w:style>
  <w:style w:type="paragraph" w:customStyle="1" w:styleId="Pa6">
    <w:name w:val="Pa6"/>
    <w:basedOn w:val="Normal"/>
    <w:next w:val="Normal"/>
    <w:uiPriority w:val="99"/>
    <w:rsid w:val="00F02F33"/>
    <w:pPr>
      <w:autoSpaceDE w:val="0"/>
      <w:autoSpaceDN w:val="0"/>
      <w:adjustRightInd w:val="0"/>
      <w:spacing w:before="240" w:line="201" w:lineRule="atLeast"/>
      <w:ind w:firstLine="357"/>
    </w:pPr>
    <w:rPr>
      <w:szCs w:val="24"/>
    </w:rPr>
  </w:style>
  <w:style w:type="paragraph" w:customStyle="1" w:styleId="parrafo1">
    <w:name w:val="parrafo1"/>
    <w:basedOn w:val="Normal"/>
    <w:rsid w:val="001F1F67"/>
    <w:pPr>
      <w:spacing w:before="180" w:after="180"/>
      <w:ind w:firstLine="360"/>
    </w:pPr>
    <w:rPr>
      <w:rFonts w:ascii="Times New Roman" w:hAnsi="Times New Roman"/>
      <w:szCs w:val="24"/>
    </w:rPr>
  </w:style>
  <w:style w:type="paragraph" w:styleId="Title">
    <w:name w:val="Title"/>
    <w:basedOn w:val="Normal"/>
    <w:qFormat/>
    <w:rsid w:val="009C67CB"/>
    <w:pPr>
      <w:spacing w:before="240" w:after="60"/>
      <w:jc w:val="center"/>
      <w:outlineLvl w:val="0"/>
    </w:pPr>
    <w:rPr>
      <w:rFonts w:cs="Arial"/>
      <w:b/>
      <w:bCs/>
      <w:caps/>
      <w:kern w:val="28"/>
      <w:sz w:val="32"/>
      <w:szCs w:val="32"/>
      <w:u w:val="single"/>
    </w:rPr>
  </w:style>
  <w:style w:type="paragraph" w:customStyle="1" w:styleId="EstiloTtulo1Izquierda0cmPrimeralnea0cm1">
    <w:name w:val="Estilo Título 1 + Izquierda:  0 cm Primera línea:  0 cm1"/>
    <w:basedOn w:val="Heading1"/>
    <w:rsid w:val="00A96FD6"/>
    <w:rPr>
      <w:bCs/>
      <w:u w:val="none"/>
    </w:rPr>
  </w:style>
  <w:style w:type="paragraph" w:customStyle="1" w:styleId="Apartado">
    <w:name w:val="Apartado"/>
    <w:basedOn w:val="Normal"/>
    <w:link w:val="ApartadoCarCar"/>
    <w:rsid w:val="0080611E"/>
    <w:pPr>
      <w:numPr>
        <w:numId w:val="7"/>
      </w:numPr>
    </w:pPr>
  </w:style>
  <w:style w:type="character" w:customStyle="1" w:styleId="ApartadoCarCar">
    <w:name w:val="Apartado Car Car"/>
    <w:basedOn w:val="DefaultParagraphFont"/>
    <w:link w:val="Apartado"/>
    <w:rsid w:val="0080611E"/>
    <w:rPr>
      <w:rFonts w:ascii="Arial" w:hAnsi="Arial"/>
      <w:sz w:val="24"/>
    </w:rPr>
  </w:style>
  <w:style w:type="paragraph" w:customStyle="1" w:styleId="apartado0">
    <w:name w:val="apartado"/>
    <w:basedOn w:val="Normal"/>
    <w:rsid w:val="00A507BF"/>
    <w:pPr>
      <w:ind w:left="360" w:hanging="360"/>
    </w:pPr>
    <w:rPr>
      <w:rFonts w:cs="Arial"/>
      <w:szCs w:val="24"/>
    </w:rPr>
  </w:style>
  <w:style w:type="character" w:customStyle="1" w:styleId="FootnoteTextChar">
    <w:name w:val="Footnote Text Char"/>
    <w:basedOn w:val="DefaultParagraphFont"/>
    <w:link w:val="FootnoteText"/>
    <w:uiPriority w:val="99"/>
    <w:semiHidden/>
    <w:locked/>
    <w:rsid w:val="00A507BF"/>
    <w:rPr>
      <w:rFonts w:ascii="Arial" w:hAnsi="Arial"/>
      <w:sz w:val="24"/>
      <w:lang w:val="en-GB" w:eastAsia="es-ES" w:bidi="ar-SA"/>
    </w:rPr>
  </w:style>
  <w:style w:type="paragraph" w:styleId="EndnoteText">
    <w:name w:val="endnote text"/>
    <w:basedOn w:val="Normal"/>
    <w:link w:val="EndnoteTextChar"/>
    <w:semiHidden/>
    <w:rsid w:val="00A507BF"/>
    <w:pPr>
      <w:spacing w:before="0"/>
      <w:jc w:val="left"/>
    </w:pPr>
    <w:rPr>
      <w:rFonts w:ascii="Times New Roman" w:hAnsi="Times New Roman"/>
      <w:noProof/>
      <w:sz w:val="20"/>
    </w:rPr>
  </w:style>
  <w:style w:type="character" w:customStyle="1" w:styleId="EndnoteTextChar">
    <w:name w:val="Endnote Text Char"/>
    <w:basedOn w:val="DefaultParagraphFont"/>
    <w:link w:val="EndnoteText"/>
    <w:semiHidden/>
    <w:locked/>
    <w:rsid w:val="00A507BF"/>
    <w:rPr>
      <w:noProof/>
      <w:lang w:val="en-GB" w:eastAsia="es-ES" w:bidi="ar-SA"/>
    </w:rPr>
  </w:style>
  <w:style w:type="paragraph" w:styleId="ListParagraph">
    <w:name w:val="List Paragraph"/>
    <w:basedOn w:val="Normal"/>
    <w:uiPriority w:val="34"/>
    <w:qFormat/>
    <w:rsid w:val="00A55561"/>
    <w:pPr>
      <w:ind w:left="720"/>
      <w:contextualSpacing/>
    </w:pPr>
  </w:style>
  <w:style w:type="paragraph" w:styleId="Revision">
    <w:name w:val="Revision"/>
    <w:hidden/>
    <w:uiPriority w:val="99"/>
    <w:semiHidden/>
    <w:rsid w:val="00244B57"/>
    <w:rPr>
      <w:rFonts w:ascii="Arial" w:hAnsi="Arial"/>
      <w:sz w:val="24"/>
    </w:rPr>
  </w:style>
  <w:style w:type="paragraph" w:styleId="Caption">
    <w:name w:val="caption"/>
    <w:basedOn w:val="Normal"/>
    <w:next w:val="Normal"/>
    <w:unhideWhenUsed/>
    <w:qFormat/>
    <w:rsid w:val="003E2698"/>
    <w:pPr>
      <w:spacing w:before="0" w:after="200"/>
    </w:pPr>
    <w:rPr>
      <w:i/>
      <w:iCs/>
      <w:color w:val="1F497D" w:themeColor="text2"/>
      <w:sz w:val="18"/>
      <w:szCs w:val="18"/>
    </w:rPr>
  </w:style>
  <w:style w:type="paragraph" w:styleId="PlainText">
    <w:name w:val="Plain Text"/>
    <w:basedOn w:val="Normal"/>
    <w:link w:val="PlainTextChar"/>
    <w:uiPriority w:val="99"/>
    <w:semiHidden/>
    <w:unhideWhenUsed/>
    <w:rsid w:val="00E16F74"/>
    <w:pPr>
      <w:spacing w:before="0"/>
      <w:jc w:val="left"/>
    </w:pPr>
    <w:rPr>
      <w:rFonts w:ascii="Calibri" w:eastAsia="Calibri" w:hAnsi="Calibri"/>
      <w:sz w:val="22"/>
      <w:szCs w:val="21"/>
      <w:lang w:eastAsia="en-US"/>
    </w:rPr>
  </w:style>
  <w:style w:type="character" w:customStyle="1" w:styleId="PlainTextChar">
    <w:name w:val="Plain Text Char"/>
    <w:basedOn w:val="DefaultParagraphFont"/>
    <w:link w:val="PlainText"/>
    <w:uiPriority w:val="99"/>
    <w:semiHidden/>
    <w:rsid w:val="00E16F74"/>
    <w:rPr>
      <w:rFonts w:ascii="Calibri" w:eastAsia="Calibri" w:hAnsi="Calibri"/>
      <w:sz w:val="22"/>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801158">
      <w:bodyDiv w:val="1"/>
      <w:marLeft w:val="144"/>
      <w:marRight w:val="1680"/>
      <w:marTop w:val="2604"/>
      <w:marBottom w:val="420"/>
      <w:divBdr>
        <w:top w:val="none" w:sz="0" w:space="0" w:color="auto"/>
        <w:left w:val="none" w:sz="0" w:space="0" w:color="auto"/>
        <w:bottom w:val="none" w:sz="0" w:space="0" w:color="auto"/>
        <w:right w:val="none" w:sz="0" w:space="0" w:color="auto"/>
      </w:divBdr>
    </w:div>
    <w:div w:id="891044216">
      <w:bodyDiv w:val="1"/>
      <w:marLeft w:val="0"/>
      <w:marRight w:val="0"/>
      <w:marTop w:val="0"/>
      <w:marBottom w:val="0"/>
      <w:divBdr>
        <w:top w:val="none" w:sz="0" w:space="0" w:color="auto"/>
        <w:left w:val="none" w:sz="0" w:space="0" w:color="auto"/>
        <w:bottom w:val="none" w:sz="0" w:space="0" w:color="auto"/>
        <w:right w:val="none" w:sz="0" w:space="0" w:color="auto"/>
      </w:divBdr>
    </w:div>
    <w:div w:id="911696204">
      <w:bodyDiv w:val="1"/>
      <w:marLeft w:val="0"/>
      <w:marRight w:val="0"/>
      <w:marTop w:val="0"/>
      <w:marBottom w:val="0"/>
      <w:divBdr>
        <w:top w:val="none" w:sz="0" w:space="0" w:color="auto"/>
        <w:left w:val="none" w:sz="0" w:space="0" w:color="auto"/>
        <w:bottom w:val="none" w:sz="0" w:space="0" w:color="auto"/>
        <w:right w:val="none" w:sz="0" w:space="0" w:color="auto"/>
      </w:divBdr>
    </w:div>
    <w:div w:id="1072389154">
      <w:bodyDiv w:val="1"/>
      <w:marLeft w:val="0"/>
      <w:marRight w:val="0"/>
      <w:marTop w:val="0"/>
      <w:marBottom w:val="0"/>
      <w:divBdr>
        <w:top w:val="none" w:sz="0" w:space="0" w:color="auto"/>
        <w:left w:val="none" w:sz="0" w:space="0" w:color="auto"/>
        <w:bottom w:val="none" w:sz="0" w:space="0" w:color="auto"/>
        <w:right w:val="none" w:sz="0" w:space="0" w:color="auto"/>
      </w:divBdr>
    </w:div>
    <w:div w:id="1091585206">
      <w:bodyDiv w:val="1"/>
      <w:marLeft w:val="144"/>
      <w:marRight w:val="1680"/>
      <w:marTop w:val="2604"/>
      <w:marBottom w:val="420"/>
      <w:divBdr>
        <w:top w:val="none" w:sz="0" w:space="0" w:color="auto"/>
        <w:left w:val="none" w:sz="0" w:space="0" w:color="auto"/>
        <w:bottom w:val="none" w:sz="0" w:space="0" w:color="auto"/>
        <w:right w:val="none" w:sz="0" w:space="0" w:color="auto"/>
      </w:divBdr>
    </w:div>
    <w:div w:id="1220702189">
      <w:bodyDiv w:val="1"/>
      <w:marLeft w:val="0"/>
      <w:marRight w:val="0"/>
      <w:marTop w:val="0"/>
      <w:marBottom w:val="0"/>
      <w:divBdr>
        <w:top w:val="none" w:sz="0" w:space="0" w:color="auto"/>
        <w:left w:val="none" w:sz="0" w:space="0" w:color="auto"/>
        <w:bottom w:val="none" w:sz="0" w:space="0" w:color="auto"/>
        <w:right w:val="none" w:sz="0" w:space="0" w:color="auto"/>
      </w:divBdr>
      <w:divsChild>
        <w:div w:id="1916742010">
          <w:marLeft w:val="0"/>
          <w:marRight w:val="0"/>
          <w:marTop w:val="0"/>
          <w:marBottom w:val="0"/>
          <w:divBdr>
            <w:top w:val="none" w:sz="0" w:space="0" w:color="auto"/>
            <w:left w:val="single" w:sz="6" w:space="0" w:color="DDDDDD"/>
            <w:bottom w:val="none" w:sz="0" w:space="0" w:color="auto"/>
            <w:right w:val="none" w:sz="0" w:space="0" w:color="auto"/>
          </w:divBdr>
          <w:divsChild>
            <w:div w:id="384109685">
              <w:marLeft w:val="0"/>
              <w:marRight w:val="0"/>
              <w:marTop w:val="0"/>
              <w:marBottom w:val="0"/>
              <w:divBdr>
                <w:top w:val="single" w:sz="2" w:space="0" w:color="008000"/>
                <w:left w:val="single" w:sz="2" w:space="0" w:color="008000"/>
                <w:bottom w:val="single" w:sz="2" w:space="0" w:color="008000"/>
                <w:right w:val="single" w:sz="2" w:space="0" w:color="008000"/>
              </w:divBdr>
              <w:divsChild>
                <w:div w:id="1214583279">
                  <w:marLeft w:val="0"/>
                  <w:marRight w:val="0"/>
                  <w:marTop w:val="0"/>
                  <w:marBottom w:val="0"/>
                  <w:divBdr>
                    <w:top w:val="none" w:sz="0" w:space="0" w:color="auto"/>
                    <w:left w:val="none" w:sz="0" w:space="0" w:color="auto"/>
                    <w:bottom w:val="none" w:sz="0" w:space="0" w:color="auto"/>
                    <w:right w:val="none" w:sz="0" w:space="0" w:color="auto"/>
                  </w:divBdr>
                  <w:divsChild>
                    <w:div w:id="1146049420">
                      <w:marLeft w:val="0"/>
                      <w:marRight w:val="0"/>
                      <w:marTop w:val="0"/>
                      <w:marBottom w:val="0"/>
                      <w:divBdr>
                        <w:top w:val="none" w:sz="0" w:space="0" w:color="auto"/>
                        <w:left w:val="none" w:sz="0" w:space="0" w:color="auto"/>
                        <w:bottom w:val="none" w:sz="0" w:space="0" w:color="auto"/>
                        <w:right w:val="none" w:sz="0" w:space="0" w:color="auto"/>
                      </w:divBdr>
                      <w:divsChild>
                        <w:div w:id="1184588912">
                          <w:marLeft w:val="720"/>
                          <w:marRight w:val="720"/>
                          <w:marTop w:val="0"/>
                          <w:marBottom w:val="0"/>
                          <w:divBdr>
                            <w:top w:val="none" w:sz="0" w:space="0" w:color="auto"/>
                            <w:left w:val="none" w:sz="0" w:space="0" w:color="auto"/>
                            <w:bottom w:val="none" w:sz="0" w:space="0" w:color="auto"/>
                            <w:right w:val="none" w:sz="0" w:space="0" w:color="auto"/>
                          </w:divBdr>
                          <w:divsChild>
                            <w:div w:id="1139616075">
                              <w:marLeft w:val="0"/>
                              <w:marRight w:val="0"/>
                              <w:marTop w:val="0"/>
                              <w:marBottom w:val="0"/>
                              <w:divBdr>
                                <w:top w:val="none" w:sz="0" w:space="0" w:color="auto"/>
                                <w:left w:val="none" w:sz="0" w:space="0" w:color="auto"/>
                                <w:bottom w:val="none" w:sz="0" w:space="0" w:color="auto"/>
                                <w:right w:val="none" w:sz="0" w:space="0" w:color="auto"/>
                              </w:divBdr>
                              <w:divsChild>
                                <w:div w:id="783305565">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sChild>
    </w:div>
    <w:div w:id="1230263427">
      <w:bodyDiv w:val="1"/>
      <w:marLeft w:val="0"/>
      <w:marRight w:val="0"/>
      <w:marTop w:val="0"/>
      <w:marBottom w:val="0"/>
      <w:divBdr>
        <w:top w:val="none" w:sz="0" w:space="0" w:color="auto"/>
        <w:left w:val="none" w:sz="0" w:space="0" w:color="auto"/>
        <w:bottom w:val="none" w:sz="0" w:space="0" w:color="auto"/>
        <w:right w:val="none" w:sz="0" w:space="0" w:color="auto"/>
      </w:divBdr>
      <w:divsChild>
        <w:div w:id="1518618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238206">
              <w:marLeft w:val="0"/>
              <w:marRight w:val="0"/>
              <w:marTop w:val="0"/>
              <w:marBottom w:val="0"/>
              <w:divBdr>
                <w:top w:val="none" w:sz="0" w:space="0" w:color="auto"/>
                <w:left w:val="none" w:sz="0" w:space="0" w:color="auto"/>
                <w:bottom w:val="none" w:sz="0" w:space="0" w:color="auto"/>
                <w:right w:val="none" w:sz="0" w:space="0" w:color="auto"/>
              </w:divBdr>
              <w:divsChild>
                <w:div w:id="6588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528104">
      <w:bodyDiv w:val="1"/>
      <w:marLeft w:val="0"/>
      <w:marRight w:val="0"/>
      <w:marTop w:val="0"/>
      <w:marBottom w:val="0"/>
      <w:divBdr>
        <w:top w:val="none" w:sz="0" w:space="0" w:color="auto"/>
        <w:left w:val="none" w:sz="0" w:space="0" w:color="auto"/>
        <w:bottom w:val="none" w:sz="0" w:space="0" w:color="auto"/>
        <w:right w:val="none" w:sz="0" w:space="0" w:color="auto"/>
      </w:divBdr>
    </w:div>
    <w:div w:id="1301886685">
      <w:bodyDiv w:val="1"/>
      <w:marLeft w:val="0"/>
      <w:marRight w:val="0"/>
      <w:marTop w:val="0"/>
      <w:marBottom w:val="0"/>
      <w:divBdr>
        <w:top w:val="none" w:sz="0" w:space="0" w:color="auto"/>
        <w:left w:val="none" w:sz="0" w:space="0" w:color="auto"/>
        <w:bottom w:val="none" w:sz="0" w:space="0" w:color="auto"/>
        <w:right w:val="none" w:sz="0" w:space="0" w:color="auto"/>
      </w:divBdr>
    </w:div>
    <w:div w:id="1348482038">
      <w:bodyDiv w:val="1"/>
      <w:marLeft w:val="0"/>
      <w:marRight w:val="0"/>
      <w:marTop w:val="0"/>
      <w:marBottom w:val="0"/>
      <w:divBdr>
        <w:top w:val="none" w:sz="0" w:space="0" w:color="auto"/>
        <w:left w:val="none" w:sz="0" w:space="0" w:color="auto"/>
        <w:bottom w:val="none" w:sz="0" w:space="0" w:color="auto"/>
        <w:right w:val="none" w:sz="0" w:space="0" w:color="auto"/>
      </w:divBdr>
    </w:div>
    <w:div w:id="1634674357">
      <w:bodyDiv w:val="1"/>
      <w:marLeft w:val="0"/>
      <w:marRight w:val="0"/>
      <w:marTop w:val="0"/>
      <w:marBottom w:val="0"/>
      <w:divBdr>
        <w:top w:val="none" w:sz="0" w:space="0" w:color="auto"/>
        <w:left w:val="none" w:sz="0" w:space="0" w:color="auto"/>
        <w:bottom w:val="none" w:sz="0" w:space="0" w:color="auto"/>
        <w:right w:val="none" w:sz="0" w:space="0" w:color="auto"/>
      </w:divBdr>
    </w:div>
    <w:div w:id="2088307719">
      <w:bodyDiv w:val="1"/>
      <w:marLeft w:val="0"/>
      <w:marRight w:val="0"/>
      <w:marTop w:val="0"/>
      <w:marBottom w:val="0"/>
      <w:divBdr>
        <w:top w:val="none" w:sz="0" w:space="0" w:color="auto"/>
        <w:left w:val="none" w:sz="0" w:space="0" w:color="auto"/>
        <w:bottom w:val="none" w:sz="0" w:space="0" w:color="auto"/>
        <w:right w:val="none" w:sz="0" w:space="0" w:color="auto"/>
      </w:divBdr>
    </w:div>
    <w:div w:id="208930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smartapi/cgi/sga_doc?smartapi!celexplus!prod!DocNumber&amp;lg=es&amp;type_doc=Regulation&amp;an_doc=2008&amp;nu_doc=133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1\DOCUME~1\plantillas\ofici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4F254-1FC0-421B-B9A2-B6A35239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oficio.dot</Template>
  <TotalTime>34</TotalTime>
  <Pages>24</Pages>
  <Words>7635</Words>
  <Characters>42550</Characters>
  <Application>Microsoft Office Word</Application>
  <DocSecurity>0</DocSecurity>
  <Lines>354</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Documento</vt:lpstr>
      <vt:lpstr>Documento</vt:lpstr>
    </vt:vector>
  </TitlesOfParts>
  <Company>IGSAP</Company>
  <LinksUpToDate>false</LinksUpToDate>
  <CharactersWithSpaces>50085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dc:title>
  <dc:creator>JMPL</dc:creator>
  <cp:lastModifiedBy>Diana STOICA</cp:lastModifiedBy>
  <cp:revision>14</cp:revision>
  <cp:lastPrinted>2015-09-07T10:14:00Z</cp:lastPrinted>
  <dcterms:created xsi:type="dcterms:W3CDTF">2020-09-08T10:24:00Z</dcterms:created>
  <dcterms:modified xsi:type="dcterms:W3CDTF">2020-10-05T14:25:00Z</dcterms:modified>
</cp:coreProperties>
</file>