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B62" w:rsidRPr="00B00403" w:rsidRDefault="003D5B62" w:rsidP="003D5B62">
      <w:pPr>
        <w:pStyle w:val="PlainText"/>
        <w:rPr>
          <w:rFonts w:ascii="Courier New" w:hAnsi="Courier New" w:cs="Courier New"/>
          <w:sz w:val="20"/>
          <w:szCs w:val="20"/>
        </w:rPr>
      </w:pPr>
      <w:r>
        <w:rPr>
          <w:rFonts w:ascii="Courier New" w:hAnsi="Courier New"/>
          <w:sz w:val="20"/>
        </w:rPr>
        <w:t xml:space="preserve">1. </w:t>
      </w:r>
      <w:r>
        <w:rPr>
          <w:rFonts w:ascii="Courier New" w:hAnsi="Courier New"/>
          <w:sz w:val="20"/>
        </w:rPr>
        <w:t>------IND- 2018 0178 S-- EL- ------ 20181122 --- --- FINAL</w:t>
      </w:r>
    </w:p>
    <w:p w:rsidR="00DE28EA" w:rsidRPr="00B06CA7" w:rsidRDefault="00DE28EA" w:rsidP="00F47340">
      <w:pPr>
        <w:pStyle w:val="BodyText"/>
        <w:rPr>
          <w:rFonts w:ascii="Times New Roman" w:hAnsi="Times New Roman" w:cs="Times New Roman"/>
          <w:b/>
          <w:w w:val="100"/>
          <w:sz w:val="26"/>
          <w:szCs w:val="26"/>
        </w:rPr>
      </w:pPr>
      <w:r>
        <w:rPr>
          <w:rFonts w:ascii="Times New Roman" w:hAnsi="Times New Roman"/>
          <w:b/>
          <w:w w:val="100"/>
          <w:sz w:val="26"/>
        </w:rPr>
        <w:t>LIFS 2018:4</w:t>
      </w:r>
    </w:p>
    <w:p w:rsidR="00DE28EA" w:rsidRPr="00B06CA7" w:rsidRDefault="00DE28EA" w:rsidP="00F47340">
      <w:pPr>
        <w:pStyle w:val="BodyText"/>
        <w:spacing w:after="240"/>
        <w:rPr>
          <w:rFonts w:ascii="Times New Roman" w:hAnsi="Times New Roman" w:cs="Times New Roman"/>
          <w:w w:val="100"/>
          <w:sz w:val="16"/>
          <w:szCs w:val="19"/>
        </w:rPr>
      </w:pPr>
      <w:r>
        <w:rPr>
          <w:rFonts w:ascii="Times New Roman" w:hAnsi="Times New Roman"/>
          <w:w w:val="100"/>
          <w:sz w:val="16"/>
        </w:rPr>
        <w:t>Δημοσιεύθηκαν</w:t>
      </w:r>
      <w:r>
        <w:rPr>
          <w:rFonts w:ascii="Times New Roman" w:hAnsi="Times New Roman"/>
          <w:w w:val="100"/>
          <w:sz w:val="16"/>
        </w:rPr>
        <w:br/>
      </w:r>
      <w:r>
        <w:rPr>
          <w:rFonts w:ascii="Times New Roman" w:hAnsi="Times New Roman"/>
          <w:w w:val="100"/>
          <w:sz w:val="16"/>
        </w:rPr>
        <w:t>την 8η Αυγούστου 2018</w:t>
      </w:r>
    </w:p>
    <w:p w:rsidR="00A457A5" w:rsidRPr="0076436D" w:rsidRDefault="00A457A5" w:rsidP="00F47340">
      <w:pPr>
        <w:pStyle w:val="Rubrik1"/>
        <w:keepNext/>
        <w:keepLines/>
        <w:widowControl/>
        <w:ind w:right="0"/>
        <w:rPr>
          <w:rFonts w:ascii="Times New Roman" w:hAnsi="Times New Roman" w:cs="Times New Roman"/>
          <w:w w:val="100"/>
          <w:sz w:val="26"/>
          <w:szCs w:val="26"/>
        </w:rPr>
      </w:pPr>
      <w:r>
        <w:rPr>
          <w:rFonts w:ascii="Times New Roman" w:hAnsi="Times New Roman"/>
          <w:w w:val="100"/>
          <w:sz w:val="26"/>
        </w:rPr>
        <w:t>Κανονισμοί και γενικές συστάσεις της Σουηδικής Αρχής Τυχερών Παιγνίων σχετικά με εθνικές λαχειοφόρες αγορές και λαχειοφόρες αγορές για σκοπούς δημόσιου συμφέροντος,</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w w:val="100"/>
          <w:sz w:val="19"/>
        </w:rPr>
        <w:t>εγκρίθηκαν την 25η Ιουλίου 2018.</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w w:val="100"/>
          <w:sz w:val="19"/>
        </w:rPr>
        <w:t>Η Σουηδική Αρχή Τυχερών Παιγνίων θεσπίζει</w:t>
      </w:r>
      <w:r>
        <w:rPr>
          <w:rFonts w:ascii="Times New Roman" w:hAnsi="Times New Roman"/>
          <w:w w:val="100"/>
          <w:sz w:val="19"/>
          <w:vertAlign w:val="superscript"/>
        </w:rPr>
        <w:footnoteReference w:id="1"/>
      </w:r>
      <w:r>
        <w:rPr>
          <w:rFonts w:ascii="Times New Roman" w:hAnsi="Times New Roman"/>
          <w:w w:val="100"/>
          <w:sz w:val="19"/>
        </w:rPr>
        <w:t xml:space="preserve"> τα ακόλουθα σύμφωνα με το κεφάλαιο 16 άρθρο 3, άρθρο 8 σημείο 4, άρθρο 9, άρθρο 10 σημείο 1 και άρθρο 11 σημεία 1-2 του διατάγματος περί τυχερών παιγνίων (2018:1475) και εγκρίνει τις ακόλουθες γενικές υποδείξεις.</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Κεφάλαιο 1 Πεδίο εφαρμογής και ορολογία</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Άρθρο 1</w:t>
      </w:r>
      <w:r>
        <w:rPr>
          <w:rFonts w:ascii="Times New Roman" w:hAnsi="Times New Roman"/>
          <w:w w:val="100"/>
          <w:sz w:val="19"/>
        </w:rPr>
        <w:t xml:space="preserve"> Οι παρόντες κανονισμοί και οι γενικές συστάσεις ισχύουν για τα μέρη που έχουν λάβει άδεια παροχής εθνικών λαχειοφόρων αγορών βάσει του κεφαλαίου 5 άρθρο 1 του νόμου περί τυχερών παιγνίων (2018:1138) και για τα μέρη που έχουν λάβει άδεια παροχής λαχειοφόρων αγορών βάσει του κεφαλαίου 6 άρθρο 3 του νόμου περί τυχερών παιγνίων.</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 xml:space="preserve">Άρθρο 2 </w:t>
      </w:r>
      <w:r>
        <w:rPr>
          <w:rFonts w:ascii="Times New Roman" w:hAnsi="Times New Roman"/>
          <w:w w:val="100"/>
          <w:sz w:val="19"/>
        </w:rPr>
        <w:t>Εκτός εάν ορίζεται διαφορετικά, η ορολογία και οι ονομασίες που χρησιμοποιούνται στους παρόντες κανονισμούς έχουν την ίδια έννοια όπως στον νόμο περί τυχερών παιγνίων (2018:1138) και στο διάταγμα περί τυχερών παιγνίων (2018:1475).</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Οι ακόλουθοι ορισμοί ισχύουν στους παρόντες κανονισμούς και τις γενικές συστάσεις</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Κρυφό στοιχείο ασφάλειας υπεριώδους ακτινοβολίας:</w:t>
      </w:r>
      <w:r>
        <w:rPr>
          <w:rFonts w:ascii="Times New Roman" w:hAnsi="Times New Roman"/>
          <w:w w:val="100"/>
          <w:sz w:val="19"/>
        </w:rPr>
        <w:t xml:space="preserve"> </w:t>
      </w:r>
      <w:r>
        <w:rPr>
          <w:rFonts w:ascii="Times New Roman" w:hAnsi="Times New Roman"/>
          <w:w w:val="100"/>
          <w:sz w:val="19"/>
        </w:rPr>
        <w:t xml:space="preserve">Μια εικόνα ή ένα μοτίβο φθορισμού υπεριώδους ακτινοβολίας που δεν διακρίνεται με γυμνό μάτι. </w:t>
      </w:r>
      <w:r>
        <w:rPr>
          <w:rFonts w:ascii="Times New Roman" w:hAnsi="Times New Roman"/>
          <w:w w:val="100"/>
          <w:sz w:val="19"/>
        </w:rPr>
        <w:t>Η εικόνα/το μοτίβο πρέπει να εμφανίζεται μόνον όταν φωτίζεται με υπεριώδη ακτινοβολία μήκους κύματος 365 nm και να φθορίζει σε χρώμα που διαφέρει από το χρώμα υποβάθρου στο οποίο έχει τυπωθεί.</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Λαχνός λαχείου που έχει μετα-κληρωθεί:</w:t>
      </w:r>
      <w:r>
        <w:rPr>
          <w:rFonts w:ascii="Times New Roman" w:hAnsi="Times New Roman"/>
          <w:w w:val="100"/>
          <w:sz w:val="19"/>
        </w:rPr>
        <w:t xml:space="preserve"> μη σφραγισμένος λαχνός λαχείου του οποίου η κλήρωση πραγματοποιείται μετά την αγορά.</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Ηλεκτρονικός λαχνός λαχείου:</w:t>
      </w:r>
      <w:r>
        <w:rPr>
          <w:rFonts w:ascii="Times New Roman" w:hAnsi="Times New Roman"/>
          <w:w w:val="100"/>
          <w:sz w:val="19"/>
        </w:rPr>
        <w:t xml:space="preserve"> φυσικός φορέας λαχνού λαχείου που περιλαμβάνει ηλεκτρονικά στοιχεία και ενδέχεται να περιέχει έναν ή περισσότερους λαχνούς.</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Κλήρωση δεύτερης σειράς:</w:t>
      </w:r>
      <w:r>
        <w:rPr>
          <w:rFonts w:ascii="Times New Roman" w:hAnsi="Times New Roman"/>
          <w:w w:val="100"/>
          <w:sz w:val="19"/>
        </w:rPr>
        <w:t xml:space="preserve"> κλήρωση στην οποία ο λαχνός συμπεριλαμβάνεται σε μια κλήρωση, για την οποία η αξία του επάθλου είναι προκαθορισμένη.</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Λαχνός λαχείου που έχει προ-κληρωθεί:</w:t>
      </w:r>
      <w:r>
        <w:rPr>
          <w:rFonts w:ascii="Times New Roman" w:hAnsi="Times New Roman"/>
          <w:w w:val="100"/>
          <w:sz w:val="19"/>
        </w:rPr>
        <w:t xml:space="preserve"> σφραγισμένος λαχνός λαχείου όπου ο αγοραστής του λαχνού λαχείου μπορεί να δει άμεσα εάν είναι κερδοφόρος ή όχι.</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Προστασία από χημική διαγραφή</w:t>
      </w:r>
      <w:r>
        <w:rPr>
          <w:rFonts w:ascii="Times New Roman" w:hAnsi="Times New Roman"/>
          <w:w w:val="100"/>
          <w:sz w:val="19"/>
        </w:rPr>
        <w:t>: το χαρτί που περιέχει χημικές ουσίες, οι οποίες αποχρωματίζουν το χαρτί εάν εκτίθενται σε διαλύτες ή οξειδωτικά μέσα (αλκοόλη, οξέα, υδρογονάνθρακες, χλώριο, επιφανειοδραστικές ουσίες, κλπ.).</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Προστασία έναντι αντιγραφής</w:t>
      </w:r>
      <w:r>
        <w:rPr>
          <w:rFonts w:ascii="Times New Roman" w:hAnsi="Times New Roman"/>
          <w:w w:val="100"/>
          <w:sz w:val="19"/>
        </w:rPr>
        <w:t>: στοιχεία ασφαλείας εγγράφου, τα οποία διαφοροποιούνται ή καθίστανται ελαττωματικά κατά την αντιγραφή.</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Αφαίρεση</w:t>
      </w:r>
      <w:r>
        <w:rPr>
          <w:rFonts w:ascii="Times New Roman" w:hAnsi="Times New Roman"/>
          <w:w w:val="100"/>
          <w:sz w:val="19"/>
        </w:rPr>
        <w:t>: αφαίρεση στρωμάτων, όπως, π.χ., του υλικού που πρέπει να ξυθεί, τα οποία αποκρύπτουν πληροφορίες του παιγνίου.</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Μικροκείμενο</w:t>
      </w:r>
      <w:r>
        <w:rPr>
          <w:rFonts w:ascii="Times New Roman" w:hAnsi="Times New Roman"/>
          <w:w w:val="100"/>
          <w:sz w:val="19"/>
        </w:rPr>
        <w:t>: μικρό κείμενο με μέγιστο ύψος 0,30 mm και ελάχιστο μήκος 35 mm, το οποίο με γυμνό μάτι δίνει την εντύπωση ότι πρόκειται για γραμμή, αλλά είναι σαφώς αναγνώσιμο μέσω μεγέθυνσης.</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Ανάγλυφο</w:t>
      </w:r>
      <w:r>
        <w:rPr>
          <w:rFonts w:ascii="Times New Roman" w:hAnsi="Times New Roman"/>
          <w:w w:val="100"/>
          <w:sz w:val="19"/>
        </w:rPr>
        <w:t xml:space="preserve">: χαρακτήρες, αριθμοί ή σύμβολα που παράγονται με στρώση μελάνης μεγάλου πάχους, η οποία δημιουργεί ανυψωμένη επιφάνεια στο χαρτί. </w:t>
      </w:r>
      <w:r>
        <w:rPr>
          <w:rFonts w:ascii="Times New Roman" w:hAnsi="Times New Roman"/>
          <w:w w:val="100"/>
          <w:sz w:val="19"/>
        </w:rPr>
        <w:t>Εναλλακτικά, οι χαρακτήρες, οι αριθμοί ή τα σύμβολα πιέζονται στο χαρτί με αποτέλεσμα τη χάραξη της επιφάνειας.</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Αναπαραγωγή</w:t>
      </w:r>
      <w:r>
        <w:rPr>
          <w:rFonts w:ascii="Times New Roman" w:hAnsi="Times New Roman"/>
          <w:w w:val="100"/>
          <w:sz w:val="19"/>
        </w:rPr>
        <w:t>: απεικόνιση με χρήση τεχνικού εξοπλισμού και μετέπειτα τύπωση ή εκτύπωση.</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Πληροφορίες παιγνίου</w:t>
      </w:r>
      <w:r>
        <w:rPr>
          <w:rFonts w:ascii="Times New Roman" w:hAnsi="Times New Roman"/>
          <w:w w:val="100"/>
          <w:sz w:val="19"/>
        </w:rPr>
        <w:t>: οι πληροφορίες σε ένα λαχνό λαχείου που καθορίζουν κατά πόσον αυτός κερδίζει ή χάνει.</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Υδατογράφημα</w:t>
      </w:r>
      <w:r>
        <w:rPr>
          <w:rFonts w:ascii="Times New Roman" w:hAnsi="Times New Roman"/>
          <w:w w:val="100"/>
          <w:sz w:val="19"/>
        </w:rPr>
        <w:t xml:space="preserve">: εικόνες ή μοτίβα που δημιουργούνται κατά τη διαδικασία παραγωγής του χαρτιού και εμφανίζονται κατά τη δίοδο του φωτός. </w:t>
      </w:r>
      <w:r>
        <w:rPr>
          <w:rFonts w:ascii="Times New Roman" w:hAnsi="Times New Roman"/>
          <w:w w:val="100"/>
          <w:sz w:val="19"/>
        </w:rPr>
        <w:t>Η εικόνα/το μοτίβο εμφανίζεται επειδή το χαρτί έχει διαφορετικά πάχη. Τα σημεία με μεγαλύτερο πάχος εμφανίζονται ως σκοτεινότερα και τα σημεία με μικρότερο πάχος ως φωτεινότερα.</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Μοτίβο ασφαλείας</w:t>
      </w:r>
      <w:r>
        <w:rPr>
          <w:rFonts w:ascii="Times New Roman" w:hAnsi="Times New Roman"/>
          <w:w w:val="100"/>
          <w:sz w:val="19"/>
        </w:rPr>
        <w:t xml:space="preserve">: λεπτές γραμμές δύο τουλάχιστον χρωμάτων μέγιστου πλάτους γραμμής 0,10 mm που τέμνονται υπό οξεία γωνία. </w:t>
      </w:r>
      <w:r>
        <w:rPr>
          <w:rFonts w:ascii="Times New Roman" w:hAnsi="Times New Roman"/>
          <w:w w:val="100"/>
          <w:sz w:val="19"/>
        </w:rPr>
        <w:t>Μπορεί επίσης να είναι ένα ανάγλυφο γραμμών, δηλ., λεπτές συμπαγείς γραμμές που δημιουργούν ένα σχέδιο το οποίο δίνει την εντύπωση ότι είναι ανάγλυφο (τρισδιάστατο).</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Επισήμανση</w:t>
      </w:r>
      <w:r>
        <w:rPr>
          <w:rFonts w:ascii="Times New Roman" w:hAnsi="Times New Roman"/>
          <w:w w:val="100"/>
          <w:sz w:val="19"/>
        </w:rPr>
        <w:t>: εκτυπωμένη εικόνα ή μοτίβο που τοποθετείται στην εξωτερική επιφάνεια μιας επίστρωσης απόξεσης ή παρόμοιας επίστρωσης που είναι σχεδιασμένη έτσι ώστε να επισημαίνει με σαφήνεια εάν η επίστρωση απόξεσης έχει αφαιρεθεί.</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 xml:space="preserve">Κεφάλαιο 2. </w:t>
      </w:r>
      <w:r>
        <w:rPr>
          <w:rFonts w:ascii="Times New Roman" w:hAnsi="Times New Roman"/>
          <w:w w:val="100"/>
          <w:sz w:val="21"/>
        </w:rPr>
        <w:t>Ειδικά για λαχειοφόρες αγορές για σκοπούς δημόσιου συμφέροντος</w:t>
      </w:r>
    </w:p>
    <w:p w:rsidR="00A457A5" w:rsidRPr="0076436D" w:rsidRDefault="00A457A5" w:rsidP="00F47340">
      <w:pPr>
        <w:pStyle w:val="Brdtexthalv"/>
        <w:rPr>
          <w:rFonts w:ascii="Times New Roman" w:hAnsi="Times New Roman" w:cs="Times New Roman"/>
          <w:b/>
          <w:bCs/>
          <w:w w:val="100"/>
          <w:sz w:val="19"/>
          <w:szCs w:val="19"/>
        </w:rPr>
      </w:pPr>
      <w:r>
        <w:rPr>
          <w:rFonts w:ascii="Times New Roman" w:hAnsi="Times New Roman"/>
          <w:b/>
          <w:w w:val="100"/>
          <w:sz w:val="19"/>
        </w:rPr>
        <w:t xml:space="preserve">Άρθρο 1 </w:t>
      </w:r>
      <w:r>
        <w:rPr>
          <w:rFonts w:ascii="Times New Roman" w:hAnsi="Times New Roman"/>
          <w:w w:val="100"/>
          <w:sz w:val="19"/>
        </w:rPr>
        <w:t>Πριν από την πώληση λαχνών λαχείου για λαχειοφόρες αγορές ορίζεται λογιστής/ελεγκτής για λόγους δημόσιου συμφέροντος σύμφωνα με το κεφάλαιο 6, άρθρο 3 του νόμου περί τυχερών παιγνίων (2018:1138).</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Ο λογιστής/ελεγκτής εξετάζει τους λογαριασμούς της λαχειοφόρου αγοράς και συντάσσει έκθεση ελέγχου.</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Γενικές συστάσεις:</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Στις περιπτώσεις στις οποίες ο κύκλος εργασιών λαχειοφόρου αγοράς εκτιμάται ότι υπερβαίνει τα 5 εκατομμύρια σουηδικές κορόνες (SEK), ορίζεται ορκωτός λογιστής ή ορκωτός ελεγκτής.</w:t>
      </w:r>
    </w:p>
    <w:p w:rsidR="00A457A5" w:rsidRPr="0076436D" w:rsidRDefault="00A457A5" w:rsidP="00F47340">
      <w:pPr>
        <w:pStyle w:val="brdtextfyrkant"/>
        <w:ind w:left="1120" w:firstLine="200"/>
        <w:rPr>
          <w:rFonts w:ascii="Times New Roman" w:hAnsi="Times New Roman" w:cs="Times New Roman"/>
          <w:w w:val="100"/>
          <w:sz w:val="19"/>
          <w:szCs w:val="19"/>
        </w:rPr>
      </w:pPr>
      <w:r>
        <w:rPr>
          <w:rFonts w:ascii="Times New Roman" w:hAnsi="Times New Roman"/>
          <w:w w:val="100"/>
          <w:sz w:val="19"/>
        </w:rPr>
        <w:t>Η έκθεση πρέπει να συμμορφώνεται προς τις οδηγίες της Σουηδικής Αρχής Τυχερών Παιγνίων για τους λογιστές/ελεγκτές λαχειοφόρων αγορών για σκοπούς δημοσίου συμφέροντος.</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Άρθρο 2</w:t>
      </w:r>
      <w:r>
        <w:rPr>
          <w:rFonts w:ascii="Times New Roman" w:hAnsi="Times New Roman"/>
          <w:w w:val="100"/>
          <w:sz w:val="19"/>
        </w:rPr>
        <w:t xml:space="preserve"> Όταν ολοκληρώνεται μια λαχειοφόρος αγορά, ο κάτοχος της άδειας θα πρέπει να παρέχει τους λογαριασμούς και την έκθεση ελέγχου στη Σουηδική Αρχή Τυχερών Παιγνίων.</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 xml:space="preserve">Κεφάλαιο 3. </w:t>
      </w:r>
      <w:r>
        <w:rPr>
          <w:rFonts w:ascii="Times New Roman" w:hAnsi="Times New Roman"/>
          <w:w w:val="100"/>
          <w:sz w:val="21"/>
        </w:rPr>
        <w:t>Πίνακας πληρωμών, κέρδη, κληρώσεις και αποτελέσματα κληρώσεων</w:t>
      </w:r>
    </w:p>
    <w:p w:rsidR="00A457A5" w:rsidRPr="0076436D" w:rsidRDefault="00A457A5" w:rsidP="00F47340">
      <w:pPr>
        <w:pStyle w:val="Rubrik40"/>
        <w:keepLines/>
        <w:widowControl/>
        <w:rPr>
          <w:rFonts w:ascii="Times New Roman" w:hAnsi="Times New Roman" w:cs="Times New Roman"/>
          <w:w w:val="100"/>
          <w:sz w:val="19"/>
          <w:szCs w:val="19"/>
        </w:rPr>
      </w:pPr>
      <w:r>
        <w:rPr>
          <w:rFonts w:ascii="Times New Roman" w:hAnsi="Times New Roman"/>
          <w:w w:val="100"/>
          <w:sz w:val="19"/>
        </w:rPr>
        <w:t>Πίνακας πληρωμών</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Άρθρο 1</w:t>
      </w:r>
      <w:r>
        <w:rPr>
          <w:rFonts w:ascii="Times New Roman" w:hAnsi="Times New Roman"/>
          <w:w w:val="100"/>
          <w:sz w:val="19"/>
        </w:rPr>
        <w:t xml:space="preserve"> Οι έντυποι ή ηλεκτρονικοί λαχνοί λαχείου πρέπει να συνάδουν με τον καθορισμένο πίνακα πληρωμών.</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Οι κερδοφόροι λαχνοί λαχείου δεν επιτρέπεται να διατίθενται ξεχωριστά από τους μη κερδοφόρους.</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Κέρδη</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Άρθρο 2</w:t>
      </w:r>
      <w:r>
        <w:rPr>
          <w:rFonts w:ascii="Times New Roman" w:hAnsi="Times New Roman"/>
          <w:w w:val="100"/>
          <w:sz w:val="19"/>
        </w:rPr>
        <w:t xml:space="preserve"> Εάν σε λαχειοφόρο αγορά υπάρχουν άλλα βραβεία πέραν των χρηματικών, λαμβάνεται υπόψη η αγοραστική τους αξία.</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Βραβεία η αξία των οποίων είναι δύσκολο να καθοριστεί, αξιολογούνται από ανεξάρτητο εμπειρογνώμονα.</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Γενικές συστάσεις:</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Η αξία βραβείων υπό μορφή, για παράδειγμα, τέχνης και άλλων αγαθών ενδέχεται να είναι δύσκολο να αξιολογηθεί από τον κάτοχο της άδειας.</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Λαχνοί λαχείου που έχουν μετα-κληρωθεί</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Άρθρο 3</w:t>
      </w:r>
      <w:r>
        <w:rPr>
          <w:rFonts w:ascii="Times New Roman" w:hAnsi="Times New Roman"/>
          <w:w w:val="100"/>
          <w:sz w:val="19"/>
        </w:rPr>
        <w:t xml:space="preserve"> Εάν ένα αποτέλεσμα κλήρωσης βασίζεται μόνο σε πωληθέντες λαχνούς, οι μη πωληθέντες λαχνοί πρέπει να καταγράφονται πριν από την κλήρωση.</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Πρωτόκολλο, αλλαγές και ακύρωση αποτελεσμάτων κλήρωσης</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 xml:space="preserve">Άρθρο 4 </w:t>
      </w:r>
      <w:r>
        <w:rPr>
          <w:rFonts w:ascii="Times New Roman" w:hAnsi="Times New Roman"/>
          <w:w w:val="100"/>
          <w:sz w:val="19"/>
        </w:rPr>
        <w:t xml:space="preserve">Το αποτέλεσμα κλήρωσης πρέπει να καταγράφεται σε πρωτόκολλο. </w:t>
      </w:r>
      <w:r>
        <w:rPr>
          <w:rFonts w:ascii="Times New Roman" w:hAnsi="Times New Roman"/>
          <w:w w:val="100"/>
          <w:sz w:val="19"/>
        </w:rPr>
        <w:t>Το πρωτόκολλο αποθηκεύεται για τη διάρκεια ισχύος της άδειας.</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w w:val="100"/>
          <w:sz w:val="19"/>
        </w:rPr>
        <w:t xml:space="preserve">Άρθρο 5 </w:t>
      </w:r>
      <w:r>
        <w:rPr>
          <w:rFonts w:ascii="Times New Roman" w:hAnsi="Times New Roman"/>
          <w:w w:val="100"/>
          <w:sz w:val="19"/>
        </w:rPr>
        <w:t>Τα αποτελέσματα κλήρωσης δεν αλλάζουν.</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Τα αποτελέσματα κλήρωσης ακυρώνονται πριν από τη δημοσίευση των αποτελεσμάτων σε περίπτωση σφαλμάτων που επηρέασαν τα αποτελέσματα.</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Εάν αποτέλεσμα κλήρωσης ακυρωθεί σύμφωνα με την προηγούμενη παράγραφο, τα δεδομένα και το ακυρωθέν αποτέλεσμα καταγράφεται και αποθηκεύεται για τη διάρκεια ισχύος της άδειας.</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 xml:space="preserve">Κεφάλαιο 4. </w:t>
      </w:r>
      <w:r>
        <w:rPr>
          <w:rFonts w:ascii="Times New Roman" w:hAnsi="Times New Roman"/>
          <w:w w:val="100"/>
          <w:sz w:val="21"/>
        </w:rPr>
        <w:t>Χαρακτηριστικά έντυπων λαχνών λαχείου</w:t>
      </w:r>
    </w:p>
    <w:p w:rsidR="00A457A5" w:rsidRPr="0076436D" w:rsidRDefault="00A457A5" w:rsidP="00F47340">
      <w:pPr>
        <w:pStyle w:val="Brdtexthalv"/>
        <w:keepNext/>
        <w:keepLines/>
        <w:rPr>
          <w:rFonts w:ascii="Times New Roman" w:hAnsi="Times New Roman" w:cs="Times New Roman"/>
          <w:w w:val="100"/>
          <w:sz w:val="19"/>
          <w:szCs w:val="19"/>
        </w:rPr>
      </w:pPr>
      <w:r>
        <w:rPr>
          <w:rFonts w:ascii="Times New Roman" w:hAnsi="Times New Roman"/>
          <w:b/>
          <w:w w:val="100"/>
          <w:sz w:val="19"/>
        </w:rPr>
        <w:t>Άρθρο 1</w:t>
      </w:r>
      <w:r>
        <w:rPr>
          <w:rFonts w:ascii="Times New Roman" w:hAnsi="Times New Roman"/>
          <w:w w:val="100"/>
          <w:sz w:val="19"/>
        </w:rPr>
        <w:t xml:space="preserve"> Οι επιμέρους λαχνοί σε κλήρωση δεύτερης σειράς πρέπει να είναι μοναδικοί.</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Ο επιμέρους λαχνός λαχείου ανήκει σε ένα σύνολο ή γύρο σύμφωνα με τη χορηγηθείσα άδεια.</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w w:val="100"/>
          <w:sz w:val="19"/>
        </w:rPr>
        <w:t>Άρθρο 2</w:t>
      </w:r>
      <w:r>
        <w:rPr>
          <w:rFonts w:ascii="Times New Roman" w:hAnsi="Times New Roman"/>
          <w:w w:val="100"/>
          <w:sz w:val="19"/>
        </w:rPr>
        <w:t xml:space="preserve"> Οι έντυποι/ηλεκτρονικοί λαχνοί λαχείου δεν πρέπει να έχουν φυσικά ελαττώματα ή σημάδια που καθιστούν δυνατή τη διαλογή των κερδοφόρων λαχνών.</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Δεν πρέπει να είναι δυνατή η ανάγνωση των πληροφοριών παιγνίου σε ένα σφραγισμένο λαχνό λαχείου.</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Οι σφραγισμένοι λαχνοί λαχείου πρέπει να διαθέτουν διασφαλίσεις έναντι παραβίασης και αναπαραγωγής.</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Άρθρο 3</w:t>
      </w:r>
      <w:r>
        <w:t xml:space="preserve"> </w:t>
      </w:r>
      <w:r>
        <w:rPr>
          <w:rFonts w:ascii="Times New Roman" w:hAnsi="Times New Roman"/>
          <w:w w:val="100"/>
          <w:sz w:val="19"/>
        </w:rPr>
        <w:t>Εάν υπάρχουν ελαττώματα στην ποιότητα των λαχνών λαχείου με αποτέλεσμα αυτοί να μην συνάδουν με τις απαιτήσεις των παρόντων κανονισμών, η παραγωγή τερματίζεται και όλοι οι υφιστάμενοι λαχνοί ακυρώνονται.</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w w:val="100"/>
          <w:sz w:val="19"/>
        </w:rPr>
        <w:t>Άρθρο 4</w:t>
      </w:r>
      <w:r>
        <w:t xml:space="preserve"> </w:t>
      </w:r>
      <w:r>
        <w:rPr>
          <w:rFonts w:ascii="Times New Roman" w:hAnsi="Times New Roman"/>
          <w:w w:val="100"/>
          <w:sz w:val="19"/>
        </w:rPr>
        <w:t>Τα παρακάτω ισχύουν για σφραγισμένους λαχνούς λαχείου που έχουν προ-κληρωθεί με μέγιστη αξία κέρδους που υπερβαίνει τη μία (1) τιμή βάσης.</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Δεν πρέπει να είναι δυνατή η εκ νέου σφράγιση ενός ανοικτού λαχνού.</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Δεν πρέπει να είναι δυνατή η ανάγνωση των πληροφοριών παιγνίου με τη διέλευση φωτός μέσω αυτών.</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Οι πληροφορίες παιγνίου δεν πρέπει να δημιουργούν ανάγλυφο ή χάραξη στην εξωτερική επιφάνεια της σφράγισης.</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Οι λαχνοί πρέπει να φέρουν προστασία έναντι αντιγραφής.</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Οι λαχνοί πρέπει να διαθέτουν στοιχείο ασφαλείας υπεριώδους ακτινοβολίας.</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Το πεδίο απόξεσης πρέπει να διαθέτει επισήμανση η οποία αποκρύπτει τις πληροφορίες παιγνίου και τα πεδία ελέγχου.</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Τα σφραγισμένα πεδία ελέγχου πρέπει να διασφαλίζονται έναντι της αφαίρεσης και της ανάγνωσης.</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Δεν πρέπει να είναι δυνατή η ανάγνωση των πληροφοριών παιγνίου μέσω στατικού ηλεκτρισμού.</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Οι θέσεις των πληροφοριών παιγνίου δεν πρέπει να είναι σταθερές.</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Οι πληροφορίες παιγνίου πρέπει να διασφαλίζονται έναντι παραποίησης.</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Οι λαχνοί πρέπει να διαθέτουν μικροκείμενο.</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Γενικές συστάσεις:</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Παραδείγματα προστασίας αντιγράφου περιλαμβάνουν χρώματα τα οποία είναι δύσκολο να αντιγραφούν, ράστερ, εκτυπώσεις ή τελειώματα διαφορετικής ανακλαστικότητας όπως γυαλιστερό τελείωμα σε ματ χαρτί και ειδικό χαρτί.</w:t>
      </w:r>
    </w:p>
    <w:p w:rsidR="00A457A5" w:rsidRPr="0076436D" w:rsidRDefault="00A457A5" w:rsidP="00F47340">
      <w:pPr>
        <w:pStyle w:val="brdtextfyrkant"/>
        <w:ind w:left="1120" w:firstLine="200"/>
        <w:rPr>
          <w:rFonts w:ascii="Times New Roman" w:hAnsi="Times New Roman" w:cs="Times New Roman"/>
          <w:w w:val="100"/>
          <w:sz w:val="19"/>
          <w:szCs w:val="19"/>
          <w:u w:val="thick"/>
        </w:rPr>
      </w:pPr>
      <w:r>
        <w:rPr>
          <w:rFonts w:ascii="Times New Roman" w:hAnsi="Times New Roman"/>
          <w:w w:val="100"/>
          <w:sz w:val="19"/>
        </w:rPr>
        <w:t>Το μικροκείμενο μπορεί να τοποθετηθεί σε πεδίο απόξεσης.</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w w:val="100"/>
          <w:sz w:val="19"/>
        </w:rPr>
        <w:t>Άρθρο 5</w:t>
      </w:r>
      <w:r>
        <w:t xml:space="preserve"> </w:t>
      </w:r>
      <w:r>
        <w:rPr>
          <w:rFonts w:ascii="Times New Roman" w:hAnsi="Times New Roman"/>
          <w:w w:val="100"/>
          <w:sz w:val="19"/>
        </w:rPr>
        <w:t>Τα παρακάτω ισχύουν για λαχνούς λαχείου που έχουν μετά-κληρωθεί με μέγιστη αξία κέρδους που υπερβαίνει τη μία (1) τιμή βάσης</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Οι λαχνοί πρέπει να φέρουν προστασία έναντι αντιγραφής.</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Οι λαχνοί πρέπει να διαθέτουν στοιχείο ασφαλείας υπεριώδους ακτινοβολίας.</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Οι λαχνοί πρέπει να διαθέτουν ένα μοτίβο ασφαλείας.</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Οι πληροφορίες παιγνίου πρέπει να διασφαλίζονται έναντι παραποίησης.</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Οι λαχνοί πρέπει να διαθέτουν μικροκείμενο.</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Οι λαχνοί πρέπει να παράγονται σε χαρτί με υδατογράφημα ή χαρτί με αντίστοιχο επίπεδο ασφαλείας</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Το χαρτί πρέπει να διαθέτει διασφάλιση έναντι χημικής διαγραφής.</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Γενικές συστάσεις:</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 xml:space="preserve">Παραδείγματα προστασίας αντιγράφου περιλαμβάνουν χρώματα τα οποία είναι δύσκολο να αντιγραφούν, ράστερ, εκτυπώσεις ή τελειώματα διαφορετικής ανακλαστικότητας όπως γυαλιστερό τελείωμα σε ματ χαρτί και ειδικό χαρτί. </w:t>
      </w:r>
      <w:r>
        <w:rPr>
          <w:rFonts w:ascii="Times New Roman" w:hAnsi="Times New Roman"/>
          <w:w w:val="100"/>
          <w:sz w:val="19"/>
        </w:rPr>
        <w:t>Το μικροκείμενο μπορεί να τοποθετηθεί σε πεδίο απόξεσης.</w:t>
      </w:r>
    </w:p>
    <w:p w:rsidR="00A457A5" w:rsidRPr="0076436D" w:rsidRDefault="00A457A5" w:rsidP="00F47340">
      <w:pPr>
        <w:pStyle w:val="brdtextfyrkant"/>
        <w:ind w:left="1120" w:firstLine="200"/>
        <w:rPr>
          <w:rFonts w:ascii="Times New Roman" w:hAnsi="Times New Roman" w:cs="Times New Roman"/>
          <w:w w:val="100"/>
          <w:sz w:val="19"/>
          <w:szCs w:val="19"/>
        </w:rPr>
      </w:pPr>
      <w:r>
        <w:rPr>
          <w:rFonts w:ascii="Times New Roman" w:hAnsi="Times New Roman"/>
          <w:w w:val="100"/>
          <w:sz w:val="19"/>
        </w:rPr>
        <w:t>Το «χαρτί με αντίστοιχο επίπεδο ασφαλείας» μπορεί να σημαίνει ότι ο λαχνός λαχείου διαθέτει συνδυασμό διαφορετικών χαρακτηριστικών ασφαλείας που παρέχουν ασφάλεια αντίστοιχη με το χαρτί με υδατογράφημα.</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w w:val="100"/>
          <w:sz w:val="19"/>
        </w:rPr>
        <w:t>Άρθρο 6</w:t>
      </w:r>
      <w:r>
        <w:t xml:space="preserve"> </w:t>
      </w:r>
      <w:r>
        <w:rPr>
          <w:rFonts w:ascii="Times New Roman" w:hAnsi="Times New Roman"/>
          <w:w w:val="100"/>
          <w:sz w:val="19"/>
        </w:rPr>
        <w:t>Τ</w:t>
      </w:r>
      <w:r>
        <w:rPr>
          <w:rFonts w:ascii="Times New Roman" w:hAnsi="Times New Roman"/>
          <w:w w:val="100"/>
          <w:sz w:val="19"/>
        </w:rPr>
        <w:t>α παρακάτω ισχύουν για ηλεκτρονικούς λαχνούς λαχείου με μέγιστη αξία κέρδους που υπερβαίνει το 1/6 της τιμής βάσης</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Η ενεργοποίηση και η εκ νέου ρύθμιση των λαχνών πρέπει να αφήνει σαφή σημάδια.</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Οι λαχνοί πρέπει να διαθέτουν στοιχείο ασφαλείας υπεριώδους ακτινοβολίας.</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Οι λαχνοί πρέπει να φέρουν προστασία έναντι αντιγραφής.</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Οι λαχνοί πρέπει να διαθέτουν πεδίο ελέγχου με επισήμανση.</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Τα ηλεκτρονικά συστήματα και οι οθόνες πρέπει να διασφαλίζονται έναντι παραποίησης.</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Οι λαχνοί πρέπει να διαθέτουν μικροκείμενο.</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Γενικές συστάσεις:</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 xml:space="preserve">Παραδείγματα προστασίας αντιγράφου περιλαμβάνουν χρώματα τα οποία είναι δύσκολο να αντιγραφούν, ράστερ, εκτυπώσεις ή τελειώματα διαφορετικής ανακλαστικότητας όπως γυαλιστερό τελείωμα σε ματ χαρτί και ειδικό χαρτί. </w:t>
      </w:r>
      <w:r>
        <w:rPr>
          <w:rFonts w:ascii="Times New Roman" w:hAnsi="Times New Roman"/>
          <w:w w:val="100"/>
          <w:sz w:val="19"/>
        </w:rPr>
        <w:t>Το μικροκείμενο μπορεί να τοποθετηθεί σε πεδίο απόξεσης.</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 xml:space="preserve">Κεφάλαιο 5. </w:t>
      </w:r>
      <w:r>
        <w:rPr>
          <w:rFonts w:ascii="Times New Roman" w:hAnsi="Times New Roman"/>
          <w:w w:val="100"/>
          <w:sz w:val="21"/>
        </w:rPr>
        <w:t>Διαχείριση λαχνών λαχείου</w:t>
      </w:r>
    </w:p>
    <w:p w:rsidR="00A457A5" w:rsidRPr="0076436D" w:rsidRDefault="00A457A5" w:rsidP="00F47340">
      <w:pPr>
        <w:pStyle w:val="Rubrik40"/>
        <w:keepLines/>
        <w:widowControl/>
        <w:rPr>
          <w:rFonts w:ascii="Times New Roman" w:hAnsi="Times New Roman" w:cs="Times New Roman"/>
          <w:w w:val="100"/>
          <w:sz w:val="19"/>
          <w:szCs w:val="19"/>
        </w:rPr>
      </w:pPr>
      <w:r>
        <w:rPr>
          <w:rFonts w:ascii="Times New Roman" w:hAnsi="Times New Roman"/>
          <w:w w:val="100"/>
          <w:sz w:val="19"/>
        </w:rPr>
        <w:t>Διαχείριση ολοκληρωμένων λαχνών λαχείου</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Άρθρο 1</w:t>
      </w:r>
      <w:r>
        <w:t xml:space="preserve"> </w:t>
      </w:r>
      <w:r>
        <w:rPr>
          <w:rFonts w:ascii="Times New Roman" w:hAnsi="Times New Roman"/>
          <w:w w:val="100"/>
          <w:sz w:val="19"/>
        </w:rPr>
        <w:t>Πρέπει να υφίστανται τεκμηριωμένες διαδικασίες για τη διαχείριση ολοκληρωμένων λαχνών λαχείου.</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Οι διαδικασίες ισχύουν επίσης για εν μέρει ολοκληρωμένους λαχνούς λαχείου.</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Άρθρο 2</w:t>
      </w:r>
      <w:r>
        <w:t xml:space="preserve"> </w:t>
      </w:r>
      <w:r>
        <w:rPr>
          <w:rFonts w:ascii="Times New Roman" w:hAnsi="Times New Roman"/>
          <w:w w:val="100"/>
          <w:sz w:val="19"/>
        </w:rPr>
        <w:t>Μη εξουσιοδοτημένα άτομα δεν μπορούν να αποκτήσουν πλήρη εικόνα των σημείων που βρίσκονται οι κερδοφόροι λαχνοί μεταξύ των ολοκληρωμένων λαχνών λαχείου κατά τη δημιουργία των δεδομένων παιγνίου.</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Άρθρο 3</w:t>
      </w:r>
      <w:r>
        <w:t xml:space="preserve"> </w:t>
      </w:r>
      <w:r>
        <w:rPr>
          <w:rFonts w:ascii="Times New Roman" w:hAnsi="Times New Roman"/>
          <w:w w:val="100"/>
          <w:sz w:val="19"/>
        </w:rPr>
        <w:t>Ολοκληρωμένα προϊόντα και άλλα ευαίσθητα υλικά πρέπει να φυλάσσονται με ασφαλή και προστατευμένο τρόπο κατάλληλο για αυτόν τον σκοπό</w:t>
      </w:r>
      <w:r>
        <w:rPr>
          <w:rFonts w:ascii="Times New Roman" w:hAnsi="Times New Roman"/>
          <w:w w:val="100"/>
          <w:sz w:val="19"/>
        </w:rPr>
        <w:t>.</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Κάρτες, κωδικοί, κλειδιά και άλλα παρόμοια μέσα για πρόσβαση σε χώρους διαχείρισης ή φύλαξης έντυπων λαχνών λαχείου πρέπει να ελέγχονται, ώστε να μην αποκτούν πρόσβαση μη εξουσιοδοτημένα άτομα.</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w w:val="100"/>
          <w:sz w:val="19"/>
        </w:rPr>
        <w:t>Άρθρο 4</w:t>
      </w:r>
      <w:r>
        <w:t xml:space="preserve"> </w:t>
      </w:r>
      <w:r>
        <w:rPr>
          <w:rFonts w:ascii="Times New Roman" w:hAnsi="Times New Roman"/>
          <w:w w:val="100"/>
          <w:sz w:val="19"/>
        </w:rPr>
        <w:t>Οι έντυποι λαχνοί λαχείου πρέπει να συσκευάζονται έτσι ώστε να πρέπει να σπάσει το εξωτερικό ή άλλο περιτύλιγμα προκειμένου να αποκτηθεί πρόσβαση στον επιμέρους λαχνό.</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Εάν οι έντυποι λαχνοί λαχείου συσκευάζονται σε παλέτα, η παλέτα πρέπει να σφραγίζεται έτσι ώστε να μην είναι εμφανές το περιεχόμενο.</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Οποιεσδήποτε ρωγμές στη σφραγίδα ή το περιτύλιγμα πρέπει να καταγράφονται.</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Άρθρο 5</w:t>
      </w:r>
      <w:r>
        <w:t xml:space="preserve"> </w:t>
      </w:r>
      <w:r>
        <w:rPr>
          <w:rFonts w:ascii="Times New Roman" w:hAnsi="Times New Roman"/>
          <w:w w:val="100"/>
          <w:sz w:val="19"/>
        </w:rPr>
        <w:t>Η μεταφορά των ολοκληρωμένων λαχνών λαχείου πρέπει να πραγματοποιείται με ασφαλή τρόπο.</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Γενικές συστάσεις:</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 xml:space="preserve">Η μεταφορά των ολοκληρωμένων λαχνών λαχείου πρέπει να ανατίθεται σε ευυπόληπτες εταιρείες που διαθέτουν οχήματα τα οποία μπορούν να σφραγιστούν. </w:t>
      </w:r>
      <w:r>
        <w:rPr>
          <w:rFonts w:ascii="Times New Roman" w:hAnsi="Times New Roman"/>
          <w:w w:val="100"/>
          <w:sz w:val="19"/>
        </w:rPr>
        <w:t xml:space="preserve">Η διαχείριση της επιλογής διαδρομής πρέπει να είναι τέτοια ώστε ο μεταφορέας να μην επιλέγει μια πιο επικίνδυνη διαδρομή με σκοπό, για παράδειγμα, το οικονομικό όφελος. </w:t>
      </w:r>
      <w:r>
        <w:rPr>
          <w:rFonts w:ascii="Times New Roman" w:hAnsi="Times New Roman"/>
          <w:w w:val="100"/>
          <w:sz w:val="19"/>
        </w:rPr>
        <w:t>Θα πρέπει να αποφεύγονται οι στάσεις καθ’ οδόν.</w:t>
      </w:r>
    </w:p>
    <w:p w:rsidR="00A457A5" w:rsidRPr="0076436D" w:rsidRDefault="00A457A5" w:rsidP="00F47340">
      <w:pPr>
        <w:pStyle w:val="brdtextfyrkant"/>
        <w:ind w:left="1120" w:firstLine="200"/>
        <w:rPr>
          <w:rFonts w:ascii="Times New Roman" w:hAnsi="Times New Roman" w:cs="Times New Roman"/>
          <w:w w:val="100"/>
          <w:sz w:val="19"/>
          <w:szCs w:val="19"/>
        </w:rPr>
      </w:pPr>
      <w:r>
        <w:rPr>
          <w:rFonts w:ascii="Times New Roman" w:hAnsi="Times New Roman"/>
          <w:w w:val="100"/>
          <w:sz w:val="19"/>
        </w:rPr>
        <w:t xml:space="preserve">Οι παραδόσεις θα πρέπει να σχεδιάζονται έτσι ώστε τα αγαθά να μπορούν να εκφορτώνονται και να τοποθετούνται αμέσως σε ασφαλή αποθηκευτικό χώρο κατά την άφιξή τους. </w:t>
      </w:r>
      <w:r>
        <w:rPr>
          <w:rFonts w:ascii="Times New Roman" w:hAnsi="Times New Roman"/>
          <w:w w:val="100"/>
          <w:sz w:val="19"/>
        </w:rPr>
        <w:t>Θα πρέπει να αποφεύγεται να παραμένουν τα φορτηγά ασυνόδευτα κατά τη διάρκεια της νύχτας ή οποιαδήποτε άλλη στιγμή.</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Διαχείριση μη πωληθέντων λαχνών λαχείου και εξαργυρωθέντων κερδοφόρων λαχνών</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Άρθρο 6</w:t>
      </w:r>
      <w:r>
        <w:t xml:space="preserve"> </w:t>
      </w:r>
      <w:r>
        <w:rPr>
          <w:rFonts w:ascii="Times New Roman" w:hAnsi="Times New Roman"/>
          <w:w w:val="100"/>
          <w:sz w:val="19"/>
        </w:rPr>
        <w:t>Πρέπει να υφίστανται τεκμηριωμένες διαδικασίες για τη διαχείριση των μη πωληθέντων λαχνών λαχείου και εξαργυρωθέντων κερδοφόρων λαχνών.</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Οι μη πωληθέντες λαχνοί λαχείου και οι εξαργυρωθέντες κερδοφόροι λαχνοί θα πρέπει να καταστρέφονται το συντομότερο δυνατό μετά την ολοκλήρωση της λαχειοφόρου αγοράς.</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Εάν πραγματοποιηθεί ακύρωση κέρδους μέσω συστήματος τυχερού παιγνίου, η εν λόγω ακύρωση κέρδους αντικαθιστά την καταστροφή που αναφέρεται στην προηγούμενη παράγραφο.</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Διαχείριση λαχνών λαχείου που έχουν υποστεί ζημιά</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Άρθρο 7</w:t>
      </w:r>
      <w:r>
        <w:t xml:space="preserve"> </w:t>
      </w:r>
      <w:r>
        <w:rPr>
          <w:rFonts w:ascii="Times New Roman" w:hAnsi="Times New Roman"/>
          <w:w w:val="100"/>
          <w:sz w:val="19"/>
        </w:rPr>
        <w:t>Πρέπει να υφίστανται τεκμηριωμένες διαδικασίες για τη διαχείριση των έντυπων λαχνών λαχείου που έχουν υποστεί ζημιά κατά την παραγωγή ή παράδοση.</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Εάν οι λαχνοί λαχείου που έχουν υποστεί ζημιά κατά την παραγωγή ή παράδοση έχουν ανταλλαγεί, ο πίνακας πληρωμών, η διανομή των κερδών και ο αριθμός των λαχνών θα πρέπει εξακολουθούν να αντιστοιχούν στη σειρά.</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Οι έντυποι λαχνοί λαχείου που έχουν υποστεί ζημιά θα πρέπει να καταγράφονται και να καταστρέφονται.</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Διαχείριση έντυπου υλικού και άλλου εξοπλισμού που έχει απορριφθεί</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Άρθρο 8</w:t>
      </w:r>
      <w:r>
        <w:t xml:space="preserve"> </w:t>
      </w:r>
      <w:r>
        <w:rPr>
          <w:rFonts w:ascii="Times New Roman" w:hAnsi="Times New Roman"/>
          <w:w w:val="100"/>
          <w:sz w:val="19"/>
        </w:rPr>
        <w:t>Πρέπει να υφίστανται τεκμηριωμένες διαδικασίες για τη διαχείριση απορριφθέντος έντυπου υλικού και άλλου εξοπλισμού που χρησιμοποιείται κατά την παραγωγή ή παράδοση έντυπων λαχνών λαχείου.</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Το σύνολο του απορριφθέντος έντυπου υλικού θα πρέπει να καταγράφεται και να καταστρέφεται.</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Διαχείριση χρησιμοποιημένων μέσων δεδομένων</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Άρθρο 9</w:t>
      </w:r>
      <w:r>
        <w:t xml:space="preserve"> </w:t>
      </w:r>
      <w:r>
        <w:rPr>
          <w:rFonts w:ascii="Times New Roman" w:hAnsi="Times New Roman"/>
          <w:w w:val="100"/>
          <w:sz w:val="19"/>
        </w:rPr>
        <w:t>Πρέπει να υφίστανται τεκμηριωμένες διαδικασίες για τη διαχείριση χρησιμοποιημένων συστημάτων δημιουργίας δεδομένων έντυπων λαχνών λαχείου και επικύρωσης έντυπων λαχνών λαχείου που δεν χρησιμοποιούνται πλέον.</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Τα αρχεία που περιέχουν πληροφορίες για κέρδη θα πρέπει να υπόκεινται σε διαχείριση η οποία θα διασφαλίζει ότι κανένα μη εξουσιοδοτημένο άτομο δεν θα μπορεί να τα αντιγράψει ή να χρησιμοποιήσει κατ' άλλον τρόπο καταχρηστικά ή να καταστρέψει τις πληροφορίες.</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Καταστροφή</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Άρθρο 10</w:t>
      </w:r>
      <w:r>
        <w:t xml:space="preserve"> </w:t>
      </w:r>
      <w:r>
        <w:rPr>
          <w:rFonts w:ascii="Times New Roman" w:hAnsi="Times New Roman"/>
          <w:w w:val="100"/>
          <w:sz w:val="19"/>
        </w:rPr>
        <w:t>Πρέπει να υφίστανται τεκμηριωμένες διαδικασίες για τη διαχείριση της καταστροφής.</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Γενικές συστάσεις:</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Πρέπει τουλάχιστον δύο άτομα να είναι παρόντα κατά τη διενέργεια της καταστροφής.</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 xml:space="preserve">Κεφάλαιο 6. </w:t>
      </w:r>
      <w:r>
        <w:rPr>
          <w:rFonts w:ascii="Times New Roman" w:hAnsi="Times New Roman"/>
          <w:w w:val="100"/>
          <w:sz w:val="21"/>
        </w:rPr>
        <w:t>Πληροφορίες για τους πράκτορες τυχερών παιγνίων</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Άρθρο 1</w:t>
      </w:r>
      <w:r>
        <w:t xml:space="preserve"> </w:t>
      </w:r>
      <w:r>
        <w:rPr>
          <w:rFonts w:ascii="Times New Roman" w:hAnsi="Times New Roman"/>
          <w:w w:val="100"/>
          <w:sz w:val="19"/>
        </w:rPr>
        <w:t xml:space="preserve">Οι πράκτορες τυχερών παιγνίων θα πρέπει να γνωρίζουν τα σχετικά μέρη του νόμου περί τυχερών παιγνίων (2018/1138), του διατάγματος περί τυχερών παιγνίων (2018:1475), των κανονισμών, των γενικών συστάσεων και των όρων στους οποίους υπόκεινται οι κάτοχοι άδειας. </w:t>
      </w:r>
      <w:r>
        <w:rPr>
          <w:rFonts w:ascii="Times New Roman" w:hAnsi="Times New Roman"/>
          <w:w w:val="100"/>
          <w:sz w:val="19"/>
        </w:rPr>
        <w:t>Θα πρέπει επίσης να γνωρίζουν τις εσωτερικές διαδικασίες και κατευθυντήριες γραμμές του κατόχου της άδειας που αφορούν τις λειτουργίες του πράκτορα τυχερών παιγνίων.</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Γενικές συστάσεις:</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Τα σχετικά μέρη του νόμου περί τυχερών παιγνίων, του διατάγματος και των κανονισμών μπορεί να περιλαμβάνουν, για παράδειγμα, ότι για να συμμετάσχει κάποιος σε τυχερό παίγνιο θα πρέπει να είναι άνω των 18 ετών, ότι απαγορεύεται η χρήση πιστωτικής κάρτας σε τυχερό παίγνιο και πού μπορεί ένας παίκτης τυχερού παιγνίου να λάβει πληροφορίες και βοήθεια σχετικά με τις αυτο-αξιολογήσεις, τον αυτο-αποκλεισμό και άλλα θέματα που σχετίζονται με τη συμμετοχή του σε τυχερά παίγνια.</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 xml:space="preserve">Κεφάλαιο 7. </w:t>
      </w:r>
      <w:r>
        <w:rPr>
          <w:rFonts w:ascii="Times New Roman" w:hAnsi="Times New Roman"/>
          <w:w w:val="100"/>
          <w:sz w:val="21"/>
        </w:rPr>
        <w:t>Λογαριασμός παίκτη και προσωρινός λογαριασμός παίκτη</w:t>
      </w:r>
    </w:p>
    <w:p w:rsidR="00A457A5" w:rsidRPr="0076436D" w:rsidRDefault="00A457A5" w:rsidP="00F47340">
      <w:pPr>
        <w:pStyle w:val="Brdtexthalv"/>
        <w:keepNext/>
        <w:keepLines/>
        <w:rPr>
          <w:rFonts w:ascii="Times New Roman" w:hAnsi="Times New Roman" w:cs="Times New Roman"/>
          <w:w w:val="100"/>
          <w:sz w:val="19"/>
          <w:szCs w:val="19"/>
        </w:rPr>
      </w:pPr>
      <w:r>
        <w:rPr>
          <w:rFonts w:ascii="Times New Roman" w:hAnsi="Times New Roman"/>
          <w:b/>
          <w:w w:val="100"/>
          <w:sz w:val="19"/>
        </w:rPr>
        <w:t>Άρθρο 1</w:t>
      </w:r>
      <w:r>
        <w:t xml:space="preserve"> </w:t>
      </w:r>
      <w:r>
        <w:rPr>
          <w:rFonts w:ascii="Times New Roman" w:hAnsi="Times New Roman"/>
          <w:w w:val="100"/>
          <w:sz w:val="19"/>
        </w:rPr>
        <w:t>Ένας παίκτης δύναται να έχει μόνο έναν λογαριασμό παίκτη.</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 xml:space="preserve">Η πρώτη παράγραφος δεν ισχύει εάν ο κάτοχος της άδειας παρέχει τυχερά παίγνια σε διαφορετικές διευθύνσεις URL. </w:t>
      </w:r>
      <w:r>
        <w:rPr>
          <w:rFonts w:ascii="Times New Roman" w:hAnsi="Times New Roman"/>
          <w:w w:val="100"/>
          <w:sz w:val="19"/>
        </w:rPr>
        <w:t>Σε αυτή την περίπτωση, ένας παίκτης δύναται να έχει περισσότερους από έναν λογαριασμούς παίκτη σε έναν κάτοχο άδειας, υπό την προϋπόθεση ότι ο κάτοχος της άδειας</w:t>
      </w:r>
    </w:p>
    <w:p w:rsidR="00A457A5" w:rsidRPr="0076436D"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Pr>
          <w:rFonts w:ascii="Times New Roman" w:hAnsi="Times New Roman"/>
          <w:w w:val="100"/>
          <w:sz w:val="19"/>
        </w:rPr>
        <w:t>δύναται να προσδιορίσει και να καθορίσει τους ξεχωριστούς λογαριασμούς του παίκτη,</w:t>
      </w:r>
    </w:p>
    <w:p w:rsidR="00A457A5" w:rsidRPr="0076436D"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Pr>
          <w:rFonts w:ascii="Times New Roman" w:hAnsi="Times New Roman"/>
          <w:w w:val="100"/>
          <w:sz w:val="19"/>
        </w:rPr>
        <w:t>διασφαλίζει την εξαίρεση του παίκτη από όλα τα τυχερά παίγνια του κατόχου της άδειας εάν ο παίκτης επιλέξει τον αυτοαποκλεισμό σύμφωνα με το κεφάλαιο 14, άρθρο 11 του νόμου περί τυχερών παιγνίων (2018:1138), εκτός εάν ο παίκτης επιλέξει να εφαρμοστεί ο αυτοαποκλεισμός μόνο σε ένα ή περισσότερα συγκεκριμένα τυχερά παίγνια,</w:t>
      </w:r>
    </w:p>
    <w:p w:rsidR="00A457A5" w:rsidRPr="0076436D"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Pr>
          <w:rFonts w:ascii="Times New Roman" w:hAnsi="Times New Roman"/>
          <w:w w:val="100"/>
          <w:sz w:val="19"/>
        </w:rPr>
        <w:t>δύναται να παρακολουθεί τη συμπεριφορά συμμετοχής σε τυχερά παίγνια και τις συναλλαγές σε όλους τους ξεχωριστούς λογαριασμούς του παίκτη.</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Άρθρο 2</w:t>
      </w:r>
      <w:r>
        <w:t xml:space="preserve"> </w:t>
      </w:r>
      <w:r>
        <w:rPr>
          <w:rFonts w:ascii="Times New Roman" w:hAnsi="Times New Roman"/>
          <w:w w:val="100"/>
          <w:sz w:val="19"/>
        </w:rPr>
        <w:t>Ένας παίκτης δεν δύναται να πραγματοποιεί καταθέσεις ποσών που υπερβαίνουν το 1/4 της τιμής βάσης σε έναν προσωρινό λογαριασμό παίκτη.</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Άρθρο 3</w:t>
      </w:r>
      <w:r>
        <w:t xml:space="preserve"> </w:t>
      </w:r>
      <w:r>
        <w:rPr>
          <w:rFonts w:ascii="Times New Roman" w:hAnsi="Times New Roman"/>
          <w:w w:val="100"/>
          <w:sz w:val="19"/>
        </w:rPr>
        <w:t>Ένας παίκτης που διαθέτει έναν προσωρινό λογαριασμό παίκτη θα κληθεί εντός 15 ημερών από την εγγραφή του να υποβάλει έγγραφα που επιβεβαιώνουν τις παρεχόμενες πληροφορίες κατά την εγγραφή.</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Ένας προσωρινός λογαριασμός παίκτη δύναται να χρησιμοποιηθεί για τυχερά παίγνια για μέγιστη περίοδο 30 ημερών.</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 xml:space="preserve">Κεφάλαιο 8. </w:t>
      </w:r>
      <w:r>
        <w:rPr>
          <w:rFonts w:ascii="Times New Roman" w:hAnsi="Times New Roman"/>
          <w:w w:val="100"/>
          <w:sz w:val="21"/>
        </w:rPr>
        <w:t>Πληροφορίες για τους παίκτες</w:t>
      </w:r>
    </w:p>
    <w:p w:rsidR="00A457A5" w:rsidRPr="0076436D" w:rsidRDefault="00A457A5" w:rsidP="00F47340">
      <w:pPr>
        <w:pStyle w:val="Brdtexthalv"/>
        <w:keepNext/>
        <w:keepLines/>
        <w:rPr>
          <w:rFonts w:ascii="Times New Roman" w:hAnsi="Times New Roman" w:cs="Times New Roman"/>
          <w:w w:val="100"/>
          <w:sz w:val="19"/>
          <w:szCs w:val="19"/>
        </w:rPr>
      </w:pPr>
      <w:r>
        <w:rPr>
          <w:rFonts w:ascii="Times New Roman" w:hAnsi="Times New Roman"/>
          <w:b/>
          <w:w w:val="100"/>
          <w:sz w:val="19"/>
        </w:rPr>
        <w:t>Άρθρο 1</w:t>
      </w:r>
      <w:r>
        <w:t xml:space="preserve"> </w:t>
      </w:r>
      <w:r>
        <w:rPr>
          <w:rFonts w:ascii="Times New Roman" w:hAnsi="Times New Roman"/>
          <w:w w:val="100"/>
          <w:sz w:val="19"/>
        </w:rPr>
        <w:t>Πέραν των διατάξεων του κεφαλαίου 14 άρθρο 4 του νόμου περί τυχερών παιγνίων (2018:1138), θα πρέπει να είναι άμεσα διαθέσιμες στους παίκτες οι παρακάτω πληροφορίες</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Το όνομα, ο τηλεφωνικός αριθμός και η διεύθυνση ηλεκτρονικού ταχυδρομείου του κατόχου της άδειας.</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Κατά περίπτωση, οι πληροφορίες για τον δικαιούχο.</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Η περίοδος πώλησης ή/και η περίοδος ισχύος της άδειας.</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Οι κίνδυνοι που ενδέχεται να σχετίζονται με τη συμμετοχή σε παίγνια με χρηματικά έπαθλα.</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Τα στοιχεία επικοινωνίας με μια τηλεφωνική γραμμή βοήθειας για προβλήματα εθισμού σε τυχερά παίγνια, η οποία είναι ανεξάρτητη από την επιχείρηση τυχερών παιγνίων και δύναται να παράσχει βοήθεια βάσει των σουηδικών συνθηκών.</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Το γεγονός ότι η Σουηδική Αρχή Τυχερών Παιγνίων είναι η αρχή αδειοδότησης και εποπτείας.</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Η τιμή λαχνού, το στοίχημα ή παρόμοια τιμή που αφορά τη λαχειοφόρο αγορά.</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Οποιοδήποτε άλλο κόστος συμμετοχής στη σχετική λαχειοφόρο αγορά.</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Κατά περίπτωση, ο αριθμός των λαχειοφόρων αγορών ή παρόμοιων μέσων.</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Αν τα κέρδη δεν καταβάλλονται αμέσως, ο παίκτης πληροφορείται, επίσης, για τον χρόνο και τα μέσα πληρωμής των κερδών και την τελευταία ημέρα πληρωμής των κερδών.</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Στις περίπτωση των λαχειοφόρων αγορών με εκ των υστέρων κλήρωση ή χωρίς λαχνούς πρέπει επίσης να παρέχονται πληροφορίες για τον χρόνο και τη μέθοδο δημοσίευσης των αποτελεσμάτων κλήρωσης και την ημερομηνία πιθανής κλήρωσης για τη διανομή βραβείων.</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Γενικές συστάσεις:</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Η ανεξάρτητη τηλεφωνική γραμμή βοήθειας δύναται να είναι, για παράδειγμα ή «Stödlinjen».</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Άρθρο 2</w:t>
      </w:r>
      <w:r>
        <w:t xml:space="preserve"> </w:t>
      </w:r>
      <w:r>
        <w:rPr>
          <w:rFonts w:ascii="Times New Roman" w:hAnsi="Times New Roman"/>
          <w:w w:val="100"/>
          <w:sz w:val="19"/>
        </w:rPr>
        <w:t xml:space="preserve">Για τους έντυπους λαχνούς λαχείων ή παρόμοια μέσα οι πληροφορίες που αναφέρονται στο άρθρο 1 θα πρέπει να δηλώνονται με σαφή και εξέχων τρόπο. </w:t>
      </w:r>
      <w:r>
        <w:rPr>
          <w:rFonts w:ascii="Times New Roman" w:hAnsi="Times New Roman"/>
          <w:w w:val="100"/>
          <w:sz w:val="19"/>
        </w:rPr>
        <w:t>Εντούτοις, οι πληροφορίες βάσει του άρθρου 1 (σημεία 2, 4 και 6) μπορούν να διατίθενται με άλλα μέσα πέραν του λαχνού λαχείου, εφόσον αναφέρεται το πού διατίθενται οι πληροφορίες.</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Για τους έντυπους λαχνούς λαχείων, ο πίνακας πληρωμών θα πρέπει να αναφέρεται με σαφή και ευδιάκριτο τρόπο.</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Οι πληροφορίες σχετικά με υπεργολάβους σύμφωνα με το κεφάλαιο 11 άρθρο 6 του νόμου περί τυχερών παιγνίων (2018:1138) μπορούν να αναφέρονται μόνο εάν είναι αναγκαίες για την άσκηση των δικαιωμάτων των παικτών.</w:t>
      </w:r>
    </w:p>
    <w:p w:rsidR="00A457A5" w:rsidRPr="0076436D" w:rsidRDefault="00DE28EA"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Γενικές συστάσεις:</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Ο πίνακας πληρωμών μπορεί να αναφέρεται, για παράδειγμα, στην πίσω πλευρά των έντυπων λαχνών λαχείου.</w:t>
      </w:r>
    </w:p>
    <w:p w:rsidR="00A457A5" w:rsidRPr="0076436D" w:rsidRDefault="00A457A5" w:rsidP="00F47340">
      <w:pPr>
        <w:pStyle w:val="brdtextfyrkant"/>
        <w:ind w:left="1120" w:firstLine="200"/>
        <w:rPr>
          <w:rFonts w:ascii="Times New Roman" w:hAnsi="Times New Roman" w:cs="Times New Roman"/>
          <w:w w:val="100"/>
          <w:sz w:val="19"/>
          <w:szCs w:val="19"/>
        </w:rPr>
      </w:pPr>
      <w:r>
        <w:rPr>
          <w:rFonts w:ascii="Times New Roman" w:hAnsi="Times New Roman"/>
          <w:w w:val="100"/>
          <w:sz w:val="19"/>
        </w:rPr>
        <w:t xml:space="preserve">Θα πρέπει να είναι εύκολο για τους παίκτες να κατανοήσουν ποιος είναι ο κάτοχος ή δικαιούχος της άδειας. </w:t>
      </w:r>
      <w:r>
        <w:rPr>
          <w:rFonts w:ascii="Times New Roman" w:hAnsi="Times New Roman"/>
          <w:w w:val="100"/>
          <w:sz w:val="19"/>
        </w:rPr>
        <w:t>Οι πληροφορίες για τον κάτοχο ή τον δικαιούχο της άδειας μπορούν να εμφανίζονται, για παράδειγμα, στην μπροστινή πλευρά των έντυπων λαχνών λαχείου.</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Άρθρο 3</w:t>
      </w:r>
      <w:r>
        <w:t xml:space="preserve"> </w:t>
      </w:r>
      <w:r>
        <w:rPr>
          <w:rFonts w:ascii="Times New Roman" w:hAnsi="Times New Roman"/>
          <w:w w:val="100"/>
          <w:sz w:val="19"/>
        </w:rPr>
        <w:t>Όσον αφορά την αγορά λαχνών λαχείων που απαιτούν εγγραφή σύμφωνα με το κεφάλαιο 12, άρθρο 1 του νόμου περί τυχερών παιγνίων (2018:1138), οι πληροφορίες βάσει του άρθρου 1 σημεία 4-6 και οι πληροφορίες σχετικά με την επιλογή περιορισμού της συμμετοχής σε παίγνια –σύμφωνα με το κεφάλαιο 14, άρθρο 7, άρθρο 11 πρώτη παράγραφος και άρθρο 12 του νόμου περί τυχερών παιγνίων και το κεφάλαιο 11, άρθρο 3 του διατάγματος περί τυχερών παιγνίων (2018:1475)– θα πρέπει να διατίθενται στον παίκτη πριν από την εγγραφή του.</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Άρθρο 4</w:t>
      </w:r>
      <w:r>
        <w:t xml:space="preserve"> </w:t>
      </w:r>
      <w:r>
        <w:rPr>
          <w:rFonts w:ascii="Times New Roman" w:hAnsi="Times New Roman"/>
          <w:w w:val="100"/>
          <w:sz w:val="19"/>
        </w:rPr>
        <w:t>Εάν η λαχειοφόρος αγορά παρέχεται διαδικτυακά, οι πληροφορίες που ορίζονται στο άρθρο 1 πρώτη παράγραφος, σημεία 1-3 και 5 θα πρέπει να είναι εμφανείς με σαφήνεια στην ιστοσελίδα του κατόχου της άδειας καθώς και το λογότυπο της Σουηδικής Αρχής Τυχερών Παιγνίων, ο σύνδεσμος για τον δικτυακό τόπο της εν λόγω αρχής και ο σύνδεσμος για τους όρους χρήσης.</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Άρθρο 5</w:t>
      </w:r>
      <w:r>
        <w:t xml:space="preserve"> </w:t>
      </w:r>
      <w:r>
        <w:rPr>
          <w:rFonts w:ascii="Times New Roman" w:hAnsi="Times New Roman"/>
          <w:w w:val="100"/>
          <w:sz w:val="19"/>
        </w:rPr>
        <w:t>Εάν οι ισχύοντες όροι χρήσης αλλάξουν, και η αλλαγή δεν είναι αμελητέα, οι παίκτες πρέπει να ενημερώνονται για τις αλλαγές πριν αυτές πραγματοποιηθούν.</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Γενικές συστάσεις:</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Αμελητέα αλλαγή μπορεί να είναι, για παράδειγμα, ένα ορθογραφικό σφάλμα.</w:t>
      </w:r>
    </w:p>
    <w:p w:rsidR="00A457A5" w:rsidRPr="0076436D" w:rsidRDefault="00A457A5" w:rsidP="00F47340">
      <w:pPr>
        <w:pStyle w:val="brdtextfyrkant"/>
        <w:ind w:left="1120" w:firstLine="200"/>
        <w:rPr>
          <w:rFonts w:ascii="Times New Roman" w:hAnsi="Times New Roman" w:cs="Times New Roman"/>
          <w:w w:val="100"/>
          <w:sz w:val="19"/>
          <w:szCs w:val="19"/>
        </w:rPr>
      </w:pPr>
      <w:r>
        <w:rPr>
          <w:rFonts w:ascii="Times New Roman" w:hAnsi="Times New Roman"/>
          <w:w w:val="100"/>
          <w:sz w:val="19"/>
        </w:rPr>
        <w:t>Πληροφορίες προς τους παίκτες σχετικά με αλλαγές των όρων χρήσης μπορούν να παρέχονται, για παράδειγμα, μέσω γραπτής ειδοποίησης για την αλλαγή ή μέσω έγκρισης των νέων όρων από τον παίκτη κατά τη σύνδεσή του.</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 xml:space="preserve">Κεφάλαιο 9. </w:t>
      </w:r>
      <w:r>
        <w:rPr>
          <w:rFonts w:ascii="Times New Roman" w:hAnsi="Times New Roman"/>
          <w:w w:val="100"/>
          <w:sz w:val="21"/>
        </w:rPr>
        <w:t>Οι κάτοχοι άδειας πρέπει να μπορούν να συντάσσουν αναφορές με τις παρακάτω πληροφορίες</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 xml:space="preserve">Άρθρο 1 </w:t>
      </w:r>
      <w:r>
        <w:rPr>
          <w:rFonts w:ascii="Times New Roman" w:hAnsi="Times New Roman"/>
          <w:w w:val="100"/>
          <w:sz w:val="19"/>
        </w:rPr>
        <w:t>Οι κάτοχοι άδειας πρέπει να εγγράφονται και να μπορούν να συντάσσουν αναφορές με τις παρακάτω πληροφορίες ανά σύνολο ή γύρο λαχνών λαχείου ή παρόμοιου μέσου σύμφωνα με τη χορηγηθείσα άδεια</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t>Συνολικός αριθμός έντυπων λαχνών λαχείου σύμφωνα με τον πίνακα πληρωμών.</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t>Συνολικός αριθμός πωληθέντων λαχνών λαχείων.</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t>Συνολικά έσοδα από τους πωληθέντες λαχνούς λαχείων.</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t>Συνολικά κέρδη που πληρώθηκαν.</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t>Συνολικά κέρδη που πληρώθηκαν σε κάθε επίπεδο του πίνακα πληρωμών.</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t>Πραγματικό αποτέλεσμα του ποσοστού καταβαλλόμενων κερδών.</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 xml:space="preserve">Άρθρο 2 </w:t>
      </w:r>
      <w:r>
        <w:rPr>
          <w:rFonts w:ascii="Times New Roman" w:hAnsi="Times New Roman"/>
          <w:w w:val="100"/>
          <w:sz w:val="19"/>
        </w:rPr>
        <w:t>Οι κάτοχοι άδειας πρέπει να τεκμηριώνουν και να μπορούν να συντάσσουν αναφορές για τους λαχνούς λαχείου που υπέστησαν παραποίηση ή απωλέσθησαν διαφορετικά πριν από την πώληση.</w:t>
      </w:r>
    </w:p>
    <w:p w:rsidR="00A457A5" w:rsidRPr="0076436D" w:rsidRDefault="00A457A5" w:rsidP="00265800">
      <w:pPr>
        <w:pStyle w:val="brdtextfyrkant"/>
        <w:numPr>
          <w:ilvl w:val="0"/>
          <w:numId w:val="5"/>
        </w:numPr>
        <w:pBdr>
          <w:top w:val="single" w:sz="4" w:space="1" w:color="auto"/>
        </w:pBdr>
        <w:tabs>
          <w:tab w:val="left" w:pos="426"/>
        </w:tabs>
        <w:ind w:left="0" w:firstLine="181"/>
        <w:rPr>
          <w:rFonts w:ascii="Times New Roman" w:hAnsi="Times New Roman" w:cs="Times New Roman"/>
          <w:w w:val="100"/>
          <w:sz w:val="19"/>
          <w:szCs w:val="19"/>
        </w:rPr>
      </w:pPr>
      <w:r>
        <w:rPr>
          <w:rFonts w:ascii="Times New Roman" w:hAnsi="Times New Roman"/>
          <w:w w:val="100"/>
          <w:sz w:val="19"/>
        </w:rPr>
        <w:t>Οι παρόντες κανονισμοί τίθενται σε ισχύ την 1η Ιανουαρίου 2019.</w:t>
      </w:r>
    </w:p>
    <w:p w:rsidR="00A457A5" w:rsidRPr="0076436D" w:rsidRDefault="00A457A5" w:rsidP="00265800">
      <w:pPr>
        <w:pStyle w:val="brdtextfyrkant"/>
        <w:numPr>
          <w:ilvl w:val="0"/>
          <w:numId w:val="5"/>
        </w:numPr>
        <w:tabs>
          <w:tab w:val="left" w:pos="426"/>
        </w:tabs>
        <w:ind w:left="0" w:firstLine="181"/>
        <w:rPr>
          <w:rFonts w:ascii="Times New Roman" w:hAnsi="Times New Roman" w:cs="Times New Roman"/>
          <w:w w:val="100"/>
          <w:sz w:val="19"/>
          <w:szCs w:val="19"/>
        </w:rPr>
      </w:pPr>
      <w:r>
        <w:rPr>
          <w:rFonts w:ascii="Times New Roman" w:hAnsi="Times New Roman"/>
          <w:w w:val="100"/>
          <w:sz w:val="19"/>
        </w:rPr>
        <w:t>Οι κανονισμοί ισχύουν επίσης για αιτήσεις χορήγησης άδειας που υποβάλλονται στη Σουηδική Αρχή Τυχερών Παιγνίων μετά την 1η Αυγούστου 2018 και αφορούν την περίοδο μετά την 1η Ιανουαρίου 2019.</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A457A5" w:rsidRPr="0076436D" w:rsidRDefault="00A457A5" w:rsidP="00F47340">
      <w:pPr>
        <w:pStyle w:val="Brdtextblank"/>
        <w:rPr>
          <w:rFonts w:ascii="Times New Roman" w:hAnsi="Times New Roman" w:cs="Times New Roman"/>
          <w:w w:val="100"/>
          <w:sz w:val="19"/>
          <w:szCs w:val="19"/>
        </w:rPr>
      </w:pP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w w:val="100"/>
          <w:sz w:val="19"/>
        </w:rPr>
        <w:t>Εξ ονόματος της Σουηδικής Αρχής Τυχερών Παιγνίων</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w w:val="100"/>
          <w:sz w:val="19"/>
        </w:rPr>
        <w:t>CAMILLA ROSENBERG</w:t>
      </w:r>
    </w:p>
    <w:p w:rsidR="00A457A5" w:rsidRPr="0076436D" w:rsidRDefault="00A457A5" w:rsidP="00F47340">
      <w:pPr>
        <w:pStyle w:val="BodyText"/>
        <w:jc w:val="center"/>
        <w:rPr>
          <w:rFonts w:ascii="Times New Roman" w:hAnsi="Times New Roman" w:cs="Times New Roman"/>
          <w:w w:val="100"/>
          <w:sz w:val="19"/>
          <w:szCs w:val="19"/>
        </w:rPr>
      </w:pPr>
      <w:r>
        <w:rPr>
          <w:rFonts w:ascii="Times New Roman" w:hAnsi="Times New Roman"/>
          <w:w w:val="100"/>
          <w:sz w:val="19"/>
        </w:rPr>
        <w:t>Johan Röhr</w:t>
      </w: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A457A5" w:rsidRPr="0076436D">
      <w:headerReference w:type="even" r:id="rId8"/>
      <w:headerReference w:type="default" r:id="rId9"/>
      <w:footerReference w:type="even" r:id="rId10"/>
      <w:footerReference w:type="default" r:id="rId11"/>
      <w:headerReference w:type="first" r:id="rId12"/>
      <w:footerReference w:type="first" r:id="rId13"/>
      <w:pgSz w:w="9354" w:h="13720"/>
      <w:pgMar w:top="680" w:right="2306" w:bottom="1302" w:left="1154" w:header="720" w:footer="720" w:gutter="0"/>
      <w:cols w:space="720"/>
      <w:noEndnote/>
      <w:titlePg/>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w:type="separator" w:id="-1">
    <w:p w:rsidR="00CE35B6" w:rsidRDefault="00CE35B6">
      <w:pPr>
        <w:spacing w:after="0" w:line="240" w:lineRule="auto"/>
      </w:pPr>
      <w:r>
        <w:separator/>
      </w:r>
    </w:p>
  </w:endnote>
  <w:endnote w:type="continuationSeparator" w:id="0">
    <w:p w:rsidR="00CE35B6" w:rsidRDefault="00CE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pPr>
      <w:pStyle w:val="Footer"/>
      <w:tabs>
        <w:tab w:val="center" w:pos="12800"/>
        <w:tab w:val="right" w:pos="25600"/>
      </w:tabs>
      <w:jc w:val="left"/>
      <w:rPr>
        <w:rStyle w:val="Pagina"/>
        <w:rFonts w:ascii="Times New Roman" w:hAnsi="Times New Roman" w:cs="Times New Roman"/>
        <w:w w:val="100"/>
      </w:rPr>
    </w:pPr>
    <w:r w:rsidRPr="00B06CA7">
      <w:rPr>
        <w:rStyle w:val="Pagina"/>
        <w:rFonts w:ascii="Times New Roman" w:hAnsi="Times New Roman" w:cs="Times New Roman"/>
        <w:w w:val="100"/>
      </w:rPr>
      <w:fldChar w:fldCharType="begin"/>
    </w:r>
    <w:r w:rsidRPr="00B06CA7">
      <w:rPr>
        <w:rStyle w:val="Pagina"/>
        <w:rFonts w:ascii="Times New Roman" w:hAnsi="Times New Roman" w:cs="Times New Roman"/>
        <w:w w:val="100"/>
      </w:rPr>
      <w:instrText xml:space="preserve"> PAGE </w:instrText>
    </w:r>
    <w:r w:rsidRPr="00B06CA7">
      <w:rPr>
        <w:rStyle w:val="Pagina"/>
        <w:rFonts w:ascii="Times New Roman" w:hAnsi="Times New Roman" w:cs="Times New Roman"/>
        <w:w w:val="100"/>
      </w:rPr>
      <w:fldChar w:fldCharType="separate"/>
    </w:r>
    <w:r w:rsidR="00BC3FA5">
      <w:rPr>
        <w:rStyle w:val="Pagina"/>
        <w:rFonts w:ascii="Times New Roman" w:hAnsi="Times New Roman" w:cs="Times New Roman"/>
        <w:noProof/>
        <w:w w:val="100"/>
      </w:rPr>
      <w:t>2</w:t>
    </w:r>
    <w:r w:rsidRPr="00B06CA7">
      <w:rPr>
        <w:rStyle w:val="Pagina"/>
        <w:rFonts w:ascii="Times New Roman" w:hAnsi="Times New Roman" w:cs="Times New Roman"/>
        <w:w w:val="100"/>
      </w:rPr>
      <w:fldChar w:fldCharType="end"/>
    </w: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pPr>
      <w:pStyle w:val="Footer"/>
      <w:tabs>
        <w:tab w:val="center" w:pos="12800"/>
        <w:tab w:val="right" w:pos="25600"/>
      </w:tabs>
      <w:rPr>
        <w:rStyle w:val="Pagina"/>
        <w:rFonts w:ascii="Times New Roman" w:hAnsi="Times New Roman" w:cs="Times New Roman"/>
        <w:w w:val="100"/>
      </w:rPr>
    </w:pPr>
    <w:r w:rsidRPr="00B06CA7">
      <w:rPr>
        <w:rStyle w:val="Pagina"/>
        <w:rFonts w:ascii="Times New Roman" w:hAnsi="Times New Roman" w:cs="Times New Roman"/>
        <w:w w:val="100"/>
      </w:rPr>
      <w:fldChar w:fldCharType="begin"/>
    </w:r>
    <w:r w:rsidRPr="00B06CA7">
      <w:rPr>
        <w:rStyle w:val="Pagina"/>
        <w:rFonts w:ascii="Times New Roman" w:hAnsi="Times New Roman" w:cs="Times New Roman"/>
        <w:w w:val="100"/>
      </w:rPr>
      <w:instrText xml:space="preserve"> PAGE </w:instrText>
    </w:r>
    <w:r w:rsidRPr="00B06CA7">
      <w:rPr>
        <w:rStyle w:val="Pagina"/>
        <w:rFonts w:ascii="Times New Roman" w:hAnsi="Times New Roman" w:cs="Times New Roman"/>
        <w:w w:val="100"/>
      </w:rPr>
      <w:fldChar w:fldCharType="separate"/>
    </w:r>
    <w:r w:rsidR="00BC3FA5">
      <w:rPr>
        <w:rStyle w:val="Pagina"/>
        <w:rFonts w:ascii="Times New Roman" w:hAnsi="Times New Roman" w:cs="Times New Roman"/>
        <w:noProof/>
        <w:w w:val="100"/>
      </w:rPr>
      <w:t>9</w:t>
    </w:r>
    <w:r w:rsidRPr="00B06CA7">
      <w:rPr>
        <w:rStyle w:val="Pagina"/>
        <w:rFonts w:ascii="Times New Roman" w:hAnsi="Times New Roman" w:cs="Times New Roman"/>
        <w:w w:val="100"/>
      </w:rPr>
      <w:fldChar w:fldCharType="end"/>
    </w:r>
  </w:p>
</w:ftr>
</file>

<file path=word/footer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pPr>
      <w:pStyle w:val="Footer"/>
      <w:rPr>
        <w:rStyle w:val="Pagina"/>
        <w:rFonts w:ascii="Times New Roman" w:hAnsi="Times New Roman" w:cs="Times New Roman"/>
        <w:w w:val="100"/>
      </w:rPr>
    </w:pPr>
    <w:r w:rsidRPr="00B06CA7">
      <w:rPr>
        <w:rStyle w:val="Pagina"/>
        <w:rFonts w:ascii="Times New Roman" w:hAnsi="Times New Roman" w:cs="Times New Roman"/>
        <w:w w:val="100"/>
      </w:rPr>
      <w:fldChar w:fldCharType="begin"/>
    </w:r>
    <w:r w:rsidRPr="00B06CA7">
      <w:rPr>
        <w:rStyle w:val="Pagina"/>
        <w:rFonts w:ascii="Times New Roman" w:hAnsi="Times New Roman" w:cs="Times New Roman"/>
        <w:w w:val="100"/>
      </w:rPr>
      <w:instrText xml:space="preserve"> PAGE </w:instrText>
    </w:r>
    <w:r w:rsidRPr="00B06CA7">
      <w:rPr>
        <w:rStyle w:val="Pagina"/>
        <w:rFonts w:ascii="Times New Roman" w:hAnsi="Times New Roman" w:cs="Times New Roman"/>
        <w:w w:val="100"/>
      </w:rPr>
      <w:fldChar w:fldCharType="separate"/>
    </w:r>
    <w:r w:rsidR="00BC3FA5">
      <w:rPr>
        <w:rStyle w:val="Pagina"/>
        <w:rFonts w:ascii="Times New Roman" w:hAnsi="Times New Roman" w:cs="Times New Roman"/>
        <w:noProof/>
        <w:w w:val="100"/>
      </w:rPr>
      <w:t>1</w:t>
    </w:r>
    <w:r w:rsidRPr="00B06CA7">
      <w:rPr>
        <w:rStyle w:val="Pagina"/>
        <w:rFonts w:ascii="Times New Roman" w:hAnsi="Times New Roman" w:cs="Times New Roman"/>
        <w:w w:val="100"/>
      </w:rPr>
      <w:fldChar w:fldCharType="end"/>
    </w:r>
  </w:p>
</w:ftr>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w:type="separator" w:id="-1">
    <w:p w:rsidR="00CE35B6" w:rsidRDefault="00CE35B6">
      <w:pPr>
        <w:spacing w:after="0" w:line="240" w:lineRule="auto"/>
      </w:pPr>
      <w:r>
        <w:separator/>
      </w:r>
    </w:p>
  </w:footnote>
  <w:footnote w:type="continuationSeparator" w:id="0">
    <w:p w:rsidR="00CE35B6" w:rsidRDefault="00CE35B6">
      <w:pPr>
        <w:spacing w:after="0" w:line="240" w:lineRule="auto"/>
      </w:pPr>
      <w:r>
        <w:continuationSeparator/>
      </w:r>
    </w:p>
  </w:footnote>
  <w:footnote xmlns:w="http://schemas.openxmlformats.org/wordprocessingml/2006/main" w:id="1">
    <w:p w:rsidR="00A457A5" w:rsidRPr="00DE28EA" w:rsidRDefault="00A457A5">
      <w:pPr>
        <w:pStyle w:val="Fotnot"/>
        <w:rPr>
          <w:rFonts w:ascii="Times New Roman" w:hAnsi="Times New Roman" w:cs="Times New Roman"/>
          <w:w w:val="100"/>
          <w:sz w:val="17"/>
          <w:szCs w:val="17"/>
        </w:rPr>
      </w:pPr>
      <w:r>
        <w:rPr>
          <w:rFonts w:ascii="Times New Roman" w:hAnsi="Times New Roman"/>
          <w:vertAlign w:val="superscript"/>
        </w:rPr>
        <w:footnoteRef/>
      </w:r>
      <w:r>
        <w:rPr>
          <w:rFonts w:ascii="Times New Roman" w:hAnsi="Times New Roman"/>
          <w:w w:val="100"/>
          <w:sz w:val="17"/>
        </w:rPr>
        <w:t xml:space="preserve"> </w:t>
      </w:r>
      <w:r>
        <w:rPr>
          <w:rFonts w:ascii="Times New Roman" w:hAnsi="Times New Roman"/>
          <w:w w:val="100"/>
          <w:sz w:val="17"/>
        </w:rPr>
        <w:t>Βλέπε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w:t>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pPr>
      <w:widowControl w:val="0"/>
      <w:autoSpaceDE w:val="0"/>
      <w:autoSpaceDN w:val="0"/>
      <w:adjustRightInd w:val="0"/>
      <w:spacing w:after="0" w:line="240" w:lineRule="auto"/>
      <w:rPr>
        <w:rFonts w:ascii="Times New Roman" w:hAnsi="Times New Roman"/>
        <w:sz w:val="21"/>
        <w:szCs w:val="21"/>
      </w:rPr>
    </w:pPr>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rsidP="00B06CA7">
    <w:pPr>
      <w:pStyle w:val="Header"/>
      <w:tabs>
        <w:tab w:val="clear" w:pos="2680"/>
        <w:tab w:val="clear" w:pos="4860"/>
        <w:tab w:val="center" w:pos="3840"/>
        <w:tab w:val="right" w:pos="7680"/>
        <w:tab w:val="center" w:pos="14920"/>
        <w:tab w:val="right" w:pos="29840"/>
      </w:tabs>
      <w:suppressAutoHyphens/>
      <w:jc w:val="right"/>
      <w:rPr>
        <w:rFonts w:ascii="Times New Roman" w:hAnsi="Times New Roman" w:cs="Times New Roman"/>
        <w:w w:val="100"/>
        <w:sz w:val="21"/>
        <w:szCs w:val="21"/>
      </w:rPr>
    </w:pPr>
    <w:r>
      <w:rPr>
        <w:rFonts w:ascii="Times New Roman" w:hAnsi="Times New Roman"/>
        <w:w w:val="100"/>
        <w:sz w:val="21"/>
      </w:rPr>
      <w:t>LIFS 2018:4</w:t>
    </w:r>
  </w:p>
</w:hdr>
</file>

<file path=word/header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pPr>
      <w:widowControl w:val="0"/>
      <w:autoSpaceDE w:val="0"/>
      <w:autoSpaceDN w:val="0"/>
      <w:adjustRightInd w:val="0"/>
      <w:spacing w:after="0" w:line="240" w:lineRule="auto"/>
      <w:rPr>
        <w:rFonts w:ascii="Times New Roman" w:hAnsi="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12E54"/>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BCB7C03"/>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63A3C52"/>
    <w:multiLevelType w:val="hybridMultilevel"/>
    <w:tmpl w:val="A84C1E32"/>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8FD2128"/>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539B198B"/>
    <w:multiLevelType w:val="hybridMultilevel"/>
    <w:tmpl w:val="6786FB40"/>
    <w:lvl w:ilvl="0" w:tplc="B67C5EB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5E5520B7"/>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656B0796"/>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6B4345C3"/>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724C1E4B"/>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777507C3"/>
    <w:multiLevelType w:val="hybridMultilevel"/>
    <w:tmpl w:val="0332EE3C"/>
    <w:lvl w:ilvl="0" w:tplc="11843B7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9"/>
  </w:num>
  <w:num w:numId="3">
    <w:abstractNumId w:val="5"/>
  </w:num>
  <w:num w:numId="4">
    <w:abstractNumId w:val="4"/>
  </w:num>
  <w:num w:numId="5">
    <w:abstractNumId w:val="7"/>
  </w:num>
  <w:num w:numId="6">
    <w:abstractNumId w:val="6"/>
  </w:num>
  <w:num w:numId="7">
    <w:abstractNumId w:val="8"/>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36D"/>
    <w:rsid w:val="00160D7C"/>
    <w:rsid w:val="001B10D4"/>
    <w:rsid w:val="00224CE3"/>
    <w:rsid w:val="002534DF"/>
    <w:rsid w:val="00265800"/>
    <w:rsid w:val="003818B4"/>
    <w:rsid w:val="003A531E"/>
    <w:rsid w:val="003D5B62"/>
    <w:rsid w:val="00462030"/>
    <w:rsid w:val="005D32FE"/>
    <w:rsid w:val="006C64A7"/>
    <w:rsid w:val="0076436D"/>
    <w:rsid w:val="00971EE7"/>
    <w:rsid w:val="009774BE"/>
    <w:rsid w:val="00A457A5"/>
    <w:rsid w:val="00B06CA7"/>
    <w:rsid w:val="00B62056"/>
    <w:rsid w:val="00B64244"/>
    <w:rsid w:val="00B97BEE"/>
    <w:rsid w:val="00BC3FA5"/>
    <w:rsid w:val="00BD10A6"/>
    <w:rsid w:val="00CE35B6"/>
    <w:rsid w:val="00DE28EA"/>
    <w:rsid w:val="00F47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w:rPrDefault>
      <w:rPr>
        <w:rFonts w:ascii="Calibri" w:eastAsia="Times New Roman" w:hAnsi="Calibri" w:cs="Times New Roman"/>
        <w:lang w:val="el-GR" w:eastAsia="el-GR" w:bidi="el-G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tgivare">
    <w:name w:val="Utgivare"/>
    <w:pPr>
      <w:widowControl w:val="0"/>
      <w:tabs>
        <w:tab w:val="left" w:pos="100"/>
      </w:tabs>
      <w:autoSpaceDE w:val="0"/>
      <w:autoSpaceDN w:val="0"/>
      <w:adjustRightInd w:val="0"/>
      <w:spacing w:before="180" w:line="160" w:lineRule="atLeast"/>
      <w:jc w:val="both"/>
    </w:pPr>
    <w:rPr>
      <w:rFonts w:ascii="Times" w:hAnsi="Times" w:cs="Times"/>
      <w:color w:val="000000"/>
      <w:w w:val="0"/>
      <w:sz w:val="16"/>
      <w:szCs w:val="16"/>
    </w:rPr>
  </w:style>
  <w:style w:type="paragraph" w:customStyle="1" w:styleId="Fristende7cic">
    <w:name w:val="Fristående 7 cic"/>
    <w:uiPriority w:val="99"/>
    <w:pPr>
      <w:tabs>
        <w:tab w:val="left" w:pos="1980"/>
      </w:tabs>
      <w:autoSpaceDE w:val="0"/>
      <w:autoSpaceDN w:val="0"/>
      <w:adjustRightInd w:val="0"/>
      <w:spacing w:before="100" w:line="220" w:lineRule="atLeast"/>
      <w:ind w:left="1980" w:hanging="1980"/>
      <w:jc w:val="both"/>
    </w:pPr>
    <w:rPr>
      <w:rFonts w:ascii="Times" w:hAnsi="Times" w:cs="Times"/>
      <w:color w:val="000000"/>
      <w:w w:val="0"/>
      <w:sz w:val="18"/>
      <w:szCs w:val="18"/>
    </w:rPr>
  </w:style>
  <w:style w:type="paragraph" w:styleId="BodyText">
    <w:name w:val="Body Text"/>
    <w:basedOn w:val="Normal"/>
    <w:link w:val="BodyTextChar"/>
    <w:uiPriority w:val="99"/>
    <w:pPr>
      <w:tabs>
        <w:tab w:val="left" w:pos="2940"/>
      </w:tabs>
      <w:autoSpaceDE w:val="0"/>
      <w:autoSpaceDN w:val="0"/>
      <w:adjustRightInd w:val="0"/>
      <w:spacing w:after="0" w:line="220" w:lineRule="atLeast"/>
      <w:jc w:val="both"/>
    </w:pPr>
    <w:rPr>
      <w:rFonts w:ascii="Times" w:hAnsi="Times" w:cs="Times"/>
      <w:color w:val="000000"/>
      <w:w w:val="0"/>
      <w:sz w:val="18"/>
      <w:szCs w:val="18"/>
    </w:rPr>
  </w:style>
  <w:style w:type="character" w:customStyle="1" w:styleId="BodyTextChar">
    <w:name w:val="Body Text Char"/>
    <w:link w:val="BodyText"/>
    <w:uiPriority w:val="99"/>
  </w:style>
  <w:style w:type="paragraph" w:customStyle="1" w:styleId="Brdtextblank">
    <w:name w:val="Brödtext blank"/>
    <w:uiPriority w:val="99"/>
    <w:pPr>
      <w:tabs>
        <w:tab w:val="left" w:pos="3060"/>
      </w:tabs>
      <w:autoSpaceDE w:val="0"/>
      <w:autoSpaceDN w:val="0"/>
      <w:adjustRightInd w:val="0"/>
      <w:spacing w:before="220" w:line="220" w:lineRule="atLeast"/>
      <w:jc w:val="both"/>
    </w:pPr>
    <w:rPr>
      <w:rFonts w:ascii="Times" w:hAnsi="Times" w:cs="Times"/>
      <w:color w:val="000000"/>
      <w:w w:val="0"/>
      <w:sz w:val="18"/>
      <w:szCs w:val="18"/>
    </w:rPr>
  </w:style>
  <w:style w:type="paragraph" w:customStyle="1" w:styleId="Brdtexthalv">
    <w:name w:val="Brödtext halv"/>
    <w:uiPriority w:val="99"/>
    <w:pPr>
      <w:autoSpaceDE w:val="0"/>
      <w:autoSpaceDN w:val="0"/>
      <w:adjustRightInd w:val="0"/>
      <w:spacing w:before="100" w:line="220" w:lineRule="atLeast"/>
      <w:jc w:val="both"/>
    </w:pPr>
    <w:rPr>
      <w:rFonts w:ascii="Times" w:hAnsi="Times" w:cs="Times"/>
      <w:color w:val="000000"/>
      <w:w w:val="0"/>
      <w:sz w:val="18"/>
      <w:szCs w:val="18"/>
    </w:rPr>
  </w:style>
  <w:style w:type="paragraph" w:customStyle="1" w:styleId="Brdtextlinje">
    <w:name w:val="Brödtext linje"/>
    <w:uiPriority w:val="99"/>
    <w:pPr>
      <w:pBdr>
        <w:top w:val="single" w:sz="8" w:space="0" w:color="auto"/>
      </w:pBdr>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Fotnot">
    <w:name w:val="Fotnot"/>
    <w:uiPriority w:val="99"/>
    <w:pPr>
      <w:widowControl w:val="0"/>
      <w:tabs>
        <w:tab w:val="left" w:pos="100"/>
      </w:tabs>
      <w:autoSpaceDE w:val="0"/>
      <w:autoSpaceDN w:val="0"/>
      <w:adjustRightInd w:val="0"/>
      <w:spacing w:line="160" w:lineRule="atLeast"/>
      <w:jc w:val="both"/>
    </w:pPr>
    <w:rPr>
      <w:rFonts w:ascii="Times" w:hAnsi="Times" w:cs="Times"/>
      <w:color w:val="000000"/>
      <w:w w:val="0"/>
      <w:sz w:val="16"/>
      <w:szCs w:val="16"/>
    </w:rPr>
  </w:style>
  <w:style w:type="paragraph" w:styleId="Footer">
    <w:name w:val="footer"/>
    <w:basedOn w:val="Normal"/>
    <w:link w:val="FooterChar"/>
    <w:uiPriority w:val="99"/>
    <w:pPr>
      <w:widowControl w:val="0"/>
      <w:tabs>
        <w:tab w:val="center" w:pos="3840"/>
        <w:tab w:val="right" w:pos="7680"/>
      </w:tabs>
      <w:autoSpaceDE w:val="0"/>
      <w:autoSpaceDN w:val="0"/>
      <w:adjustRightInd w:val="0"/>
      <w:spacing w:after="0" w:line="220" w:lineRule="atLeast"/>
      <w:jc w:val="right"/>
    </w:pPr>
    <w:rPr>
      <w:rFonts w:ascii="Times" w:hAnsi="Times" w:cs="Times"/>
      <w:color w:val="000000"/>
      <w:w w:val="0"/>
      <w:sz w:val="18"/>
      <w:szCs w:val="18"/>
    </w:rPr>
  </w:style>
  <w:style w:type="character" w:customStyle="1" w:styleId="FooterChar">
    <w:name w:val="Footer Char"/>
    <w:link w:val="Footer"/>
    <w:uiPriority w:val="99"/>
    <w:semiHidden/>
  </w:style>
  <w:style w:type="paragraph" w:styleId="Header">
    <w:name w:val="header"/>
    <w:aliases w:val="extra"/>
    <w:basedOn w:val="Normal"/>
    <w:link w:val="HeaderChar"/>
    <w:uiPriority w:val="99"/>
    <w:pPr>
      <w:widowControl w:val="0"/>
      <w:tabs>
        <w:tab w:val="left" w:pos="2680"/>
        <w:tab w:val="left" w:pos="4860"/>
      </w:tabs>
      <w:autoSpaceDE w:val="0"/>
      <w:autoSpaceDN w:val="0"/>
      <w:adjustRightInd w:val="0"/>
      <w:spacing w:after="0" w:line="240" w:lineRule="atLeast"/>
      <w:jc w:val="both"/>
    </w:pPr>
    <w:rPr>
      <w:rFonts w:ascii="Times" w:hAnsi="Times" w:cs="Times"/>
      <w:b/>
      <w:bCs/>
      <w:color w:val="000000"/>
      <w:w w:val="0"/>
      <w:sz w:val="20"/>
      <w:szCs w:val="20"/>
    </w:rPr>
  </w:style>
  <w:style w:type="character" w:customStyle="1" w:styleId="HeaderChar">
    <w:name w:val="Header Char"/>
    <w:aliases w:val="extra Char"/>
    <w:link w:val="Header"/>
    <w:uiPriority w:val="99"/>
    <w:semiHidden/>
  </w:style>
  <w:style w:type="paragraph" w:customStyle="1" w:styleId="Rubrik1">
    <w:name w:val="Rubrik1"/>
    <w:uiPriority w:val="99"/>
    <w:pPr>
      <w:widowControl w:val="0"/>
      <w:suppressAutoHyphens/>
      <w:autoSpaceDE w:val="0"/>
      <w:autoSpaceDN w:val="0"/>
      <w:adjustRightInd w:val="0"/>
      <w:spacing w:line="240" w:lineRule="atLeast"/>
      <w:ind w:right="240"/>
    </w:pPr>
    <w:rPr>
      <w:rFonts w:ascii="Times" w:hAnsi="Times" w:cs="Times"/>
      <w:b/>
      <w:bCs/>
      <w:color w:val="000000"/>
      <w:w w:val="0"/>
      <w:sz w:val="24"/>
      <w:szCs w:val="24"/>
    </w:rPr>
  </w:style>
  <w:style w:type="paragraph" w:customStyle="1" w:styleId="Rubrik2engelsk">
    <w:name w:val="Rubrik2 engelsk"/>
    <w:uiPriority w:val="99"/>
    <w:pPr>
      <w:keepNext/>
      <w:widowControl w:val="0"/>
      <w:autoSpaceDE w:val="0"/>
      <w:autoSpaceDN w:val="0"/>
      <w:adjustRightInd w:val="0"/>
      <w:spacing w:before="320" w:line="200" w:lineRule="atLeast"/>
      <w:jc w:val="both"/>
    </w:pPr>
    <w:rPr>
      <w:rFonts w:ascii="Times" w:hAnsi="Times" w:cs="Times"/>
      <w:b/>
      <w:bCs/>
      <w:color w:val="000000"/>
      <w:w w:val="0"/>
    </w:rPr>
  </w:style>
  <w:style w:type="paragraph" w:customStyle="1" w:styleId="Rubrik3">
    <w:name w:val="Rubrik3"/>
    <w:uiPriority w:val="99"/>
    <w:pPr>
      <w:keepNext/>
      <w:widowControl w:val="0"/>
      <w:suppressAutoHyphens/>
      <w:autoSpaceDE w:val="0"/>
      <w:autoSpaceDN w:val="0"/>
      <w:adjustRightInd w:val="0"/>
      <w:spacing w:before="360" w:line="220" w:lineRule="atLeast"/>
    </w:pPr>
    <w:rPr>
      <w:rFonts w:ascii="Times" w:hAnsi="Times" w:cs="Times"/>
      <w:b/>
      <w:bCs/>
      <w:color w:val="000000"/>
      <w:w w:val="0"/>
      <w:sz w:val="18"/>
      <w:szCs w:val="18"/>
    </w:rPr>
  </w:style>
  <w:style w:type="paragraph" w:customStyle="1" w:styleId="Rubrik30">
    <w:name w:val="Rubrik30"/>
    <w:uiPriority w:val="99"/>
    <w:pPr>
      <w:keepNext/>
      <w:widowControl w:val="0"/>
      <w:suppressAutoHyphens/>
      <w:autoSpaceDE w:val="0"/>
      <w:autoSpaceDN w:val="0"/>
      <w:adjustRightInd w:val="0"/>
      <w:spacing w:before="100" w:line="220" w:lineRule="atLeast"/>
    </w:pPr>
    <w:rPr>
      <w:rFonts w:ascii="Times" w:hAnsi="Times" w:cs="Times"/>
      <w:b/>
      <w:bCs/>
      <w:color w:val="000000"/>
      <w:w w:val="0"/>
      <w:sz w:val="18"/>
      <w:szCs w:val="18"/>
    </w:rPr>
  </w:style>
  <w:style w:type="paragraph" w:customStyle="1" w:styleId="Kantrubrik">
    <w:name w:val="Kantrubrik"/>
    <w:uiPriority w:val="99"/>
    <w:pPr>
      <w:widowControl w:val="0"/>
      <w:suppressAutoHyphens/>
      <w:autoSpaceDE w:val="0"/>
      <w:autoSpaceDN w:val="0"/>
      <w:adjustRightInd w:val="0"/>
      <w:spacing w:line="280" w:lineRule="atLeast"/>
    </w:pPr>
    <w:rPr>
      <w:rFonts w:ascii="Times" w:hAnsi="Times" w:cs="Times"/>
      <w:b/>
      <w:bCs/>
      <w:color w:val="000000"/>
      <w:w w:val="0"/>
      <w:sz w:val="22"/>
      <w:szCs w:val="22"/>
    </w:rPr>
  </w:style>
  <w:style w:type="paragraph" w:customStyle="1" w:styleId="Rubrik4">
    <w:name w:val="Rubrik4"/>
    <w:uiPriority w:val="99"/>
    <w:pPr>
      <w:keepNext/>
      <w:widowControl w:val="0"/>
      <w:suppressAutoHyphens/>
      <w:autoSpaceDE w:val="0"/>
      <w:autoSpaceDN w:val="0"/>
      <w:adjustRightInd w:val="0"/>
      <w:spacing w:before="360" w:line="220" w:lineRule="atLeast"/>
    </w:pPr>
    <w:rPr>
      <w:rFonts w:ascii="Times" w:hAnsi="Times" w:cs="Times"/>
      <w:i/>
      <w:iCs/>
      <w:color w:val="000000"/>
      <w:w w:val="0"/>
      <w:sz w:val="18"/>
      <w:szCs w:val="18"/>
    </w:rPr>
  </w:style>
  <w:style w:type="paragraph" w:customStyle="1" w:styleId="Rubrik40">
    <w:name w:val="Rubrik40"/>
    <w:uiPriority w:val="99"/>
    <w:pPr>
      <w:keepNext/>
      <w:widowControl w:val="0"/>
      <w:suppressAutoHyphens/>
      <w:autoSpaceDE w:val="0"/>
      <w:autoSpaceDN w:val="0"/>
      <w:adjustRightInd w:val="0"/>
      <w:spacing w:before="100" w:line="220" w:lineRule="atLeast"/>
    </w:pPr>
    <w:rPr>
      <w:rFonts w:ascii="Times" w:hAnsi="Times" w:cs="Times"/>
      <w:i/>
      <w:iCs/>
      <w:color w:val="000000"/>
      <w:w w:val="0"/>
      <w:sz w:val="18"/>
      <w:szCs w:val="18"/>
    </w:rPr>
  </w:style>
  <w:style w:type="paragraph" w:customStyle="1" w:styleId="Rubrik400utanluftver">
    <w:name w:val="Rubrik400 utan luft över"/>
    <w:uiPriority w:val="99"/>
    <w:pPr>
      <w:keepNext/>
      <w:widowControl w:val="0"/>
      <w:suppressAutoHyphens/>
      <w:autoSpaceDE w:val="0"/>
      <w:autoSpaceDN w:val="0"/>
      <w:adjustRightInd w:val="0"/>
      <w:spacing w:line="220" w:lineRule="atLeast"/>
    </w:pPr>
    <w:rPr>
      <w:rFonts w:ascii="Times" w:hAnsi="Times" w:cs="Times"/>
      <w:i/>
      <w:iCs/>
      <w:color w:val="000000"/>
      <w:w w:val="0"/>
      <w:sz w:val="18"/>
      <w:szCs w:val="18"/>
    </w:rPr>
  </w:style>
  <w:style w:type="paragraph" w:customStyle="1" w:styleId="Rubrik5">
    <w:name w:val="Rubrik5"/>
    <w:uiPriority w:val="99"/>
    <w:pPr>
      <w:keepNext/>
      <w:widowControl w:val="0"/>
      <w:suppressAutoHyphens/>
      <w:autoSpaceDE w:val="0"/>
      <w:autoSpaceDN w:val="0"/>
      <w:adjustRightInd w:val="0"/>
      <w:spacing w:before="360" w:line="220" w:lineRule="atLeast"/>
    </w:pPr>
    <w:rPr>
      <w:rFonts w:ascii="Times" w:hAnsi="Times" w:cs="Times"/>
      <w:color w:val="000000"/>
      <w:w w:val="0"/>
      <w:sz w:val="18"/>
      <w:szCs w:val="18"/>
    </w:rPr>
  </w:style>
  <w:style w:type="paragraph" w:customStyle="1" w:styleId="Rubrik50">
    <w:name w:val="Rubrik50"/>
    <w:uiPriority w:val="99"/>
    <w:pPr>
      <w:keepNext/>
      <w:widowControl w:val="0"/>
      <w:suppressAutoHyphens/>
      <w:autoSpaceDE w:val="0"/>
      <w:autoSpaceDN w:val="0"/>
      <w:adjustRightInd w:val="0"/>
      <w:spacing w:before="100" w:line="220" w:lineRule="atLeast"/>
    </w:pPr>
    <w:rPr>
      <w:rFonts w:ascii="Times" w:hAnsi="Times" w:cs="Times"/>
      <w:color w:val="000000"/>
      <w:w w:val="0"/>
      <w:sz w:val="18"/>
      <w:szCs w:val="18"/>
    </w:rPr>
  </w:style>
  <w:style w:type="paragraph" w:customStyle="1" w:styleId="Strecklinjeunder">
    <w:name w:val="Strecklinje under"/>
    <w:uiPriority w:val="99"/>
    <w:pPr>
      <w:pBdr>
        <w:bottom w:val="single" w:sz="8" w:space="0" w:color="auto"/>
      </w:pBdr>
      <w:tabs>
        <w:tab w:val="left" w:pos="3060"/>
      </w:tabs>
      <w:autoSpaceDE w:val="0"/>
      <w:autoSpaceDN w:val="0"/>
      <w:adjustRightInd w:val="0"/>
      <w:spacing w:line="220" w:lineRule="atLeast"/>
      <w:jc w:val="both"/>
    </w:pPr>
    <w:rPr>
      <w:rFonts w:ascii="Times" w:hAnsi="Times" w:cs="Times"/>
      <w:color w:val="000000"/>
      <w:w w:val="0"/>
      <w:sz w:val="18"/>
      <w:szCs w:val="18"/>
    </w:rPr>
  </w:style>
  <w:style w:type="paragraph" w:customStyle="1" w:styleId="Strecklinjever">
    <w:name w:val="Strecklinje över"/>
    <w:uiPriority w:val="99"/>
    <w:pPr>
      <w:pBdr>
        <w:top w:val="single" w:sz="8" w:space="0" w:color="auto"/>
      </w:pBdr>
      <w:tabs>
        <w:tab w:val="left" w:pos="2560"/>
        <w:tab w:val="left" w:pos="4600"/>
      </w:tabs>
      <w:autoSpaceDE w:val="0"/>
      <w:autoSpaceDN w:val="0"/>
      <w:adjustRightInd w:val="0"/>
      <w:spacing w:line="220" w:lineRule="atLeast"/>
      <w:jc w:val="both"/>
    </w:pPr>
    <w:rPr>
      <w:rFonts w:ascii="Times" w:hAnsi="Times" w:cs="Times"/>
      <w:color w:val="000000"/>
      <w:w w:val="0"/>
      <w:sz w:val="18"/>
      <w:szCs w:val="18"/>
    </w:rPr>
  </w:style>
  <w:style w:type="paragraph" w:customStyle="1" w:styleId="Tabellfotnot">
    <w:name w:val="Tabellfotnot"/>
    <w:uiPriority w:val="99"/>
    <w:pPr>
      <w:widowControl w:val="0"/>
      <w:tabs>
        <w:tab w:val="left" w:pos="560"/>
      </w:tabs>
      <w:autoSpaceDE w:val="0"/>
      <w:autoSpaceDN w:val="0"/>
      <w:adjustRightInd w:val="0"/>
      <w:spacing w:line="160" w:lineRule="atLeast"/>
      <w:jc w:val="both"/>
    </w:pPr>
    <w:rPr>
      <w:rFonts w:ascii="Times" w:hAnsi="Times" w:cs="Times"/>
      <w:color w:val="000000"/>
      <w:w w:val="0"/>
      <w:sz w:val="16"/>
      <w:szCs w:val="16"/>
    </w:rPr>
  </w:style>
  <w:style w:type="paragraph" w:customStyle="1" w:styleId="Tabelltext">
    <w:name w:val="Tabelltext"/>
    <w:uiPriority w:val="99"/>
    <w:pPr>
      <w:widowControl w:val="0"/>
      <w:autoSpaceDE w:val="0"/>
      <w:autoSpaceDN w:val="0"/>
      <w:adjustRightInd w:val="0"/>
      <w:spacing w:line="160" w:lineRule="atLeast"/>
      <w:jc w:val="both"/>
    </w:pPr>
    <w:rPr>
      <w:rFonts w:ascii="Times" w:hAnsi="Times" w:cs="Times"/>
      <w:color w:val="000000"/>
      <w:w w:val="0"/>
      <w:sz w:val="16"/>
      <w:szCs w:val="16"/>
    </w:rPr>
  </w:style>
  <w:style w:type="paragraph" w:customStyle="1" w:styleId="Tabelltitel">
    <w:name w:val="Tabelltitel"/>
    <w:uiPriority w:val="99"/>
    <w:pPr>
      <w:keepNext/>
      <w:pageBreakBefore/>
      <w:widowControl w:val="0"/>
      <w:suppressAutoHyphens/>
      <w:autoSpaceDE w:val="0"/>
      <w:autoSpaceDN w:val="0"/>
      <w:adjustRightInd w:val="0"/>
      <w:spacing w:before="180" w:line="180" w:lineRule="atLeast"/>
    </w:pPr>
    <w:rPr>
      <w:rFonts w:ascii="Times" w:hAnsi="Times" w:cs="Times"/>
      <w:b/>
      <w:bCs/>
      <w:color w:val="000000"/>
      <w:w w:val="0"/>
      <w:sz w:val="18"/>
      <w:szCs w:val="18"/>
    </w:rPr>
  </w:style>
  <w:style w:type="paragraph" w:customStyle="1" w:styleId="Text">
    <w:name w:val="Text"/>
    <w:uiPriority w:val="99"/>
    <w:pPr>
      <w:widowControl w:val="0"/>
      <w:tabs>
        <w:tab w:val="left" w:pos="760"/>
      </w:tabs>
      <w:autoSpaceDE w:val="0"/>
      <w:autoSpaceDN w:val="0"/>
      <w:adjustRightInd w:val="0"/>
      <w:spacing w:before="120" w:line="180" w:lineRule="atLeast"/>
      <w:jc w:val="both"/>
    </w:pPr>
    <w:rPr>
      <w:rFonts w:ascii="Times" w:hAnsi="Times" w:cs="Times"/>
      <w:color w:val="000000"/>
      <w:w w:val="0"/>
      <w:sz w:val="14"/>
      <w:szCs w:val="14"/>
    </w:rPr>
  </w:style>
  <w:style w:type="paragraph" w:customStyle="1" w:styleId="brdtextfyrkant">
    <w:name w:val="brödtext fyrkan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upprkninga-z">
    <w:name w:val="uppräkning a-z"/>
    <w:uiPriority w:val="99"/>
    <w:pPr>
      <w:tabs>
        <w:tab w:val="left" w:pos="280"/>
      </w:tabs>
      <w:autoSpaceDE w:val="0"/>
      <w:autoSpaceDN w:val="0"/>
      <w:adjustRightInd w:val="0"/>
      <w:spacing w:line="220" w:lineRule="atLeast"/>
      <w:ind w:left="280" w:hanging="280"/>
      <w:jc w:val="both"/>
    </w:pPr>
    <w:rPr>
      <w:rFonts w:ascii="Times" w:hAnsi="Times" w:cs="Times"/>
      <w:color w:val="000000"/>
      <w:w w:val="0"/>
      <w:sz w:val="18"/>
      <w:szCs w:val="18"/>
    </w:rPr>
  </w:style>
  <w:style w:type="paragraph" w:customStyle="1" w:styleId="upprkninga-zstart">
    <w:name w:val="uppräkning a-z start"/>
    <w:uiPriority w:val="99"/>
    <w:pPr>
      <w:tabs>
        <w:tab w:val="left" w:pos="280"/>
      </w:tabs>
      <w:autoSpaceDE w:val="0"/>
      <w:autoSpaceDN w:val="0"/>
      <w:adjustRightInd w:val="0"/>
      <w:spacing w:before="100" w:line="220" w:lineRule="atLeast"/>
      <w:ind w:left="280" w:hanging="280"/>
      <w:jc w:val="both"/>
    </w:pPr>
    <w:rPr>
      <w:rFonts w:ascii="Times" w:hAnsi="Times" w:cs="Times"/>
      <w:color w:val="000000"/>
      <w:w w:val="0"/>
      <w:sz w:val="18"/>
      <w:szCs w:val="18"/>
    </w:rPr>
  </w:style>
  <w:style w:type="paragraph" w:customStyle="1" w:styleId="upprkningstreck">
    <w:name w:val="uppräkning streck"/>
    <w:uiPriority w:val="99"/>
    <w:pPr>
      <w:tabs>
        <w:tab w:val="left" w:pos="560"/>
      </w:tabs>
      <w:autoSpaceDE w:val="0"/>
      <w:autoSpaceDN w:val="0"/>
      <w:adjustRightInd w:val="0"/>
      <w:spacing w:line="220" w:lineRule="atLeast"/>
      <w:ind w:left="560" w:hanging="280"/>
      <w:jc w:val="both"/>
    </w:pPr>
    <w:rPr>
      <w:rFonts w:ascii="Times" w:hAnsi="Times" w:cs="Times"/>
      <w:color w:val="000000"/>
      <w:w w:val="0"/>
      <w:sz w:val="18"/>
      <w:szCs w:val="18"/>
    </w:rPr>
  </w:style>
  <w:style w:type="paragraph" w:customStyle="1" w:styleId="Rubrik2">
    <w:name w:val="Rubrik2"/>
    <w:uiPriority w:val="99"/>
    <w:pPr>
      <w:keepNext/>
      <w:suppressAutoHyphens/>
      <w:autoSpaceDE w:val="0"/>
      <w:autoSpaceDN w:val="0"/>
      <w:adjustRightInd w:val="0"/>
      <w:spacing w:before="360" w:line="220" w:lineRule="atLeast"/>
    </w:pPr>
    <w:rPr>
      <w:rFonts w:ascii="Times" w:hAnsi="Times" w:cs="Times"/>
      <w:b/>
      <w:bCs/>
      <w:color w:val="000000"/>
      <w:w w:val="0"/>
    </w:rPr>
  </w:style>
  <w:style w:type="paragraph" w:customStyle="1" w:styleId="Brdtextnytt">
    <w:name w:val="Brödtext nyt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character" w:customStyle="1" w:styleId="Bilaga">
    <w:name w:val="Bilaga"/>
    <w:uiPriority w:val="99"/>
    <w:rPr>
      <w:sz w:val="14"/>
      <w:szCs w:val="14"/>
    </w:rPr>
  </w:style>
  <w:style w:type="character" w:customStyle="1" w:styleId="Kursiv">
    <w:name w:val="Kursiv"/>
    <w:uiPriority w:val="99"/>
    <w:rPr>
      <w:rFonts w:ascii="Times" w:hAnsi="Times" w:cs="Times"/>
      <w:i/>
      <w:iCs/>
      <w:color w:val="000000"/>
      <w:u w:val="none"/>
      <w:vertAlign w:val="baseline"/>
    </w:rPr>
  </w:style>
  <w:style w:type="character" w:customStyle="1" w:styleId="Arkisar">
    <w:name w:val="Arkisar"/>
    <w:uiPriority w:val="99"/>
    <w:rPr>
      <w:sz w:val="14"/>
      <w:szCs w:val="14"/>
    </w:rPr>
  </w:style>
  <w:style w:type="character" w:customStyle="1" w:styleId="UnderISSN-nummer">
    <w:name w:val="Under ISSN-nummer"/>
    <w:uiPriority w:val="99"/>
    <w:rPr>
      <w:rFonts w:ascii="Times" w:hAnsi="Times" w:cs="Times"/>
      <w:color w:val="000000"/>
      <w:spacing w:val="0"/>
      <w:sz w:val="15"/>
      <w:szCs w:val="15"/>
      <w:u w:val="none"/>
      <w:vertAlign w:val="baseline"/>
    </w:rPr>
  </w:style>
  <w:style w:type="character" w:customStyle="1" w:styleId="Svfrfattnhalvfet">
    <w:name w:val="Sv.författn. halvfet"/>
    <w:uiPriority w:val="99"/>
    <w:rPr>
      <w:rFonts w:ascii="Times" w:hAnsi="Times" w:cs="Times"/>
      <w:b/>
      <w:bCs/>
      <w:color w:val="000000"/>
      <w:spacing w:val="0"/>
      <w:sz w:val="36"/>
      <w:szCs w:val="36"/>
      <w:u w:val="none"/>
      <w:vertAlign w:val="baseline"/>
    </w:rPr>
  </w:style>
  <w:style w:type="character" w:customStyle="1" w:styleId="Tryckort">
    <w:name w:val="Tryckort"/>
    <w:uiPriority w:val="99"/>
    <w:rPr>
      <w:rFonts w:ascii="Times" w:hAnsi="Times" w:cs="Times"/>
      <w:color w:val="000000"/>
      <w:spacing w:val="0"/>
      <w:sz w:val="11"/>
      <w:szCs w:val="11"/>
      <w:u w:val="none"/>
      <w:vertAlign w:val="baseline"/>
    </w:rPr>
  </w:style>
  <w:style w:type="character" w:styleId="Emphasis">
    <w:name w:val="Emphasis"/>
    <w:uiPriority w:val="99"/>
    <w:qFormat/>
    <w:rPr>
      <w:i/>
      <w:iCs/>
    </w:rPr>
  </w:style>
  <w:style w:type="character" w:customStyle="1" w:styleId="Ekvationsvariabler">
    <w:name w:val="Ekvationsvariabler"/>
    <w:uiPriority w:val="99"/>
    <w:rPr>
      <w:i/>
      <w:iCs/>
    </w:rPr>
  </w:style>
  <w:style w:type="character" w:customStyle="1" w:styleId="Halvfet">
    <w:name w:val="Halvfet"/>
    <w:uiPriority w:val="99"/>
    <w:rPr>
      <w:rFonts w:ascii="Times" w:hAnsi="Times" w:cs="Times"/>
      <w:b/>
      <w:bCs/>
      <w:color w:val="000000"/>
      <w:u w:val="none"/>
      <w:vertAlign w:val="baseline"/>
    </w:rPr>
  </w:style>
  <w:style w:type="character" w:customStyle="1" w:styleId="Pagina">
    <w:name w:val="Pagina"/>
    <w:uiPriority w:val="99"/>
    <w:rPr>
      <w:rFonts w:ascii="Times" w:hAnsi="Times" w:cs="Times"/>
      <w:color w:val="000000"/>
      <w:spacing w:val="0"/>
      <w:sz w:val="19"/>
      <w:szCs w:val="19"/>
      <w:u w:val="none"/>
      <w:vertAlign w:val="baseline"/>
    </w:rPr>
  </w:style>
  <w:style w:type="character" w:customStyle="1" w:styleId="Utkom">
    <w:name w:val="Utkom"/>
    <w:uiPriority w:val="99"/>
    <w:rPr>
      <w:rFonts w:ascii="Times" w:hAnsi="Times" w:cs="Times"/>
      <w:color w:val="000000"/>
      <w:spacing w:val="0"/>
      <w:sz w:val="17"/>
      <w:szCs w:val="17"/>
      <w:u w:val="none"/>
      <w:vertAlign w:val="baseline"/>
    </w:rPr>
  </w:style>
  <w:style w:type="paragraph" w:styleId="PlainText">
    <w:name w:val="Plain Text"/>
    <w:basedOn w:val="Normal"/>
    <w:link w:val="PlainTextChar"/>
    <w:uiPriority w:val="99"/>
    <w:unhideWhenUsed/>
    <w:rsid w:val="003D5B6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D5B62"/>
    <w:rPr>
      <w:rFonts w:ascii="Consolas" w:hAnsi="Consolas"/>
      <w:sz w:val="21"/>
      <w:szCs w:val="21"/>
      <w:lang w:val="el-GR"/>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C3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F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tgivare">
    <w:name w:val="Utgivare"/>
    <w:pPr>
      <w:widowControl w:val="0"/>
      <w:tabs>
        <w:tab w:val="left" w:pos="100"/>
      </w:tabs>
      <w:autoSpaceDE w:val="0"/>
      <w:autoSpaceDN w:val="0"/>
      <w:adjustRightInd w:val="0"/>
      <w:spacing w:before="180" w:line="160" w:lineRule="atLeast"/>
      <w:jc w:val="both"/>
    </w:pPr>
    <w:rPr>
      <w:rFonts w:ascii="Times" w:hAnsi="Times" w:cs="Times"/>
      <w:color w:val="000000"/>
      <w:w w:val="0"/>
      <w:sz w:val="16"/>
      <w:szCs w:val="16"/>
    </w:rPr>
  </w:style>
  <w:style w:type="paragraph" w:customStyle="1" w:styleId="Fristende7cic">
    <w:name w:val="Fristående 7 cic"/>
    <w:uiPriority w:val="99"/>
    <w:pPr>
      <w:tabs>
        <w:tab w:val="left" w:pos="1980"/>
      </w:tabs>
      <w:autoSpaceDE w:val="0"/>
      <w:autoSpaceDN w:val="0"/>
      <w:adjustRightInd w:val="0"/>
      <w:spacing w:before="100" w:line="220" w:lineRule="atLeast"/>
      <w:ind w:left="1980" w:hanging="1980"/>
      <w:jc w:val="both"/>
    </w:pPr>
    <w:rPr>
      <w:rFonts w:ascii="Times" w:hAnsi="Times" w:cs="Times"/>
      <w:color w:val="000000"/>
      <w:w w:val="0"/>
      <w:sz w:val="18"/>
      <w:szCs w:val="18"/>
    </w:rPr>
  </w:style>
  <w:style w:type="paragraph" w:styleId="BodyText">
    <w:name w:val="Body Text"/>
    <w:basedOn w:val="Normal"/>
    <w:link w:val="BodyTextChar"/>
    <w:uiPriority w:val="99"/>
    <w:pPr>
      <w:tabs>
        <w:tab w:val="left" w:pos="2940"/>
      </w:tabs>
      <w:autoSpaceDE w:val="0"/>
      <w:autoSpaceDN w:val="0"/>
      <w:adjustRightInd w:val="0"/>
      <w:spacing w:after="0" w:line="220" w:lineRule="atLeast"/>
      <w:jc w:val="both"/>
    </w:pPr>
    <w:rPr>
      <w:rFonts w:ascii="Times" w:hAnsi="Times" w:cs="Times"/>
      <w:color w:val="000000"/>
      <w:w w:val="0"/>
      <w:sz w:val="18"/>
      <w:szCs w:val="18"/>
    </w:rPr>
  </w:style>
  <w:style w:type="character" w:customStyle="1" w:styleId="BodyTextChar">
    <w:name w:val="Body Text Char"/>
    <w:link w:val="BodyText"/>
    <w:uiPriority w:val="99"/>
  </w:style>
  <w:style w:type="paragraph" w:customStyle="1" w:styleId="Brdtextblank">
    <w:name w:val="Brödtext blank"/>
    <w:uiPriority w:val="99"/>
    <w:pPr>
      <w:tabs>
        <w:tab w:val="left" w:pos="3060"/>
      </w:tabs>
      <w:autoSpaceDE w:val="0"/>
      <w:autoSpaceDN w:val="0"/>
      <w:adjustRightInd w:val="0"/>
      <w:spacing w:before="220" w:line="220" w:lineRule="atLeast"/>
      <w:jc w:val="both"/>
    </w:pPr>
    <w:rPr>
      <w:rFonts w:ascii="Times" w:hAnsi="Times" w:cs="Times"/>
      <w:color w:val="000000"/>
      <w:w w:val="0"/>
      <w:sz w:val="18"/>
      <w:szCs w:val="18"/>
    </w:rPr>
  </w:style>
  <w:style w:type="paragraph" w:customStyle="1" w:styleId="Brdtexthalv">
    <w:name w:val="Brödtext halv"/>
    <w:uiPriority w:val="99"/>
    <w:pPr>
      <w:autoSpaceDE w:val="0"/>
      <w:autoSpaceDN w:val="0"/>
      <w:adjustRightInd w:val="0"/>
      <w:spacing w:before="100" w:line="220" w:lineRule="atLeast"/>
      <w:jc w:val="both"/>
    </w:pPr>
    <w:rPr>
      <w:rFonts w:ascii="Times" w:hAnsi="Times" w:cs="Times"/>
      <w:color w:val="000000"/>
      <w:w w:val="0"/>
      <w:sz w:val="18"/>
      <w:szCs w:val="18"/>
    </w:rPr>
  </w:style>
  <w:style w:type="paragraph" w:customStyle="1" w:styleId="Brdtextlinje">
    <w:name w:val="Brödtext linje"/>
    <w:uiPriority w:val="99"/>
    <w:pPr>
      <w:pBdr>
        <w:top w:val="single" w:sz="8" w:space="0" w:color="auto"/>
      </w:pBdr>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Fotnot">
    <w:name w:val="Fotnot"/>
    <w:uiPriority w:val="99"/>
    <w:pPr>
      <w:widowControl w:val="0"/>
      <w:tabs>
        <w:tab w:val="left" w:pos="100"/>
      </w:tabs>
      <w:autoSpaceDE w:val="0"/>
      <w:autoSpaceDN w:val="0"/>
      <w:adjustRightInd w:val="0"/>
      <w:spacing w:line="160" w:lineRule="atLeast"/>
      <w:jc w:val="both"/>
    </w:pPr>
    <w:rPr>
      <w:rFonts w:ascii="Times" w:hAnsi="Times" w:cs="Times"/>
      <w:color w:val="000000"/>
      <w:w w:val="0"/>
      <w:sz w:val="16"/>
      <w:szCs w:val="16"/>
    </w:rPr>
  </w:style>
  <w:style w:type="paragraph" w:styleId="Footer">
    <w:name w:val="footer"/>
    <w:basedOn w:val="Normal"/>
    <w:link w:val="FooterChar"/>
    <w:uiPriority w:val="99"/>
    <w:pPr>
      <w:widowControl w:val="0"/>
      <w:tabs>
        <w:tab w:val="center" w:pos="3840"/>
        <w:tab w:val="right" w:pos="7680"/>
      </w:tabs>
      <w:autoSpaceDE w:val="0"/>
      <w:autoSpaceDN w:val="0"/>
      <w:adjustRightInd w:val="0"/>
      <w:spacing w:after="0" w:line="220" w:lineRule="atLeast"/>
      <w:jc w:val="right"/>
    </w:pPr>
    <w:rPr>
      <w:rFonts w:ascii="Times" w:hAnsi="Times" w:cs="Times"/>
      <w:color w:val="000000"/>
      <w:w w:val="0"/>
      <w:sz w:val="18"/>
      <w:szCs w:val="18"/>
    </w:rPr>
  </w:style>
  <w:style w:type="character" w:customStyle="1" w:styleId="FooterChar">
    <w:name w:val="Footer Char"/>
    <w:link w:val="Footer"/>
    <w:uiPriority w:val="99"/>
    <w:semiHidden/>
  </w:style>
  <w:style w:type="paragraph" w:styleId="Header">
    <w:name w:val="header"/>
    <w:aliases w:val="extra"/>
    <w:basedOn w:val="Normal"/>
    <w:link w:val="HeaderChar"/>
    <w:uiPriority w:val="99"/>
    <w:pPr>
      <w:widowControl w:val="0"/>
      <w:tabs>
        <w:tab w:val="left" w:pos="2680"/>
        <w:tab w:val="left" w:pos="4860"/>
      </w:tabs>
      <w:autoSpaceDE w:val="0"/>
      <w:autoSpaceDN w:val="0"/>
      <w:adjustRightInd w:val="0"/>
      <w:spacing w:after="0" w:line="240" w:lineRule="atLeast"/>
      <w:jc w:val="both"/>
    </w:pPr>
    <w:rPr>
      <w:rFonts w:ascii="Times" w:hAnsi="Times" w:cs="Times"/>
      <w:b/>
      <w:bCs/>
      <w:color w:val="000000"/>
      <w:w w:val="0"/>
      <w:sz w:val="20"/>
      <w:szCs w:val="20"/>
    </w:rPr>
  </w:style>
  <w:style w:type="character" w:customStyle="1" w:styleId="HeaderChar">
    <w:name w:val="Header Char"/>
    <w:aliases w:val="extra Char"/>
    <w:link w:val="Header"/>
    <w:uiPriority w:val="99"/>
    <w:semiHidden/>
  </w:style>
  <w:style w:type="paragraph" w:customStyle="1" w:styleId="Rubrik1">
    <w:name w:val="Rubrik1"/>
    <w:uiPriority w:val="99"/>
    <w:pPr>
      <w:widowControl w:val="0"/>
      <w:suppressAutoHyphens/>
      <w:autoSpaceDE w:val="0"/>
      <w:autoSpaceDN w:val="0"/>
      <w:adjustRightInd w:val="0"/>
      <w:spacing w:line="240" w:lineRule="atLeast"/>
      <w:ind w:right="240"/>
    </w:pPr>
    <w:rPr>
      <w:rFonts w:ascii="Times" w:hAnsi="Times" w:cs="Times"/>
      <w:b/>
      <w:bCs/>
      <w:color w:val="000000"/>
      <w:w w:val="0"/>
      <w:sz w:val="24"/>
      <w:szCs w:val="24"/>
    </w:rPr>
  </w:style>
  <w:style w:type="paragraph" w:customStyle="1" w:styleId="Rubrik2engelsk">
    <w:name w:val="Rubrik2 engelsk"/>
    <w:uiPriority w:val="99"/>
    <w:pPr>
      <w:keepNext/>
      <w:widowControl w:val="0"/>
      <w:autoSpaceDE w:val="0"/>
      <w:autoSpaceDN w:val="0"/>
      <w:adjustRightInd w:val="0"/>
      <w:spacing w:before="320" w:line="200" w:lineRule="atLeast"/>
      <w:jc w:val="both"/>
    </w:pPr>
    <w:rPr>
      <w:rFonts w:ascii="Times" w:hAnsi="Times" w:cs="Times"/>
      <w:b/>
      <w:bCs/>
      <w:color w:val="000000"/>
      <w:w w:val="0"/>
    </w:rPr>
  </w:style>
  <w:style w:type="paragraph" w:customStyle="1" w:styleId="Rubrik3">
    <w:name w:val="Rubrik3"/>
    <w:uiPriority w:val="99"/>
    <w:pPr>
      <w:keepNext/>
      <w:widowControl w:val="0"/>
      <w:suppressAutoHyphens/>
      <w:autoSpaceDE w:val="0"/>
      <w:autoSpaceDN w:val="0"/>
      <w:adjustRightInd w:val="0"/>
      <w:spacing w:before="360" w:line="220" w:lineRule="atLeast"/>
    </w:pPr>
    <w:rPr>
      <w:rFonts w:ascii="Times" w:hAnsi="Times" w:cs="Times"/>
      <w:b/>
      <w:bCs/>
      <w:color w:val="000000"/>
      <w:w w:val="0"/>
      <w:sz w:val="18"/>
      <w:szCs w:val="18"/>
    </w:rPr>
  </w:style>
  <w:style w:type="paragraph" w:customStyle="1" w:styleId="Rubrik30">
    <w:name w:val="Rubrik30"/>
    <w:uiPriority w:val="99"/>
    <w:pPr>
      <w:keepNext/>
      <w:widowControl w:val="0"/>
      <w:suppressAutoHyphens/>
      <w:autoSpaceDE w:val="0"/>
      <w:autoSpaceDN w:val="0"/>
      <w:adjustRightInd w:val="0"/>
      <w:spacing w:before="100" w:line="220" w:lineRule="atLeast"/>
    </w:pPr>
    <w:rPr>
      <w:rFonts w:ascii="Times" w:hAnsi="Times" w:cs="Times"/>
      <w:b/>
      <w:bCs/>
      <w:color w:val="000000"/>
      <w:w w:val="0"/>
      <w:sz w:val="18"/>
      <w:szCs w:val="18"/>
    </w:rPr>
  </w:style>
  <w:style w:type="paragraph" w:customStyle="1" w:styleId="Kantrubrik">
    <w:name w:val="Kantrubrik"/>
    <w:uiPriority w:val="99"/>
    <w:pPr>
      <w:widowControl w:val="0"/>
      <w:suppressAutoHyphens/>
      <w:autoSpaceDE w:val="0"/>
      <w:autoSpaceDN w:val="0"/>
      <w:adjustRightInd w:val="0"/>
      <w:spacing w:line="280" w:lineRule="atLeast"/>
    </w:pPr>
    <w:rPr>
      <w:rFonts w:ascii="Times" w:hAnsi="Times" w:cs="Times"/>
      <w:b/>
      <w:bCs/>
      <w:color w:val="000000"/>
      <w:w w:val="0"/>
      <w:sz w:val="22"/>
      <w:szCs w:val="22"/>
    </w:rPr>
  </w:style>
  <w:style w:type="paragraph" w:customStyle="1" w:styleId="Rubrik4">
    <w:name w:val="Rubrik4"/>
    <w:uiPriority w:val="99"/>
    <w:pPr>
      <w:keepNext/>
      <w:widowControl w:val="0"/>
      <w:suppressAutoHyphens/>
      <w:autoSpaceDE w:val="0"/>
      <w:autoSpaceDN w:val="0"/>
      <w:adjustRightInd w:val="0"/>
      <w:spacing w:before="360" w:line="220" w:lineRule="atLeast"/>
    </w:pPr>
    <w:rPr>
      <w:rFonts w:ascii="Times" w:hAnsi="Times" w:cs="Times"/>
      <w:i/>
      <w:iCs/>
      <w:color w:val="000000"/>
      <w:w w:val="0"/>
      <w:sz w:val="18"/>
      <w:szCs w:val="18"/>
    </w:rPr>
  </w:style>
  <w:style w:type="paragraph" w:customStyle="1" w:styleId="Rubrik40">
    <w:name w:val="Rubrik40"/>
    <w:uiPriority w:val="99"/>
    <w:pPr>
      <w:keepNext/>
      <w:widowControl w:val="0"/>
      <w:suppressAutoHyphens/>
      <w:autoSpaceDE w:val="0"/>
      <w:autoSpaceDN w:val="0"/>
      <w:adjustRightInd w:val="0"/>
      <w:spacing w:before="100" w:line="220" w:lineRule="atLeast"/>
    </w:pPr>
    <w:rPr>
      <w:rFonts w:ascii="Times" w:hAnsi="Times" w:cs="Times"/>
      <w:i/>
      <w:iCs/>
      <w:color w:val="000000"/>
      <w:w w:val="0"/>
      <w:sz w:val="18"/>
      <w:szCs w:val="18"/>
    </w:rPr>
  </w:style>
  <w:style w:type="paragraph" w:customStyle="1" w:styleId="Rubrik400utanluftver">
    <w:name w:val="Rubrik400 utan luft över"/>
    <w:uiPriority w:val="99"/>
    <w:pPr>
      <w:keepNext/>
      <w:widowControl w:val="0"/>
      <w:suppressAutoHyphens/>
      <w:autoSpaceDE w:val="0"/>
      <w:autoSpaceDN w:val="0"/>
      <w:adjustRightInd w:val="0"/>
      <w:spacing w:line="220" w:lineRule="atLeast"/>
    </w:pPr>
    <w:rPr>
      <w:rFonts w:ascii="Times" w:hAnsi="Times" w:cs="Times"/>
      <w:i/>
      <w:iCs/>
      <w:color w:val="000000"/>
      <w:w w:val="0"/>
      <w:sz w:val="18"/>
      <w:szCs w:val="18"/>
    </w:rPr>
  </w:style>
  <w:style w:type="paragraph" w:customStyle="1" w:styleId="Rubrik5">
    <w:name w:val="Rubrik5"/>
    <w:uiPriority w:val="99"/>
    <w:pPr>
      <w:keepNext/>
      <w:widowControl w:val="0"/>
      <w:suppressAutoHyphens/>
      <w:autoSpaceDE w:val="0"/>
      <w:autoSpaceDN w:val="0"/>
      <w:adjustRightInd w:val="0"/>
      <w:spacing w:before="360" w:line="220" w:lineRule="atLeast"/>
    </w:pPr>
    <w:rPr>
      <w:rFonts w:ascii="Times" w:hAnsi="Times" w:cs="Times"/>
      <w:color w:val="000000"/>
      <w:w w:val="0"/>
      <w:sz w:val="18"/>
      <w:szCs w:val="18"/>
    </w:rPr>
  </w:style>
  <w:style w:type="paragraph" w:customStyle="1" w:styleId="Rubrik50">
    <w:name w:val="Rubrik50"/>
    <w:uiPriority w:val="99"/>
    <w:pPr>
      <w:keepNext/>
      <w:widowControl w:val="0"/>
      <w:suppressAutoHyphens/>
      <w:autoSpaceDE w:val="0"/>
      <w:autoSpaceDN w:val="0"/>
      <w:adjustRightInd w:val="0"/>
      <w:spacing w:before="100" w:line="220" w:lineRule="atLeast"/>
    </w:pPr>
    <w:rPr>
      <w:rFonts w:ascii="Times" w:hAnsi="Times" w:cs="Times"/>
      <w:color w:val="000000"/>
      <w:w w:val="0"/>
      <w:sz w:val="18"/>
      <w:szCs w:val="18"/>
    </w:rPr>
  </w:style>
  <w:style w:type="paragraph" w:customStyle="1" w:styleId="Strecklinjeunder">
    <w:name w:val="Strecklinje under"/>
    <w:uiPriority w:val="99"/>
    <w:pPr>
      <w:pBdr>
        <w:bottom w:val="single" w:sz="8" w:space="0" w:color="auto"/>
      </w:pBdr>
      <w:tabs>
        <w:tab w:val="left" w:pos="3060"/>
      </w:tabs>
      <w:autoSpaceDE w:val="0"/>
      <w:autoSpaceDN w:val="0"/>
      <w:adjustRightInd w:val="0"/>
      <w:spacing w:line="220" w:lineRule="atLeast"/>
      <w:jc w:val="both"/>
    </w:pPr>
    <w:rPr>
      <w:rFonts w:ascii="Times" w:hAnsi="Times" w:cs="Times"/>
      <w:color w:val="000000"/>
      <w:w w:val="0"/>
      <w:sz w:val="18"/>
      <w:szCs w:val="18"/>
    </w:rPr>
  </w:style>
  <w:style w:type="paragraph" w:customStyle="1" w:styleId="Strecklinjever">
    <w:name w:val="Strecklinje över"/>
    <w:uiPriority w:val="99"/>
    <w:pPr>
      <w:pBdr>
        <w:top w:val="single" w:sz="8" w:space="0" w:color="auto"/>
      </w:pBdr>
      <w:tabs>
        <w:tab w:val="left" w:pos="2560"/>
        <w:tab w:val="left" w:pos="4600"/>
      </w:tabs>
      <w:autoSpaceDE w:val="0"/>
      <w:autoSpaceDN w:val="0"/>
      <w:adjustRightInd w:val="0"/>
      <w:spacing w:line="220" w:lineRule="atLeast"/>
      <w:jc w:val="both"/>
    </w:pPr>
    <w:rPr>
      <w:rFonts w:ascii="Times" w:hAnsi="Times" w:cs="Times"/>
      <w:color w:val="000000"/>
      <w:w w:val="0"/>
      <w:sz w:val="18"/>
      <w:szCs w:val="18"/>
    </w:rPr>
  </w:style>
  <w:style w:type="paragraph" w:customStyle="1" w:styleId="Tabellfotnot">
    <w:name w:val="Tabellfotnot"/>
    <w:uiPriority w:val="99"/>
    <w:pPr>
      <w:widowControl w:val="0"/>
      <w:tabs>
        <w:tab w:val="left" w:pos="560"/>
      </w:tabs>
      <w:autoSpaceDE w:val="0"/>
      <w:autoSpaceDN w:val="0"/>
      <w:adjustRightInd w:val="0"/>
      <w:spacing w:line="160" w:lineRule="atLeast"/>
      <w:jc w:val="both"/>
    </w:pPr>
    <w:rPr>
      <w:rFonts w:ascii="Times" w:hAnsi="Times" w:cs="Times"/>
      <w:color w:val="000000"/>
      <w:w w:val="0"/>
      <w:sz w:val="16"/>
      <w:szCs w:val="16"/>
    </w:rPr>
  </w:style>
  <w:style w:type="paragraph" w:customStyle="1" w:styleId="Tabelltext">
    <w:name w:val="Tabelltext"/>
    <w:uiPriority w:val="99"/>
    <w:pPr>
      <w:widowControl w:val="0"/>
      <w:autoSpaceDE w:val="0"/>
      <w:autoSpaceDN w:val="0"/>
      <w:adjustRightInd w:val="0"/>
      <w:spacing w:line="160" w:lineRule="atLeast"/>
      <w:jc w:val="both"/>
    </w:pPr>
    <w:rPr>
      <w:rFonts w:ascii="Times" w:hAnsi="Times" w:cs="Times"/>
      <w:color w:val="000000"/>
      <w:w w:val="0"/>
      <w:sz w:val="16"/>
      <w:szCs w:val="16"/>
    </w:rPr>
  </w:style>
  <w:style w:type="paragraph" w:customStyle="1" w:styleId="Tabelltitel">
    <w:name w:val="Tabelltitel"/>
    <w:uiPriority w:val="99"/>
    <w:pPr>
      <w:keepNext/>
      <w:pageBreakBefore/>
      <w:widowControl w:val="0"/>
      <w:suppressAutoHyphens/>
      <w:autoSpaceDE w:val="0"/>
      <w:autoSpaceDN w:val="0"/>
      <w:adjustRightInd w:val="0"/>
      <w:spacing w:before="180" w:line="180" w:lineRule="atLeast"/>
    </w:pPr>
    <w:rPr>
      <w:rFonts w:ascii="Times" w:hAnsi="Times" w:cs="Times"/>
      <w:b/>
      <w:bCs/>
      <w:color w:val="000000"/>
      <w:w w:val="0"/>
      <w:sz w:val="18"/>
      <w:szCs w:val="18"/>
    </w:rPr>
  </w:style>
  <w:style w:type="paragraph" w:customStyle="1" w:styleId="Text">
    <w:name w:val="Text"/>
    <w:uiPriority w:val="99"/>
    <w:pPr>
      <w:widowControl w:val="0"/>
      <w:tabs>
        <w:tab w:val="left" w:pos="760"/>
      </w:tabs>
      <w:autoSpaceDE w:val="0"/>
      <w:autoSpaceDN w:val="0"/>
      <w:adjustRightInd w:val="0"/>
      <w:spacing w:before="120" w:line="180" w:lineRule="atLeast"/>
      <w:jc w:val="both"/>
    </w:pPr>
    <w:rPr>
      <w:rFonts w:ascii="Times" w:hAnsi="Times" w:cs="Times"/>
      <w:color w:val="000000"/>
      <w:w w:val="0"/>
      <w:sz w:val="14"/>
      <w:szCs w:val="14"/>
    </w:rPr>
  </w:style>
  <w:style w:type="paragraph" w:customStyle="1" w:styleId="brdtextfyrkant">
    <w:name w:val="brödtext fyrkan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upprkninga-z">
    <w:name w:val="uppräkning a-z"/>
    <w:uiPriority w:val="99"/>
    <w:pPr>
      <w:tabs>
        <w:tab w:val="left" w:pos="280"/>
      </w:tabs>
      <w:autoSpaceDE w:val="0"/>
      <w:autoSpaceDN w:val="0"/>
      <w:adjustRightInd w:val="0"/>
      <w:spacing w:line="220" w:lineRule="atLeast"/>
      <w:ind w:left="280" w:hanging="280"/>
      <w:jc w:val="both"/>
    </w:pPr>
    <w:rPr>
      <w:rFonts w:ascii="Times" w:hAnsi="Times" w:cs="Times"/>
      <w:color w:val="000000"/>
      <w:w w:val="0"/>
      <w:sz w:val="18"/>
      <w:szCs w:val="18"/>
    </w:rPr>
  </w:style>
  <w:style w:type="paragraph" w:customStyle="1" w:styleId="upprkninga-zstart">
    <w:name w:val="uppräkning a-z start"/>
    <w:uiPriority w:val="99"/>
    <w:pPr>
      <w:tabs>
        <w:tab w:val="left" w:pos="280"/>
      </w:tabs>
      <w:autoSpaceDE w:val="0"/>
      <w:autoSpaceDN w:val="0"/>
      <w:adjustRightInd w:val="0"/>
      <w:spacing w:before="100" w:line="220" w:lineRule="atLeast"/>
      <w:ind w:left="280" w:hanging="280"/>
      <w:jc w:val="both"/>
    </w:pPr>
    <w:rPr>
      <w:rFonts w:ascii="Times" w:hAnsi="Times" w:cs="Times"/>
      <w:color w:val="000000"/>
      <w:w w:val="0"/>
      <w:sz w:val="18"/>
      <w:szCs w:val="18"/>
    </w:rPr>
  </w:style>
  <w:style w:type="paragraph" w:customStyle="1" w:styleId="upprkningstreck">
    <w:name w:val="uppräkning streck"/>
    <w:uiPriority w:val="99"/>
    <w:pPr>
      <w:tabs>
        <w:tab w:val="left" w:pos="560"/>
      </w:tabs>
      <w:autoSpaceDE w:val="0"/>
      <w:autoSpaceDN w:val="0"/>
      <w:adjustRightInd w:val="0"/>
      <w:spacing w:line="220" w:lineRule="atLeast"/>
      <w:ind w:left="560" w:hanging="280"/>
      <w:jc w:val="both"/>
    </w:pPr>
    <w:rPr>
      <w:rFonts w:ascii="Times" w:hAnsi="Times" w:cs="Times"/>
      <w:color w:val="000000"/>
      <w:w w:val="0"/>
      <w:sz w:val="18"/>
      <w:szCs w:val="18"/>
    </w:rPr>
  </w:style>
  <w:style w:type="paragraph" w:customStyle="1" w:styleId="Rubrik2">
    <w:name w:val="Rubrik2"/>
    <w:uiPriority w:val="99"/>
    <w:pPr>
      <w:keepNext/>
      <w:suppressAutoHyphens/>
      <w:autoSpaceDE w:val="0"/>
      <w:autoSpaceDN w:val="0"/>
      <w:adjustRightInd w:val="0"/>
      <w:spacing w:before="360" w:line="220" w:lineRule="atLeast"/>
    </w:pPr>
    <w:rPr>
      <w:rFonts w:ascii="Times" w:hAnsi="Times" w:cs="Times"/>
      <w:b/>
      <w:bCs/>
      <w:color w:val="000000"/>
      <w:w w:val="0"/>
    </w:rPr>
  </w:style>
  <w:style w:type="paragraph" w:customStyle="1" w:styleId="Brdtextnytt">
    <w:name w:val="Brödtext nyt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character" w:customStyle="1" w:styleId="Bilaga">
    <w:name w:val="Bilaga"/>
    <w:uiPriority w:val="99"/>
    <w:rPr>
      <w:sz w:val="14"/>
      <w:szCs w:val="14"/>
    </w:rPr>
  </w:style>
  <w:style w:type="character" w:customStyle="1" w:styleId="Kursiv">
    <w:name w:val="Kursiv"/>
    <w:uiPriority w:val="99"/>
    <w:rPr>
      <w:rFonts w:ascii="Times" w:hAnsi="Times" w:cs="Times"/>
      <w:i/>
      <w:iCs/>
      <w:color w:val="000000"/>
      <w:u w:val="none"/>
      <w:vertAlign w:val="baseline"/>
    </w:rPr>
  </w:style>
  <w:style w:type="character" w:customStyle="1" w:styleId="Arkisar">
    <w:name w:val="Arkisar"/>
    <w:uiPriority w:val="99"/>
    <w:rPr>
      <w:sz w:val="14"/>
      <w:szCs w:val="14"/>
    </w:rPr>
  </w:style>
  <w:style w:type="character" w:customStyle="1" w:styleId="UnderISSN-nummer">
    <w:name w:val="Under ISSN-nummer"/>
    <w:uiPriority w:val="99"/>
    <w:rPr>
      <w:rFonts w:ascii="Times" w:hAnsi="Times" w:cs="Times"/>
      <w:color w:val="000000"/>
      <w:spacing w:val="0"/>
      <w:sz w:val="15"/>
      <w:szCs w:val="15"/>
      <w:u w:val="none"/>
      <w:vertAlign w:val="baseline"/>
    </w:rPr>
  </w:style>
  <w:style w:type="character" w:customStyle="1" w:styleId="Svfrfattnhalvfet">
    <w:name w:val="Sv.författn. halvfet"/>
    <w:uiPriority w:val="99"/>
    <w:rPr>
      <w:rFonts w:ascii="Times" w:hAnsi="Times" w:cs="Times"/>
      <w:b/>
      <w:bCs/>
      <w:color w:val="000000"/>
      <w:spacing w:val="0"/>
      <w:sz w:val="36"/>
      <w:szCs w:val="36"/>
      <w:u w:val="none"/>
      <w:vertAlign w:val="baseline"/>
    </w:rPr>
  </w:style>
  <w:style w:type="character" w:customStyle="1" w:styleId="Tryckort">
    <w:name w:val="Tryckort"/>
    <w:uiPriority w:val="99"/>
    <w:rPr>
      <w:rFonts w:ascii="Times" w:hAnsi="Times" w:cs="Times"/>
      <w:color w:val="000000"/>
      <w:spacing w:val="0"/>
      <w:sz w:val="11"/>
      <w:szCs w:val="11"/>
      <w:u w:val="none"/>
      <w:vertAlign w:val="baseline"/>
    </w:rPr>
  </w:style>
  <w:style w:type="character" w:styleId="Emphasis">
    <w:name w:val="Emphasis"/>
    <w:uiPriority w:val="99"/>
    <w:qFormat/>
    <w:rPr>
      <w:i/>
      <w:iCs/>
    </w:rPr>
  </w:style>
  <w:style w:type="character" w:customStyle="1" w:styleId="Ekvationsvariabler">
    <w:name w:val="Ekvationsvariabler"/>
    <w:uiPriority w:val="99"/>
    <w:rPr>
      <w:i/>
      <w:iCs/>
    </w:rPr>
  </w:style>
  <w:style w:type="character" w:customStyle="1" w:styleId="Halvfet">
    <w:name w:val="Halvfet"/>
    <w:uiPriority w:val="99"/>
    <w:rPr>
      <w:rFonts w:ascii="Times" w:hAnsi="Times" w:cs="Times"/>
      <w:b/>
      <w:bCs/>
      <w:color w:val="000000"/>
      <w:u w:val="none"/>
      <w:vertAlign w:val="baseline"/>
    </w:rPr>
  </w:style>
  <w:style w:type="character" w:customStyle="1" w:styleId="Pagina">
    <w:name w:val="Pagina"/>
    <w:uiPriority w:val="99"/>
    <w:rPr>
      <w:rFonts w:ascii="Times" w:hAnsi="Times" w:cs="Times"/>
      <w:color w:val="000000"/>
      <w:spacing w:val="0"/>
      <w:sz w:val="19"/>
      <w:szCs w:val="19"/>
      <w:u w:val="none"/>
      <w:vertAlign w:val="baseline"/>
    </w:rPr>
  </w:style>
  <w:style w:type="character" w:customStyle="1" w:styleId="Utkom">
    <w:name w:val="Utkom"/>
    <w:uiPriority w:val="99"/>
    <w:rPr>
      <w:rFonts w:ascii="Times" w:hAnsi="Times" w:cs="Times"/>
      <w:color w:val="000000"/>
      <w:spacing w:val="0"/>
      <w:sz w:val="17"/>
      <w:szCs w:val="17"/>
      <w:u w:val="none"/>
      <w:vertAlign w:val="baseline"/>
    </w:rPr>
  </w:style>
  <w:style w:type="paragraph" w:styleId="PlainText">
    <w:name w:val="Plain Text"/>
    <w:basedOn w:val="Normal"/>
    <w:link w:val="PlainTextChar"/>
    <w:uiPriority w:val="99"/>
    <w:unhideWhenUsed/>
    <w:rsid w:val="003D5B6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D5B62"/>
    <w:rPr>
      <w:rFonts w:ascii="Consolas" w:hAnsi="Consolas"/>
      <w:sz w:val="21"/>
      <w:szCs w:val="21"/>
      <w:lang w:val="en-GB"/>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C3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F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microsoft.com/office/2007/relationships/stylesWithEffects" Target="stylesWithEffect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2771</Words>
  <Characters>15795</Characters>
  <Application>Microsoft Office Word</Application>
  <DocSecurity>0</DocSecurity>
  <Lines>131</Lines>
  <Paragraphs>37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rkuser1</dc:creator>
  <cp:keywords/>
  <dc:description/>
  <cp:lastModifiedBy>DA</cp:lastModifiedBy>
  <cp:revision>4</cp:revision>
  <dcterms:created xsi:type="dcterms:W3CDTF">2018-11-09T14:20:00Z</dcterms:created>
  <dcterms:modified xsi:type="dcterms:W3CDTF">2018-11-20T06:33:00Z</dcterms:modified>
</cp:coreProperties>
</file>