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C57" w:rsidRPr="00CC7EB3" w:rsidRDefault="00E17C57" w:rsidP="00FE2D40">
      <w:pPr>
        <w:tabs>
          <w:tab w:val="center" w:pos="4614"/>
          <w:tab w:val="right" w:pos="9229"/>
        </w:tabs>
        <w:spacing w:after="120"/>
        <w:rPr>
          <w:rFonts w:ascii="Courier New" w:hAnsi="Courier New"/>
        </w:rPr>
      </w:pPr>
      <w:bookmarkStart w:id="0" w:name="_GoBack"/>
      <w:bookmarkEnd w:id="0"/>
      <w:r w:rsidRPr="00CC7EB3">
        <w:rPr>
          <w:rFonts w:ascii="Courier New" w:hAnsi="Courier New"/>
        </w:rPr>
        <w:t>1. ------IND- 2019 0331 NL- RO- ------ 20190722 --- --- PROJET</w:t>
      </w:r>
      <w:r w:rsidR="00FE2D40">
        <w:rPr>
          <w:rFonts w:ascii="Courier New" w:hAnsi="Courier New"/>
        </w:rPr>
        <w:tab/>
      </w:r>
    </w:p>
    <w:p w:rsidR="00E27C82" w:rsidRPr="00CC7EB3" w:rsidRDefault="00E27C82" w:rsidP="00E17C57"/>
    <w:p w:rsidR="00E27C82" w:rsidRPr="00CC7EB3" w:rsidRDefault="00E27C82" w:rsidP="00E17C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tblGrid>
      <w:tr w:rsidR="007E7D62" w:rsidRPr="00CC7EB3" w:rsidTr="00E17C57">
        <w:trPr>
          <w:cantSplit/>
        </w:trPr>
        <w:tc>
          <w:tcPr>
            <w:tcW w:w="3189" w:type="dxa"/>
            <w:tcBorders>
              <w:top w:val="nil"/>
              <w:left w:val="nil"/>
              <w:bottom w:val="nil"/>
              <w:right w:val="nil"/>
            </w:tcBorders>
          </w:tcPr>
          <w:p w:rsidR="007E7D62" w:rsidRPr="00CC7EB3" w:rsidRDefault="007E7D62" w:rsidP="003D0C77">
            <w:pPr>
              <w:ind w:left="567"/>
            </w:pPr>
            <w:r w:rsidRPr="00CC7EB3">
              <w:br w:type="page"/>
            </w:r>
            <w:r w:rsidRPr="00CC7EB3">
              <w:rPr>
                <w:rFonts w:ascii="Verdana" w:hAnsi="Verdana"/>
                <w:sz w:val="18"/>
              </w:rPr>
              <w:t>Decretul</w:t>
            </w:r>
            <w:r w:rsidRPr="00CC7EB3">
              <w:rPr>
                <w:rFonts w:ascii="Verdana" w:hAnsi="Verdana"/>
                <w:sz w:val="18"/>
                <w:szCs w:val="18"/>
              </w:rPr>
              <w:br/>
            </w:r>
            <w:r w:rsidRPr="00CC7EB3">
              <w:rPr>
                <w:rFonts w:ascii="Verdana" w:hAnsi="Verdana"/>
                <w:sz w:val="18"/>
                <w:szCs w:val="18"/>
              </w:rPr>
              <w:br/>
            </w:r>
            <w:r w:rsidRPr="00CC7EB3">
              <w:rPr>
                <w:rFonts w:ascii="Verdana" w:hAnsi="Verdana"/>
                <w:sz w:val="18"/>
                <w:szCs w:val="18"/>
              </w:rPr>
              <w:br/>
            </w:r>
            <w:r w:rsidRPr="00CC7EB3">
              <w:rPr>
                <w:rFonts w:ascii="Verdana" w:hAnsi="Verdana"/>
                <w:sz w:val="18"/>
                <w:szCs w:val="18"/>
              </w:rPr>
              <w:br/>
            </w:r>
            <w:r w:rsidRPr="00CC7EB3">
              <w:rPr>
                <w:rFonts w:ascii="Verdana" w:hAnsi="Verdana"/>
                <w:sz w:val="18"/>
              </w:rPr>
              <w:t>de modificare a Decretului-lege privind mărfurile referitor la preparatele din plante și a Decretului-lege privind mărfurile în ceea ce privește sancțiunile administrative aplicate pentru adăugarea anumitor substanțe dăunătoare în preparatele din plante și aplicarea anumitor modificări tehnice</w:t>
            </w:r>
          </w:p>
        </w:tc>
      </w:tr>
      <w:tr w:rsidR="00732703" w:rsidRPr="00CC7EB3" w:rsidTr="00E17C57">
        <w:trPr>
          <w:cantSplit/>
        </w:trPr>
        <w:tc>
          <w:tcPr>
            <w:tcW w:w="3189" w:type="dxa"/>
            <w:tcBorders>
              <w:top w:val="nil"/>
              <w:left w:val="nil"/>
              <w:bottom w:val="nil"/>
              <w:right w:val="nil"/>
            </w:tcBorders>
          </w:tcPr>
          <w:p w:rsidR="00732703" w:rsidRPr="00CC7EB3" w:rsidRDefault="00732703" w:rsidP="00E17C57"/>
        </w:tc>
      </w:tr>
    </w:tbl>
    <w:p w:rsidR="007E7D62" w:rsidRPr="00CC7EB3" w:rsidRDefault="007E7D62" w:rsidP="00E17C57">
      <w:pPr>
        <w:ind w:left="567"/>
      </w:pPr>
    </w:p>
    <w:p w:rsidR="007E7D62" w:rsidRPr="00CC7EB3" w:rsidRDefault="007E7D62" w:rsidP="00E17C57">
      <w:pPr>
        <w:ind w:left="567"/>
      </w:pPr>
    </w:p>
    <w:p w:rsidR="007E7D62" w:rsidRPr="00CC7EB3" w:rsidRDefault="007E7D62" w:rsidP="00E17C57">
      <w:pPr>
        <w:ind w:left="567"/>
      </w:pPr>
    </w:p>
    <w:p w:rsidR="007E7D62" w:rsidRPr="00CC7EB3" w:rsidRDefault="007E7D62" w:rsidP="00E17C57">
      <w:pPr>
        <w:ind w:left="567"/>
      </w:pPr>
    </w:p>
    <w:p w:rsidR="007E7D62" w:rsidRPr="00CC7EB3" w:rsidRDefault="007E7D62" w:rsidP="00E17C57">
      <w:pPr>
        <w:ind w:left="567"/>
      </w:pPr>
    </w:p>
    <w:p w:rsidR="007E7D62" w:rsidRPr="00CC7EB3" w:rsidRDefault="007E7D62" w:rsidP="00E17C57">
      <w:pPr>
        <w:pStyle w:val="Ondertekening"/>
        <w:spacing w:before="0"/>
        <w:ind w:left="567"/>
      </w:pPr>
    </w:p>
    <w:p w:rsidR="007E7D62" w:rsidRPr="00CC7EB3" w:rsidRDefault="007E7D62" w:rsidP="00E17C57">
      <w:pPr>
        <w:ind w:left="2268"/>
        <w:rPr>
          <w:rFonts w:ascii="Verdana" w:hAnsi="Verdana"/>
          <w:sz w:val="18"/>
          <w:szCs w:val="18"/>
        </w:rPr>
      </w:pPr>
      <w:r w:rsidRPr="00CC7EB3">
        <w:rPr>
          <w:rFonts w:ascii="Verdana" w:hAnsi="Verdana"/>
          <w:sz w:val="18"/>
        </w:rPr>
        <w:t>La propunerea ministrului asistenței medicale din 2019, -VGP;</w:t>
      </w:r>
    </w:p>
    <w:p w:rsidR="007E7D62" w:rsidRPr="00CC7EB3" w:rsidRDefault="007E7D62" w:rsidP="00E17C57">
      <w:pPr>
        <w:ind w:left="2268"/>
        <w:rPr>
          <w:rFonts w:ascii="Verdana" w:hAnsi="Verdana"/>
          <w:sz w:val="18"/>
          <w:szCs w:val="18"/>
        </w:rPr>
      </w:pPr>
    </w:p>
    <w:p w:rsidR="007E7D62" w:rsidRPr="00CC7EB3" w:rsidRDefault="007E7D62" w:rsidP="00E17C57">
      <w:pPr>
        <w:ind w:left="2268"/>
        <w:rPr>
          <w:rFonts w:ascii="Verdana" w:hAnsi="Verdana"/>
          <w:sz w:val="18"/>
          <w:szCs w:val="18"/>
        </w:rPr>
      </w:pPr>
      <w:r w:rsidRPr="00CC7EB3">
        <w:rPr>
          <w:rFonts w:ascii="Verdana" w:hAnsi="Verdana"/>
          <w:sz w:val="18"/>
        </w:rPr>
        <w:t>având în vedere articolul 4 alineatul (1), articolul 8 alineatul (1) litera (c) și articolul 14 din Legea privind mărfurile,</w:t>
      </w:r>
    </w:p>
    <w:p w:rsidR="007E7D62" w:rsidRPr="00CC7EB3" w:rsidRDefault="007E7D62" w:rsidP="00E17C57">
      <w:pPr>
        <w:ind w:left="2268"/>
        <w:rPr>
          <w:rFonts w:ascii="Verdana" w:hAnsi="Verdana"/>
          <w:sz w:val="18"/>
          <w:szCs w:val="18"/>
        </w:rPr>
      </w:pPr>
    </w:p>
    <w:p w:rsidR="007E7D62" w:rsidRPr="00CC7EB3" w:rsidRDefault="007E7D62" w:rsidP="00E17C57">
      <w:pPr>
        <w:ind w:left="2268"/>
        <w:rPr>
          <w:rFonts w:ascii="Verdana" w:hAnsi="Verdana"/>
          <w:sz w:val="18"/>
          <w:szCs w:val="18"/>
        </w:rPr>
      </w:pPr>
      <w:r w:rsidRPr="00CC7EB3">
        <w:rPr>
          <w:rFonts w:ascii="Verdana" w:hAnsi="Verdana"/>
          <w:sz w:val="18"/>
        </w:rPr>
        <w:t>după audierea avizului Departamentului consultativ al Consiliului de Stat (avizul din , nr. ),</w:t>
      </w:r>
    </w:p>
    <w:p w:rsidR="007E7D62" w:rsidRPr="00CC7EB3" w:rsidRDefault="007E7D62" w:rsidP="00E17C57">
      <w:pPr>
        <w:ind w:left="2268"/>
        <w:rPr>
          <w:rFonts w:ascii="Verdana" w:hAnsi="Verdana"/>
          <w:sz w:val="18"/>
          <w:szCs w:val="18"/>
        </w:rPr>
      </w:pPr>
    </w:p>
    <w:p w:rsidR="007E7D62" w:rsidRPr="00CC7EB3" w:rsidRDefault="007E7D62" w:rsidP="00E17C57">
      <w:pPr>
        <w:ind w:left="2268"/>
        <w:rPr>
          <w:rFonts w:ascii="Verdana" w:hAnsi="Verdana"/>
          <w:sz w:val="18"/>
          <w:szCs w:val="18"/>
        </w:rPr>
      </w:pPr>
      <w:r w:rsidRPr="00CC7EB3">
        <w:rPr>
          <w:rFonts w:ascii="Verdana" w:hAnsi="Verdana"/>
          <w:sz w:val="18"/>
        </w:rPr>
        <w:t>având în vedere raportul suplimentar al ministrului asistenței medicale din 2019, -VGP,</w:t>
      </w:r>
    </w:p>
    <w:p w:rsidR="007E7D62" w:rsidRPr="00CC7EB3" w:rsidRDefault="007E7D62" w:rsidP="00E17C57">
      <w:pPr>
        <w:ind w:left="2268"/>
        <w:rPr>
          <w:rFonts w:ascii="Verdana" w:hAnsi="Verdana"/>
          <w:sz w:val="18"/>
          <w:szCs w:val="18"/>
        </w:rPr>
      </w:pPr>
    </w:p>
    <w:p w:rsidR="007E7D62" w:rsidRPr="00CC7EB3" w:rsidRDefault="007E7D62" w:rsidP="00E17C57">
      <w:pPr>
        <w:ind w:left="2268"/>
        <w:rPr>
          <w:rFonts w:ascii="Verdana" w:hAnsi="Verdana"/>
          <w:sz w:val="18"/>
          <w:szCs w:val="18"/>
        </w:rPr>
      </w:pPr>
      <w:r w:rsidRPr="00CC7EB3">
        <w:rPr>
          <w:rFonts w:ascii="Verdana" w:hAnsi="Verdana"/>
          <w:sz w:val="18"/>
        </w:rPr>
        <w:t>Se aprobă şi prin prezentul se stabilesc următoarele:</w:t>
      </w:r>
    </w:p>
    <w:p w:rsidR="007E7D62" w:rsidRPr="00CC7EB3" w:rsidRDefault="007E7D62" w:rsidP="00E17C57">
      <w:pPr>
        <w:ind w:left="2268"/>
        <w:rPr>
          <w:rFonts w:ascii="Verdana" w:hAnsi="Verdana"/>
          <w:sz w:val="18"/>
          <w:szCs w:val="18"/>
        </w:rPr>
      </w:pPr>
    </w:p>
    <w:p w:rsidR="007E7D62" w:rsidRPr="00CC7EB3" w:rsidRDefault="007E7D62" w:rsidP="00E17C57">
      <w:pPr>
        <w:ind w:left="2268"/>
        <w:rPr>
          <w:rFonts w:ascii="Verdana" w:hAnsi="Verdana"/>
          <w:sz w:val="18"/>
          <w:szCs w:val="18"/>
        </w:rPr>
      </w:pPr>
    </w:p>
    <w:p w:rsidR="007E7D62" w:rsidRPr="00CC7EB3" w:rsidRDefault="007E7D62" w:rsidP="00E17C57">
      <w:pPr>
        <w:keepNext/>
        <w:keepLines/>
        <w:ind w:left="2268"/>
        <w:rPr>
          <w:rFonts w:ascii="Verdana" w:hAnsi="Verdana"/>
          <w:b/>
          <w:sz w:val="18"/>
          <w:szCs w:val="18"/>
        </w:rPr>
      </w:pPr>
      <w:r w:rsidRPr="00CC7EB3">
        <w:rPr>
          <w:rFonts w:ascii="Verdana" w:hAnsi="Verdana"/>
          <w:b/>
          <w:sz w:val="18"/>
        </w:rPr>
        <w:t>Articolul I</w:t>
      </w:r>
    </w:p>
    <w:p w:rsidR="007E7D62" w:rsidRPr="00CC7EB3" w:rsidRDefault="007E7D62" w:rsidP="00E17C57">
      <w:pPr>
        <w:keepNext/>
        <w:keepLines/>
        <w:ind w:left="2268"/>
        <w:rPr>
          <w:rFonts w:ascii="Verdana" w:hAnsi="Verdana"/>
          <w:sz w:val="18"/>
          <w:szCs w:val="18"/>
        </w:rPr>
      </w:pPr>
    </w:p>
    <w:p w:rsidR="007E7D62" w:rsidRPr="00CC7EB3" w:rsidRDefault="007E7D62" w:rsidP="00E17C57">
      <w:pPr>
        <w:ind w:left="2268"/>
        <w:rPr>
          <w:rFonts w:ascii="Verdana" w:hAnsi="Verdana"/>
          <w:sz w:val="18"/>
          <w:szCs w:val="18"/>
        </w:rPr>
      </w:pPr>
      <w:r w:rsidRPr="00CC7EB3">
        <w:rPr>
          <w:rFonts w:ascii="Verdana" w:hAnsi="Verdana"/>
          <w:sz w:val="18"/>
        </w:rPr>
        <w:t>Decretul-lege privind mărfurile referitor la preparatele din plante [Warenwetbesluit Kruidenpreparaten] se modifică după cum urmează:</w:t>
      </w:r>
    </w:p>
    <w:p w:rsidR="00060A6E" w:rsidRPr="00CC7EB3" w:rsidRDefault="00060A6E" w:rsidP="00E17C57">
      <w:pPr>
        <w:ind w:left="2268"/>
        <w:rPr>
          <w:rFonts w:ascii="Verdana" w:hAnsi="Verdana"/>
          <w:sz w:val="18"/>
          <w:szCs w:val="18"/>
        </w:rPr>
      </w:pPr>
    </w:p>
    <w:p w:rsidR="00060A6E" w:rsidRPr="00CC7EB3" w:rsidRDefault="00060A6E" w:rsidP="00E17C57">
      <w:pPr>
        <w:keepNext/>
        <w:keepLines/>
        <w:ind w:left="2268"/>
        <w:rPr>
          <w:rFonts w:ascii="Verdana" w:hAnsi="Verdana"/>
          <w:sz w:val="18"/>
          <w:szCs w:val="18"/>
        </w:rPr>
      </w:pPr>
      <w:r w:rsidRPr="00CC7EB3">
        <w:rPr>
          <w:rFonts w:ascii="Verdana" w:hAnsi="Verdana"/>
          <w:sz w:val="18"/>
        </w:rPr>
        <w:t>A</w:t>
      </w:r>
    </w:p>
    <w:p w:rsidR="00093369" w:rsidRPr="00CC7EB3" w:rsidRDefault="00093369" w:rsidP="00E17C57">
      <w:pPr>
        <w:keepNext/>
        <w:keepLines/>
        <w:ind w:left="2268"/>
        <w:rPr>
          <w:rFonts w:ascii="Verdana" w:hAnsi="Verdana"/>
          <w:sz w:val="18"/>
          <w:szCs w:val="18"/>
        </w:rPr>
      </w:pPr>
    </w:p>
    <w:p w:rsidR="000C18E4" w:rsidRPr="00CC7EB3" w:rsidRDefault="00732703" w:rsidP="00E17C57">
      <w:pPr>
        <w:keepNext/>
        <w:keepLines/>
        <w:ind w:left="2268"/>
        <w:rPr>
          <w:rFonts w:ascii="Verdana" w:hAnsi="Verdana"/>
          <w:sz w:val="18"/>
          <w:szCs w:val="18"/>
        </w:rPr>
      </w:pPr>
      <w:r w:rsidRPr="00CC7EB3">
        <w:rPr>
          <w:rFonts w:ascii="Verdana" w:hAnsi="Verdana"/>
          <w:sz w:val="18"/>
        </w:rPr>
        <w:t>Articolul 4 se modifică după cum urmează:</w:t>
      </w:r>
    </w:p>
    <w:p w:rsidR="00443563" w:rsidRPr="00CC7EB3" w:rsidRDefault="00443563" w:rsidP="00E17C57">
      <w:pPr>
        <w:pStyle w:val="ListParagraph"/>
        <w:keepNext/>
        <w:keepLines/>
        <w:numPr>
          <w:ilvl w:val="0"/>
          <w:numId w:val="29"/>
        </w:numPr>
        <w:rPr>
          <w:rFonts w:ascii="Verdana" w:hAnsi="Verdana"/>
          <w:sz w:val="18"/>
          <w:szCs w:val="18"/>
        </w:rPr>
      </w:pPr>
      <w:r w:rsidRPr="00CC7EB3">
        <w:rPr>
          <w:rFonts w:ascii="Verdana" w:hAnsi="Verdana"/>
          <w:sz w:val="18"/>
        </w:rPr>
        <w:t>Alineatul (1) are următoarea formulare:</w:t>
      </w:r>
    </w:p>
    <w:p w:rsidR="000C18E4" w:rsidRPr="00CC7EB3" w:rsidRDefault="0043098B" w:rsidP="00E17C57">
      <w:pPr>
        <w:pStyle w:val="ListParagraph"/>
        <w:numPr>
          <w:ilvl w:val="0"/>
          <w:numId w:val="30"/>
        </w:numPr>
        <w:rPr>
          <w:rFonts w:ascii="Verdana" w:hAnsi="Verdana"/>
          <w:sz w:val="18"/>
          <w:szCs w:val="18"/>
        </w:rPr>
      </w:pPr>
      <w:r w:rsidRPr="00CC7EB3">
        <w:rPr>
          <w:rFonts w:ascii="Verdana" w:hAnsi="Verdana"/>
          <w:sz w:val="18"/>
        </w:rPr>
        <w:t>Cantitatea de alcaloizi de pirolizidină toxici din preparatele din plante nu trebuie să depășească 1 μg pe kg, respectiv, pe litru.</w:t>
      </w:r>
    </w:p>
    <w:p w:rsidR="000C18E4" w:rsidRPr="00CC7EB3" w:rsidRDefault="0043098B" w:rsidP="00E17C57">
      <w:pPr>
        <w:keepNext/>
        <w:keepLines/>
        <w:tabs>
          <w:tab w:val="left" w:pos="2835"/>
        </w:tabs>
        <w:ind w:left="2268"/>
        <w:rPr>
          <w:rFonts w:ascii="Verdana" w:hAnsi="Verdana"/>
          <w:sz w:val="18"/>
          <w:szCs w:val="18"/>
        </w:rPr>
      </w:pPr>
      <w:r w:rsidRPr="00CC7EB3">
        <w:rPr>
          <w:rFonts w:ascii="Verdana" w:hAnsi="Verdana"/>
          <w:sz w:val="18"/>
        </w:rPr>
        <w:lastRenderedPageBreak/>
        <w:t>2.</w:t>
      </w:r>
      <w:r w:rsidRPr="00CC7EB3">
        <w:tab/>
      </w:r>
      <w:r w:rsidRPr="00CC7EB3">
        <w:rPr>
          <w:rFonts w:ascii="Verdana" w:hAnsi="Verdana"/>
          <w:sz w:val="18"/>
        </w:rPr>
        <w:t>Alineatul (2) are următoarea formulare:</w:t>
      </w:r>
    </w:p>
    <w:p w:rsidR="00732703" w:rsidRPr="00CC7EB3" w:rsidRDefault="000C18E4" w:rsidP="00FE2D40">
      <w:pPr>
        <w:ind w:left="3544" w:hanging="708"/>
        <w:rPr>
          <w:rFonts w:ascii="Verdana" w:hAnsi="Verdana"/>
          <w:sz w:val="18"/>
          <w:szCs w:val="18"/>
        </w:rPr>
      </w:pPr>
      <w:r w:rsidRPr="00CC7EB3">
        <w:rPr>
          <w:rFonts w:ascii="Verdana" w:hAnsi="Verdana"/>
          <w:sz w:val="18"/>
        </w:rPr>
        <w:t>2</w:t>
      </w:r>
      <w:r w:rsidR="00FE2D40">
        <w:rPr>
          <w:rFonts w:ascii="Verdana" w:hAnsi="Verdana"/>
          <w:sz w:val="18"/>
        </w:rPr>
        <w:t>.</w:t>
      </w:r>
      <w:r w:rsidRPr="00CC7EB3">
        <w:tab/>
      </w:r>
      <w:r w:rsidRPr="00CC7EB3">
        <w:rPr>
          <w:rFonts w:ascii="Verdana" w:hAnsi="Verdana"/>
          <w:sz w:val="18"/>
        </w:rPr>
        <w:t>Preparatele din plante nu trebuie să conțină:</w:t>
      </w:r>
    </w:p>
    <w:p w:rsidR="00060A6E" w:rsidRPr="00CC7EB3" w:rsidRDefault="00BF3143" w:rsidP="00FE2D40">
      <w:pPr>
        <w:pStyle w:val="ListParagraph"/>
        <w:numPr>
          <w:ilvl w:val="1"/>
          <w:numId w:val="22"/>
        </w:numPr>
        <w:ind w:left="3544" w:hanging="425"/>
        <w:rPr>
          <w:rFonts w:ascii="Verdana" w:hAnsi="Verdana"/>
          <w:sz w:val="18"/>
          <w:szCs w:val="18"/>
        </w:rPr>
      </w:pPr>
      <w:r w:rsidRPr="00CC7EB3">
        <w:rPr>
          <w:rFonts w:ascii="Verdana" w:hAnsi="Verdana"/>
          <w:sz w:val="18"/>
        </w:rPr>
        <w:t>aconitină sau orice derivat al acesteia;</w:t>
      </w:r>
    </w:p>
    <w:p w:rsidR="005016F0" w:rsidRPr="00CC7EB3" w:rsidRDefault="00BF3143" w:rsidP="00FE2D40">
      <w:pPr>
        <w:pStyle w:val="ListParagraph"/>
        <w:numPr>
          <w:ilvl w:val="1"/>
          <w:numId w:val="22"/>
        </w:numPr>
        <w:ind w:left="3544" w:hanging="425"/>
        <w:rPr>
          <w:rFonts w:ascii="Verdana" w:hAnsi="Verdana"/>
          <w:sz w:val="18"/>
          <w:szCs w:val="18"/>
        </w:rPr>
      </w:pPr>
      <w:r w:rsidRPr="00CC7EB3">
        <w:rPr>
          <w:rFonts w:ascii="Verdana" w:hAnsi="Verdana"/>
          <w:sz w:val="18"/>
        </w:rPr>
        <w:t>acizi aristolochici sau orice derivat al acestora;</w:t>
      </w:r>
    </w:p>
    <w:p w:rsidR="005016F0" w:rsidRPr="00CC7EB3" w:rsidRDefault="00BF3143" w:rsidP="00FE2D40">
      <w:pPr>
        <w:pStyle w:val="ListParagraph"/>
        <w:numPr>
          <w:ilvl w:val="1"/>
          <w:numId w:val="22"/>
        </w:numPr>
        <w:ind w:left="3544" w:hanging="425"/>
        <w:rPr>
          <w:rFonts w:ascii="Verdana" w:hAnsi="Verdana"/>
          <w:sz w:val="18"/>
          <w:szCs w:val="18"/>
        </w:rPr>
      </w:pPr>
      <w:r w:rsidRPr="00CC7EB3">
        <w:rPr>
          <w:rFonts w:ascii="Verdana" w:hAnsi="Verdana"/>
          <w:sz w:val="18"/>
        </w:rPr>
        <w:t>atropină sau orice derivat al acesteia;</w:t>
      </w:r>
    </w:p>
    <w:p w:rsidR="005016F0" w:rsidRPr="00CC7EB3" w:rsidRDefault="005016F0" w:rsidP="00FE2D40">
      <w:pPr>
        <w:pStyle w:val="ListParagraph"/>
        <w:numPr>
          <w:ilvl w:val="1"/>
          <w:numId w:val="22"/>
        </w:numPr>
        <w:ind w:left="3544" w:hanging="425"/>
        <w:rPr>
          <w:rFonts w:ascii="Verdana" w:hAnsi="Verdana"/>
          <w:sz w:val="18"/>
          <w:szCs w:val="18"/>
        </w:rPr>
      </w:pPr>
      <w:r w:rsidRPr="00CC7EB3">
        <w:rPr>
          <w:rFonts w:ascii="Verdana" w:hAnsi="Verdana"/>
          <w:sz w:val="18"/>
        </w:rPr>
        <w:t>colchicină sau orice derivat al acesteia;</w:t>
      </w:r>
    </w:p>
    <w:p w:rsidR="005016F0" w:rsidRPr="00CC7EB3" w:rsidRDefault="005016F0" w:rsidP="00FE2D40">
      <w:pPr>
        <w:pStyle w:val="ListParagraph"/>
        <w:numPr>
          <w:ilvl w:val="1"/>
          <w:numId w:val="22"/>
        </w:numPr>
        <w:ind w:left="3544" w:hanging="425"/>
        <w:rPr>
          <w:rFonts w:ascii="Verdana" w:hAnsi="Verdana"/>
          <w:sz w:val="18"/>
          <w:szCs w:val="18"/>
        </w:rPr>
      </w:pPr>
      <w:r w:rsidRPr="00CC7EB3">
        <w:rPr>
          <w:rFonts w:ascii="Verdana" w:hAnsi="Verdana"/>
          <w:sz w:val="18"/>
        </w:rPr>
        <w:t>hiosciamină sau orice derivat al acesteia;</w:t>
      </w:r>
    </w:p>
    <w:p w:rsidR="005016F0" w:rsidRPr="00CC7EB3" w:rsidRDefault="00BF3143" w:rsidP="00FE2D40">
      <w:pPr>
        <w:pStyle w:val="ListParagraph"/>
        <w:numPr>
          <w:ilvl w:val="1"/>
          <w:numId w:val="22"/>
        </w:numPr>
        <w:ind w:left="3544" w:hanging="425"/>
        <w:rPr>
          <w:rFonts w:ascii="Verdana" w:hAnsi="Verdana"/>
          <w:sz w:val="18"/>
          <w:szCs w:val="18"/>
        </w:rPr>
      </w:pPr>
      <w:r w:rsidRPr="00CC7EB3">
        <w:rPr>
          <w:rFonts w:ascii="Verdana" w:hAnsi="Verdana"/>
          <w:sz w:val="18"/>
        </w:rPr>
        <w:t>meta și orto sinefrină sau orice derivat al acestora;</w:t>
      </w:r>
    </w:p>
    <w:p w:rsidR="00BF3143" w:rsidRPr="00CC7EB3" w:rsidRDefault="00BF3143" w:rsidP="00FE2D40">
      <w:pPr>
        <w:pStyle w:val="ListParagraph"/>
        <w:numPr>
          <w:ilvl w:val="1"/>
          <w:numId w:val="22"/>
        </w:numPr>
        <w:ind w:left="3544" w:hanging="425"/>
        <w:rPr>
          <w:rFonts w:ascii="Verdana" w:hAnsi="Verdana"/>
          <w:sz w:val="18"/>
          <w:szCs w:val="18"/>
        </w:rPr>
      </w:pPr>
      <w:r w:rsidRPr="00CC7EB3">
        <w:rPr>
          <w:rFonts w:ascii="Verdana" w:hAnsi="Verdana"/>
          <w:sz w:val="18"/>
        </w:rPr>
        <w:t>ulei de Artemisia absinthium (pelin), fără a se aduce atingere dispozițiilor de la articolul 6 alineatul (2) și anexei III partea B din Regulamentul (CE) nr. 1334/2008 în ceea ce privește permisiunea ca tuiona să fie prezentă în anumite produse alimentare combinate;</w:t>
      </w:r>
    </w:p>
    <w:p w:rsidR="005016F0" w:rsidRPr="00CC7EB3" w:rsidRDefault="005016F0" w:rsidP="00FE2D40">
      <w:pPr>
        <w:pStyle w:val="ListParagraph"/>
        <w:numPr>
          <w:ilvl w:val="1"/>
          <w:numId w:val="22"/>
        </w:numPr>
        <w:ind w:left="3544" w:hanging="425"/>
        <w:rPr>
          <w:rFonts w:ascii="Verdana" w:hAnsi="Verdana"/>
          <w:sz w:val="18"/>
          <w:szCs w:val="18"/>
        </w:rPr>
      </w:pPr>
      <w:r w:rsidRPr="00CC7EB3">
        <w:rPr>
          <w:rFonts w:ascii="Verdana" w:hAnsi="Verdana"/>
          <w:sz w:val="18"/>
        </w:rPr>
        <w:t>pilocarpina sau orice derivat al acesteia;</w:t>
      </w:r>
    </w:p>
    <w:p w:rsidR="005016F0" w:rsidRPr="00CC7EB3" w:rsidRDefault="005016F0" w:rsidP="00FE2D40">
      <w:pPr>
        <w:pStyle w:val="ListParagraph"/>
        <w:numPr>
          <w:ilvl w:val="1"/>
          <w:numId w:val="22"/>
        </w:numPr>
        <w:ind w:left="3544" w:hanging="425"/>
        <w:rPr>
          <w:rFonts w:ascii="Verdana" w:hAnsi="Verdana"/>
          <w:sz w:val="18"/>
          <w:szCs w:val="18"/>
        </w:rPr>
      </w:pPr>
      <w:r w:rsidRPr="00CC7EB3">
        <w:rPr>
          <w:rFonts w:ascii="Verdana" w:hAnsi="Verdana"/>
          <w:sz w:val="18"/>
        </w:rPr>
        <w:t>scopolamină sau orice derivat al acesteia;</w:t>
      </w:r>
    </w:p>
    <w:p w:rsidR="005016F0" w:rsidRPr="00CC7EB3" w:rsidRDefault="005016F0" w:rsidP="00FE2D40">
      <w:pPr>
        <w:pStyle w:val="ListParagraph"/>
        <w:numPr>
          <w:ilvl w:val="1"/>
          <w:numId w:val="22"/>
        </w:numPr>
        <w:ind w:left="3544" w:hanging="425"/>
        <w:rPr>
          <w:rFonts w:ascii="Verdana" w:hAnsi="Verdana"/>
          <w:sz w:val="18"/>
          <w:szCs w:val="18"/>
        </w:rPr>
      </w:pPr>
      <w:r w:rsidRPr="00CC7EB3">
        <w:rPr>
          <w:rFonts w:ascii="Verdana" w:hAnsi="Verdana"/>
          <w:sz w:val="18"/>
        </w:rPr>
        <w:t>stricnină sau orice derivat al acesteia; și</w:t>
      </w:r>
    </w:p>
    <w:p w:rsidR="00BF3143" w:rsidRPr="00CC7EB3" w:rsidRDefault="00BF3143" w:rsidP="00FE2D40">
      <w:pPr>
        <w:pStyle w:val="ListParagraph"/>
        <w:numPr>
          <w:ilvl w:val="1"/>
          <w:numId w:val="22"/>
        </w:numPr>
        <w:ind w:left="3544" w:hanging="425"/>
        <w:rPr>
          <w:rFonts w:ascii="Verdana" w:hAnsi="Verdana"/>
          <w:sz w:val="18"/>
          <w:szCs w:val="18"/>
        </w:rPr>
      </w:pPr>
      <w:r w:rsidRPr="00CC7EB3">
        <w:rPr>
          <w:rFonts w:ascii="Verdana" w:hAnsi="Verdana"/>
          <w:sz w:val="18"/>
        </w:rPr>
        <w:t>alcaloizi de iohimbină sau orice derivat al acestora.</w:t>
      </w:r>
    </w:p>
    <w:p w:rsidR="000E0515" w:rsidRPr="00CC7EB3" w:rsidRDefault="0043098B" w:rsidP="00E17C57">
      <w:pPr>
        <w:ind w:left="2835" w:hanging="567"/>
        <w:rPr>
          <w:rFonts w:ascii="Verdana" w:hAnsi="Verdana"/>
          <w:sz w:val="18"/>
          <w:szCs w:val="18"/>
        </w:rPr>
      </w:pPr>
      <w:r w:rsidRPr="00CC7EB3">
        <w:rPr>
          <w:rFonts w:ascii="Verdana" w:hAnsi="Verdana"/>
          <w:sz w:val="18"/>
        </w:rPr>
        <w:t>3.</w:t>
      </w:r>
      <w:r w:rsidRPr="00CC7EB3">
        <w:tab/>
      </w:r>
      <w:r w:rsidRPr="00CC7EB3">
        <w:rPr>
          <w:rFonts w:ascii="Verdana" w:hAnsi="Verdana"/>
          <w:sz w:val="18"/>
        </w:rPr>
        <w:t>La alineatul (3), textul „plantele menționate în partea II din anexă” se înlocuiește cu textul „plantele și ciupercile menționate în anexă”.</w:t>
      </w:r>
    </w:p>
    <w:p w:rsidR="0043098B" w:rsidRPr="00CC7EB3" w:rsidRDefault="00E17C57" w:rsidP="00E17C57">
      <w:pPr>
        <w:keepNext/>
        <w:keepLines/>
        <w:ind w:left="2836" w:hanging="568"/>
        <w:rPr>
          <w:rFonts w:ascii="Verdana" w:hAnsi="Verdana"/>
          <w:sz w:val="18"/>
          <w:szCs w:val="18"/>
        </w:rPr>
      </w:pPr>
      <w:r w:rsidRPr="00CC7EB3">
        <w:rPr>
          <w:rFonts w:ascii="Verdana" w:hAnsi="Verdana"/>
          <w:sz w:val="18"/>
        </w:rPr>
        <w:t>4.</w:t>
      </w:r>
      <w:r w:rsidRPr="00CC7EB3">
        <w:tab/>
      </w:r>
      <w:r w:rsidRPr="00CC7EB3">
        <w:rPr>
          <w:rFonts w:ascii="Verdana" w:hAnsi="Verdana"/>
          <w:sz w:val="18"/>
        </w:rPr>
        <w:t>Se adaugă trei aliniate noi cu următoarea formulare:</w:t>
      </w:r>
    </w:p>
    <w:p w:rsidR="0043098B" w:rsidRPr="00CC7EB3" w:rsidRDefault="0043098B" w:rsidP="00E17C57">
      <w:pPr>
        <w:ind w:left="3544" w:hanging="708"/>
        <w:rPr>
          <w:rFonts w:ascii="Verdana" w:hAnsi="Verdana"/>
          <w:sz w:val="18"/>
          <w:szCs w:val="18"/>
        </w:rPr>
      </w:pPr>
      <w:r w:rsidRPr="00CC7EB3">
        <w:rPr>
          <w:rFonts w:ascii="Verdana" w:hAnsi="Verdana"/>
          <w:sz w:val="18"/>
        </w:rPr>
        <w:t>4.</w:t>
      </w:r>
      <w:r w:rsidRPr="00CC7EB3">
        <w:tab/>
      </w:r>
      <w:r w:rsidRPr="00CC7EB3">
        <w:rPr>
          <w:rFonts w:ascii="Verdana" w:hAnsi="Verdana"/>
          <w:sz w:val="18"/>
        </w:rPr>
        <w:t>Preparatele din plante trebuie să conțină o doză zilnică maximă de 27 mg p-sinefrină, conform prospectului.</w:t>
      </w:r>
    </w:p>
    <w:p w:rsidR="0095665C" w:rsidRPr="00CC7EB3" w:rsidRDefault="0043098B" w:rsidP="00E17C57">
      <w:pPr>
        <w:ind w:left="3544" w:hanging="708"/>
        <w:rPr>
          <w:rFonts w:ascii="Verdana" w:hAnsi="Verdana"/>
          <w:sz w:val="18"/>
          <w:szCs w:val="18"/>
        </w:rPr>
      </w:pPr>
      <w:r w:rsidRPr="00CC7EB3">
        <w:rPr>
          <w:rFonts w:ascii="Verdana" w:hAnsi="Verdana"/>
          <w:sz w:val="18"/>
        </w:rPr>
        <w:t>5.</w:t>
      </w:r>
      <w:r w:rsidRPr="00CC7EB3">
        <w:tab/>
      </w:r>
      <w:r w:rsidRPr="00CC7EB3">
        <w:rPr>
          <w:rFonts w:ascii="Verdana" w:hAnsi="Verdana"/>
          <w:sz w:val="18"/>
        </w:rPr>
        <w:t>Prin derogare de la alineatul (3), preparatele din plante pot conține ulei extras din semințele de Ricinus communis, cu condiția ca utilizarea recomandată și dozele prevăzute, menționate la articolul 6 alineatul (1), să nu conducă la un aport de ulei mai mare de 0,4 g pe zi.</w:t>
      </w:r>
    </w:p>
    <w:p w:rsidR="00AB3B66" w:rsidRPr="00CC7EB3" w:rsidRDefault="00AB3B66" w:rsidP="00E17C57">
      <w:pPr>
        <w:ind w:left="3544" w:hanging="708"/>
        <w:rPr>
          <w:rFonts w:ascii="Verdana" w:hAnsi="Verdana"/>
          <w:sz w:val="18"/>
          <w:szCs w:val="18"/>
        </w:rPr>
      </w:pPr>
      <w:r w:rsidRPr="00CC7EB3">
        <w:rPr>
          <w:rFonts w:ascii="Verdana" w:hAnsi="Verdana"/>
          <w:sz w:val="18"/>
        </w:rPr>
        <w:t>6.</w:t>
      </w:r>
      <w:r w:rsidRPr="00CC7EB3">
        <w:tab/>
      </w:r>
      <w:r w:rsidRPr="00CC7EB3">
        <w:rPr>
          <w:rFonts w:ascii="Verdana" w:hAnsi="Verdana"/>
          <w:sz w:val="18"/>
        </w:rPr>
        <w:t>Alineatul (1) nu se aplică aspectelor reglementate de dispozițiile Regulamentului (CE) nr. 1881/2006.</w:t>
      </w:r>
    </w:p>
    <w:p w:rsidR="00D9610F" w:rsidRPr="00CC7EB3" w:rsidRDefault="00D9610F" w:rsidP="00E17C57">
      <w:pPr>
        <w:ind w:left="2268"/>
        <w:rPr>
          <w:rFonts w:ascii="Verdana" w:hAnsi="Verdana"/>
          <w:sz w:val="18"/>
          <w:szCs w:val="18"/>
        </w:rPr>
      </w:pPr>
    </w:p>
    <w:p w:rsidR="00AB4972" w:rsidRPr="00CC7EB3" w:rsidRDefault="00AB4972" w:rsidP="00E17C57">
      <w:pPr>
        <w:keepNext/>
        <w:keepLines/>
        <w:ind w:left="2268"/>
        <w:rPr>
          <w:rFonts w:ascii="Verdana" w:hAnsi="Verdana"/>
          <w:sz w:val="18"/>
          <w:szCs w:val="18"/>
        </w:rPr>
      </w:pPr>
      <w:r w:rsidRPr="00CC7EB3">
        <w:rPr>
          <w:rFonts w:ascii="Verdana" w:hAnsi="Verdana"/>
          <w:sz w:val="18"/>
        </w:rPr>
        <w:t>B</w:t>
      </w:r>
    </w:p>
    <w:p w:rsidR="00AB4972" w:rsidRPr="00CC7EB3" w:rsidRDefault="00AB4972" w:rsidP="00E17C57">
      <w:pPr>
        <w:keepNext/>
        <w:keepLines/>
        <w:ind w:left="2268"/>
        <w:rPr>
          <w:rFonts w:ascii="Verdana" w:hAnsi="Verdana"/>
          <w:sz w:val="18"/>
          <w:szCs w:val="18"/>
        </w:rPr>
      </w:pPr>
    </w:p>
    <w:p w:rsidR="003825F1" w:rsidRPr="00CC7EB3" w:rsidRDefault="003825F1" w:rsidP="00E17C57">
      <w:pPr>
        <w:keepNext/>
        <w:keepLines/>
        <w:ind w:left="2268"/>
        <w:rPr>
          <w:rFonts w:ascii="Verdana" w:hAnsi="Verdana"/>
          <w:sz w:val="18"/>
          <w:szCs w:val="18"/>
        </w:rPr>
      </w:pPr>
      <w:r w:rsidRPr="00CC7EB3">
        <w:rPr>
          <w:rFonts w:ascii="Verdana" w:hAnsi="Verdana"/>
          <w:sz w:val="18"/>
        </w:rPr>
        <w:t>La articolul 6 se adaugă un alineat cu următoarea formulare:</w:t>
      </w:r>
    </w:p>
    <w:p w:rsidR="003825F1" w:rsidRPr="00CC7EB3" w:rsidRDefault="003825F1" w:rsidP="00E17C57">
      <w:pPr>
        <w:ind w:left="2836" w:hanging="568"/>
        <w:rPr>
          <w:rFonts w:ascii="Verdana" w:hAnsi="Verdana"/>
          <w:sz w:val="18"/>
          <w:szCs w:val="18"/>
        </w:rPr>
      </w:pPr>
      <w:r w:rsidRPr="00CC7EB3">
        <w:rPr>
          <w:rFonts w:ascii="Verdana" w:hAnsi="Verdana"/>
          <w:sz w:val="18"/>
        </w:rPr>
        <w:t>3</w:t>
      </w:r>
      <w:r w:rsidR="00FE2D40">
        <w:rPr>
          <w:rFonts w:ascii="Verdana" w:hAnsi="Verdana"/>
          <w:sz w:val="18"/>
        </w:rPr>
        <w:t>.</w:t>
      </w:r>
      <w:r w:rsidRPr="00CC7EB3">
        <w:rPr>
          <w:rFonts w:ascii="Verdana" w:hAnsi="Verdana"/>
          <w:sz w:val="18"/>
        </w:rPr>
        <w:t xml:space="preserve"> </w:t>
      </w:r>
      <w:r w:rsidRPr="00CC7EB3">
        <w:tab/>
      </w:r>
      <w:r w:rsidRPr="00CC7EB3">
        <w:rPr>
          <w:rFonts w:ascii="Verdana" w:hAnsi="Verdana"/>
          <w:sz w:val="18"/>
        </w:rPr>
        <w:t>Ministrul poate emite un ordin de stabilire a unor norme suplimentare privind utilizarea recomandată și dozele prevăzute la alineatele (1) și (2).</w:t>
      </w:r>
    </w:p>
    <w:p w:rsidR="003825F1" w:rsidRPr="00CC7EB3" w:rsidRDefault="003825F1" w:rsidP="00E17C57">
      <w:pPr>
        <w:ind w:left="2268"/>
        <w:rPr>
          <w:rFonts w:ascii="Verdana" w:hAnsi="Verdana"/>
          <w:sz w:val="18"/>
          <w:szCs w:val="18"/>
        </w:rPr>
      </w:pPr>
    </w:p>
    <w:p w:rsidR="003825F1" w:rsidRPr="00CC7EB3" w:rsidRDefault="003825F1" w:rsidP="00E17C57">
      <w:pPr>
        <w:keepNext/>
        <w:keepLines/>
        <w:ind w:left="2268"/>
        <w:rPr>
          <w:rFonts w:ascii="Verdana" w:hAnsi="Verdana"/>
          <w:sz w:val="18"/>
          <w:szCs w:val="18"/>
        </w:rPr>
      </w:pPr>
      <w:r w:rsidRPr="00CC7EB3">
        <w:rPr>
          <w:rFonts w:ascii="Verdana" w:hAnsi="Verdana"/>
          <w:sz w:val="18"/>
        </w:rPr>
        <w:t>C</w:t>
      </w:r>
    </w:p>
    <w:p w:rsidR="003825F1" w:rsidRPr="00CC7EB3" w:rsidRDefault="003825F1" w:rsidP="00E17C57">
      <w:pPr>
        <w:keepNext/>
        <w:keepLines/>
        <w:ind w:left="2268"/>
        <w:rPr>
          <w:rFonts w:ascii="Verdana" w:hAnsi="Verdana"/>
          <w:sz w:val="18"/>
          <w:szCs w:val="18"/>
        </w:rPr>
      </w:pPr>
    </w:p>
    <w:p w:rsidR="00BB07D4" w:rsidRPr="00CC7EB3" w:rsidRDefault="00BB07D4" w:rsidP="00E17C57">
      <w:pPr>
        <w:ind w:left="2268"/>
        <w:rPr>
          <w:rFonts w:ascii="Verdana" w:hAnsi="Verdana"/>
          <w:sz w:val="18"/>
          <w:szCs w:val="18"/>
        </w:rPr>
      </w:pPr>
      <w:r w:rsidRPr="00CC7EB3">
        <w:rPr>
          <w:rFonts w:ascii="Verdana" w:hAnsi="Verdana"/>
          <w:sz w:val="18"/>
        </w:rPr>
        <w:t>La articolul 7 alineatul (1), se elimină următorul text: „cu sensul că articolul 4 alineatele (1) și (3) intră în vigoare la 1 august 2001 pentru preparatele din plante – altele decât produsele alimentare și băuturile – destinate exclusiv administrării cutanate pe diferite zone de pe corpul uman și care nu conțin alte plante decât cele indicate cu codul 1 în ultima coloană din anexă”.</w:t>
      </w:r>
    </w:p>
    <w:p w:rsidR="00BB07D4" w:rsidRPr="00CC7EB3" w:rsidRDefault="00BB07D4" w:rsidP="00E17C57">
      <w:pPr>
        <w:ind w:left="2268"/>
        <w:rPr>
          <w:rFonts w:ascii="Verdana" w:hAnsi="Verdana"/>
          <w:sz w:val="18"/>
          <w:szCs w:val="18"/>
        </w:rPr>
      </w:pPr>
    </w:p>
    <w:p w:rsidR="00BB07D4" w:rsidRPr="00CC7EB3" w:rsidRDefault="00BB07D4" w:rsidP="00E17C57">
      <w:pPr>
        <w:keepNext/>
        <w:keepLines/>
        <w:ind w:left="2268"/>
        <w:rPr>
          <w:rFonts w:ascii="Verdana" w:hAnsi="Verdana"/>
          <w:sz w:val="18"/>
          <w:szCs w:val="18"/>
        </w:rPr>
      </w:pPr>
      <w:r w:rsidRPr="00CC7EB3">
        <w:rPr>
          <w:rFonts w:ascii="Verdana" w:hAnsi="Verdana"/>
          <w:sz w:val="18"/>
        </w:rPr>
        <w:t>D</w:t>
      </w:r>
    </w:p>
    <w:p w:rsidR="00BB07D4" w:rsidRPr="00CC7EB3" w:rsidRDefault="00BB07D4" w:rsidP="00E17C57">
      <w:pPr>
        <w:keepNext/>
        <w:keepLines/>
        <w:ind w:left="2268"/>
        <w:rPr>
          <w:rFonts w:ascii="Verdana" w:hAnsi="Verdana"/>
          <w:sz w:val="18"/>
          <w:szCs w:val="18"/>
        </w:rPr>
      </w:pPr>
    </w:p>
    <w:p w:rsidR="00BB11AA" w:rsidRPr="00CC7EB3" w:rsidRDefault="00F6533C" w:rsidP="00E17C57">
      <w:pPr>
        <w:keepNext/>
        <w:keepLines/>
        <w:ind w:left="2268"/>
        <w:rPr>
          <w:rFonts w:ascii="Verdana" w:hAnsi="Verdana"/>
          <w:sz w:val="18"/>
          <w:szCs w:val="18"/>
        </w:rPr>
      </w:pPr>
      <w:r w:rsidRPr="00CC7EB3">
        <w:rPr>
          <w:rFonts w:ascii="Verdana" w:hAnsi="Verdana"/>
          <w:sz w:val="18"/>
        </w:rPr>
        <w:t>Anexa se modifică după cum urmează:</w:t>
      </w:r>
    </w:p>
    <w:p w:rsidR="00F6533C" w:rsidRPr="00CC7EB3" w:rsidRDefault="00F6533C" w:rsidP="00E17C57">
      <w:pPr>
        <w:pStyle w:val="ListParagraph"/>
        <w:numPr>
          <w:ilvl w:val="0"/>
          <w:numId w:val="23"/>
        </w:numPr>
        <w:rPr>
          <w:rFonts w:ascii="Verdana" w:hAnsi="Verdana"/>
          <w:sz w:val="18"/>
          <w:szCs w:val="18"/>
        </w:rPr>
      </w:pPr>
      <w:r w:rsidRPr="00CC7EB3">
        <w:rPr>
          <w:rFonts w:ascii="Verdana" w:hAnsi="Verdana"/>
          <w:sz w:val="18"/>
        </w:rPr>
        <w:t>Teza „Prezenta anexă corespunde articolului 4.” se înlocuiește cu teza „Prezenta anexă corespunde articolului 4 alineatul (3)”.</w:t>
      </w:r>
    </w:p>
    <w:p w:rsidR="00F6533C" w:rsidRPr="00CC7EB3" w:rsidRDefault="00BB02A9" w:rsidP="00E17C57">
      <w:pPr>
        <w:pStyle w:val="ListParagraph"/>
        <w:numPr>
          <w:ilvl w:val="0"/>
          <w:numId w:val="23"/>
        </w:numPr>
        <w:rPr>
          <w:rFonts w:ascii="Verdana" w:hAnsi="Verdana"/>
          <w:sz w:val="18"/>
          <w:szCs w:val="18"/>
        </w:rPr>
      </w:pPr>
      <w:r w:rsidRPr="00CC7EB3">
        <w:rPr>
          <w:rFonts w:ascii="Verdana" w:hAnsi="Verdana"/>
          <w:sz w:val="18"/>
        </w:rPr>
        <w:t>Partea I se elimină.</w:t>
      </w:r>
    </w:p>
    <w:p w:rsidR="00F6533C" w:rsidRPr="00CC7EB3" w:rsidRDefault="00BB07D4" w:rsidP="00E17C57">
      <w:pPr>
        <w:pStyle w:val="ListParagraph"/>
        <w:numPr>
          <w:ilvl w:val="0"/>
          <w:numId w:val="23"/>
        </w:numPr>
        <w:rPr>
          <w:rFonts w:ascii="Verdana" w:hAnsi="Verdana"/>
          <w:sz w:val="18"/>
          <w:szCs w:val="18"/>
        </w:rPr>
      </w:pPr>
      <w:r w:rsidRPr="00CC7EB3">
        <w:rPr>
          <w:rFonts w:ascii="Verdana" w:hAnsi="Verdana"/>
          <w:sz w:val="18"/>
        </w:rPr>
        <w:lastRenderedPageBreak/>
        <w:t>Textul „II. Următoarele plante și ciuperci:” se înlocuiește cu textul „Plantele și ciupercile menționate la articolul 4 alineatul (3):”.</w:t>
      </w:r>
    </w:p>
    <w:p w:rsidR="00740EC3" w:rsidRPr="00CC7EB3" w:rsidRDefault="00740EC3" w:rsidP="00E17C57">
      <w:pPr>
        <w:pStyle w:val="ListParagraph"/>
        <w:keepNext/>
        <w:keepLines/>
        <w:numPr>
          <w:ilvl w:val="0"/>
          <w:numId w:val="23"/>
        </w:numPr>
        <w:rPr>
          <w:rFonts w:ascii="Verdana" w:hAnsi="Verdana"/>
          <w:sz w:val="18"/>
          <w:szCs w:val="18"/>
        </w:rPr>
      </w:pPr>
      <w:r w:rsidRPr="00CC7EB3">
        <w:rPr>
          <w:rFonts w:ascii="Verdana" w:hAnsi="Verdana"/>
          <w:sz w:val="18"/>
        </w:rPr>
        <w:t>Următoarele se introduc în ordine alfabetică:</w:t>
      </w:r>
    </w:p>
    <w:p w:rsidR="00183469" w:rsidRPr="00CC7EB3" w:rsidRDefault="00740EC3" w:rsidP="00E17C57">
      <w:pPr>
        <w:ind w:left="1919" w:firstLine="709"/>
        <w:rPr>
          <w:rFonts w:ascii="Verdana" w:hAnsi="Verdana"/>
          <w:sz w:val="18"/>
          <w:szCs w:val="18"/>
        </w:rPr>
      </w:pPr>
      <w:r w:rsidRPr="00CC7EB3">
        <w:rPr>
          <w:rFonts w:ascii="Verdana" w:hAnsi="Verdana"/>
          <w:sz w:val="18"/>
        </w:rPr>
        <w:t>Aconitum carmichaelii;</w:t>
      </w:r>
    </w:p>
    <w:p w:rsidR="00740EC3" w:rsidRPr="00CC7EB3" w:rsidRDefault="00740EC3" w:rsidP="00E17C57">
      <w:pPr>
        <w:ind w:left="1919" w:firstLine="709"/>
        <w:rPr>
          <w:rFonts w:ascii="Verdana" w:hAnsi="Verdana"/>
          <w:sz w:val="18"/>
          <w:szCs w:val="18"/>
        </w:rPr>
      </w:pPr>
      <w:r w:rsidRPr="00CC7EB3">
        <w:rPr>
          <w:rFonts w:ascii="Verdana" w:hAnsi="Verdana"/>
          <w:sz w:val="18"/>
        </w:rPr>
        <w:t>Aconitum kusnezoffii;</w:t>
      </w:r>
    </w:p>
    <w:p w:rsidR="00740EC3" w:rsidRPr="00CC7EB3" w:rsidRDefault="00740EC3" w:rsidP="00E17C57">
      <w:pPr>
        <w:ind w:left="1919" w:firstLine="709"/>
        <w:rPr>
          <w:rFonts w:ascii="Verdana" w:hAnsi="Verdana"/>
          <w:sz w:val="18"/>
          <w:szCs w:val="18"/>
        </w:rPr>
      </w:pPr>
      <w:r w:rsidRPr="00CC7EB3">
        <w:rPr>
          <w:rFonts w:ascii="Verdana" w:hAnsi="Verdana"/>
          <w:sz w:val="18"/>
        </w:rPr>
        <w:t>Pilocarpus jaborandi.</w:t>
      </w:r>
    </w:p>
    <w:p w:rsidR="00183469" w:rsidRPr="00CC7EB3" w:rsidRDefault="00BB551C" w:rsidP="00147025">
      <w:pPr>
        <w:pStyle w:val="ListParagraph"/>
        <w:numPr>
          <w:ilvl w:val="0"/>
          <w:numId w:val="23"/>
        </w:numPr>
        <w:rPr>
          <w:rFonts w:ascii="Verdana" w:hAnsi="Verdana"/>
          <w:sz w:val="18"/>
          <w:szCs w:val="18"/>
        </w:rPr>
      </w:pPr>
      <w:r w:rsidRPr="00CC7EB3">
        <w:rPr>
          <w:rFonts w:ascii="Verdana" w:hAnsi="Verdana"/>
          <w:sz w:val="18"/>
        </w:rPr>
        <w:t>„Brassica nigra (muștar negru), în afară de utilizarea în produse alimentare a semințelor de Bryonia alba (împărăteasă)” se înlocuiește cu „Brassica nigra (muștar negru), în afară de utilizarea în alimente a semințelor de Bryonia alba (împărăteasă)”.</w:t>
      </w:r>
    </w:p>
    <w:p w:rsidR="00740EC3" w:rsidRPr="00CC7EB3" w:rsidRDefault="00740EC3" w:rsidP="00E17C57">
      <w:pPr>
        <w:pStyle w:val="ListParagraph"/>
        <w:numPr>
          <w:ilvl w:val="0"/>
          <w:numId w:val="23"/>
        </w:numPr>
        <w:rPr>
          <w:rFonts w:ascii="Verdana" w:hAnsi="Verdana"/>
          <w:sz w:val="18"/>
          <w:szCs w:val="18"/>
        </w:rPr>
      </w:pPr>
      <w:r w:rsidRPr="00CC7EB3">
        <w:rPr>
          <w:rFonts w:ascii="Verdana" w:hAnsi="Verdana"/>
          <w:sz w:val="18"/>
        </w:rPr>
        <w:t>„Citrullus colocynthidis” se înlocuiește cu „Citrullus colocynthis”.</w:t>
      </w:r>
    </w:p>
    <w:p w:rsidR="00740EC3" w:rsidRPr="00CC7EB3" w:rsidRDefault="00740EC3" w:rsidP="00E17C57">
      <w:pPr>
        <w:pStyle w:val="ListParagraph"/>
        <w:numPr>
          <w:ilvl w:val="0"/>
          <w:numId w:val="23"/>
        </w:numPr>
        <w:rPr>
          <w:rFonts w:ascii="Verdana" w:hAnsi="Verdana"/>
          <w:sz w:val="18"/>
          <w:szCs w:val="18"/>
        </w:rPr>
      </w:pPr>
      <w:r w:rsidRPr="00CC7EB3">
        <w:rPr>
          <w:rFonts w:ascii="Verdana" w:hAnsi="Verdana"/>
          <w:sz w:val="18"/>
        </w:rPr>
        <w:t>„Mallotus philipinensis” se înlocuiește cu „Mallotus philippensis”.</w:t>
      </w:r>
    </w:p>
    <w:p w:rsidR="00740EC3" w:rsidRPr="00CC7EB3" w:rsidRDefault="00740EC3" w:rsidP="00E17C57">
      <w:pPr>
        <w:pStyle w:val="ListParagraph"/>
        <w:numPr>
          <w:ilvl w:val="0"/>
          <w:numId w:val="23"/>
        </w:numPr>
        <w:rPr>
          <w:rFonts w:ascii="Verdana" w:hAnsi="Verdana"/>
          <w:sz w:val="18"/>
          <w:szCs w:val="18"/>
        </w:rPr>
      </w:pPr>
      <w:r w:rsidRPr="00CC7EB3">
        <w:rPr>
          <w:rFonts w:ascii="Verdana" w:hAnsi="Verdana"/>
          <w:sz w:val="18"/>
        </w:rPr>
        <w:t>„Mandragora officinalis” se înlocuiește cu „Mandragora officinarum”.</w:t>
      </w:r>
    </w:p>
    <w:p w:rsidR="00BB551C" w:rsidRPr="00CC7EB3" w:rsidRDefault="00740EC3" w:rsidP="00E17C57">
      <w:pPr>
        <w:pStyle w:val="ListParagraph"/>
        <w:numPr>
          <w:ilvl w:val="0"/>
          <w:numId w:val="23"/>
        </w:numPr>
        <w:rPr>
          <w:rFonts w:ascii="Verdana" w:hAnsi="Verdana"/>
          <w:sz w:val="18"/>
          <w:szCs w:val="18"/>
        </w:rPr>
      </w:pPr>
      <w:r w:rsidRPr="00CC7EB3">
        <w:rPr>
          <w:rFonts w:ascii="Verdana" w:hAnsi="Verdana"/>
          <w:sz w:val="18"/>
        </w:rPr>
        <w:t>„Pausinystalia yohimbe sau Coynanthe yohimbe” se înlocuiește cu „Pausinystalia johimbe sau Corynanthe johimbe”.</w:t>
      </w:r>
    </w:p>
    <w:p w:rsidR="00740EC3" w:rsidRPr="00CC7EB3" w:rsidRDefault="00BB551C" w:rsidP="00E17C57">
      <w:pPr>
        <w:pStyle w:val="ListParagraph"/>
        <w:numPr>
          <w:ilvl w:val="0"/>
          <w:numId w:val="23"/>
        </w:numPr>
        <w:rPr>
          <w:rFonts w:ascii="Verdana" w:hAnsi="Verdana"/>
          <w:sz w:val="18"/>
          <w:szCs w:val="18"/>
        </w:rPr>
      </w:pPr>
      <w:r w:rsidRPr="00CC7EB3">
        <w:rPr>
          <w:rFonts w:ascii="Verdana" w:hAnsi="Verdana"/>
          <w:sz w:val="18"/>
        </w:rPr>
        <w:t>A doua coloană care conține numerele „1” se elimină.</w:t>
      </w:r>
    </w:p>
    <w:p w:rsidR="007E7D62" w:rsidRPr="00CC7EB3" w:rsidRDefault="007E7D62" w:rsidP="00E17C57">
      <w:pPr>
        <w:ind w:left="2268"/>
        <w:rPr>
          <w:rFonts w:ascii="Verdana" w:hAnsi="Verdana"/>
          <w:sz w:val="18"/>
          <w:szCs w:val="18"/>
        </w:rPr>
      </w:pPr>
    </w:p>
    <w:p w:rsidR="00E17C57" w:rsidRPr="00CC7EB3" w:rsidRDefault="00E17C57" w:rsidP="00E17C57">
      <w:pPr>
        <w:ind w:left="2268"/>
        <w:rPr>
          <w:rFonts w:ascii="Verdana" w:hAnsi="Verdana"/>
          <w:sz w:val="18"/>
          <w:szCs w:val="18"/>
        </w:rPr>
      </w:pPr>
    </w:p>
    <w:p w:rsidR="00F517C1" w:rsidRPr="00CC7EB3" w:rsidRDefault="00F517C1" w:rsidP="00E17C57">
      <w:pPr>
        <w:keepNext/>
        <w:keepLines/>
        <w:ind w:left="2268"/>
        <w:rPr>
          <w:rFonts w:ascii="Verdana" w:hAnsi="Verdana"/>
          <w:b/>
          <w:sz w:val="18"/>
          <w:szCs w:val="18"/>
        </w:rPr>
      </w:pPr>
      <w:r w:rsidRPr="00CC7EB3">
        <w:rPr>
          <w:rFonts w:ascii="Verdana" w:hAnsi="Verdana"/>
          <w:b/>
          <w:sz w:val="18"/>
        </w:rPr>
        <w:t>Articolul II</w:t>
      </w:r>
    </w:p>
    <w:p w:rsidR="00F517C1" w:rsidRPr="00CC7EB3" w:rsidRDefault="00F517C1" w:rsidP="00E17C57">
      <w:pPr>
        <w:keepNext/>
        <w:keepLines/>
        <w:ind w:left="2268"/>
        <w:rPr>
          <w:rFonts w:ascii="Verdana" w:hAnsi="Verdana"/>
          <w:sz w:val="18"/>
          <w:szCs w:val="18"/>
        </w:rPr>
      </w:pPr>
    </w:p>
    <w:p w:rsidR="00F517C1" w:rsidRPr="00CC7EB3" w:rsidRDefault="008E734A" w:rsidP="00E17C57">
      <w:pPr>
        <w:keepNext/>
        <w:keepLines/>
        <w:ind w:left="2268"/>
        <w:rPr>
          <w:rFonts w:ascii="Verdana" w:hAnsi="Verdana"/>
          <w:sz w:val="18"/>
          <w:szCs w:val="18"/>
        </w:rPr>
      </w:pPr>
      <w:r w:rsidRPr="00CC7EB3">
        <w:rPr>
          <w:rFonts w:ascii="Verdana" w:hAnsi="Verdana"/>
          <w:sz w:val="18"/>
        </w:rPr>
        <w:t>La rubrica C-22 din anexa la Decretul-lege privind sancțiunile administrative [Warenwetbesluit bestuurlijke boeten], se inserează următoarea secțiune după secțiunea C-22.4:</w:t>
      </w:r>
    </w:p>
    <w:tbl>
      <w:tblPr>
        <w:tblStyle w:val="TableGrid"/>
        <w:tblW w:w="0" w:type="auto"/>
        <w:tblInd w:w="2268" w:type="dxa"/>
        <w:tblLook w:val="04A0" w:firstRow="1" w:lastRow="0" w:firstColumn="1" w:lastColumn="0" w:noHBand="0" w:noVBand="1"/>
      </w:tblPr>
      <w:tblGrid>
        <w:gridCol w:w="1101"/>
        <w:gridCol w:w="3827"/>
        <w:gridCol w:w="842"/>
        <w:gridCol w:w="1001"/>
        <w:gridCol w:w="406"/>
      </w:tblGrid>
      <w:tr w:rsidR="001960C4" w:rsidRPr="00CC7EB3" w:rsidTr="00E17C57">
        <w:trPr>
          <w:cantSplit/>
        </w:trPr>
        <w:tc>
          <w:tcPr>
            <w:tcW w:w="1101" w:type="dxa"/>
          </w:tcPr>
          <w:p w:rsidR="001960C4" w:rsidRPr="00CC7EB3" w:rsidRDefault="001960C4" w:rsidP="00E17C57">
            <w:pPr>
              <w:rPr>
                <w:rFonts w:ascii="Verdana" w:hAnsi="Verdana"/>
                <w:sz w:val="18"/>
                <w:szCs w:val="18"/>
              </w:rPr>
            </w:pPr>
            <w:r w:rsidRPr="00CC7EB3">
              <w:rPr>
                <w:rFonts w:ascii="Verdana" w:hAnsi="Verdana"/>
                <w:sz w:val="18"/>
              </w:rPr>
              <w:t>C-22.4.1</w:t>
            </w:r>
          </w:p>
        </w:tc>
        <w:tc>
          <w:tcPr>
            <w:tcW w:w="3827" w:type="dxa"/>
          </w:tcPr>
          <w:p w:rsidR="001960C4" w:rsidRPr="00CC7EB3" w:rsidRDefault="001960C4" w:rsidP="00E17C57">
            <w:pPr>
              <w:rPr>
                <w:rFonts w:ascii="Verdana" w:hAnsi="Verdana"/>
                <w:sz w:val="18"/>
                <w:szCs w:val="18"/>
              </w:rPr>
            </w:pPr>
            <w:r w:rsidRPr="00CC7EB3">
              <w:rPr>
                <w:rFonts w:ascii="Verdana" w:hAnsi="Verdana"/>
                <w:sz w:val="18"/>
              </w:rPr>
              <w:t>Articolul 2 coroborat cu articolul 4 alineatul (4)</w:t>
            </w:r>
          </w:p>
        </w:tc>
        <w:tc>
          <w:tcPr>
            <w:tcW w:w="842" w:type="dxa"/>
          </w:tcPr>
          <w:p w:rsidR="001960C4" w:rsidRPr="00CC7EB3" w:rsidRDefault="001960C4" w:rsidP="00E17C57">
            <w:pPr>
              <w:rPr>
                <w:rFonts w:ascii="Verdana" w:hAnsi="Verdana"/>
                <w:sz w:val="18"/>
                <w:szCs w:val="18"/>
              </w:rPr>
            </w:pPr>
            <w:r w:rsidRPr="00CC7EB3">
              <w:rPr>
                <w:rFonts w:ascii="Verdana" w:hAnsi="Verdana"/>
                <w:sz w:val="18"/>
              </w:rPr>
              <w:t>525 EUR.</w:t>
            </w:r>
          </w:p>
        </w:tc>
        <w:tc>
          <w:tcPr>
            <w:tcW w:w="1001" w:type="dxa"/>
          </w:tcPr>
          <w:p w:rsidR="001960C4" w:rsidRPr="00CC7EB3" w:rsidRDefault="001960C4" w:rsidP="00E17C57">
            <w:pPr>
              <w:rPr>
                <w:rFonts w:ascii="Verdana" w:hAnsi="Verdana"/>
                <w:sz w:val="18"/>
                <w:szCs w:val="18"/>
              </w:rPr>
            </w:pPr>
            <w:r w:rsidRPr="00CC7EB3">
              <w:rPr>
                <w:rFonts w:ascii="Verdana" w:hAnsi="Verdana"/>
                <w:sz w:val="18"/>
              </w:rPr>
              <w:t>1 050 EUR.</w:t>
            </w:r>
          </w:p>
        </w:tc>
        <w:tc>
          <w:tcPr>
            <w:tcW w:w="406" w:type="dxa"/>
          </w:tcPr>
          <w:p w:rsidR="001960C4" w:rsidRPr="00CC7EB3" w:rsidRDefault="001960C4" w:rsidP="00E17C57">
            <w:pPr>
              <w:rPr>
                <w:rFonts w:ascii="Verdana" w:hAnsi="Verdana"/>
                <w:sz w:val="18"/>
                <w:szCs w:val="18"/>
              </w:rPr>
            </w:pPr>
            <w:r w:rsidRPr="00CC7EB3">
              <w:rPr>
                <w:rFonts w:ascii="Verdana" w:hAnsi="Verdana"/>
                <w:sz w:val="18"/>
              </w:rPr>
              <w:t>X</w:t>
            </w:r>
          </w:p>
        </w:tc>
      </w:tr>
    </w:tbl>
    <w:p w:rsidR="00B67E83" w:rsidRPr="00CC7EB3" w:rsidRDefault="00B67E83" w:rsidP="00E17C57">
      <w:pPr>
        <w:ind w:left="2268"/>
        <w:rPr>
          <w:rFonts w:ascii="Verdana" w:hAnsi="Verdana"/>
          <w:sz w:val="18"/>
          <w:szCs w:val="18"/>
        </w:rPr>
      </w:pPr>
    </w:p>
    <w:p w:rsidR="001960C4" w:rsidRPr="00CC7EB3" w:rsidRDefault="001960C4" w:rsidP="00E17C57">
      <w:pPr>
        <w:ind w:left="2268"/>
        <w:rPr>
          <w:rFonts w:ascii="Verdana" w:hAnsi="Verdana"/>
          <w:sz w:val="18"/>
          <w:szCs w:val="18"/>
        </w:rPr>
      </w:pPr>
    </w:p>
    <w:p w:rsidR="00B56093" w:rsidRPr="00CC7EB3" w:rsidRDefault="00F517C1" w:rsidP="00E17C57">
      <w:pPr>
        <w:keepNext/>
        <w:keepLines/>
        <w:ind w:left="2268"/>
        <w:rPr>
          <w:rFonts w:ascii="Verdana" w:hAnsi="Verdana"/>
          <w:b/>
          <w:sz w:val="18"/>
          <w:szCs w:val="18"/>
        </w:rPr>
      </w:pPr>
      <w:r w:rsidRPr="00CC7EB3">
        <w:rPr>
          <w:rFonts w:ascii="Verdana" w:hAnsi="Verdana"/>
          <w:b/>
          <w:sz w:val="18"/>
        </w:rPr>
        <w:t>Articolul III</w:t>
      </w:r>
    </w:p>
    <w:p w:rsidR="00B56093" w:rsidRPr="00CC7EB3" w:rsidRDefault="00B56093" w:rsidP="00E17C57">
      <w:pPr>
        <w:keepNext/>
        <w:keepLines/>
        <w:ind w:left="2268"/>
        <w:rPr>
          <w:rFonts w:ascii="Verdana" w:hAnsi="Verdana"/>
          <w:sz w:val="18"/>
          <w:szCs w:val="18"/>
        </w:rPr>
      </w:pPr>
    </w:p>
    <w:p w:rsidR="00D9610F" w:rsidRPr="00CC7EB3" w:rsidRDefault="00D9610F" w:rsidP="00E17C57">
      <w:pPr>
        <w:ind w:left="2836" w:hanging="568"/>
        <w:rPr>
          <w:rFonts w:ascii="Verdana" w:hAnsi="Verdana"/>
          <w:sz w:val="18"/>
          <w:szCs w:val="18"/>
        </w:rPr>
      </w:pPr>
      <w:r w:rsidRPr="00CC7EB3">
        <w:rPr>
          <w:rFonts w:ascii="Verdana" w:hAnsi="Verdana"/>
          <w:sz w:val="18"/>
        </w:rPr>
        <w:t>Prezentul decret intră în vigoare la 1 ianuarie 2020.</w:t>
      </w:r>
    </w:p>
    <w:p w:rsidR="003143CD" w:rsidRPr="00CC7EB3" w:rsidRDefault="003143CD" w:rsidP="00E17C57">
      <w:pPr>
        <w:ind w:left="2268"/>
        <w:rPr>
          <w:rFonts w:ascii="Verdana" w:hAnsi="Verdana"/>
          <w:sz w:val="18"/>
          <w:szCs w:val="18"/>
        </w:rPr>
      </w:pPr>
    </w:p>
    <w:p w:rsidR="003143CD" w:rsidRPr="00CC7EB3" w:rsidRDefault="007E7D62" w:rsidP="00E17C57">
      <w:pPr>
        <w:ind w:left="2268"/>
        <w:rPr>
          <w:rFonts w:ascii="Verdana" w:hAnsi="Verdana"/>
          <w:snapToGrid w:val="0"/>
          <w:sz w:val="18"/>
          <w:szCs w:val="18"/>
        </w:rPr>
      </w:pPr>
      <w:r w:rsidRPr="00CC7EB3">
        <w:rPr>
          <w:rFonts w:ascii="Verdana" w:hAnsi="Verdana"/>
          <w:snapToGrid w:val="0"/>
          <w:sz w:val="18"/>
        </w:rPr>
        <w:t>Prin prezentul, hotărăsc ca prezentul decret împreună cu notele explicative anexate la acesta să fie publicat în Jurnalul Oficial.</w:t>
      </w:r>
    </w:p>
    <w:p w:rsidR="003143CD" w:rsidRPr="00CC7EB3" w:rsidRDefault="003143CD" w:rsidP="00E17C57">
      <w:pPr>
        <w:ind w:left="2268"/>
        <w:rPr>
          <w:rFonts w:ascii="Verdana" w:hAnsi="Verdana"/>
          <w:snapToGrid w:val="0"/>
          <w:sz w:val="18"/>
          <w:szCs w:val="18"/>
        </w:rPr>
      </w:pPr>
    </w:p>
    <w:p w:rsidR="003143CD" w:rsidRPr="00CC7EB3" w:rsidRDefault="003143CD" w:rsidP="00E17C57">
      <w:pPr>
        <w:tabs>
          <w:tab w:val="left" w:pos="2268"/>
        </w:tabs>
        <w:ind w:left="2268"/>
        <w:rPr>
          <w:rFonts w:ascii="Verdana" w:hAnsi="Verdana"/>
          <w:kern w:val="2"/>
          <w:sz w:val="18"/>
          <w:szCs w:val="18"/>
        </w:rPr>
      </w:pPr>
      <w:r w:rsidRPr="00CC7EB3">
        <w:rPr>
          <w:rFonts w:ascii="Verdana" w:hAnsi="Verdana"/>
          <w:sz w:val="18"/>
        </w:rPr>
        <w:t>Ministrul Asistenței Medicale,</w:t>
      </w:r>
    </w:p>
    <w:p w:rsidR="003143CD" w:rsidRPr="00CC7EB3" w:rsidRDefault="003143CD" w:rsidP="00E17C57">
      <w:pPr>
        <w:tabs>
          <w:tab w:val="left" w:pos="2268"/>
        </w:tabs>
        <w:ind w:left="2268"/>
        <w:rPr>
          <w:rFonts w:ascii="Verdana" w:hAnsi="Verdana"/>
          <w:kern w:val="2"/>
          <w:sz w:val="18"/>
          <w:szCs w:val="18"/>
        </w:rPr>
      </w:pPr>
    </w:p>
    <w:p w:rsidR="003143CD" w:rsidRPr="00CC7EB3" w:rsidRDefault="003143CD" w:rsidP="00E17C57">
      <w:pPr>
        <w:tabs>
          <w:tab w:val="left" w:pos="2268"/>
        </w:tabs>
        <w:ind w:left="2268"/>
        <w:rPr>
          <w:rFonts w:ascii="Verdana" w:hAnsi="Verdana"/>
          <w:kern w:val="2"/>
          <w:sz w:val="18"/>
          <w:szCs w:val="18"/>
        </w:rPr>
      </w:pPr>
    </w:p>
    <w:p w:rsidR="003143CD" w:rsidRPr="00CC7EB3" w:rsidRDefault="003143CD" w:rsidP="00E17C57">
      <w:pPr>
        <w:tabs>
          <w:tab w:val="left" w:pos="2268"/>
        </w:tabs>
        <w:ind w:left="2268"/>
        <w:rPr>
          <w:rFonts w:ascii="Verdana" w:hAnsi="Verdana"/>
          <w:kern w:val="2"/>
          <w:sz w:val="18"/>
          <w:szCs w:val="18"/>
        </w:rPr>
      </w:pPr>
    </w:p>
    <w:p w:rsidR="003143CD" w:rsidRPr="00CC7EB3" w:rsidRDefault="003143CD" w:rsidP="00E17C57">
      <w:pPr>
        <w:tabs>
          <w:tab w:val="left" w:pos="2268"/>
        </w:tabs>
        <w:ind w:left="2268"/>
        <w:rPr>
          <w:rFonts w:ascii="Verdana" w:hAnsi="Verdana"/>
          <w:kern w:val="2"/>
          <w:sz w:val="18"/>
          <w:szCs w:val="18"/>
        </w:rPr>
      </w:pPr>
    </w:p>
    <w:p w:rsidR="003143CD" w:rsidRPr="00CC7EB3" w:rsidRDefault="003143CD" w:rsidP="00E17C57">
      <w:pPr>
        <w:tabs>
          <w:tab w:val="left" w:pos="2268"/>
        </w:tabs>
        <w:ind w:left="2268"/>
        <w:rPr>
          <w:rFonts w:ascii="Verdana" w:hAnsi="Verdana"/>
          <w:kern w:val="2"/>
          <w:sz w:val="18"/>
          <w:szCs w:val="18"/>
        </w:rPr>
      </w:pPr>
      <w:r w:rsidRPr="00CC7EB3">
        <w:rPr>
          <w:rFonts w:ascii="Verdana" w:hAnsi="Verdana"/>
          <w:sz w:val="18"/>
        </w:rPr>
        <w:t>B. J. Bruins</w:t>
      </w:r>
    </w:p>
    <w:p w:rsidR="005B43ED" w:rsidRPr="00CC7EB3" w:rsidRDefault="007E7D62" w:rsidP="00E17C57">
      <w:pPr>
        <w:keepNext/>
        <w:keepLines/>
        <w:pageBreakBefore/>
        <w:tabs>
          <w:tab w:val="left" w:pos="2268"/>
        </w:tabs>
        <w:ind w:left="2268"/>
        <w:rPr>
          <w:rFonts w:ascii="Verdana" w:hAnsi="Verdana"/>
          <w:sz w:val="18"/>
          <w:szCs w:val="18"/>
        </w:rPr>
      </w:pPr>
      <w:r w:rsidRPr="00CC7EB3">
        <w:rPr>
          <w:rFonts w:ascii="Verdana" w:hAnsi="Verdana"/>
          <w:b/>
          <w:sz w:val="18"/>
        </w:rPr>
        <w:lastRenderedPageBreak/>
        <w:t>Note explicative</w:t>
      </w:r>
    </w:p>
    <w:p w:rsidR="00B24606" w:rsidRPr="00CC7EB3" w:rsidRDefault="00B24606" w:rsidP="00E17C57">
      <w:pPr>
        <w:keepNext/>
        <w:keepLines/>
        <w:tabs>
          <w:tab w:val="left" w:pos="2268"/>
        </w:tabs>
        <w:ind w:left="2268"/>
        <w:rPr>
          <w:rFonts w:ascii="Verdana" w:hAnsi="Verdana"/>
          <w:kern w:val="2"/>
          <w:sz w:val="18"/>
          <w:szCs w:val="18"/>
        </w:rPr>
      </w:pPr>
    </w:p>
    <w:p w:rsidR="0064439B" w:rsidRPr="00CC7EB3" w:rsidRDefault="00F07731" w:rsidP="00E17C57">
      <w:pPr>
        <w:keepNext/>
        <w:keepLines/>
        <w:tabs>
          <w:tab w:val="left" w:pos="2268"/>
        </w:tabs>
        <w:ind w:left="2268"/>
        <w:rPr>
          <w:rFonts w:ascii="Verdana" w:hAnsi="Verdana"/>
          <w:b/>
          <w:kern w:val="2"/>
          <w:sz w:val="18"/>
          <w:szCs w:val="18"/>
        </w:rPr>
      </w:pPr>
      <w:r w:rsidRPr="00CC7EB3">
        <w:rPr>
          <w:rFonts w:ascii="Verdana" w:hAnsi="Verdana"/>
          <w:b/>
          <w:sz w:val="18"/>
        </w:rPr>
        <w:t>1. Observații generale</w:t>
      </w:r>
    </w:p>
    <w:p w:rsidR="00B24606" w:rsidRPr="00CC7EB3" w:rsidRDefault="00B24606" w:rsidP="00E17C57">
      <w:pPr>
        <w:keepNext/>
        <w:keepLines/>
        <w:tabs>
          <w:tab w:val="left" w:pos="2268"/>
        </w:tabs>
        <w:ind w:left="2268"/>
        <w:rPr>
          <w:rFonts w:ascii="Verdana" w:hAnsi="Verdana"/>
          <w:kern w:val="2"/>
          <w:sz w:val="18"/>
          <w:szCs w:val="18"/>
        </w:rPr>
      </w:pPr>
    </w:p>
    <w:p w:rsidR="00B428D8" w:rsidRPr="00CC7EB3" w:rsidRDefault="00B24606" w:rsidP="00E17C57">
      <w:pPr>
        <w:tabs>
          <w:tab w:val="left" w:pos="2268"/>
        </w:tabs>
        <w:ind w:left="2268"/>
        <w:rPr>
          <w:rFonts w:ascii="Verdana" w:hAnsi="Verdana"/>
          <w:kern w:val="2"/>
          <w:sz w:val="18"/>
          <w:szCs w:val="18"/>
        </w:rPr>
      </w:pPr>
      <w:r w:rsidRPr="00CC7EB3">
        <w:rPr>
          <w:rFonts w:ascii="Verdana" w:hAnsi="Verdana"/>
          <w:sz w:val="18"/>
        </w:rPr>
        <w:t>Decretul-lege privind mărfurile referitor la preparatele din plante stabilește cerințe privind preparatele din plante în vederea protejării sănătății publice. Pe baza evaluării riscurilor prezentat de plante, în decret se adaugă acum o interdicție aplicabilă anumitor plante. În plus, s-a decis adăugarea în decret a unei interdicții asupra substanțelor dăunătoare extrase din plantele și ciupercile din preparatele din plante [articolul I alineatul (2) partea A]. Aceasta îmbunătățește caracterul executoriu al Decretului-lege privind mărfurile referitor la preparatele din plante. În consecință, va crește gradul de protecție a consumatorilor împotriva produselor care le-ar putea afecta sănătatea.</w:t>
      </w:r>
    </w:p>
    <w:p w:rsidR="003B5162" w:rsidRPr="00CC7EB3" w:rsidRDefault="003B5162" w:rsidP="00E17C57">
      <w:pPr>
        <w:tabs>
          <w:tab w:val="left" w:pos="2268"/>
        </w:tabs>
        <w:ind w:left="2268"/>
        <w:rPr>
          <w:rFonts w:ascii="Verdana" w:hAnsi="Verdana"/>
          <w:kern w:val="2"/>
          <w:sz w:val="18"/>
          <w:szCs w:val="18"/>
        </w:rPr>
      </w:pPr>
    </w:p>
    <w:p w:rsidR="003B5162" w:rsidRPr="00CC7EB3" w:rsidRDefault="003B5162" w:rsidP="00E17C57">
      <w:pPr>
        <w:tabs>
          <w:tab w:val="left" w:pos="2268"/>
        </w:tabs>
        <w:ind w:left="2268"/>
        <w:rPr>
          <w:rFonts w:ascii="Verdana" w:hAnsi="Verdana"/>
          <w:kern w:val="2"/>
          <w:sz w:val="18"/>
          <w:szCs w:val="18"/>
        </w:rPr>
      </w:pPr>
      <w:r w:rsidRPr="00CC7EB3">
        <w:rPr>
          <w:rFonts w:ascii="Verdana" w:hAnsi="Verdana"/>
          <w:sz w:val="18"/>
        </w:rPr>
        <w:t>Articolul 13d din Legea privind mărfurile [Warenwet] include o clauză de recunoaștere reciprocă. Principiul recunoașterii reciproce implică faptul că un stat membru al UE nu trebuie să interzică vânzarea de mărfuri care au fost introduse în mod legal pe piață dintr-un alt stat membru al UE pe teritoriul său, pe motiv că mărfurile nu respectă reglementările naționale ale statului membru în cauză. În acest caz, este esențial ca mărfurile din alt stat membru al UE să ofere cel puțin un nivel echivalent de protecție. Astfel, comerțul cu mărfuri provenite din alte state membre ale UE, care se încadrează în domeniului de aplicare al prezentului decret, nu trebuie să fie interzis în temeiul cerințelor stabilite în prezentul decret.</w:t>
      </w:r>
    </w:p>
    <w:p w:rsidR="003B5162" w:rsidRPr="00CC7EB3" w:rsidRDefault="003B5162" w:rsidP="00E17C57">
      <w:pPr>
        <w:tabs>
          <w:tab w:val="left" w:pos="2268"/>
        </w:tabs>
        <w:ind w:left="2268"/>
        <w:rPr>
          <w:rFonts w:ascii="Verdana" w:hAnsi="Verdana"/>
          <w:kern w:val="2"/>
          <w:sz w:val="18"/>
          <w:szCs w:val="18"/>
        </w:rPr>
      </w:pPr>
    </w:p>
    <w:p w:rsidR="003B5162" w:rsidRPr="00CC7EB3" w:rsidRDefault="003B5162" w:rsidP="00E17C57">
      <w:pPr>
        <w:tabs>
          <w:tab w:val="left" w:pos="2268"/>
        </w:tabs>
        <w:ind w:left="2268"/>
        <w:rPr>
          <w:rFonts w:ascii="Verdana" w:hAnsi="Verdana"/>
          <w:kern w:val="2"/>
          <w:sz w:val="18"/>
          <w:szCs w:val="18"/>
        </w:rPr>
      </w:pPr>
      <w:r w:rsidRPr="00CC7EB3">
        <w:rPr>
          <w:rFonts w:ascii="Verdana" w:hAnsi="Verdana"/>
          <w:sz w:val="18"/>
        </w:rPr>
        <w:t>Cerințele privind mărfurile, prevăzute în prezentul decret, sunt justificate în interesul protecției consumatorilor împotriva produselor care nu prezintă siguranță.</w:t>
      </w:r>
    </w:p>
    <w:p w:rsidR="00E17C57" w:rsidRPr="00CC7EB3" w:rsidRDefault="00E17C57" w:rsidP="00E17C57">
      <w:pPr>
        <w:tabs>
          <w:tab w:val="left" w:pos="2268"/>
        </w:tabs>
        <w:ind w:left="2268"/>
        <w:rPr>
          <w:rFonts w:ascii="Verdana" w:hAnsi="Verdana"/>
          <w:kern w:val="2"/>
          <w:sz w:val="18"/>
          <w:szCs w:val="18"/>
        </w:rPr>
      </w:pPr>
    </w:p>
    <w:p w:rsidR="00B428D8" w:rsidRPr="00CC7EB3" w:rsidRDefault="00F07731" w:rsidP="00E17C57">
      <w:pPr>
        <w:keepNext/>
        <w:keepLines/>
        <w:tabs>
          <w:tab w:val="left" w:pos="2268"/>
        </w:tabs>
        <w:ind w:left="2268"/>
        <w:rPr>
          <w:rFonts w:ascii="Verdana" w:hAnsi="Verdana"/>
          <w:b/>
          <w:kern w:val="2"/>
          <w:sz w:val="18"/>
          <w:szCs w:val="18"/>
        </w:rPr>
      </w:pPr>
      <w:r w:rsidRPr="00CC7EB3">
        <w:rPr>
          <w:rFonts w:ascii="Verdana" w:hAnsi="Verdana"/>
          <w:b/>
          <w:sz w:val="18"/>
        </w:rPr>
        <w:t>2. Impactul asupra sarcinii de reglementare</w:t>
      </w:r>
    </w:p>
    <w:p w:rsidR="00B428D8" w:rsidRPr="00CC7EB3" w:rsidRDefault="00B428D8" w:rsidP="00E17C57">
      <w:pPr>
        <w:keepNext/>
        <w:keepLines/>
        <w:tabs>
          <w:tab w:val="left" w:pos="2268"/>
        </w:tabs>
        <w:ind w:left="2268"/>
        <w:rPr>
          <w:rFonts w:ascii="Verdana" w:hAnsi="Verdana"/>
          <w:kern w:val="2"/>
          <w:sz w:val="18"/>
          <w:szCs w:val="18"/>
        </w:rPr>
      </w:pPr>
    </w:p>
    <w:p w:rsidR="00B428D8" w:rsidRPr="00CC7EB3" w:rsidRDefault="00B428D8" w:rsidP="00E17C57">
      <w:pPr>
        <w:tabs>
          <w:tab w:val="left" w:pos="2268"/>
        </w:tabs>
        <w:ind w:left="2268"/>
        <w:rPr>
          <w:rFonts w:ascii="Verdana" w:hAnsi="Verdana"/>
          <w:kern w:val="2"/>
          <w:sz w:val="18"/>
          <w:szCs w:val="18"/>
        </w:rPr>
      </w:pPr>
      <w:r w:rsidRPr="00CC7EB3">
        <w:rPr>
          <w:rFonts w:ascii="Verdana" w:hAnsi="Verdana"/>
          <w:sz w:val="18"/>
        </w:rPr>
        <w:t>Se preconizează că acest decret va avea un impact limitat asupra sarcinii de reglementare pentru mediul de afaceri. Informațiile din cadrul sectorului indică faptul că produsele care vor necesita modificări sunt în cantitate limitată. Având în vedere perioada îndelungată de pregătire pentru această modificare, inclusiv consultările repetate cu părțile, producătorii au avut suficient timp pentru a asigura conformitatea produselor lor cu noile cerințe. Costurile de informare sunt zero. Consiliul consultativ neerlandez privind sarcina de reglementare [ATR] sprijină examinarea și concluziile referitoare la impactul asupra sarcinii de reglementare.</w:t>
      </w:r>
    </w:p>
    <w:p w:rsidR="00B428D8" w:rsidRPr="00CC7EB3" w:rsidRDefault="00B428D8" w:rsidP="00E17C57">
      <w:pPr>
        <w:tabs>
          <w:tab w:val="left" w:pos="2268"/>
        </w:tabs>
        <w:ind w:left="2268"/>
        <w:rPr>
          <w:rFonts w:ascii="Verdana" w:hAnsi="Verdana"/>
          <w:kern w:val="2"/>
          <w:sz w:val="18"/>
          <w:szCs w:val="18"/>
        </w:rPr>
      </w:pPr>
    </w:p>
    <w:p w:rsidR="00B428D8" w:rsidRPr="00CC7EB3" w:rsidRDefault="00F07731" w:rsidP="00E17C57">
      <w:pPr>
        <w:keepNext/>
        <w:keepLines/>
        <w:tabs>
          <w:tab w:val="left" w:pos="2268"/>
        </w:tabs>
        <w:ind w:left="2268"/>
        <w:rPr>
          <w:rFonts w:ascii="Verdana" w:hAnsi="Verdana"/>
          <w:b/>
          <w:kern w:val="2"/>
          <w:sz w:val="18"/>
          <w:szCs w:val="18"/>
        </w:rPr>
      </w:pPr>
      <w:r w:rsidRPr="00CC7EB3">
        <w:rPr>
          <w:rFonts w:ascii="Verdana" w:hAnsi="Verdana"/>
          <w:b/>
          <w:sz w:val="18"/>
        </w:rPr>
        <w:t>3. Grupului de Consultare Regulată cu privire la Legea privind mărfurile</w:t>
      </w:r>
    </w:p>
    <w:p w:rsidR="00B428D8" w:rsidRPr="00CC7EB3" w:rsidRDefault="00B428D8" w:rsidP="00E17C57">
      <w:pPr>
        <w:keepNext/>
        <w:keepLines/>
        <w:tabs>
          <w:tab w:val="left" w:pos="2268"/>
        </w:tabs>
        <w:ind w:left="2268"/>
        <w:rPr>
          <w:rFonts w:ascii="Verdana" w:hAnsi="Verdana"/>
          <w:kern w:val="2"/>
          <w:sz w:val="18"/>
          <w:szCs w:val="18"/>
        </w:rPr>
      </w:pPr>
    </w:p>
    <w:p w:rsidR="00B428D8" w:rsidRPr="00CC7EB3" w:rsidRDefault="00B428D8" w:rsidP="00E17C57">
      <w:pPr>
        <w:tabs>
          <w:tab w:val="left" w:pos="2268"/>
        </w:tabs>
        <w:ind w:left="2268"/>
        <w:rPr>
          <w:rFonts w:ascii="Verdana" w:hAnsi="Verdana"/>
          <w:kern w:val="2"/>
          <w:sz w:val="18"/>
          <w:szCs w:val="18"/>
        </w:rPr>
      </w:pPr>
      <w:r w:rsidRPr="00CC7EB3">
        <w:rPr>
          <w:rFonts w:ascii="Verdana" w:hAnsi="Verdana"/>
          <w:sz w:val="18"/>
        </w:rPr>
        <w:t>Versiunea de proiect a prezentului decret a fost înaintată participanților în cadrul Grupului de Consultare Regulată cu privire la Legea privind mărfurile [ROW]</w:t>
      </w:r>
      <w:r w:rsidRPr="00CC7EB3">
        <w:rPr>
          <w:rStyle w:val="FootnoteReference"/>
          <w:rFonts w:ascii="Verdana" w:hAnsi="Verdana"/>
          <w:kern w:val="2"/>
          <w:sz w:val="18"/>
        </w:rPr>
        <w:footnoteReference w:id="1"/>
      </w:r>
      <w:r w:rsidRPr="00CC7EB3">
        <w:rPr>
          <w:rFonts w:ascii="Verdana" w:hAnsi="Verdana"/>
          <w:sz w:val="18"/>
        </w:rPr>
        <w:t xml:space="preserve">. Această discuție a condus la concluzia că interzicerea utilizării sinefrinei în preparatele din plante nu a fost posibilă, având în vedere că </w:t>
      </w:r>
      <w:r w:rsidRPr="00CC7EB3">
        <w:rPr>
          <w:rFonts w:ascii="Verdana" w:hAnsi="Verdana"/>
          <w:sz w:val="18"/>
        </w:rPr>
        <w:lastRenderedPageBreak/>
        <w:t>această substanță naturală apare și în produsele alimentare (de exemplu, în marmelada de portocale). În vedea asigurării faptului că se evită expunerea consumatorilor la niveluri de sinefrină care sunt nocive pentru sănătatea lor, Institutului Național Neerlandez pentru Sănătate Publică şi Mediu [RIVM] și Oficiului pentru Cercetare și Evaluare a Riscurilor [BuRO] din cadrul Autorității pentru siguranța alimentară și pentru produsele destinate alimentației umane din Țările de Jos [NVWA] li s-a adresat solicitarea să prezinte o recomandare privind nivelul maxim de sinefrină din preparatele din plante. Pe baza raportului RIVM</w:t>
      </w:r>
      <w:r w:rsidRPr="00CC7EB3">
        <w:rPr>
          <w:rStyle w:val="FootnoteReference"/>
          <w:rFonts w:ascii="Verdana" w:hAnsi="Verdana"/>
          <w:kern w:val="2"/>
          <w:sz w:val="18"/>
        </w:rPr>
        <w:footnoteReference w:id="2"/>
      </w:r>
      <w:r w:rsidRPr="00CC7EB3">
        <w:rPr>
          <w:rFonts w:ascii="Verdana" w:hAnsi="Verdana"/>
          <w:sz w:val="18"/>
        </w:rPr>
        <w:t>, BuRO</w:t>
      </w:r>
      <w:r w:rsidRPr="00CC7EB3">
        <w:rPr>
          <w:rStyle w:val="FootnoteReference"/>
          <w:rFonts w:ascii="Verdana" w:hAnsi="Verdana"/>
          <w:kern w:val="2"/>
          <w:sz w:val="18"/>
        </w:rPr>
        <w:footnoteReference w:id="3"/>
      </w:r>
      <w:r w:rsidRPr="00CC7EB3">
        <w:rPr>
          <w:rFonts w:ascii="Verdana" w:hAnsi="Verdana"/>
          <w:sz w:val="18"/>
        </w:rPr>
        <w:t xml:space="preserve"> recomandă limitarea cantității maxime de sinefrină din preparatele din plante la un aport zilnic de 27 mg p-sinefrină, în conformitate cu prospectul. În plus, se interzice utilizarea meta și orto sinefrinei în preparatele din plante.</w:t>
      </w:r>
    </w:p>
    <w:p w:rsidR="008E734A" w:rsidRPr="00CC7EB3" w:rsidRDefault="00586978" w:rsidP="00E17C57">
      <w:pPr>
        <w:tabs>
          <w:tab w:val="left" w:pos="2268"/>
        </w:tabs>
        <w:ind w:left="2268"/>
        <w:rPr>
          <w:rFonts w:ascii="Verdana" w:hAnsi="Verdana"/>
          <w:kern w:val="2"/>
          <w:sz w:val="18"/>
          <w:szCs w:val="18"/>
        </w:rPr>
      </w:pPr>
      <w:r w:rsidRPr="00CC7EB3">
        <w:rPr>
          <w:rFonts w:ascii="Verdana" w:hAnsi="Verdana"/>
          <w:sz w:val="18"/>
        </w:rPr>
        <w:t>În plus, ROW continuă discuțiile pe marginea interpretării corecte a termenului „derivate”. A fost adresată întrebarea dacă această completare este de fapt necesară și, dacă răspunsul este afirmativ, care este definiția termenului. Acest aspect a fost examinat și având în vedere că există o varietate de substanțe dăunătoare, s-a decis utilizarea în continuare a termenului. Aceasta se referă la substanțe derivate dintr-o altă substanță.</w:t>
      </w:r>
    </w:p>
    <w:p w:rsidR="00A27E62" w:rsidRPr="00CC7EB3" w:rsidRDefault="00A27E62" w:rsidP="00E17C57">
      <w:pPr>
        <w:tabs>
          <w:tab w:val="left" w:pos="2268"/>
        </w:tabs>
        <w:ind w:left="2268"/>
        <w:rPr>
          <w:rFonts w:ascii="Verdana" w:hAnsi="Verdana"/>
          <w:kern w:val="2"/>
          <w:sz w:val="18"/>
          <w:szCs w:val="18"/>
        </w:rPr>
      </w:pPr>
    </w:p>
    <w:p w:rsidR="00A27E62" w:rsidRPr="00CC7EB3" w:rsidRDefault="00F07731" w:rsidP="00E17C57">
      <w:pPr>
        <w:keepNext/>
        <w:keepLines/>
        <w:tabs>
          <w:tab w:val="left" w:pos="2268"/>
        </w:tabs>
        <w:ind w:left="2268"/>
        <w:rPr>
          <w:rFonts w:ascii="Verdana" w:hAnsi="Verdana"/>
          <w:b/>
          <w:kern w:val="2"/>
          <w:sz w:val="18"/>
          <w:szCs w:val="18"/>
        </w:rPr>
      </w:pPr>
      <w:r w:rsidRPr="00CC7EB3">
        <w:rPr>
          <w:rFonts w:ascii="Verdana" w:hAnsi="Verdana"/>
          <w:b/>
          <w:sz w:val="18"/>
        </w:rPr>
        <w:t>4. Caracterul executoriu și fezabilitatea</w:t>
      </w:r>
    </w:p>
    <w:p w:rsidR="00E17C57" w:rsidRPr="00CC7EB3" w:rsidRDefault="00E17C57" w:rsidP="00E17C57">
      <w:pPr>
        <w:keepNext/>
        <w:keepLines/>
        <w:tabs>
          <w:tab w:val="left" w:pos="2268"/>
        </w:tabs>
        <w:ind w:left="2268"/>
        <w:rPr>
          <w:rFonts w:ascii="Verdana" w:hAnsi="Verdana"/>
          <w:kern w:val="2"/>
          <w:sz w:val="18"/>
          <w:szCs w:val="18"/>
        </w:rPr>
      </w:pPr>
    </w:p>
    <w:p w:rsidR="00A27E62" w:rsidRPr="00CC7EB3" w:rsidRDefault="00A27E62" w:rsidP="00E17C57">
      <w:pPr>
        <w:tabs>
          <w:tab w:val="left" w:pos="2268"/>
        </w:tabs>
        <w:ind w:left="2268"/>
        <w:rPr>
          <w:rFonts w:ascii="Verdana" w:hAnsi="Verdana"/>
          <w:kern w:val="2"/>
          <w:sz w:val="18"/>
          <w:szCs w:val="18"/>
        </w:rPr>
      </w:pPr>
      <w:r w:rsidRPr="00CC7EB3">
        <w:rPr>
          <w:rFonts w:ascii="Verdana" w:hAnsi="Verdana"/>
          <w:sz w:val="18"/>
        </w:rPr>
        <w:t>NVVA a evaluat prezentul proiect de decret din punct de vedere al caracterului executoriu, fezabilității și rezistenței la fraudă. NVWA consideră că proiectul de decret este executoriu și fezabil. Proiectul de decret nu a dat naștere niciunei observații cu privire la rezistența la fraudă.</w:t>
      </w:r>
    </w:p>
    <w:p w:rsidR="00586978" w:rsidRPr="00CC7EB3" w:rsidRDefault="00586978" w:rsidP="00E17C57">
      <w:pPr>
        <w:tabs>
          <w:tab w:val="left" w:pos="2268"/>
        </w:tabs>
        <w:ind w:left="2268"/>
        <w:rPr>
          <w:rFonts w:ascii="Verdana" w:hAnsi="Verdana"/>
          <w:kern w:val="2"/>
          <w:sz w:val="18"/>
          <w:szCs w:val="18"/>
        </w:rPr>
      </w:pPr>
    </w:p>
    <w:p w:rsidR="008E734A" w:rsidRPr="00CC7EB3" w:rsidRDefault="00F07731" w:rsidP="00E17C57">
      <w:pPr>
        <w:keepNext/>
        <w:keepLines/>
        <w:tabs>
          <w:tab w:val="left" w:pos="2268"/>
        </w:tabs>
        <w:ind w:left="2268"/>
        <w:rPr>
          <w:rFonts w:ascii="Verdana" w:hAnsi="Verdana"/>
          <w:b/>
          <w:kern w:val="2"/>
          <w:sz w:val="18"/>
          <w:szCs w:val="18"/>
        </w:rPr>
      </w:pPr>
      <w:r w:rsidRPr="00CC7EB3">
        <w:rPr>
          <w:rFonts w:ascii="Verdana" w:hAnsi="Verdana"/>
          <w:b/>
          <w:sz w:val="18"/>
        </w:rPr>
        <w:t>5. Controlul preliminar</w:t>
      </w:r>
    </w:p>
    <w:p w:rsidR="00E17C57" w:rsidRPr="00CC7EB3" w:rsidRDefault="00E17C57" w:rsidP="00E17C57">
      <w:pPr>
        <w:keepNext/>
        <w:keepLines/>
        <w:tabs>
          <w:tab w:val="left" w:pos="2268"/>
        </w:tabs>
        <w:ind w:left="2268"/>
        <w:rPr>
          <w:rFonts w:ascii="Verdana" w:hAnsi="Verdana"/>
          <w:kern w:val="2"/>
          <w:sz w:val="18"/>
          <w:szCs w:val="18"/>
        </w:rPr>
      </w:pPr>
    </w:p>
    <w:p w:rsidR="008E734A" w:rsidRPr="00CC7EB3" w:rsidRDefault="008E734A" w:rsidP="00E17C57">
      <w:pPr>
        <w:tabs>
          <w:tab w:val="left" w:pos="2268"/>
        </w:tabs>
        <w:ind w:left="2268"/>
        <w:rPr>
          <w:rFonts w:ascii="Verdana" w:hAnsi="Verdana"/>
          <w:kern w:val="2"/>
          <w:sz w:val="18"/>
          <w:szCs w:val="18"/>
        </w:rPr>
      </w:pPr>
      <w:r w:rsidRPr="00CC7EB3">
        <w:rPr>
          <w:rFonts w:ascii="Verdana" w:hAnsi="Verdana"/>
          <w:sz w:val="18"/>
        </w:rPr>
        <w:t xml:space="preserve">În conformitate cu articolul 32b alineatul (2) din Legea privind mărfurile, un proiect al prezentului regulament administrativ general a fost transmis la </w:t>
      </w:r>
      <w:r w:rsidRPr="00CC7EB3">
        <w:rPr>
          <w:rFonts w:ascii="Verdana" w:hAnsi="Verdana"/>
          <w:b/>
          <w:sz w:val="18"/>
        </w:rPr>
        <w:t>(data)</w:t>
      </w:r>
      <w:r w:rsidRPr="00CC7EB3">
        <w:rPr>
          <w:rFonts w:ascii="Verdana" w:hAnsi="Verdana"/>
          <w:sz w:val="18"/>
        </w:rPr>
        <w:t xml:space="preserve"> la ambele camere ale Parlamentului Țărilor de Jos (Acte parlamentare</w:t>
      </w:r>
      <w:r w:rsidRPr="00CC7EB3">
        <w:rPr>
          <w:rFonts w:ascii="Verdana" w:hAnsi="Verdana"/>
          <w:b/>
          <w:sz w:val="18"/>
        </w:rPr>
        <w:t>PM</w:t>
      </w:r>
      <w:r w:rsidRPr="00CC7EB3">
        <w:rPr>
          <w:rFonts w:ascii="Verdana" w:hAnsi="Verdana"/>
          <w:sz w:val="18"/>
        </w:rPr>
        <w:t>).</w:t>
      </w:r>
    </w:p>
    <w:p w:rsidR="00610A2C" w:rsidRPr="00CC7EB3" w:rsidRDefault="00610A2C" w:rsidP="00E17C57">
      <w:pPr>
        <w:tabs>
          <w:tab w:val="left" w:pos="2268"/>
        </w:tabs>
        <w:ind w:left="2268"/>
        <w:rPr>
          <w:rFonts w:ascii="Verdana" w:hAnsi="Verdana"/>
          <w:kern w:val="2"/>
          <w:sz w:val="18"/>
          <w:szCs w:val="18"/>
        </w:rPr>
      </w:pPr>
    </w:p>
    <w:p w:rsidR="00B428D8" w:rsidRPr="00CC7EB3" w:rsidRDefault="00F07731" w:rsidP="00E17C57">
      <w:pPr>
        <w:keepNext/>
        <w:keepLines/>
        <w:tabs>
          <w:tab w:val="left" w:pos="2268"/>
        </w:tabs>
        <w:ind w:left="2268"/>
        <w:rPr>
          <w:rFonts w:ascii="Verdana" w:hAnsi="Verdana"/>
          <w:kern w:val="2"/>
          <w:sz w:val="18"/>
          <w:szCs w:val="18"/>
        </w:rPr>
      </w:pPr>
      <w:r w:rsidRPr="00CC7EB3">
        <w:rPr>
          <w:rFonts w:ascii="Verdana" w:hAnsi="Verdana"/>
          <w:b/>
          <w:sz w:val="18"/>
        </w:rPr>
        <w:t>6. Notificare</w:t>
      </w:r>
    </w:p>
    <w:p w:rsidR="00E17C57" w:rsidRPr="00CC7EB3" w:rsidRDefault="00E17C57" w:rsidP="00E17C57">
      <w:pPr>
        <w:keepNext/>
        <w:keepLines/>
        <w:tabs>
          <w:tab w:val="left" w:pos="2268"/>
        </w:tabs>
        <w:ind w:left="2268"/>
        <w:rPr>
          <w:rFonts w:ascii="Verdana" w:hAnsi="Verdana"/>
          <w:sz w:val="18"/>
          <w:szCs w:val="18"/>
        </w:rPr>
      </w:pPr>
    </w:p>
    <w:p w:rsidR="00B428D8" w:rsidRPr="00CC7EB3" w:rsidRDefault="009345F8" w:rsidP="00E17C57">
      <w:pPr>
        <w:tabs>
          <w:tab w:val="left" w:pos="2268"/>
        </w:tabs>
        <w:ind w:left="2268"/>
        <w:rPr>
          <w:rFonts w:ascii="Verdana" w:hAnsi="Verdana"/>
          <w:sz w:val="18"/>
          <w:szCs w:val="18"/>
        </w:rPr>
      </w:pPr>
      <w:r w:rsidRPr="00CC7EB3">
        <w:rPr>
          <w:rFonts w:ascii="Verdana" w:hAnsi="Verdana"/>
          <w:sz w:val="18"/>
        </w:rPr>
        <w:t>Proiectul prezentului decret a fost notificat Comisiei Europene, în temeiul articolului 5 alineatul (1) din Directiva (UE) 2015/1535</w:t>
      </w:r>
      <w:r w:rsidRPr="00CC7EB3">
        <w:rPr>
          <w:rStyle w:val="FootnoteReference"/>
          <w:rFonts w:ascii="Verdana" w:hAnsi="Verdana"/>
          <w:sz w:val="18"/>
        </w:rPr>
        <w:footnoteReference w:id="4"/>
      </w:r>
      <w:r w:rsidRPr="00CC7EB3">
        <w:rPr>
          <w:rFonts w:ascii="Verdana" w:hAnsi="Verdana"/>
          <w:sz w:val="18"/>
        </w:rPr>
        <w:t>. Notificarea transmisă Comisiei Europene este necesară, deoarece articolul I din prezentul decret conține reglementări tehnice astfel cum se prevede în Directiva (UE) 2015/1535. Suplimentar acestei notificări</w:t>
      </w:r>
    </w:p>
    <w:p w:rsidR="00E17C57" w:rsidRPr="00CC7EB3" w:rsidRDefault="00E17C57" w:rsidP="00E17C57">
      <w:pPr>
        <w:tabs>
          <w:tab w:val="left" w:pos="2268"/>
        </w:tabs>
        <w:ind w:left="2268"/>
        <w:rPr>
          <w:rFonts w:ascii="Verdana" w:hAnsi="Verdana"/>
          <w:kern w:val="2"/>
          <w:sz w:val="18"/>
          <w:szCs w:val="18"/>
        </w:rPr>
      </w:pPr>
    </w:p>
    <w:p w:rsidR="00B428D8" w:rsidRPr="00CC7EB3" w:rsidRDefault="00B428D8" w:rsidP="00E17C57">
      <w:pPr>
        <w:tabs>
          <w:tab w:val="left" w:pos="2268"/>
        </w:tabs>
        <w:ind w:left="2268"/>
        <w:rPr>
          <w:rFonts w:ascii="Verdana" w:hAnsi="Verdana"/>
          <w:kern w:val="2"/>
          <w:sz w:val="18"/>
          <w:szCs w:val="18"/>
        </w:rPr>
      </w:pPr>
      <w:r w:rsidRPr="00CC7EB3">
        <w:rPr>
          <w:rFonts w:ascii="Verdana" w:hAnsi="Verdana"/>
          <w:sz w:val="18"/>
        </w:rPr>
        <w:t>În cazul în care prezentul proiect de decret prevede restricții cantitative la import sau măsuri cu efect echivalent în sensul articolului 34 din Tratatul privind funcționarea Uniunii Europene, aceste măsuri sunt justificate pe motive de protecție a sănătății în temeiul articolului 36 din tratat.</w:t>
      </w:r>
    </w:p>
    <w:p w:rsidR="005E47AF" w:rsidRPr="00CC7EB3" w:rsidRDefault="005E47AF" w:rsidP="00E17C57">
      <w:pPr>
        <w:tabs>
          <w:tab w:val="left" w:pos="2268"/>
        </w:tabs>
        <w:ind w:left="2268"/>
        <w:rPr>
          <w:rFonts w:ascii="Verdana" w:hAnsi="Verdana"/>
          <w:kern w:val="2"/>
          <w:sz w:val="18"/>
          <w:szCs w:val="18"/>
        </w:rPr>
      </w:pPr>
    </w:p>
    <w:p w:rsidR="00A82D46" w:rsidRPr="00CC7EB3" w:rsidRDefault="00F07731" w:rsidP="00E17C57">
      <w:pPr>
        <w:keepNext/>
        <w:keepLines/>
        <w:tabs>
          <w:tab w:val="left" w:pos="2268"/>
        </w:tabs>
        <w:ind w:left="2268"/>
        <w:rPr>
          <w:rFonts w:ascii="Verdana" w:hAnsi="Verdana"/>
          <w:b/>
          <w:kern w:val="2"/>
          <w:sz w:val="18"/>
          <w:szCs w:val="18"/>
        </w:rPr>
      </w:pPr>
      <w:r w:rsidRPr="00CC7EB3">
        <w:rPr>
          <w:rFonts w:ascii="Verdana" w:hAnsi="Verdana"/>
          <w:b/>
          <w:sz w:val="18"/>
        </w:rPr>
        <w:lastRenderedPageBreak/>
        <w:t>7. Explicații pentru fiecare articol</w:t>
      </w:r>
    </w:p>
    <w:p w:rsidR="00F120A1" w:rsidRPr="00CC7EB3" w:rsidRDefault="00F120A1" w:rsidP="00E17C57">
      <w:pPr>
        <w:keepNext/>
        <w:keepLines/>
        <w:tabs>
          <w:tab w:val="left" w:pos="2268"/>
        </w:tabs>
        <w:ind w:left="2268"/>
        <w:rPr>
          <w:rFonts w:ascii="Verdana" w:hAnsi="Verdana"/>
          <w:kern w:val="2"/>
          <w:sz w:val="18"/>
          <w:szCs w:val="18"/>
        </w:rPr>
      </w:pPr>
    </w:p>
    <w:p w:rsidR="0095665C" w:rsidRPr="00CC7EB3" w:rsidRDefault="0095665C" w:rsidP="00E17C57">
      <w:pPr>
        <w:keepNext/>
        <w:keepLines/>
        <w:tabs>
          <w:tab w:val="left" w:pos="2268"/>
        </w:tabs>
        <w:ind w:left="2268"/>
        <w:rPr>
          <w:rFonts w:ascii="Verdana" w:hAnsi="Verdana"/>
          <w:i/>
          <w:kern w:val="2"/>
          <w:sz w:val="18"/>
          <w:szCs w:val="18"/>
        </w:rPr>
      </w:pPr>
      <w:r w:rsidRPr="00CC7EB3">
        <w:rPr>
          <w:rFonts w:ascii="Verdana" w:hAnsi="Verdana"/>
          <w:i/>
          <w:sz w:val="18"/>
        </w:rPr>
        <w:t>Articolul I alineatele (1) și (4) partea A și alineatul (2) partea D</w:t>
      </w:r>
    </w:p>
    <w:p w:rsidR="00670294" w:rsidRPr="00CC7EB3" w:rsidRDefault="00FC0162" w:rsidP="00E17C57">
      <w:pPr>
        <w:tabs>
          <w:tab w:val="left" w:pos="2268"/>
        </w:tabs>
        <w:ind w:left="2268"/>
        <w:rPr>
          <w:rFonts w:ascii="Verdana" w:hAnsi="Verdana"/>
          <w:kern w:val="2"/>
          <w:sz w:val="18"/>
          <w:szCs w:val="18"/>
        </w:rPr>
      </w:pPr>
      <w:r w:rsidRPr="00CC7EB3">
        <w:rPr>
          <w:rFonts w:ascii="Verdana" w:hAnsi="Verdana"/>
          <w:sz w:val="18"/>
        </w:rPr>
        <w:t>Această modificare îmbunătățește caracterul executoriu. Înainte de intrarea în vigoare a prezentului decret, articolul 4 alineatul (1) din Decretul-lege privind mărfurile referitor la preparatele din plante are formularea următoare:</w:t>
      </w:r>
    </w:p>
    <w:p w:rsidR="00670294" w:rsidRPr="00CC7EB3" w:rsidRDefault="00670294" w:rsidP="00E17C57">
      <w:pPr>
        <w:tabs>
          <w:tab w:val="left" w:pos="2268"/>
        </w:tabs>
        <w:ind w:left="2268"/>
        <w:rPr>
          <w:rFonts w:ascii="Verdana" w:hAnsi="Verdana"/>
          <w:i/>
          <w:kern w:val="2"/>
          <w:sz w:val="18"/>
          <w:szCs w:val="18"/>
        </w:rPr>
      </w:pPr>
      <w:r w:rsidRPr="00CC7EB3">
        <w:rPr>
          <w:rFonts w:ascii="Verdana" w:hAnsi="Verdana"/>
          <w:i/>
          <w:sz w:val="18"/>
        </w:rPr>
        <w:t>Cantitatea de alcaloizi de pirolizidină toxici din preparate din plante, alcătuită din materialul obținut, integral sau parțial, din plantele menționate în partea I din anexă sau din alte plante care pot conține alcaloizi de pirolizidină toxici, nu trebuie să depășească 1 μg pe kg sau, respectiv, pe litru.</w:t>
      </w:r>
    </w:p>
    <w:p w:rsidR="00670294" w:rsidRPr="00CC7EB3" w:rsidRDefault="00670294" w:rsidP="00E17C57">
      <w:pPr>
        <w:tabs>
          <w:tab w:val="left" w:pos="2268"/>
        </w:tabs>
        <w:ind w:left="2268"/>
        <w:rPr>
          <w:rFonts w:ascii="Verdana" w:hAnsi="Verdana"/>
          <w:kern w:val="2"/>
          <w:sz w:val="18"/>
          <w:szCs w:val="18"/>
        </w:rPr>
      </w:pPr>
    </w:p>
    <w:p w:rsidR="00670294" w:rsidRPr="00CC7EB3" w:rsidRDefault="00670294" w:rsidP="00E17C57">
      <w:pPr>
        <w:tabs>
          <w:tab w:val="left" w:pos="2268"/>
        </w:tabs>
        <w:ind w:left="2268"/>
        <w:rPr>
          <w:rFonts w:ascii="Verdana" w:hAnsi="Verdana"/>
          <w:kern w:val="2"/>
          <w:sz w:val="18"/>
          <w:szCs w:val="18"/>
        </w:rPr>
      </w:pPr>
      <w:r w:rsidRPr="00CC7EB3">
        <w:rPr>
          <w:rFonts w:ascii="Verdana" w:hAnsi="Verdana"/>
          <w:sz w:val="18"/>
        </w:rPr>
        <w:t>Având în vedere această formulare, persoana responsabilă cu supravegherea nu poate stabili un nivel excesiv de ridicat de alcaloizi de pirolizidină toxici în preparatele din plante. Persoana responsabilă trebuie, de asemenea, să demonstreze originea alcaloizilor de pirolizidină toxici. Acest lucru a generat probleme legate de supravegherea respectării acestei dispoziții.</w:t>
      </w:r>
    </w:p>
    <w:p w:rsidR="00670294" w:rsidRPr="00CC7EB3" w:rsidRDefault="00670294" w:rsidP="00E17C57">
      <w:pPr>
        <w:tabs>
          <w:tab w:val="left" w:pos="2268"/>
        </w:tabs>
        <w:ind w:left="2268"/>
        <w:rPr>
          <w:rFonts w:ascii="Verdana" w:hAnsi="Verdana"/>
          <w:kern w:val="2"/>
          <w:sz w:val="18"/>
          <w:szCs w:val="18"/>
        </w:rPr>
      </w:pPr>
    </w:p>
    <w:p w:rsidR="00670294" w:rsidRPr="00CC7EB3" w:rsidRDefault="00BB02A9" w:rsidP="00E17C57">
      <w:pPr>
        <w:tabs>
          <w:tab w:val="left" w:pos="2268"/>
        </w:tabs>
        <w:ind w:left="2268"/>
        <w:rPr>
          <w:rFonts w:ascii="Verdana" w:hAnsi="Verdana"/>
          <w:kern w:val="2"/>
          <w:sz w:val="18"/>
          <w:szCs w:val="18"/>
        </w:rPr>
      </w:pPr>
      <w:r w:rsidRPr="00CC7EB3">
        <w:rPr>
          <w:rFonts w:ascii="Verdana" w:hAnsi="Verdana"/>
          <w:sz w:val="18"/>
        </w:rPr>
        <w:t>Articolul I alineatul (1) partea A din prezentul decret modifică articolul 4 alineatul (1) pentru a rezolva problemele menționate la alineatul precedent. Alineatul (1) stabilește acum o cantitate maximă de alcaloizi de pirolizidină toxici în preparatele din plante, indiferent de originea lor. Prin urmare, partea I din anexă se poate elimina [articolul I alineatul (2) partea D].</w:t>
      </w:r>
    </w:p>
    <w:p w:rsidR="00AB3B66" w:rsidRPr="00CC7EB3" w:rsidRDefault="00AB3B66" w:rsidP="00E17C57">
      <w:pPr>
        <w:tabs>
          <w:tab w:val="left" w:pos="2268"/>
        </w:tabs>
        <w:ind w:left="2268"/>
        <w:rPr>
          <w:rFonts w:ascii="Verdana" w:hAnsi="Verdana"/>
          <w:kern w:val="2"/>
          <w:sz w:val="18"/>
          <w:szCs w:val="18"/>
        </w:rPr>
      </w:pPr>
    </w:p>
    <w:p w:rsidR="00430B87" w:rsidRPr="00CC7EB3" w:rsidRDefault="00430B87" w:rsidP="00E17C57">
      <w:pPr>
        <w:ind w:left="2268"/>
        <w:rPr>
          <w:rFonts w:ascii="Verdana" w:hAnsi="Verdana"/>
          <w:sz w:val="18"/>
          <w:szCs w:val="18"/>
        </w:rPr>
      </w:pPr>
      <w:r w:rsidRPr="00CC7EB3">
        <w:rPr>
          <w:rFonts w:ascii="Verdana" w:hAnsi="Verdana"/>
          <w:sz w:val="18"/>
        </w:rPr>
        <w:t>Pe termen scurt, se așteaptă ca cerințele privind cantitatea maximă de alcaloizi de pirolizidină din suplimentele alimentare și preparatele din plante să fie introduse în Regulamentul (CE) nr. 1881/2006</w:t>
      </w:r>
      <w:r w:rsidRPr="00CC7EB3">
        <w:rPr>
          <w:rStyle w:val="FootnoteReference"/>
          <w:rFonts w:ascii="Verdana" w:hAnsi="Verdana"/>
          <w:sz w:val="18"/>
        </w:rPr>
        <w:footnoteReference w:id="5"/>
      </w:r>
      <w:r w:rsidRPr="00CC7EB3">
        <w:rPr>
          <w:rFonts w:ascii="Verdana" w:hAnsi="Verdana"/>
          <w:sz w:val="18"/>
        </w:rPr>
        <w:t>. În prealabil, se adaugă articolul 4 alineatul (6) la Decretul-lege privind mărfurile referitor la preparatele din plante, astfel încât alineatul (1) să nu se mai aplice în domeniile reglementate de dispozițiile Regulamentului (CE) nr. 1881/2006. Această dispoziție anticipează extinderea viitoare a dispozițiilor Regulamentului (CE) nr. 1881/2006 privind alcaloizii de pirolizidină.</w:t>
      </w:r>
    </w:p>
    <w:p w:rsidR="00430B87" w:rsidRPr="00CC7EB3" w:rsidRDefault="00430B87" w:rsidP="00E17C57">
      <w:pPr>
        <w:ind w:left="2268"/>
        <w:rPr>
          <w:rFonts w:ascii="Verdana" w:hAnsi="Verdana"/>
          <w:sz w:val="18"/>
          <w:szCs w:val="18"/>
        </w:rPr>
      </w:pPr>
    </w:p>
    <w:p w:rsidR="00430B87" w:rsidRPr="00CC7EB3" w:rsidRDefault="00430B87" w:rsidP="00E17C57">
      <w:pPr>
        <w:ind w:left="2268"/>
        <w:rPr>
          <w:rFonts w:ascii="Verdana" w:hAnsi="Verdana"/>
          <w:sz w:val="18"/>
          <w:szCs w:val="18"/>
        </w:rPr>
      </w:pPr>
      <w:r w:rsidRPr="00CC7EB3">
        <w:rPr>
          <w:rFonts w:ascii="Verdana" w:hAnsi="Verdana"/>
          <w:sz w:val="18"/>
        </w:rPr>
        <w:t>În cazul altor preparate din plante care nu sunt incluse în anexa la Regulamentul (CE) nr. 1881/2006, limita maximă prevăzută la articolul 4 alineatul (1) din Decretul-lege privind mărfurile referitor la preparatele din plante rămâne aplicabilă, și anume: 1 μg/kg sau, respectiv, pe litru.</w:t>
      </w:r>
    </w:p>
    <w:p w:rsidR="00E17C57" w:rsidRPr="00CC7EB3" w:rsidRDefault="00E17C57" w:rsidP="00E17C57">
      <w:pPr>
        <w:ind w:left="2268"/>
        <w:rPr>
          <w:rFonts w:ascii="Verdana" w:hAnsi="Verdana"/>
          <w:sz w:val="18"/>
          <w:szCs w:val="18"/>
        </w:rPr>
      </w:pPr>
    </w:p>
    <w:p w:rsidR="00FC0162" w:rsidRPr="00CC7EB3" w:rsidRDefault="00FC0162" w:rsidP="00E17C57">
      <w:pPr>
        <w:keepNext/>
        <w:keepLines/>
        <w:tabs>
          <w:tab w:val="left" w:pos="2268"/>
        </w:tabs>
        <w:ind w:left="2268"/>
        <w:rPr>
          <w:rFonts w:ascii="Verdana" w:hAnsi="Verdana"/>
          <w:i/>
          <w:kern w:val="2"/>
          <w:sz w:val="18"/>
          <w:szCs w:val="18"/>
        </w:rPr>
      </w:pPr>
      <w:r w:rsidRPr="00CC7EB3">
        <w:rPr>
          <w:rFonts w:ascii="Verdana" w:hAnsi="Verdana"/>
          <w:i/>
          <w:sz w:val="18"/>
        </w:rPr>
        <w:t>Articolul I alineatul (2) partea A</w:t>
      </w:r>
    </w:p>
    <w:p w:rsidR="00FC0162" w:rsidRPr="00CC7EB3" w:rsidRDefault="00FC0162" w:rsidP="00E17C57">
      <w:pPr>
        <w:tabs>
          <w:tab w:val="left" w:pos="2268"/>
        </w:tabs>
        <w:ind w:left="2268"/>
        <w:rPr>
          <w:rFonts w:ascii="Verdana" w:hAnsi="Verdana"/>
          <w:kern w:val="2"/>
          <w:sz w:val="18"/>
          <w:szCs w:val="18"/>
        </w:rPr>
      </w:pPr>
      <w:r w:rsidRPr="00CC7EB3">
        <w:rPr>
          <w:rFonts w:ascii="Verdana" w:hAnsi="Verdana"/>
          <w:sz w:val="18"/>
        </w:rPr>
        <w:t>Articolul 4 alineatul (2) din Decretul-lege privind mărfurile referitor la preparatele din plante denumește mai multe substanțe care nu pot fi prezente în preparatele din plante, din motive de protecție a sănătății publice. Pe baza studiilor,</w:t>
      </w:r>
      <w:r w:rsidRPr="00CC7EB3">
        <w:rPr>
          <w:rStyle w:val="FootnoteReference"/>
          <w:rFonts w:ascii="Verdana" w:hAnsi="Verdana"/>
          <w:kern w:val="2"/>
          <w:sz w:val="18"/>
        </w:rPr>
        <w:footnoteReference w:id="6"/>
      </w:r>
      <w:r w:rsidRPr="00CC7EB3">
        <w:rPr>
          <w:rFonts w:ascii="Verdana" w:hAnsi="Verdana"/>
          <w:sz w:val="18"/>
        </w:rPr>
        <w:t xml:space="preserve"> RIVM a recomandat extinderea listei prin </w:t>
      </w:r>
      <w:r w:rsidRPr="00CC7EB3">
        <w:rPr>
          <w:rFonts w:ascii="Verdana" w:hAnsi="Verdana"/>
          <w:sz w:val="18"/>
        </w:rPr>
        <w:lastRenderedPageBreak/>
        <w:t>includerea altor substanțe care par să aibă proprietăți toxice sau chiar toxice acute. Aceste recomandări au fost aplicate. Substanțele în cauză au fost, prin urmare, adăugate la articolul 4 alineatul (2) din Decretul-lege privind mărfurile referitor la preparatele din plante. Literele (a) și (b) anterioare (acizii aristolochici și alcaloizii de iohimbină sau derivații acestora) au fost adăugate ulterior în noua listă, în ordine alfabetică.</w:t>
      </w:r>
    </w:p>
    <w:p w:rsidR="00FC0162" w:rsidRPr="00CC7EB3" w:rsidRDefault="00FC0162" w:rsidP="00E17C57">
      <w:pPr>
        <w:tabs>
          <w:tab w:val="left" w:pos="2268"/>
        </w:tabs>
        <w:ind w:left="2268"/>
        <w:rPr>
          <w:rFonts w:ascii="Verdana" w:hAnsi="Verdana"/>
          <w:kern w:val="2"/>
          <w:sz w:val="18"/>
          <w:szCs w:val="18"/>
        </w:rPr>
      </w:pPr>
    </w:p>
    <w:p w:rsidR="00FC0162" w:rsidRPr="00CC7EB3" w:rsidRDefault="00FC0162" w:rsidP="00E17C57">
      <w:pPr>
        <w:tabs>
          <w:tab w:val="left" w:pos="2268"/>
        </w:tabs>
        <w:ind w:left="2268"/>
        <w:rPr>
          <w:rFonts w:ascii="Verdana" w:hAnsi="Verdana"/>
          <w:kern w:val="2"/>
          <w:sz w:val="18"/>
          <w:szCs w:val="18"/>
        </w:rPr>
      </w:pPr>
      <w:r w:rsidRPr="00CC7EB3">
        <w:rPr>
          <w:rFonts w:ascii="Verdana" w:hAnsi="Verdana"/>
          <w:sz w:val="18"/>
        </w:rPr>
        <w:t>Noua literă (g) se referă la uleiul obținut din Artemisia absinthium. Litera menționată prevede că interzicerea acestui ulei în preparatele din plante nu se aplică pentru prezența tuionei în băuturile care conțin Artemisia dacă prezența sa este permisă în articolul 6 alineatul (2) și în anexa III partea B din Regulamentul (CE) nr. 1334/2008</w:t>
      </w:r>
      <w:r w:rsidRPr="00CC7EB3">
        <w:rPr>
          <w:rStyle w:val="FootnoteReference"/>
          <w:rFonts w:ascii="Verdana" w:hAnsi="Verdana"/>
          <w:kern w:val="2"/>
          <w:sz w:val="18"/>
        </w:rPr>
        <w:footnoteReference w:id="7"/>
      </w:r>
      <w:r w:rsidRPr="00CC7EB3">
        <w:rPr>
          <w:rFonts w:ascii="Verdana" w:hAnsi="Verdana"/>
          <w:sz w:val="18"/>
        </w:rPr>
        <w:t>.</w:t>
      </w:r>
    </w:p>
    <w:p w:rsidR="00670294" w:rsidRPr="00CC7EB3" w:rsidRDefault="00670294" w:rsidP="00E17C57">
      <w:pPr>
        <w:tabs>
          <w:tab w:val="left" w:pos="2268"/>
        </w:tabs>
        <w:ind w:left="2268"/>
        <w:rPr>
          <w:rFonts w:ascii="Verdana" w:hAnsi="Verdana"/>
          <w:kern w:val="2"/>
          <w:sz w:val="18"/>
          <w:szCs w:val="18"/>
        </w:rPr>
      </w:pPr>
    </w:p>
    <w:p w:rsidR="00AD2E4A" w:rsidRPr="00CC7EB3" w:rsidRDefault="00AD2E4A" w:rsidP="00E17C57">
      <w:pPr>
        <w:keepNext/>
        <w:keepLines/>
        <w:tabs>
          <w:tab w:val="left" w:pos="2268"/>
        </w:tabs>
        <w:ind w:left="2268"/>
        <w:rPr>
          <w:rFonts w:ascii="Verdana" w:hAnsi="Verdana"/>
          <w:i/>
          <w:kern w:val="2"/>
          <w:sz w:val="18"/>
          <w:szCs w:val="18"/>
        </w:rPr>
      </w:pPr>
      <w:r w:rsidRPr="00CC7EB3">
        <w:rPr>
          <w:rFonts w:ascii="Verdana" w:hAnsi="Verdana"/>
          <w:i/>
          <w:sz w:val="18"/>
        </w:rPr>
        <w:t>Articolul I alineatul (3) partea A și alineatele (1) și (3)partea D</w:t>
      </w:r>
    </w:p>
    <w:p w:rsidR="00670294" w:rsidRPr="00CC7EB3" w:rsidRDefault="005D7072" w:rsidP="00E17C57">
      <w:pPr>
        <w:tabs>
          <w:tab w:val="left" w:pos="2268"/>
        </w:tabs>
        <w:ind w:left="2268"/>
        <w:rPr>
          <w:rFonts w:ascii="Verdana" w:hAnsi="Verdana"/>
          <w:kern w:val="2"/>
          <w:sz w:val="18"/>
          <w:szCs w:val="18"/>
        </w:rPr>
      </w:pPr>
      <w:r w:rsidRPr="00CC7EB3">
        <w:rPr>
          <w:rFonts w:ascii="Verdana" w:hAnsi="Verdana"/>
          <w:sz w:val="18"/>
        </w:rPr>
        <w:t>La data intrării în vigoare a prezentului decret, anexa la Decretul-lege privind mărfurile referitor la preparatele din plante prevede doar dispozițiile incluse anterior în partea II, care a fost redenumită ca „anexa”. Prin urmare, trimiterea la partea II din anexa la articolul 4 alineatul (3) din Decretul-lege privind mărfurile referitor la preparatele din plante se modifică astfel încât să se facă trimitere la „anexă”.</w:t>
      </w:r>
    </w:p>
    <w:p w:rsidR="00B561EB" w:rsidRPr="00CC7EB3" w:rsidRDefault="00B561EB" w:rsidP="00E17C57">
      <w:pPr>
        <w:tabs>
          <w:tab w:val="left" w:pos="2268"/>
        </w:tabs>
        <w:ind w:left="2268"/>
        <w:rPr>
          <w:rFonts w:ascii="Verdana" w:hAnsi="Verdana"/>
          <w:kern w:val="2"/>
          <w:sz w:val="18"/>
          <w:szCs w:val="18"/>
        </w:rPr>
      </w:pPr>
    </w:p>
    <w:p w:rsidR="005059AF" w:rsidRPr="00CC7EB3" w:rsidRDefault="00485F0F" w:rsidP="00E17C57">
      <w:pPr>
        <w:keepNext/>
        <w:keepLines/>
        <w:tabs>
          <w:tab w:val="left" w:pos="2268"/>
        </w:tabs>
        <w:ind w:left="2268"/>
        <w:rPr>
          <w:rFonts w:ascii="Verdana" w:hAnsi="Verdana"/>
          <w:i/>
          <w:kern w:val="2"/>
          <w:sz w:val="18"/>
          <w:szCs w:val="18"/>
        </w:rPr>
      </w:pPr>
      <w:r w:rsidRPr="00CC7EB3">
        <w:rPr>
          <w:rFonts w:ascii="Verdana" w:hAnsi="Verdana"/>
          <w:i/>
          <w:sz w:val="18"/>
        </w:rPr>
        <w:t>Articolul I alineatul (4) partea A</w:t>
      </w:r>
    </w:p>
    <w:p w:rsidR="003C006F" w:rsidRPr="00CC7EB3" w:rsidRDefault="003C006F" w:rsidP="00E17C57">
      <w:pPr>
        <w:tabs>
          <w:tab w:val="left" w:pos="2268"/>
        </w:tabs>
        <w:ind w:left="2268"/>
        <w:rPr>
          <w:rFonts w:ascii="Verdana" w:hAnsi="Verdana"/>
          <w:kern w:val="2"/>
          <w:sz w:val="18"/>
          <w:szCs w:val="18"/>
        </w:rPr>
      </w:pPr>
      <w:r w:rsidRPr="00CC7EB3">
        <w:rPr>
          <w:rFonts w:ascii="Verdana" w:hAnsi="Verdana"/>
          <w:sz w:val="18"/>
        </w:rPr>
        <w:t>Pe baza raportului RIVM menționat anterior și a recomandării BuRO privind sinefrina, pe baza celor menționate anterior, s-a decis interzicerea adăugării de meta și orto-sinefrină în preparatele din plante. O doză zilnică maximă de 27 mg de para-sinefrină, bazată pe aportul din produse alimentare, a rezultat din recomandarea BuRO. Această valoare maximă a fost inclusă la articolul 4 alineatul (4).</w:t>
      </w:r>
    </w:p>
    <w:p w:rsidR="008250DF" w:rsidRPr="00CC7EB3" w:rsidRDefault="008250DF" w:rsidP="00E17C57">
      <w:pPr>
        <w:tabs>
          <w:tab w:val="left" w:pos="2268"/>
        </w:tabs>
        <w:ind w:left="2268"/>
        <w:rPr>
          <w:rFonts w:ascii="Verdana" w:hAnsi="Verdana"/>
          <w:kern w:val="2"/>
          <w:sz w:val="18"/>
          <w:szCs w:val="18"/>
        </w:rPr>
      </w:pPr>
      <w:r w:rsidRPr="00CC7EB3">
        <w:rPr>
          <w:rFonts w:ascii="Verdana" w:hAnsi="Verdana"/>
          <w:sz w:val="18"/>
        </w:rPr>
        <w:t>Ricinus communis a fost inclus în partea II din Decretul-lege privind mărfurile referitor la preparatele din plante. Articolul 4 alineatul (3) prevede că preparatele din plante nu trebuie să conțină materiale obținute, integral sau parțial, din Ricinus communis. Studiul RIVM</w:t>
      </w:r>
      <w:r w:rsidRPr="00CC7EB3">
        <w:rPr>
          <w:rStyle w:val="FootnoteReference"/>
          <w:rFonts w:ascii="Verdana" w:hAnsi="Verdana"/>
          <w:kern w:val="2"/>
          <w:sz w:val="18"/>
        </w:rPr>
        <w:footnoteReference w:id="8"/>
      </w:r>
      <w:r w:rsidRPr="00CC7EB3">
        <w:rPr>
          <w:rFonts w:ascii="Verdana" w:hAnsi="Verdana"/>
          <w:sz w:val="18"/>
        </w:rPr>
        <w:t xml:space="preserve"> indică, de asemenea, că aportul de până la 0,4 g pe zi de ulei extras din semințe de Ricinus communis nu dăunează sănătății publice. Din acest motiv, în vederea facilitării aplicării celor menționate anterior, se introduce un nou articol 4 alineatul (5) în Decretul-lege privind mărfurile referitor la preparatele din plante.</w:t>
      </w:r>
    </w:p>
    <w:p w:rsidR="00FC5154" w:rsidRPr="00CC7EB3" w:rsidRDefault="00FC5154" w:rsidP="00E17C57">
      <w:pPr>
        <w:tabs>
          <w:tab w:val="left" w:pos="2268"/>
        </w:tabs>
        <w:ind w:left="2268"/>
        <w:rPr>
          <w:rFonts w:ascii="Verdana" w:hAnsi="Verdana"/>
          <w:kern w:val="2"/>
          <w:sz w:val="18"/>
          <w:szCs w:val="18"/>
        </w:rPr>
      </w:pPr>
    </w:p>
    <w:p w:rsidR="002714CE" w:rsidRPr="00CC7EB3" w:rsidRDefault="002714CE" w:rsidP="00E17C57">
      <w:pPr>
        <w:keepNext/>
        <w:keepLines/>
        <w:tabs>
          <w:tab w:val="left" w:pos="2268"/>
        </w:tabs>
        <w:ind w:left="2268"/>
        <w:rPr>
          <w:rFonts w:ascii="Verdana" w:hAnsi="Verdana"/>
          <w:i/>
          <w:kern w:val="2"/>
          <w:sz w:val="18"/>
          <w:szCs w:val="18"/>
        </w:rPr>
      </w:pPr>
      <w:r w:rsidRPr="00CC7EB3">
        <w:rPr>
          <w:rFonts w:ascii="Verdana" w:hAnsi="Verdana"/>
          <w:i/>
          <w:sz w:val="18"/>
        </w:rPr>
        <w:t>Articolul I partea B</w:t>
      </w:r>
    </w:p>
    <w:p w:rsidR="002714CE" w:rsidRPr="00CC7EB3" w:rsidRDefault="002714CE" w:rsidP="00E17C57">
      <w:pPr>
        <w:tabs>
          <w:tab w:val="left" w:pos="2268"/>
        </w:tabs>
        <w:ind w:left="2268"/>
        <w:rPr>
          <w:rFonts w:ascii="Verdana" w:hAnsi="Verdana"/>
          <w:kern w:val="2"/>
          <w:sz w:val="18"/>
          <w:szCs w:val="18"/>
        </w:rPr>
      </w:pPr>
      <w:r w:rsidRPr="00CC7EB3">
        <w:rPr>
          <w:rFonts w:ascii="Verdana" w:hAnsi="Verdana"/>
          <w:sz w:val="18"/>
        </w:rPr>
        <w:t xml:space="preserve">La articolul 6 se introduce alineatul (3) nou. Acest lucru generează posibilitatea adoptării unui ordin ministerial de stabilire a unor norme suplimentare privind utilizarea recomandată și dozele prevăzute la </w:t>
      </w:r>
      <w:r w:rsidRPr="00CC7EB3">
        <w:rPr>
          <w:rFonts w:ascii="Verdana" w:hAnsi="Verdana"/>
          <w:sz w:val="18"/>
        </w:rPr>
        <w:lastRenderedPageBreak/>
        <w:t>alineatele (1) și (2). Acesta va fi utilizat pentru substanțele care pot avea un impact negativ asupra sănătății în anumite condiții de utilizare și de dozare. Recomandările de utilizare și de dozare pot fi folosite pentru a avertiza consumatorii în acest sens.</w:t>
      </w:r>
    </w:p>
    <w:p w:rsidR="00FC5154" w:rsidRPr="00CC7EB3" w:rsidRDefault="00FC5154" w:rsidP="00E17C57">
      <w:pPr>
        <w:tabs>
          <w:tab w:val="left" w:pos="2268"/>
        </w:tabs>
        <w:ind w:left="2268"/>
        <w:rPr>
          <w:rFonts w:ascii="Verdana" w:hAnsi="Verdana"/>
          <w:kern w:val="2"/>
          <w:sz w:val="18"/>
          <w:szCs w:val="18"/>
        </w:rPr>
      </w:pPr>
    </w:p>
    <w:p w:rsidR="003143CD" w:rsidRPr="00CC7EB3" w:rsidRDefault="003143CD" w:rsidP="00E17C57">
      <w:pPr>
        <w:keepNext/>
        <w:keepLines/>
        <w:tabs>
          <w:tab w:val="left" w:pos="2268"/>
        </w:tabs>
        <w:ind w:left="2268"/>
        <w:rPr>
          <w:rFonts w:ascii="Verdana" w:hAnsi="Verdana"/>
          <w:i/>
          <w:kern w:val="2"/>
          <w:sz w:val="18"/>
          <w:szCs w:val="18"/>
        </w:rPr>
      </w:pPr>
      <w:r w:rsidRPr="00CC7EB3">
        <w:rPr>
          <w:rFonts w:ascii="Verdana" w:hAnsi="Verdana"/>
          <w:i/>
          <w:sz w:val="18"/>
        </w:rPr>
        <w:t>Articolul I alineatul (10) părțile C și D</w:t>
      </w:r>
    </w:p>
    <w:p w:rsidR="003143CD" w:rsidRPr="00CC7EB3" w:rsidRDefault="003143CD" w:rsidP="00E17C57">
      <w:pPr>
        <w:tabs>
          <w:tab w:val="left" w:pos="2268"/>
        </w:tabs>
        <w:ind w:left="2268"/>
        <w:rPr>
          <w:rFonts w:ascii="Verdana" w:hAnsi="Verdana"/>
          <w:kern w:val="2"/>
          <w:sz w:val="18"/>
          <w:szCs w:val="18"/>
        </w:rPr>
      </w:pPr>
      <w:r w:rsidRPr="00CC7EB3">
        <w:rPr>
          <w:rFonts w:ascii="Verdana" w:hAnsi="Verdana"/>
          <w:sz w:val="18"/>
        </w:rPr>
        <w:t>Această modificare implică dispoziții tranzitorii detaliate.</w:t>
      </w:r>
    </w:p>
    <w:p w:rsidR="00E17C57" w:rsidRPr="00CC7EB3" w:rsidRDefault="00E17C57" w:rsidP="00E17C57">
      <w:pPr>
        <w:tabs>
          <w:tab w:val="left" w:pos="2268"/>
        </w:tabs>
        <w:ind w:left="2268"/>
        <w:rPr>
          <w:rFonts w:ascii="Verdana" w:hAnsi="Verdana"/>
          <w:kern w:val="2"/>
          <w:sz w:val="18"/>
          <w:szCs w:val="18"/>
        </w:rPr>
      </w:pPr>
    </w:p>
    <w:p w:rsidR="00DE4D7B" w:rsidRPr="00CC7EB3" w:rsidRDefault="00773541" w:rsidP="00E17C57">
      <w:pPr>
        <w:keepNext/>
        <w:keepLines/>
        <w:tabs>
          <w:tab w:val="left" w:pos="2268"/>
        </w:tabs>
        <w:ind w:left="2268"/>
        <w:rPr>
          <w:rFonts w:ascii="Verdana" w:hAnsi="Verdana"/>
          <w:i/>
          <w:kern w:val="2"/>
          <w:sz w:val="18"/>
          <w:szCs w:val="18"/>
        </w:rPr>
      </w:pPr>
      <w:r w:rsidRPr="00CC7EB3">
        <w:rPr>
          <w:rFonts w:ascii="Verdana" w:hAnsi="Verdana"/>
          <w:i/>
          <w:sz w:val="18"/>
        </w:rPr>
        <w:t>Articolul I alineatele (4)-(9) partea D</w:t>
      </w:r>
    </w:p>
    <w:p w:rsidR="007C6E9D" w:rsidRPr="00CC7EB3" w:rsidRDefault="007C6E9D" w:rsidP="00E17C57">
      <w:pPr>
        <w:tabs>
          <w:tab w:val="left" w:pos="2268"/>
        </w:tabs>
        <w:ind w:left="2268"/>
        <w:rPr>
          <w:rFonts w:ascii="Verdana" w:hAnsi="Verdana"/>
          <w:kern w:val="2"/>
          <w:sz w:val="18"/>
          <w:szCs w:val="18"/>
        </w:rPr>
      </w:pPr>
      <w:r w:rsidRPr="00CC7EB3">
        <w:rPr>
          <w:rFonts w:ascii="Verdana" w:hAnsi="Verdana"/>
          <w:sz w:val="18"/>
        </w:rPr>
        <w:t>Articolul 4 alineatul (3), astfel cum a fost modificat, din Decretul-lege privind mărfurile referitor la preparatele din plante, prevede că preparatele din plante nu trebuie să conțină materiale obținute, integral sau parțial, din plantele și ciupercile menționate în anexă. Mai multe plante sunt adăugate acum în anexă (denumită anterior partea II din anexă), având în vedere potențialul impact nociv grav asupra sănătății umane [articolul I alineatul (4) partea D].</w:t>
      </w:r>
    </w:p>
    <w:p w:rsidR="00DD3086" w:rsidRPr="00CC7EB3" w:rsidRDefault="00DD3086" w:rsidP="00E17C57">
      <w:pPr>
        <w:tabs>
          <w:tab w:val="left" w:pos="2268"/>
        </w:tabs>
        <w:ind w:left="2268"/>
        <w:rPr>
          <w:rFonts w:ascii="Verdana" w:hAnsi="Verdana"/>
          <w:kern w:val="2"/>
          <w:sz w:val="18"/>
          <w:szCs w:val="18"/>
        </w:rPr>
      </w:pPr>
    </w:p>
    <w:p w:rsidR="007F2C23" w:rsidRPr="00CC7EB3" w:rsidRDefault="00DD3086" w:rsidP="00E17C57">
      <w:pPr>
        <w:tabs>
          <w:tab w:val="left" w:pos="2268"/>
        </w:tabs>
        <w:ind w:left="2268"/>
        <w:rPr>
          <w:rFonts w:ascii="Verdana" w:hAnsi="Verdana"/>
          <w:kern w:val="2"/>
          <w:sz w:val="18"/>
          <w:szCs w:val="18"/>
        </w:rPr>
      </w:pPr>
      <w:r w:rsidRPr="00CC7EB3">
        <w:rPr>
          <w:rFonts w:ascii="Verdana" w:hAnsi="Verdana"/>
          <w:sz w:val="18"/>
        </w:rPr>
        <w:t xml:space="preserve">Articolul I alineatele (5)-(9) partea D din prezentul decret corectează cu această ocazie mai multe deficiențe din partea II anterioară din anexă. În primul rând, sunt corectate greșelile de ortografie. În al </w:t>
      </w:r>
      <w:r w:rsidR="00CC7EB3">
        <w:rPr>
          <w:rFonts w:ascii="Verdana" w:hAnsi="Verdana"/>
          <w:sz w:val="18"/>
        </w:rPr>
        <w:t>doilea rând, în prezent, se menț</w:t>
      </w:r>
      <w:r w:rsidR="00FE2D40">
        <w:rPr>
          <w:rFonts w:ascii="Verdana" w:hAnsi="Verdana"/>
          <w:sz w:val="18"/>
        </w:rPr>
        <w:t xml:space="preserve">ionează </w:t>
      </w:r>
      <w:r w:rsidRPr="00CC7EB3">
        <w:rPr>
          <w:rFonts w:ascii="Verdana" w:hAnsi="Verdana"/>
          <w:sz w:val="18"/>
        </w:rPr>
        <w:t>clar că planta otrăvitoare Bryonia alba nu este nicidecum asemănătoare cu Brassica nigra (muștar negru). Acestea au fost introduse anterior, în mod neintenționat, una lângă cealaltă în anexă. În prezent, acestea apar una deasupra celeilalte, pentru a clarifica faptul că acestea sunt două plante separate.</w:t>
      </w:r>
    </w:p>
    <w:p w:rsidR="00E17C57" w:rsidRPr="00CC7EB3" w:rsidRDefault="00E17C57" w:rsidP="00E17C57">
      <w:pPr>
        <w:tabs>
          <w:tab w:val="left" w:pos="2268"/>
        </w:tabs>
        <w:ind w:left="2268"/>
        <w:rPr>
          <w:rFonts w:ascii="Verdana" w:hAnsi="Verdana"/>
          <w:kern w:val="2"/>
          <w:sz w:val="18"/>
          <w:szCs w:val="18"/>
        </w:rPr>
      </w:pPr>
    </w:p>
    <w:p w:rsidR="007F2C23" w:rsidRPr="00CC7EB3" w:rsidRDefault="007F2C23" w:rsidP="00E17C57">
      <w:pPr>
        <w:keepNext/>
        <w:keepLines/>
        <w:tabs>
          <w:tab w:val="left" w:pos="2268"/>
        </w:tabs>
        <w:ind w:left="2268"/>
        <w:rPr>
          <w:rFonts w:ascii="Verdana" w:hAnsi="Verdana"/>
          <w:i/>
          <w:kern w:val="2"/>
          <w:sz w:val="18"/>
          <w:szCs w:val="18"/>
        </w:rPr>
      </w:pPr>
      <w:r w:rsidRPr="00CC7EB3">
        <w:rPr>
          <w:rFonts w:ascii="Verdana" w:hAnsi="Verdana"/>
          <w:i/>
          <w:sz w:val="18"/>
        </w:rPr>
        <w:t>Articolul II</w:t>
      </w:r>
    </w:p>
    <w:p w:rsidR="003143CD" w:rsidRPr="00CC7EB3" w:rsidRDefault="00C93CDF" w:rsidP="00E17C57">
      <w:pPr>
        <w:ind w:left="2268"/>
        <w:rPr>
          <w:rFonts w:ascii="Verdana" w:hAnsi="Verdana"/>
          <w:sz w:val="18"/>
          <w:szCs w:val="18"/>
        </w:rPr>
      </w:pPr>
      <w:r w:rsidRPr="00CC7EB3">
        <w:rPr>
          <w:rFonts w:ascii="Verdana" w:hAnsi="Verdana"/>
          <w:sz w:val="18"/>
        </w:rPr>
        <w:t>Articolul 4 alineatul (5) din Decretul-lege privind mărfurile referitor la preparatele din plante se adaugă la anexa la Decretul-lege privind mărfurile în ceea ce privește sancțiunile administrative, astfel încât încălcarea acestora să poată face obiectul unei sancțiuni administrative.</w:t>
      </w:r>
    </w:p>
    <w:p w:rsidR="007F2C23" w:rsidRPr="00CC7EB3" w:rsidRDefault="007F2C23" w:rsidP="00E17C57">
      <w:pPr>
        <w:tabs>
          <w:tab w:val="left" w:pos="2268"/>
        </w:tabs>
        <w:ind w:left="2268"/>
        <w:rPr>
          <w:rFonts w:ascii="Verdana" w:hAnsi="Verdana"/>
          <w:kern w:val="2"/>
          <w:sz w:val="18"/>
          <w:szCs w:val="18"/>
        </w:rPr>
      </w:pPr>
    </w:p>
    <w:p w:rsidR="003143CD" w:rsidRPr="00CC7EB3" w:rsidRDefault="003143CD" w:rsidP="00E17C57">
      <w:pPr>
        <w:tabs>
          <w:tab w:val="left" w:pos="2268"/>
        </w:tabs>
        <w:ind w:left="2268"/>
        <w:rPr>
          <w:rFonts w:ascii="Verdana" w:hAnsi="Verdana"/>
          <w:kern w:val="2"/>
          <w:sz w:val="18"/>
          <w:szCs w:val="18"/>
        </w:rPr>
      </w:pPr>
      <w:r w:rsidRPr="00CC7EB3">
        <w:rPr>
          <w:rFonts w:ascii="Verdana" w:hAnsi="Verdana"/>
          <w:sz w:val="18"/>
        </w:rPr>
        <w:t>Ministrul Asistenței Medicale,</w:t>
      </w:r>
    </w:p>
    <w:p w:rsidR="003143CD" w:rsidRPr="00CC7EB3" w:rsidRDefault="003143CD" w:rsidP="00E17C57">
      <w:pPr>
        <w:tabs>
          <w:tab w:val="left" w:pos="2268"/>
        </w:tabs>
        <w:ind w:left="2268"/>
        <w:rPr>
          <w:rFonts w:ascii="Verdana" w:hAnsi="Verdana"/>
          <w:kern w:val="2"/>
          <w:sz w:val="18"/>
          <w:szCs w:val="18"/>
        </w:rPr>
      </w:pPr>
    </w:p>
    <w:p w:rsidR="003143CD" w:rsidRPr="00CC7EB3" w:rsidRDefault="003143CD" w:rsidP="00E17C57">
      <w:pPr>
        <w:tabs>
          <w:tab w:val="left" w:pos="2268"/>
        </w:tabs>
        <w:ind w:left="2268"/>
        <w:rPr>
          <w:rFonts w:ascii="Verdana" w:hAnsi="Verdana"/>
          <w:kern w:val="2"/>
          <w:sz w:val="18"/>
          <w:szCs w:val="18"/>
        </w:rPr>
      </w:pPr>
    </w:p>
    <w:p w:rsidR="003143CD" w:rsidRPr="00CC7EB3" w:rsidRDefault="003143CD" w:rsidP="00E17C57">
      <w:pPr>
        <w:tabs>
          <w:tab w:val="left" w:pos="2268"/>
        </w:tabs>
        <w:ind w:left="2268"/>
        <w:rPr>
          <w:rFonts w:ascii="Verdana" w:hAnsi="Verdana"/>
          <w:kern w:val="2"/>
          <w:sz w:val="18"/>
          <w:szCs w:val="18"/>
        </w:rPr>
      </w:pPr>
    </w:p>
    <w:p w:rsidR="003143CD" w:rsidRPr="00CC7EB3" w:rsidRDefault="003143CD" w:rsidP="00E17C57">
      <w:pPr>
        <w:tabs>
          <w:tab w:val="left" w:pos="2268"/>
        </w:tabs>
        <w:ind w:left="2268"/>
        <w:rPr>
          <w:rFonts w:ascii="Verdana" w:hAnsi="Verdana"/>
          <w:kern w:val="2"/>
          <w:sz w:val="18"/>
          <w:szCs w:val="18"/>
        </w:rPr>
      </w:pPr>
    </w:p>
    <w:p w:rsidR="003143CD" w:rsidRPr="00CC7EB3" w:rsidRDefault="003143CD" w:rsidP="00E17C57">
      <w:pPr>
        <w:tabs>
          <w:tab w:val="left" w:pos="2268"/>
        </w:tabs>
        <w:ind w:left="2268"/>
        <w:rPr>
          <w:rFonts w:ascii="Verdana" w:hAnsi="Verdana"/>
          <w:kern w:val="2"/>
          <w:sz w:val="18"/>
          <w:szCs w:val="18"/>
        </w:rPr>
      </w:pPr>
      <w:r w:rsidRPr="00CC7EB3">
        <w:rPr>
          <w:rFonts w:ascii="Verdana" w:hAnsi="Verdana"/>
          <w:sz w:val="18"/>
        </w:rPr>
        <w:t>B. J. Bruins</w:t>
      </w:r>
    </w:p>
    <w:sectPr w:rsidR="003143CD" w:rsidRPr="00CC7EB3" w:rsidSect="00E17C57">
      <w:headerReference w:type="default" r:id="rId8"/>
      <w:footerReference w:type="default" r:id="rId9"/>
      <w:headerReference w:type="first" r:id="rId10"/>
      <w:footerReference w:type="first" r:id="rId11"/>
      <w:pgSz w:w="11906" w:h="16838" w:code="9"/>
      <w:pgMar w:top="1763" w:right="1826" w:bottom="1134" w:left="851" w:header="0" w:footer="45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AB1" w:rsidRDefault="00524AB1">
      <w:r>
        <w:separator/>
      </w:r>
    </w:p>
  </w:endnote>
  <w:endnote w:type="continuationSeparator" w:id="0">
    <w:p w:rsidR="00524AB1" w:rsidRDefault="00524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027" w:usb1="00000040" w:usb2="00000000" w:usb3="00000000" w:csb0="0000001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380"/>
      <w:docPartObj>
        <w:docPartGallery w:val="Page Numbers (Bottom of Page)"/>
        <w:docPartUnique/>
      </w:docPartObj>
    </w:sdtPr>
    <w:sdtEndPr/>
    <w:sdtContent>
      <w:p w:rsidR="002E5EAB" w:rsidRDefault="00567EE1">
        <w:pPr>
          <w:pStyle w:val="Footer"/>
          <w:jc w:val="right"/>
        </w:pPr>
        <w:r>
          <w:fldChar w:fldCharType="begin"/>
        </w:r>
        <w:r>
          <w:instrText xml:space="preserve"> PAGE   \* MERGEFORMAT </w:instrText>
        </w:r>
        <w:r>
          <w:fldChar w:fldCharType="separate"/>
        </w:r>
        <w:r w:rsidR="00322ABF">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663189"/>
      <w:docPartObj>
        <w:docPartGallery w:val="Page Numbers (Bottom of Page)"/>
        <w:docPartUnique/>
      </w:docPartObj>
    </w:sdtPr>
    <w:sdtEndPr/>
    <w:sdtContent>
      <w:p w:rsidR="002E5EAB" w:rsidRDefault="00567EE1">
        <w:pPr>
          <w:pStyle w:val="Footer"/>
          <w:jc w:val="right"/>
        </w:pPr>
        <w:r>
          <w:fldChar w:fldCharType="begin"/>
        </w:r>
        <w:r>
          <w:instrText xml:space="preserve"> PAGE   \* MERGEFORMAT </w:instrText>
        </w:r>
        <w:r>
          <w:fldChar w:fldCharType="separate"/>
        </w:r>
        <w:r w:rsidR="00322ABF">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AB1" w:rsidRDefault="00524AB1">
      <w:r>
        <w:separator/>
      </w:r>
    </w:p>
  </w:footnote>
  <w:footnote w:type="continuationSeparator" w:id="0">
    <w:p w:rsidR="00524AB1" w:rsidRDefault="00524AB1">
      <w:r>
        <w:continuationSeparator/>
      </w:r>
    </w:p>
  </w:footnote>
  <w:footnote w:id="1">
    <w:p w:rsidR="002E5EAB" w:rsidRPr="004B6695" w:rsidRDefault="002E5EAB" w:rsidP="00B428D8">
      <w:pPr>
        <w:pStyle w:val="FootnoteText"/>
        <w:rPr>
          <w:rFonts w:ascii="Verdana" w:hAnsi="Verdana"/>
          <w:sz w:val="16"/>
          <w:szCs w:val="16"/>
        </w:rPr>
      </w:pPr>
      <w:r>
        <w:rPr>
          <w:rStyle w:val="FootnoteReference"/>
          <w:rFonts w:ascii="Verdana" w:hAnsi="Verdana"/>
          <w:sz w:val="16"/>
        </w:rPr>
        <w:footnoteRef/>
      </w:r>
      <w:r w:rsidR="00FE2D40">
        <w:rPr>
          <w:rFonts w:ascii="Verdana" w:hAnsi="Verdana"/>
          <w:sz w:val="16"/>
        </w:rPr>
        <w:t xml:space="preserve"> </w:t>
      </w:r>
      <w:r>
        <w:rPr>
          <w:rFonts w:ascii="Verdana" w:hAnsi="Verdana"/>
          <w:sz w:val="16"/>
        </w:rPr>
        <w:t>ROW este alcătuit din reprezentanți ai întreprinderilor (industrie și comerț), ai consumatorilor, ai ministerelor (în special din partea Ministerului Sănătății Publice, Bunăstării și Sporturilor și a Ministerului Agriculturii, Naturii și Calității Alimentelor) și ai Autorității pentru siguranța alimentară și pentru produsele destinate alimentației umane din Țările de Jos [NVWA].</w:t>
      </w:r>
    </w:p>
  </w:footnote>
  <w:footnote w:id="2">
    <w:p w:rsidR="002E5EAB" w:rsidRPr="004B6695" w:rsidRDefault="002E5EAB">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Evaluarea riscului consumului de sinefrină, RIVM, 14 martie 2018, https://www.rivm.nl/Documenten_en_publicaties/Wetenschappelijk/Rapporten/2018/maart/Risk_assessment_of_synephrine.</w:t>
      </w:r>
    </w:p>
  </w:footnote>
  <w:footnote w:id="3">
    <w:p w:rsidR="002E5EAB" w:rsidRPr="004B6695" w:rsidRDefault="002E5EAB">
      <w:pPr>
        <w:pStyle w:val="FootnoteText"/>
        <w:rPr>
          <w:rFonts w:ascii="Verdana" w:hAnsi="Verdana"/>
          <w:sz w:val="16"/>
          <w:szCs w:val="16"/>
        </w:rPr>
      </w:pPr>
      <w:r>
        <w:rPr>
          <w:rStyle w:val="FootnoteReference"/>
          <w:rFonts w:ascii="Verdana" w:hAnsi="Verdana"/>
          <w:sz w:val="16"/>
        </w:rPr>
        <w:footnoteRef/>
      </w:r>
      <w:r w:rsidR="00FE2D40">
        <w:rPr>
          <w:rFonts w:ascii="Verdana" w:hAnsi="Verdana"/>
          <w:sz w:val="16"/>
        </w:rPr>
        <w:t xml:space="preserve"> </w:t>
      </w:r>
      <w:r>
        <w:rPr>
          <w:rFonts w:ascii="Verdana" w:hAnsi="Verdana"/>
          <w:sz w:val="16"/>
        </w:rPr>
        <w:t>Recomandarea BuRO privind aportul maxim de sinefrină din preparate din plante, 26 martie 2018.</w:t>
      </w:r>
    </w:p>
  </w:footnote>
  <w:footnote w:id="4">
    <w:p w:rsidR="002E5EAB" w:rsidRPr="004B6695" w:rsidRDefault="002E5EAB" w:rsidP="009345F8">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Directiva (UE) 2015/1535 a Parlamentului European și a Consiliului din 9 septembrie 2015 referitoare la procedura de furnizare de informații în domeniul reglementărilor tehnice și al normelor privind serviciile societății informaționale (Text codificat) (JO L 241, 2015).</w:t>
      </w:r>
    </w:p>
  </w:footnote>
  <w:footnote w:id="5">
    <w:p w:rsidR="00430B87" w:rsidRPr="004B6695" w:rsidRDefault="00430B87" w:rsidP="00430B87">
      <w:pPr>
        <w:pStyle w:val="FootnoteText"/>
        <w:rPr>
          <w:rFonts w:ascii="Verdana" w:hAnsi="Verdana"/>
          <w:sz w:val="16"/>
          <w:szCs w:val="16"/>
        </w:rPr>
      </w:pPr>
      <w:r>
        <w:rPr>
          <w:rStyle w:val="FootnoteReference"/>
          <w:rFonts w:ascii="Verdana" w:hAnsi="Verdana"/>
          <w:sz w:val="16"/>
        </w:rPr>
        <w:footnoteRef/>
      </w:r>
      <w:r w:rsidR="00FE2D40">
        <w:rPr>
          <w:rFonts w:ascii="Verdana" w:hAnsi="Verdana"/>
          <w:sz w:val="16"/>
        </w:rPr>
        <w:t xml:space="preserve"> </w:t>
      </w:r>
      <w:r>
        <w:rPr>
          <w:rFonts w:ascii="Verdana" w:hAnsi="Verdana"/>
          <w:sz w:val="16"/>
        </w:rPr>
        <w:t>Regulamentul (CE) nr. 1881/2006 al Comisiei din 19 decembrie 2006 de stabilire a nivelurilor maxime pentru anumiți contaminanți din produsele alimentare (JO L 364, 2006).</w:t>
      </w:r>
    </w:p>
  </w:footnote>
  <w:footnote w:id="6">
    <w:p w:rsidR="002E5EAB" w:rsidRPr="004B6695" w:rsidRDefault="002E5EAB" w:rsidP="00FC0162">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RIVM (2008); Evaluarea tipurilor de aconită chinezească[Beoordeling Chinese monnikskapsoorten]. RIVM, Centrul pentru substanțe și evaluarea integrală a riscurilor [SIR], Bilthoven, 5 decembrie 2008.</w:t>
      </w:r>
    </w:p>
    <w:p w:rsidR="002E5EAB" w:rsidRPr="004B6695" w:rsidRDefault="002E5EAB" w:rsidP="00FC0162">
      <w:pPr>
        <w:pStyle w:val="FootnoteText"/>
        <w:rPr>
          <w:rFonts w:ascii="Verdana" w:hAnsi="Verdana"/>
          <w:sz w:val="16"/>
          <w:szCs w:val="16"/>
        </w:rPr>
      </w:pPr>
      <w:r>
        <w:rPr>
          <w:rFonts w:ascii="Verdana" w:hAnsi="Verdana"/>
          <w:sz w:val="16"/>
        </w:rPr>
        <w:t>RIVM (2011); Evaluarea riscurilor pentru sănătate ale mai multor substanțe specifice din preparatele din plante [Beoordeling van de gezondheidsrisico’s van een aantal specifieke stoffen in kruidenpreparaten]. RIVM, Centrul pentru substanțe și evaluarea integrală a riscurilor [SIR], Bilthoven, 30 martie 2011.</w:t>
      </w:r>
    </w:p>
    <w:p w:rsidR="002E5EAB" w:rsidRPr="004B6695" w:rsidRDefault="002E5EAB" w:rsidP="00FC0162">
      <w:pPr>
        <w:pStyle w:val="FootnoteText"/>
        <w:rPr>
          <w:rFonts w:ascii="Verdana" w:hAnsi="Verdana"/>
          <w:sz w:val="16"/>
          <w:szCs w:val="16"/>
        </w:rPr>
      </w:pPr>
      <w:r>
        <w:rPr>
          <w:rFonts w:ascii="Verdana" w:hAnsi="Verdana"/>
          <w:sz w:val="16"/>
        </w:rPr>
        <w:t>RIVM (2009); Evaluarea riscurilor asupra sănătății ale „plantelor interzise” [Beoordeling van de gezondheidsrisico’s van „verboden kruiden”];raportul numărul 320011002. RIVM, Centrul pentru substanțe și evaluarea integrală a riscurilor [SIR], Bilthoven, 15 iunie 2009.</w:t>
      </w:r>
    </w:p>
    <w:p w:rsidR="002E5EAB" w:rsidRPr="004B6695" w:rsidRDefault="002E5EAB" w:rsidP="00FC0162">
      <w:pPr>
        <w:pStyle w:val="FootnoteText"/>
        <w:rPr>
          <w:rFonts w:ascii="Verdana" w:hAnsi="Verdana"/>
          <w:sz w:val="16"/>
          <w:szCs w:val="16"/>
        </w:rPr>
      </w:pPr>
      <w:r>
        <w:rPr>
          <w:rFonts w:ascii="Verdana" w:hAnsi="Verdana"/>
          <w:sz w:val="16"/>
        </w:rPr>
        <w:t>RIVM (2009); Evaluarea riscului pentru Pilocarpus jaborandi [Risicobeoordeling Pilocarpus jaborandi]. RIVM, Centrul pentru substanțe și evaluarea integrală a riscurilor [SIR], Bilthoven, 14 decembrie 2009.</w:t>
      </w:r>
    </w:p>
    <w:p w:rsidR="002E5EAB" w:rsidRPr="004B6695" w:rsidRDefault="002E5EAB" w:rsidP="008E734A">
      <w:pPr>
        <w:pStyle w:val="FootnoteText"/>
        <w:rPr>
          <w:rFonts w:ascii="Verdana" w:hAnsi="Verdana"/>
          <w:sz w:val="16"/>
          <w:szCs w:val="16"/>
        </w:rPr>
      </w:pPr>
      <w:r>
        <w:rPr>
          <w:rFonts w:ascii="Verdana" w:hAnsi="Verdana"/>
          <w:sz w:val="16"/>
        </w:rPr>
        <w:t>RIVM (2010); Evaluarea unei cereri de derogare în temeiul Decretului-lege privind mărfurile referitor la preparatele din plante pentru uleiul de ricin [Beoordeling ontheffingsaanvraag Warenwetbesluit Kruidenpreparaten voor ricinusolie]. RIVM, Centrul pentru substanțe și evaluarea integrală a riscurilor [SIR], Bilthoven, 20 decembrie 2010.</w:t>
      </w:r>
    </w:p>
  </w:footnote>
  <w:footnote w:id="7">
    <w:p w:rsidR="002E5EAB" w:rsidRPr="004B6695" w:rsidRDefault="002E5EAB" w:rsidP="008E734A">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Regulamentul (CE) nr. 1334/2008 al Parlamentului European și al Consiliului din 16 decembrie 2008 privind aromele și anumite ingrediente alimentare cu proprietăți aromatizante destinate utilizării în și pe produsele alimentare și de modificare a Regulamentului (CEE) nr. 1601/91 al Consiliului, a Regulamentelor (CE) nr. 2232/96 și (CE) nr. 110/2008 și a Directivei 2000/13/CE (JO L 354, 31.12.2008).</w:t>
      </w:r>
    </w:p>
  </w:footnote>
  <w:footnote w:id="8">
    <w:p w:rsidR="002E5EAB" w:rsidRPr="004B6695" w:rsidRDefault="002E5EAB" w:rsidP="008E734A">
      <w:pPr>
        <w:pStyle w:val="FootnoteText"/>
        <w:rPr>
          <w:rFonts w:ascii="Verdana" w:hAnsi="Verdana"/>
          <w:sz w:val="16"/>
          <w:szCs w:val="16"/>
        </w:rPr>
      </w:pPr>
      <w:r>
        <w:rPr>
          <w:rStyle w:val="FootnoteReference"/>
          <w:rFonts w:ascii="Verdana" w:hAnsi="Verdana"/>
          <w:sz w:val="16"/>
        </w:rPr>
        <w:footnoteRef/>
      </w:r>
      <w:r w:rsidR="00FE2D40">
        <w:rPr>
          <w:rFonts w:ascii="Verdana" w:hAnsi="Verdana"/>
          <w:sz w:val="16"/>
        </w:rPr>
        <w:t xml:space="preserve"> </w:t>
      </w:r>
      <w:r>
        <w:rPr>
          <w:rFonts w:ascii="Verdana" w:hAnsi="Verdana"/>
          <w:sz w:val="16"/>
        </w:rPr>
        <w:t>RIVM (2010); Evaluarea unei cereri de derogare în temeiul Decretului-lege privind mărfurile referitor la preparatele din plante pentru uleiul de ricin [Beoordeling ontheffingsaanvraag Warenwetbesluit Kruidenpreparaten voor ricinusolie]. RIVM, Centrul pentru substanțe și evaluarea integrală a riscurilor [SIR], Bilthoven, 20 decembrie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AB" w:rsidRDefault="002E5EAB">
    <w:pPr>
      <w:pStyle w:val="Header"/>
      <w:spacing w:before="15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AB" w:rsidRDefault="002E5EAB">
    <w:pPr>
      <w:pStyle w:val="Header"/>
      <w:spacing w:before="1762" w:line="26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8B080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BBC7D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92CD7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D42AF3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B4278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0A25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56266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E243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30C61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14032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64F44"/>
    <w:multiLevelType w:val="hybridMultilevel"/>
    <w:tmpl w:val="A8C2BD74"/>
    <w:lvl w:ilvl="0" w:tplc="C8FE2FB6">
      <w:start w:val="1"/>
      <w:numFmt w:val="decimal"/>
      <w:lvlText w:val="%1."/>
      <w:lvlJc w:val="left"/>
      <w:pPr>
        <w:ind w:left="2628" w:hanging="360"/>
      </w:pPr>
      <w:rPr>
        <w:rFonts w:hint="default"/>
      </w:rPr>
    </w:lvl>
    <w:lvl w:ilvl="1" w:tplc="04130019">
      <w:start w:val="1"/>
      <w:numFmt w:val="lowerLetter"/>
      <w:lvlText w:val="%2."/>
      <w:lvlJc w:val="left"/>
      <w:pPr>
        <w:ind w:left="3621"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1" w15:restartNumberingAfterBreak="0">
    <w:nsid w:val="09C574D1"/>
    <w:multiLevelType w:val="hybridMultilevel"/>
    <w:tmpl w:val="2F88DA6A"/>
    <w:lvl w:ilvl="0" w:tplc="C8FE2FB6">
      <w:start w:val="1"/>
      <w:numFmt w:val="decimal"/>
      <w:lvlText w:val="%1."/>
      <w:lvlJc w:val="left"/>
      <w:pPr>
        <w:ind w:left="2628" w:hanging="36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2" w15:restartNumberingAfterBreak="0">
    <w:nsid w:val="1A1A0FCE"/>
    <w:multiLevelType w:val="hybridMultilevel"/>
    <w:tmpl w:val="0F825656"/>
    <w:lvl w:ilvl="0" w:tplc="0413000F">
      <w:start w:val="1"/>
      <w:numFmt w:val="decimal"/>
      <w:lvlText w:val="%1."/>
      <w:lvlJc w:val="left"/>
      <w:pPr>
        <w:ind w:left="2988" w:hanging="360"/>
      </w:pPr>
      <w:rPr>
        <w:rFonts w:hint="default"/>
      </w:rPr>
    </w:lvl>
    <w:lvl w:ilvl="1" w:tplc="869A5DFA">
      <w:start w:val="1"/>
      <w:numFmt w:val="lowerLetter"/>
      <w:lvlText w:val="(%2)"/>
      <w:lvlJc w:val="left"/>
      <w:pPr>
        <w:ind w:left="3708" w:hanging="360"/>
      </w:pPr>
      <w:rPr>
        <w:rFonts w:ascii="Verdana" w:eastAsiaTheme="minorHAnsi" w:hAnsi="Verdana" w:cstheme="minorBidi" w:hint="default"/>
      </w:rPr>
    </w:lvl>
    <w:lvl w:ilvl="2" w:tplc="0413001B" w:tentative="1">
      <w:start w:val="1"/>
      <w:numFmt w:val="lowerRoman"/>
      <w:lvlText w:val="%3."/>
      <w:lvlJc w:val="right"/>
      <w:pPr>
        <w:ind w:left="4428" w:hanging="180"/>
      </w:pPr>
    </w:lvl>
    <w:lvl w:ilvl="3" w:tplc="0413000F" w:tentative="1">
      <w:start w:val="1"/>
      <w:numFmt w:val="decimal"/>
      <w:lvlText w:val="%4."/>
      <w:lvlJc w:val="left"/>
      <w:pPr>
        <w:ind w:left="5148" w:hanging="360"/>
      </w:pPr>
    </w:lvl>
    <w:lvl w:ilvl="4" w:tplc="04130019" w:tentative="1">
      <w:start w:val="1"/>
      <w:numFmt w:val="lowerLetter"/>
      <w:lvlText w:val="%5."/>
      <w:lvlJc w:val="left"/>
      <w:pPr>
        <w:ind w:left="5868" w:hanging="360"/>
      </w:pPr>
    </w:lvl>
    <w:lvl w:ilvl="5" w:tplc="0413001B" w:tentative="1">
      <w:start w:val="1"/>
      <w:numFmt w:val="lowerRoman"/>
      <w:lvlText w:val="%6."/>
      <w:lvlJc w:val="right"/>
      <w:pPr>
        <w:ind w:left="6588" w:hanging="180"/>
      </w:pPr>
    </w:lvl>
    <w:lvl w:ilvl="6" w:tplc="0413000F" w:tentative="1">
      <w:start w:val="1"/>
      <w:numFmt w:val="decimal"/>
      <w:lvlText w:val="%7."/>
      <w:lvlJc w:val="left"/>
      <w:pPr>
        <w:ind w:left="7308" w:hanging="360"/>
      </w:pPr>
    </w:lvl>
    <w:lvl w:ilvl="7" w:tplc="04130019" w:tentative="1">
      <w:start w:val="1"/>
      <w:numFmt w:val="lowerLetter"/>
      <w:lvlText w:val="%8."/>
      <w:lvlJc w:val="left"/>
      <w:pPr>
        <w:ind w:left="8028" w:hanging="360"/>
      </w:pPr>
    </w:lvl>
    <w:lvl w:ilvl="8" w:tplc="0413001B" w:tentative="1">
      <w:start w:val="1"/>
      <w:numFmt w:val="lowerRoman"/>
      <w:lvlText w:val="%9."/>
      <w:lvlJc w:val="right"/>
      <w:pPr>
        <w:ind w:left="8748" w:hanging="180"/>
      </w:pPr>
    </w:lvl>
  </w:abstractNum>
  <w:abstractNum w:abstractNumId="13" w15:restartNumberingAfterBreak="0">
    <w:nsid w:val="26AA06D4"/>
    <w:multiLevelType w:val="hybridMultilevel"/>
    <w:tmpl w:val="FF7CE7A2"/>
    <w:lvl w:ilvl="0" w:tplc="04130019">
      <w:start w:val="1"/>
      <w:numFmt w:val="decimal"/>
      <w:lvlText w:val="%1."/>
      <w:lvlJc w:val="left"/>
      <w:pPr>
        <w:ind w:left="2628" w:hanging="360"/>
      </w:p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4" w15:restartNumberingAfterBreak="0">
    <w:nsid w:val="3D5A72BB"/>
    <w:multiLevelType w:val="hybridMultilevel"/>
    <w:tmpl w:val="9BC67F08"/>
    <w:lvl w:ilvl="0" w:tplc="0413000F">
      <w:start w:val="1"/>
      <w:numFmt w:val="decimal"/>
      <w:lvlText w:val="%1."/>
      <w:lvlJc w:val="left"/>
      <w:pPr>
        <w:ind w:left="3556" w:hanging="360"/>
      </w:pPr>
    </w:lvl>
    <w:lvl w:ilvl="1" w:tplc="04130019" w:tentative="1">
      <w:start w:val="1"/>
      <w:numFmt w:val="lowerLetter"/>
      <w:lvlText w:val="%2."/>
      <w:lvlJc w:val="left"/>
      <w:pPr>
        <w:ind w:left="4276" w:hanging="360"/>
      </w:pPr>
    </w:lvl>
    <w:lvl w:ilvl="2" w:tplc="0413001B" w:tentative="1">
      <w:start w:val="1"/>
      <w:numFmt w:val="lowerRoman"/>
      <w:lvlText w:val="%3."/>
      <w:lvlJc w:val="right"/>
      <w:pPr>
        <w:ind w:left="4996" w:hanging="180"/>
      </w:pPr>
    </w:lvl>
    <w:lvl w:ilvl="3" w:tplc="0413000F" w:tentative="1">
      <w:start w:val="1"/>
      <w:numFmt w:val="decimal"/>
      <w:lvlText w:val="%4."/>
      <w:lvlJc w:val="left"/>
      <w:pPr>
        <w:ind w:left="5716" w:hanging="360"/>
      </w:pPr>
    </w:lvl>
    <w:lvl w:ilvl="4" w:tplc="04130019" w:tentative="1">
      <w:start w:val="1"/>
      <w:numFmt w:val="lowerLetter"/>
      <w:lvlText w:val="%5."/>
      <w:lvlJc w:val="left"/>
      <w:pPr>
        <w:ind w:left="6436" w:hanging="360"/>
      </w:pPr>
    </w:lvl>
    <w:lvl w:ilvl="5" w:tplc="0413001B" w:tentative="1">
      <w:start w:val="1"/>
      <w:numFmt w:val="lowerRoman"/>
      <w:lvlText w:val="%6."/>
      <w:lvlJc w:val="right"/>
      <w:pPr>
        <w:ind w:left="7156" w:hanging="180"/>
      </w:pPr>
    </w:lvl>
    <w:lvl w:ilvl="6" w:tplc="0413000F" w:tentative="1">
      <w:start w:val="1"/>
      <w:numFmt w:val="decimal"/>
      <w:lvlText w:val="%7."/>
      <w:lvlJc w:val="left"/>
      <w:pPr>
        <w:ind w:left="7876" w:hanging="360"/>
      </w:pPr>
    </w:lvl>
    <w:lvl w:ilvl="7" w:tplc="04130019" w:tentative="1">
      <w:start w:val="1"/>
      <w:numFmt w:val="lowerLetter"/>
      <w:lvlText w:val="%8."/>
      <w:lvlJc w:val="left"/>
      <w:pPr>
        <w:ind w:left="8596" w:hanging="360"/>
      </w:pPr>
    </w:lvl>
    <w:lvl w:ilvl="8" w:tplc="0413001B" w:tentative="1">
      <w:start w:val="1"/>
      <w:numFmt w:val="lowerRoman"/>
      <w:lvlText w:val="%9."/>
      <w:lvlJc w:val="right"/>
      <w:pPr>
        <w:ind w:left="9316" w:hanging="180"/>
      </w:pPr>
    </w:lvl>
  </w:abstractNum>
  <w:abstractNum w:abstractNumId="15" w15:restartNumberingAfterBreak="0">
    <w:nsid w:val="46F72CB3"/>
    <w:multiLevelType w:val="hybridMultilevel"/>
    <w:tmpl w:val="26FCFD12"/>
    <w:lvl w:ilvl="0" w:tplc="2BEA3D76">
      <w:numFmt w:val="bullet"/>
      <w:lvlText w:val="-"/>
      <w:lvlJc w:val="left"/>
      <w:pPr>
        <w:ind w:left="2628" w:hanging="360"/>
      </w:pPr>
      <w:rPr>
        <w:rFonts w:ascii="Verdana" w:eastAsia="Times New Roman" w:hAnsi="Verdana" w:cs="Times New Roman" w:hint="default"/>
      </w:rPr>
    </w:lvl>
    <w:lvl w:ilvl="1" w:tplc="04130003" w:tentative="1">
      <w:start w:val="1"/>
      <w:numFmt w:val="bullet"/>
      <w:lvlText w:val="o"/>
      <w:lvlJc w:val="left"/>
      <w:pPr>
        <w:ind w:left="3348" w:hanging="360"/>
      </w:pPr>
      <w:rPr>
        <w:rFonts w:ascii="Courier New" w:hAnsi="Courier New" w:cs="Courier New" w:hint="default"/>
      </w:rPr>
    </w:lvl>
    <w:lvl w:ilvl="2" w:tplc="04130005" w:tentative="1">
      <w:start w:val="1"/>
      <w:numFmt w:val="bullet"/>
      <w:lvlText w:val=""/>
      <w:lvlJc w:val="left"/>
      <w:pPr>
        <w:ind w:left="4068" w:hanging="360"/>
      </w:pPr>
      <w:rPr>
        <w:rFonts w:ascii="Wingdings" w:hAnsi="Wingdings" w:hint="default"/>
      </w:rPr>
    </w:lvl>
    <w:lvl w:ilvl="3" w:tplc="04130001" w:tentative="1">
      <w:start w:val="1"/>
      <w:numFmt w:val="bullet"/>
      <w:lvlText w:val=""/>
      <w:lvlJc w:val="left"/>
      <w:pPr>
        <w:ind w:left="4788" w:hanging="360"/>
      </w:pPr>
      <w:rPr>
        <w:rFonts w:ascii="Symbol" w:hAnsi="Symbol" w:hint="default"/>
      </w:rPr>
    </w:lvl>
    <w:lvl w:ilvl="4" w:tplc="04130003" w:tentative="1">
      <w:start w:val="1"/>
      <w:numFmt w:val="bullet"/>
      <w:lvlText w:val="o"/>
      <w:lvlJc w:val="left"/>
      <w:pPr>
        <w:ind w:left="5508" w:hanging="360"/>
      </w:pPr>
      <w:rPr>
        <w:rFonts w:ascii="Courier New" w:hAnsi="Courier New" w:cs="Courier New" w:hint="default"/>
      </w:rPr>
    </w:lvl>
    <w:lvl w:ilvl="5" w:tplc="04130005" w:tentative="1">
      <w:start w:val="1"/>
      <w:numFmt w:val="bullet"/>
      <w:lvlText w:val=""/>
      <w:lvlJc w:val="left"/>
      <w:pPr>
        <w:ind w:left="6228" w:hanging="360"/>
      </w:pPr>
      <w:rPr>
        <w:rFonts w:ascii="Wingdings" w:hAnsi="Wingdings" w:hint="default"/>
      </w:rPr>
    </w:lvl>
    <w:lvl w:ilvl="6" w:tplc="04130001" w:tentative="1">
      <w:start w:val="1"/>
      <w:numFmt w:val="bullet"/>
      <w:lvlText w:val=""/>
      <w:lvlJc w:val="left"/>
      <w:pPr>
        <w:ind w:left="6948" w:hanging="360"/>
      </w:pPr>
      <w:rPr>
        <w:rFonts w:ascii="Symbol" w:hAnsi="Symbol" w:hint="default"/>
      </w:rPr>
    </w:lvl>
    <w:lvl w:ilvl="7" w:tplc="04130003" w:tentative="1">
      <w:start w:val="1"/>
      <w:numFmt w:val="bullet"/>
      <w:lvlText w:val="o"/>
      <w:lvlJc w:val="left"/>
      <w:pPr>
        <w:ind w:left="7668" w:hanging="360"/>
      </w:pPr>
      <w:rPr>
        <w:rFonts w:ascii="Courier New" w:hAnsi="Courier New" w:cs="Courier New" w:hint="default"/>
      </w:rPr>
    </w:lvl>
    <w:lvl w:ilvl="8" w:tplc="04130005" w:tentative="1">
      <w:start w:val="1"/>
      <w:numFmt w:val="bullet"/>
      <w:lvlText w:val=""/>
      <w:lvlJc w:val="left"/>
      <w:pPr>
        <w:ind w:left="8388" w:hanging="360"/>
      </w:pPr>
      <w:rPr>
        <w:rFonts w:ascii="Wingdings" w:hAnsi="Wingdings" w:hint="default"/>
      </w:rPr>
    </w:lvl>
  </w:abstractNum>
  <w:abstractNum w:abstractNumId="16" w15:restartNumberingAfterBreak="0">
    <w:nsid w:val="4B0679D7"/>
    <w:multiLevelType w:val="hybridMultilevel"/>
    <w:tmpl w:val="147C4076"/>
    <w:lvl w:ilvl="0" w:tplc="C8FE2FB6">
      <w:start w:val="1"/>
      <w:numFmt w:val="decimal"/>
      <w:lvlText w:val="%1."/>
      <w:lvlJc w:val="left"/>
      <w:pPr>
        <w:ind w:left="2628" w:hanging="360"/>
      </w:pPr>
      <w:rPr>
        <w:rFonts w:hint="default"/>
      </w:rPr>
    </w:lvl>
    <w:lvl w:ilvl="1" w:tplc="04130019">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7" w15:restartNumberingAfterBreak="0">
    <w:nsid w:val="4C8852E2"/>
    <w:multiLevelType w:val="hybridMultilevel"/>
    <w:tmpl w:val="D4F8BAFA"/>
    <w:lvl w:ilvl="0" w:tplc="04130019">
      <w:start w:val="1"/>
      <w:numFmt w:val="decimal"/>
      <w:lvlText w:val="%1."/>
      <w:lvlJc w:val="left"/>
      <w:pPr>
        <w:ind w:left="3556" w:hanging="360"/>
      </w:pPr>
    </w:lvl>
    <w:lvl w:ilvl="1" w:tplc="04130019" w:tentative="1">
      <w:start w:val="1"/>
      <w:numFmt w:val="lowerLetter"/>
      <w:lvlText w:val="%2."/>
      <w:lvlJc w:val="left"/>
      <w:pPr>
        <w:ind w:left="4276" w:hanging="360"/>
      </w:pPr>
    </w:lvl>
    <w:lvl w:ilvl="2" w:tplc="0413001B" w:tentative="1">
      <w:start w:val="1"/>
      <w:numFmt w:val="lowerRoman"/>
      <w:lvlText w:val="%3."/>
      <w:lvlJc w:val="right"/>
      <w:pPr>
        <w:ind w:left="4996" w:hanging="180"/>
      </w:pPr>
    </w:lvl>
    <w:lvl w:ilvl="3" w:tplc="0413000F" w:tentative="1">
      <w:start w:val="1"/>
      <w:numFmt w:val="decimal"/>
      <w:lvlText w:val="%4."/>
      <w:lvlJc w:val="left"/>
      <w:pPr>
        <w:ind w:left="5716" w:hanging="360"/>
      </w:pPr>
    </w:lvl>
    <w:lvl w:ilvl="4" w:tplc="04130019" w:tentative="1">
      <w:start w:val="1"/>
      <w:numFmt w:val="lowerLetter"/>
      <w:lvlText w:val="%5."/>
      <w:lvlJc w:val="left"/>
      <w:pPr>
        <w:ind w:left="6436" w:hanging="360"/>
      </w:pPr>
    </w:lvl>
    <w:lvl w:ilvl="5" w:tplc="0413001B" w:tentative="1">
      <w:start w:val="1"/>
      <w:numFmt w:val="lowerRoman"/>
      <w:lvlText w:val="%6."/>
      <w:lvlJc w:val="right"/>
      <w:pPr>
        <w:ind w:left="7156" w:hanging="180"/>
      </w:pPr>
    </w:lvl>
    <w:lvl w:ilvl="6" w:tplc="0413000F" w:tentative="1">
      <w:start w:val="1"/>
      <w:numFmt w:val="decimal"/>
      <w:lvlText w:val="%7."/>
      <w:lvlJc w:val="left"/>
      <w:pPr>
        <w:ind w:left="7876" w:hanging="360"/>
      </w:pPr>
    </w:lvl>
    <w:lvl w:ilvl="7" w:tplc="04130019" w:tentative="1">
      <w:start w:val="1"/>
      <w:numFmt w:val="lowerLetter"/>
      <w:lvlText w:val="%8."/>
      <w:lvlJc w:val="left"/>
      <w:pPr>
        <w:ind w:left="8596" w:hanging="360"/>
      </w:pPr>
    </w:lvl>
    <w:lvl w:ilvl="8" w:tplc="0413001B" w:tentative="1">
      <w:start w:val="1"/>
      <w:numFmt w:val="lowerRoman"/>
      <w:lvlText w:val="%9."/>
      <w:lvlJc w:val="right"/>
      <w:pPr>
        <w:ind w:left="9316" w:hanging="180"/>
      </w:pPr>
    </w:lvl>
  </w:abstractNum>
  <w:abstractNum w:abstractNumId="18" w15:restartNumberingAfterBreak="0">
    <w:nsid w:val="507B3795"/>
    <w:multiLevelType w:val="hybridMultilevel"/>
    <w:tmpl w:val="FF46A524"/>
    <w:lvl w:ilvl="0" w:tplc="A148D6C0">
      <w:start w:val="1"/>
      <w:numFmt w:val="decimal"/>
      <w:lvlText w:val="%1."/>
      <w:lvlJc w:val="left"/>
      <w:pPr>
        <w:ind w:left="2838" w:hanging="57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9" w15:restartNumberingAfterBreak="0">
    <w:nsid w:val="568E4EC0"/>
    <w:multiLevelType w:val="hybridMultilevel"/>
    <w:tmpl w:val="F878D528"/>
    <w:lvl w:ilvl="0" w:tplc="C02E45FA">
      <w:start w:val="1"/>
      <w:numFmt w:val="decimal"/>
      <w:lvlText w:val="%1."/>
      <w:lvlJc w:val="left"/>
      <w:pPr>
        <w:ind w:left="2628" w:hanging="36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20" w15:restartNumberingAfterBreak="0">
    <w:nsid w:val="7DAE4CB9"/>
    <w:multiLevelType w:val="hybridMultilevel"/>
    <w:tmpl w:val="F85A4AF2"/>
    <w:lvl w:ilvl="0" w:tplc="E8C447CE">
      <w:start w:val="1"/>
      <w:numFmt w:val="decimal"/>
      <w:lvlText w:val="%1."/>
      <w:lvlJc w:val="left"/>
      <w:pPr>
        <w:ind w:left="3198" w:hanging="360"/>
      </w:pPr>
      <w:rPr>
        <w:rFonts w:hint="default"/>
      </w:rPr>
    </w:lvl>
    <w:lvl w:ilvl="1" w:tplc="04130019" w:tentative="1">
      <w:start w:val="1"/>
      <w:numFmt w:val="lowerLetter"/>
      <w:lvlText w:val="%2."/>
      <w:lvlJc w:val="left"/>
      <w:pPr>
        <w:ind w:left="3918" w:hanging="360"/>
      </w:pPr>
    </w:lvl>
    <w:lvl w:ilvl="2" w:tplc="0413001B" w:tentative="1">
      <w:start w:val="1"/>
      <w:numFmt w:val="lowerRoman"/>
      <w:lvlText w:val="%3."/>
      <w:lvlJc w:val="right"/>
      <w:pPr>
        <w:ind w:left="4638" w:hanging="180"/>
      </w:pPr>
    </w:lvl>
    <w:lvl w:ilvl="3" w:tplc="0413000F" w:tentative="1">
      <w:start w:val="1"/>
      <w:numFmt w:val="decimal"/>
      <w:lvlText w:val="%4."/>
      <w:lvlJc w:val="left"/>
      <w:pPr>
        <w:ind w:left="5358" w:hanging="360"/>
      </w:pPr>
    </w:lvl>
    <w:lvl w:ilvl="4" w:tplc="04130019" w:tentative="1">
      <w:start w:val="1"/>
      <w:numFmt w:val="lowerLetter"/>
      <w:lvlText w:val="%5."/>
      <w:lvlJc w:val="left"/>
      <w:pPr>
        <w:ind w:left="6078" w:hanging="360"/>
      </w:pPr>
    </w:lvl>
    <w:lvl w:ilvl="5" w:tplc="0413001B" w:tentative="1">
      <w:start w:val="1"/>
      <w:numFmt w:val="lowerRoman"/>
      <w:lvlText w:val="%6."/>
      <w:lvlJc w:val="right"/>
      <w:pPr>
        <w:ind w:left="6798" w:hanging="180"/>
      </w:pPr>
    </w:lvl>
    <w:lvl w:ilvl="6" w:tplc="0413000F" w:tentative="1">
      <w:start w:val="1"/>
      <w:numFmt w:val="decimal"/>
      <w:lvlText w:val="%7."/>
      <w:lvlJc w:val="left"/>
      <w:pPr>
        <w:ind w:left="7518" w:hanging="360"/>
      </w:pPr>
    </w:lvl>
    <w:lvl w:ilvl="7" w:tplc="04130019" w:tentative="1">
      <w:start w:val="1"/>
      <w:numFmt w:val="lowerLetter"/>
      <w:lvlText w:val="%8."/>
      <w:lvlJc w:val="left"/>
      <w:pPr>
        <w:ind w:left="8238" w:hanging="360"/>
      </w:pPr>
    </w:lvl>
    <w:lvl w:ilvl="8" w:tplc="0413001B" w:tentative="1">
      <w:start w:val="1"/>
      <w:numFmt w:val="lowerRoman"/>
      <w:lvlText w:val="%9."/>
      <w:lvlJc w:val="right"/>
      <w:pPr>
        <w:ind w:left="8958"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2"/>
  </w:num>
  <w:num w:numId="23">
    <w:abstractNumId w:val="10"/>
  </w:num>
  <w:num w:numId="24">
    <w:abstractNumId w:val="11"/>
  </w:num>
  <w:num w:numId="25">
    <w:abstractNumId w:val="15"/>
  </w:num>
  <w:num w:numId="26">
    <w:abstractNumId w:val="13"/>
  </w:num>
  <w:num w:numId="27">
    <w:abstractNumId w:val="14"/>
  </w:num>
  <w:num w:numId="28">
    <w:abstractNumId w:val="17"/>
  </w:num>
  <w:num w:numId="29">
    <w:abstractNumId w:val="18"/>
  </w:num>
  <w:num w:numId="30">
    <w:abstractNumId w:val="2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activeWritingStyle w:appName="MSWord" w:lang="nl-NL" w:vendorID="9" w:dllVersion="512" w:checkStyle="1"/>
  <w:activeWritingStyle w:appName="MSWord" w:lang="nl-NL"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D62"/>
    <w:rsid w:val="000306A1"/>
    <w:rsid w:val="000414C9"/>
    <w:rsid w:val="000446F2"/>
    <w:rsid w:val="0004538B"/>
    <w:rsid w:val="000478B3"/>
    <w:rsid w:val="000552D8"/>
    <w:rsid w:val="00060A6E"/>
    <w:rsid w:val="00060CB2"/>
    <w:rsid w:val="00063390"/>
    <w:rsid w:val="000634DB"/>
    <w:rsid w:val="00093369"/>
    <w:rsid w:val="000A1E70"/>
    <w:rsid w:val="000B2822"/>
    <w:rsid w:val="000C18E4"/>
    <w:rsid w:val="000C37A0"/>
    <w:rsid w:val="000E0515"/>
    <w:rsid w:val="000E23EB"/>
    <w:rsid w:val="000E2EAB"/>
    <w:rsid w:val="001037E8"/>
    <w:rsid w:val="00117420"/>
    <w:rsid w:val="001231D7"/>
    <w:rsid w:val="00145ED0"/>
    <w:rsid w:val="00176336"/>
    <w:rsid w:val="00183469"/>
    <w:rsid w:val="001960C4"/>
    <w:rsid w:val="00196262"/>
    <w:rsid w:val="00196781"/>
    <w:rsid w:val="001C0010"/>
    <w:rsid w:val="001C64DD"/>
    <w:rsid w:val="001E0693"/>
    <w:rsid w:val="001E1936"/>
    <w:rsid w:val="001E6005"/>
    <w:rsid w:val="00223B57"/>
    <w:rsid w:val="00225092"/>
    <w:rsid w:val="002308EC"/>
    <w:rsid w:val="0024053D"/>
    <w:rsid w:val="002476F5"/>
    <w:rsid w:val="00250BDB"/>
    <w:rsid w:val="00256C2B"/>
    <w:rsid w:val="0025703A"/>
    <w:rsid w:val="002708AB"/>
    <w:rsid w:val="002714CE"/>
    <w:rsid w:val="0029085E"/>
    <w:rsid w:val="00292028"/>
    <w:rsid w:val="002921B4"/>
    <w:rsid w:val="00294AEA"/>
    <w:rsid w:val="002A288B"/>
    <w:rsid w:val="002B54FD"/>
    <w:rsid w:val="002C2B74"/>
    <w:rsid w:val="002C445B"/>
    <w:rsid w:val="002D5C67"/>
    <w:rsid w:val="002D79B3"/>
    <w:rsid w:val="002E5EAB"/>
    <w:rsid w:val="002F64D5"/>
    <w:rsid w:val="002F7B3A"/>
    <w:rsid w:val="00305B8E"/>
    <w:rsid w:val="0031322B"/>
    <w:rsid w:val="003143CD"/>
    <w:rsid w:val="00317515"/>
    <w:rsid w:val="0032057A"/>
    <w:rsid w:val="00322ABF"/>
    <w:rsid w:val="003345ED"/>
    <w:rsid w:val="00345C53"/>
    <w:rsid w:val="003545C4"/>
    <w:rsid w:val="00355E9B"/>
    <w:rsid w:val="00370E07"/>
    <w:rsid w:val="003825F1"/>
    <w:rsid w:val="00392359"/>
    <w:rsid w:val="0039728D"/>
    <w:rsid w:val="003B442C"/>
    <w:rsid w:val="003B5162"/>
    <w:rsid w:val="003C006F"/>
    <w:rsid w:val="003C3169"/>
    <w:rsid w:val="003C7364"/>
    <w:rsid w:val="003D0C77"/>
    <w:rsid w:val="0040189C"/>
    <w:rsid w:val="00401912"/>
    <w:rsid w:val="004165B5"/>
    <w:rsid w:val="00420744"/>
    <w:rsid w:val="00421AAD"/>
    <w:rsid w:val="0042448A"/>
    <w:rsid w:val="0043098B"/>
    <w:rsid w:val="00430B87"/>
    <w:rsid w:val="0044067E"/>
    <w:rsid w:val="00443563"/>
    <w:rsid w:val="0045127A"/>
    <w:rsid w:val="00482F98"/>
    <w:rsid w:val="00485F0F"/>
    <w:rsid w:val="00497A92"/>
    <w:rsid w:val="004B6695"/>
    <w:rsid w:val="004C2327"/>
    <w:rsid w:val="004C3496"/>
    <w:rsid w:val="004E3FE4"/>
    <w:rsid w:val="004E4918"/>
    <w:rsid w:val="00500044"/>
    <w:rsid w:val="005016F0"/>
    <w:rsid w:val="005059AF"/>
    <w:rsid w:val="00510BBD"/>
    <w:rsid w:val="0051720D"/>
    <w:rsid w:val="00524AB1"/>
    <w:rsid w:val="005333BE"/>
    <w:rsid w:val="005441BF"/>
    <w:rsid w:val="00550AD8"/>
    <w:rsid w:val="00551657"/>
    <w:rsid w:val="00557876"/>
    <w:rsid w:val="0055791C"/>
    <w:rsid w:val="005600DD"/>
    <w:rsid w:val="005621C2"/>
    <w:rsid w:val="00567EE1"/>
    <w:rsid w:val="00583D07"/>
    <w:rsid w:val="00586978"/>
    <w:rsid w:val="00587945"/>
    <w:rsid w:val="00591598"/>
    <w:rsid w:val="00592E9C"/>
    <w:rsid w:val="005A1A2C"/>
    <w:rsid w:val="005A65F6"/>
    <w:rsid w:val="005A7F79"/>
    <w:rsid w:val="005B43ED"/>
    <w:rsid w:val="005B4FAB"/>
    <w:rsid w:val="005C6A30"/>
    <w:rsid w:val="005C714F"/>
    <w:rsid w:val="005D7072"/>
    <w:rsid w:val="005E47AF"/>
    <w:rsid w:val="005E4D39"/>
    <w:rsid w:val="005E52AB"/>
    <w:rsid w:val="005E7B28"/>
    <w:rsid w:val="005F32CF"/>
    <w:rsid w:val="005F794F"/>
    <w:rsid w:val="0060213F"/>
    <w:rsid w:val="00610A2C"/>
    <w:rsid w:val="00615E9D"/>
    <w:rsid w:val="00624543"/>
    <w:rsid w:val="00643157"/>
    <w:rsid w:val="0064439B"/>
    <w:rsid w:val="00646A87"/>
    <w:rsid w:val="00652AEA"/>
    <w:rsid w:val="006636BC"/>
    <w:rsid w:val="00670294"/>
    <w:rsid w:val="0067749E"/>
    <w:rsid w:val="006A4A7D"/>
    <w:rsid w:val="006B479D"/>
    <w:rsid w:val="006E531C"/>
    <w:rsid w:val="006F5217"/>
    <w:rsid w:val="00712DF2"/>
    <w:rsid w:val="00715CA8"/>
    <w:rsid w:val="00727080"/>
    <w:rsid w:val="00730004"/>
    <w:rsid w:val="00731C2B"/>
    <w:rsid w:val="00732703"/>
    <w:rsid w:val="00732DEB"/>
    <w:rsid w:val="00735C87"/>
    <w:rsid w:val="00737E1C"/>
    <w:rsid w:val="00740EC3"/>
    <w:rsid w:val="00757FD1"/>
    <w:rsid w:val="00761835"/>
    <w:rsid w:val="007640A4"/>
    <w:rsid w:val="00773541"/>
    <w:rsid w:val="007747CE"/>
    <w:rsid w:val="00775921"/>
    <w:rsid w:val="00787FE4"/>
    <w:rsid w:val="007A400F"/>
    <w:rsid w:val="007A7A68"/>
    <w:rsid w:val="007C1DC6"/>
    <w:rsid w:val="007C6E9D"/>
    <w:rsid w:val="007C792C"/>
    <w:rsid w:val="007D0DFA"/>
    <w:rsid w:val="007D3727"/>
    <w:rsid w:val="007E2295"/>
    <w:rsid w:val="007E7D62"/>
    <w:rsid w:val="007F08F8"/>
    <w:rsid w:val="007F2C23"/>
    <w:rsid w:val="00811562"/>
    <w:rsid w:val="00816861"/>
    <w:rsid w:val="00817257"/>
    <w:rsid w:val="008179B7"/>
    <w:rsid w:val="008250DF"/>
    <w:rsid w:val="00835F89"/>
    <w:rsid w:val="00837AE7"/>
    <w:rsid w:val="00843D1D"/>
    <w:rsid w:val="008534C5"/>
    <w:rsid w:val="00861CD2"/>
    <w:rsid w:val="008952DA"/>
    <w:rsid w:val="008A041C"/>
    <w:rsid w:val="008A18AA"/>
    <w:rsid w:val="008B033B"/>
    <w:rsid w:val="008B2C8B"/>
    <w:rsid w:val="008C22D4"/>
    <w:rsid w:val="008D0CAF"/>
    <w:rsid w:val="008D38B6"/>
    <w:rsid w:val="008D69EA"/>
    <w:rsid w:val="008E734A"/>
    <w:rsid w:val="008F0589"/>
    <w:rsid w:val="009016D1"/>
    <w:rsid w:val="00932A51"/>
    <w:rsid w:val="009345F8"/>
    <w:rsid w:val="0093487E"/>
    <w:rsid w:val="0095665C"/>
    <w:rsid w:val="00967BB6"/>
    <w:rsid w:val="00967D68"/>
    <w:rsid w:val="009737E5"/>
    <w:rsid w:val="00973FE4"/>
    <w:rsid w:val="009806E1"/>
    <w:rsid w:val="0098275F"/>
    <w:rsid w:val="0098725C"/>
    <w:rsid w:val="009E455E"/>
    <w:rsid w:val="009F3CE5"/>
    <w:rsid w:val="00A04453"/>
    <w:rsid w:val="00A27E62"/>
    <w:rsid w:val="00A31DC6"/>
    <w:rsid w:val="00A33B8D"/>
    <w:rsid w:val="00A351C9"/>
    <w:rsid w:val="00A46CDA"/>
    <w:rsid w:val="00A47007"/>
    <w:rsid w:val="00A5016D"/>
    <w:rsid w:val="00A53898"/>
    <w:rsid w:val="00A67444"/>
    <w:rsid w:val="00A74EF0"/>
    <w:rsid w:val="00A76E98"/>
    <w:rsid w:val="00A82C01"/>
    <w:rsid w:val="00A82D46"/>
    <w:rsid w:val="00A82F87"/>
    <w:rsid w:val="00A86056"/>
    <w:rsid w:val="00A97A54"/>
    <w:rsid w:val="00AA7461"/>
    <w:rsid w:val="00AB3B66"/>
    <w:rsid w:val="00AB4972"/>
    <w:rsid w:val="00AB497F"/>
    <w:rsid w:val="00AD2912"/>
    <w:rsid w:val="00AD2E4A"/>
    <w:rsid w:val="00AE02B0"/>
    <w:rsid w:val="00AF5E53"/>
    <w:rsid w:val="00B01382"/>
    <w:rsid w:val="00B01BA3"/>
    <w:rsid w:val="00B02BEE"/>
    <w:rsid w:val="00B207F7"/>
    <w:rsid w:val="00B24606"/>
    <w:rsid w:val="00B32311"/>
    <w:rsid w:val="00B34ABB"/>
    <w:rsid w:val="00B41683"/>
    <w:rsid w:val="00B41BE2"/>
    <w:rsid w:val="00B428D8"/>
    <w:rsid w:val="00B44ECE"/>
    <w:rsid w:val="00B46E21"/>
    <w:rsid w:val="00B5019B"/>
    <w:rsid w:val="00B556CF"/>
    <w:rsid w:val="00B56093"/>
    <w:rsid w:val="00B561EB"/>
    <w:rsid w:val="00B64698"/>
    <w:rsid w:val="00B67E83"/>
    <w:rsid w:val="00B71129"/>
    <w:rsid w:val="00B72FAF"/>
    <w:rsid w:val="00B80666"/>
    <w:rsid w:val="00B874E0"/>
    <w:rsid w:val="00BB02A9"/>
    <w:rsid w:val="00BB07D4"/>
    <w:rsid w:val="00BB11AA"/>
    <w:rsid w:val="00BB551C"/>
    <w:rsid w:val="00BB70CC"/>
    <w:rsid w:val="00BB7CCF"/>
    <w:rsid w:val="00BC6861"/>
    <w:rsid w:val="00BD2594"/>
    <w:rsid w:val="00BF3143"/>
    <w:rsid w:val="00BF3F64"/>
    <w:rsid w:val="00C4141A"/>
    <w:rsid w:val="00C4350A"/>
    <w:rsid w:val="00C50FE3"/>
    <w:rsid w:val="00C53758"/>
    <w:rsid w:val="00C5642F"/>
    <w:rsid w:val="00C61D5C"/>
    <w:rsid w:val="00C778A3"/>
    <w:rsid w:val="00C82775"/>
    <w:rsid w:val="00C93CDF"/>
    <w:rsid w:val="00CA2E3C"/>
    <w:rsid w:val="00CB5A04"/>
    <w:rsid w:val="00CC5BEA"/>
    <w:rsid w:val="00CC7EB3"/>
    <w:rsid w:val="00CD5C43"/>
    <w:rsid w:val="00CE5084"/>
    <w:rsid w:val="00CE52C4"/>
    <w:rsid w:val="00D107D4"/>
    <w:rsid w:val="00D4549F"/>
    <w:rsid w:val="00D50F33"/>
    <w:rsid w:val="00D62430"/>
    <w:rsid w:val="00D65AD6"/>
    <w:rsid w:val="00D8580E"/>
    <w:rsid w:val="00D91AE4"/>
    <w:rsid w:val="00D9610F"/>
    <w:rsid w:val="00DA0E75"/>
    <w:rsid w:val="00DA4178"/>
    <w:rsid w:val="00DB2C45"/>
    <w:rsid w:val="00DC2C4E"/>
    <w:rsid w:val="00DD3086"/>
    <w:rsid w:val="00DE0535"/>
    <w:rsid w:val="00DE3374"/>
    <w:rsid w:val="00DE4D7B"/>
    <w:rsid w:val="00E14DAF"/>
    <w:rsid w:val="00E17C57"/>
    <w:rsid w:val="00E22A5E"/>
    <w:rsid w:val="00E24A62"/>
    <w:rsid w:val="00E26DBD"/>
    <w:rsid w:val="00E27C82"/>
    <w:rsid w:val="00E33217"/>
    <w:rsid w:val="00E35889"/>
    <w:rsid w:val="00E42020"/>
    <w:rsid w:val="00E44D04"/>
    <w:rsid w:val="00E8182F"/>
    <w:rsid w:val="00E836EA"/>
    <w:rsid w:val="00EA51D7"/>
    <w:rsid w:val="00EA722D"/>
    <w:rsid w:val="00EC553A"/>
    <w:rsid w:val="00ED086C"/>
    <w:rsid w:val="00ED310D"/>
    <w:rsid w:val="00EE2253"/>
    <w:rsid w:val="00EE6914"/>
    <w:rsid w:val="00F01BC0"/>
    <w:rsid w:val="00F07731"/>
    <w:rsid w:val="00F120A1"/>
    <w:rsid w:val="00F1392F"/>
    <w:rsid w:val="00F276AE"/>
    <w:rsid w:val="00F30DC4"/>
    <w:rsid w:val="00F332A7"/>
    <w:rsid w:val="00F517C1"/>
    <w:rsid w:val="00F51F89"/>
    <w:rsid w:val="00F6533C"/>
    <w:rsid w:val="00F804F7"/>
    <w:rsid w:val="00F80EF2"/>
    <w:rsid w:val="00F82ADF"/>
    <w:rsid w:val="00F9308D"/>
    <w:rsid w:val="00F9721E"/>
    <w:rsid w:val="00FA1BC4"/>
    <w:rsid w:val="00FA61EF"/>
    <w:rsid w:val="00FC0162"/>
    <w:rsid w:val="00FC20CC"/>
    <w:rsid w:val="00FC5154"/>
    <w:rsid w:val="00FC6EAD"/>
    <w:rsid w:val="00FE2D40"/>
    <w:rsid w:val="00FE3678"/>
    <w:rsid w:val="00FF6A8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353612-0E49-441B-BF0D-1DA13F48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53D"/>
    <w:pPr>
      <w:spacing w:line="260" w:lineRule="exact"/>
    </w:pPr>
    <w:rPr>
      <w:rFonts w:ascii="Univers" w:hAnsi="Univers"/>
    </w:rPr>
  </w:style>
  <w:style w:type="paragraph" w:styleId="Heading1">
    <w:name w:val="heading 1"/>
    <w:basedOn w:val="Normal"/>
    <w:next w:val="Normal"/>
    <w:qFormat/>
    <w:rsid w:val="0024053D"/>
    <w:pPr>
      <w:keepNext/>
      <w:spacing w:before="240" w:after="60" w:line="240" w:lineRule="auto"/>
      <w:outlineLvl w:val="0"/>
    </w:pPr>
    <w:rPr>
      <w:b/>
      <w:kern w:val="28"/>
      <w:sz w:val="28"/>
    </w:rPr>
  </w:style>
  <w:style w:type="paragraph" w:styleId="Heading2">
    <w:name w:val="heading 2"/>
    <w:basedOn w:val="Normal"/>
    <w:next w:val="Normal"/>
    <w:qFormat/>
    <w:rsid w:val="0024053D"/>
    <w:pPr>
      <w:keepNext/>
      <w:spacing w:before="240" w:after="60" w:line="240" w:lineRule="auto"/>
      <w:outlineLvl w:val="1"/>
    </w:pPr>
    <w:rPr>
      <w:rFonts w:ascii="Arial" w:hAnsi="Arial"/>
      <w:b/>
      <w:i/>
      <w:sz w:val="24"/>
    </w:rPr>
  </w:style>
  <w:style w:type="paragraph" w:styleId="Heading3">
    <w:name w:val="heading 3"/>
    <w:basedOn w:val="Normal"/>
    <w:next w:val="Normal"/>
    <w:qFormat/>
    <w:rsid w:val="0024053D"/>
    <w:pPr>
      <w:keepNext/>
      <w:spacing w:before="240" w:after="60" w:line="240" w:lineRule="auto"/>
      <w:outlineLvl w:val="2"/>
    </w:pPr>
    <w:rPr>
      <w:rFonts w:ascii="Arial" w:hAnsi="Arial"/>
      <w:sz w:val="24"/>
    </w:rPr>
  </w:style>
  <w:style w:type="paragraph" w:styleId="Heading4">
    <w:name w:val="heading 4"/>
    <w:basedOn w:val="Normal"/>
    <w:next w:val="Normal"/>
    <w:qFormat/>
    <w:rsid w:val="0024053D"/>
    <w:pPr>
      <w:keepNext/>
      <w:spacing w:before="240" w:after="60" w:line="240" w:lineRule="auto"/>
      <w:outlineLvl w:val="3"/>
    </w:pPr>
    <w:rPr>
      <w:rFonts w:ascii="Arial" w:hAnsi="Arial"/>
      <w:b/>
      <w:sz w:val="24"/>
    </w:rPr>
  </w:style>
  <w:style w:type="paragraph" w:styleId="Heading5">
    <w:name w:val="heading 5"/>
    <w:basedOn w:val="Normal"/>
    <w:next w:val="Normal"/>
    <w:qFormat/>
    <w:rsid w:val="0024053D"/>
    <w:pPr>
      <w:spacing w:before="240" w:after="60" w:line="240" w:lineRule="auto"/>
      <w:outlineLvl w:val="4"/>
    </w:pPr>
    <w:rPr>
      <w:sz w:val="22"/>
    </w:rPr>
  </w:style>
  <w:style w:type="paragraph" w:styleId="Heading6">
    <w:name w:val="heading 6"/>
    <w:basedOn w:val="Normal"/>
    <w:next w:val="Normal"/>
    <w:qFormat/>
    <w:rsid w:val="0024053D"/>
    <w:pPr>
      <w:spacing w:before="240" w:after="60" w:line="240" w:lineRule="auto"/>
      <w:outlineLvl w:val="5"/>
    </w:pPr>
    <w:rPr>
      <w:rFonts w:ascii="Times New Roman" w:hAnsi="Times New Roman"/>
      <w:i/>
      <w:sz w:val="22"/>
    </w:rPr>
  </w:style>
  <w:style w:type="paragraph" w:styleId="Heading7">
    <w:name w:val="heading 7"/>
    <w:basedOn w:val="Normal"/>
    <w:next w:val="Normal"/>
    <w:qFormat/>
    <w:rsid w:val="0024053D"/>
    <w:pPr>
      <w:spacing w:before="240" w:after="60" w:line="240" w:lineRule="auto"/>
      <w:outlineLvl w:val="6"/>
    </w:pPr>
    <w:rPr>
      <w:rFonts w:ascii="Arial" w:hAnsi="Arial"/>
    </w:rPr>
  </w:style>
  <w:style w:type="paragraph" w:styleId="Heading8">
    <w:name w:val="heading 8"/>
    <w:basedOn w:val="Normal"/>
    <w:next w:val="Normal"/>
    <w:qFormat/>
    <w:rsid w:val="0024053D"/>
    <w:pPr>
      <w:spacing w:before="240" w:after="60" w:line="240" w:lineRule="auto"/>
      <w:outlineLvl w:val="7"/>
    </w:pPr>
    <w:rPr>
      <w:rFonts w:ascii="Arial" w:hAnsi="Arial"/>
      <w:i/>
    </w:rPr>
  </w:style>
  <w:style w:type="paragraph" w:styleId="Heading9">
    <w:name w:val="heading 9"/>
    <w:basedOn w:val="Normal"/>
    <w:next w:val="Normal"/>
    <w:qFormat/>
    <w:rsid w:val="0024053D"/>
    <w:p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053D"/>
    <w:pPr>
      <w:tabs>
        <w:tab w:val="center" w:pos="4536"/>
        <w:tab w:val="right" w:pos="9072"/>
      </w:tabs>
      <w:spacing w:line="240" w:lineRule="auto"/>
    </w:pPr>
    <w:rPr>
      <w:spacing w:val="6"/>
      <w:sz w:val="16"/>
    </w:rPr>
  </w:style>
  <w:style w:type="paragraph" w:customStyle="1" w:styleId="Ondertekening">
    <w:name w:val="Ondertekening"/>
    <w:basedOn w:val="Normal"/>
    <w:next w:val="Normal"/>
    <w:rsid w:val="0024053D"/>
    <w:pPr>
      <w:spacing w:before="810" w:line="240" w:lineRule="auto"/>
    </w:pPr>
  </w:style>
  <w:style w:type="paragraph" w:styleId="Footer">
    <w:name w:val="footer"/>
    <w:basedOn w:val="Normal"/>
    <w:link w:val="FooterChar"/>
    <w:uiPriority w:val="99"/>
    <w:rsid w:val="0024053D"/>
    <w:pPr>
      <w:tabs>
        <w:tab w:val="center" w:pos="4536"/>
        <w:tab w:val="right" w:pos="9072"/>
      </w:tabs>
      <w:spacing w:line="240" w:lineRule="auto"/>
    </w:pPr>
  </w:style>
  <w:style w:type="character" w:styleId="PageNumber">
    <w:name w:val="page number"/>
    <w:basedOn w:val="DefaultParagraphFont"/>
    <w:rsid w:val="0024053D"/>
  </w:style>
  <w:style w:type="paragraph" w:styleId="Salutation">
    <w:name w:val="Salutation"/>
    <w:basedOn w:val="Normal"/>
    <w:next w:val="Normal"/>
    <w:rsid w:val="0024053D"/>
    <w:pPr>
      <w:spacing w:line="240" w:lineRule="auto"/>
    </w:pPr>
  </w:style>
  <w:style w:type="paragraph" w:styleId="EnvelopeAddress">
    <w:name w:val="envelope address"/>
    <w:basedOn w:val="Normal"/>
    <w:rsid w:val="0024053D"/>
    <w:pPr>
      <w:framePr w:w="7920" w:h="1980" w:hRule="exact" w:hSpace="141" w:wrap="auto" w:hAnchor="page" w:xAlign="center" w:yAlign="bottom"/>
      <w:spacing w:line="240" w:lineRule="auto"/>
      <w:ind w:left="2880"/>
    </w:pPr>
    <w:rPr>
      <w:rFonts w:ascii="Arial" w:hAnsi="Arial"/>
      <w:sz w:val="24"/>
    </w:rPr>
  </w:style>
  <w:style w:type="paragraph" w:styleId="Closing">
    <w:name w:val="Closing"/>
    <w:basedOn w:val="Normal"/>
    <w:rsid w:val="0024053D"/>
    <w:pPr>
      <w:spacing w:line="240" w:lineRule="auto"/>
      <w:ind w:left="4252"/>
    </w:pPr>
  </w:style>
  <w:style w:type="paragraph" w:styleId="EnvelopeReturn">
    <w:name w:val="envelope return"/>
    <w:basedOn w:val="Normal"/>
    <w:rsid w:val="0024053D"/>
    <w:pPr>
      <w:spacing w:line="240" w:lineRule="auto"/>
    </w:pPr>
    <w:rPr>
      <w:rFonts w:ascii="Arial" w:hAnsi="Arial"/>
    </w:rPr>
  </w:style>
  <w:style w:type="paragraph" w:styleId="MessageHeader">
    <w:name w:val="Message Header"/>
    <w:basedOn w:val="Normal"/>
    <w:rsid w:val="0024053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hAnsi="Arial"/>
      <w:sz w:val="24"/>
    </w:rPr>
  </w:style>
  <w:style w:type="paragraph" w:styleId="Caption">
    <w:name w:val="caption"/>
    <w:basedOn w:val="Normal"/>
    <w:next w:val="Normal"/>
    <w:qFormat/>
    <w:rsid w:val="0024053D"/>
    <w:pPr>
      <w:spacing w:before="120" w:after="120" w:line="240" w:lineRule="auto"/>
    </w:pPr>
    <w:rPr>
      <w:b/>
    </w:rPr>
  </w:style>
  <w:style w:type="paragraph" w:styleId="BlockText">
    <w:name w:val="Block Text"/>
    <w:basedOn w:val="Normal"/>
    <w:rsid w:val="0024053D"/>
    <w:pPr>
      <w:spacing w:after="120" w:line="240" w:lineRule="auto"/>
      <w:ind w:left="1440" w:right="1440"/>
    </w:pPr>
  </w:style>
  <w:style w:type="paragraph" w:styleId="TableofAuthorities">
    <w:name w:val="table of authorities"/>
    <w:basedOn w:val="Normal"/>
    <w:next w:val="Normal"/>
    <w:semiHidden/>
    <w:rsid w:val="0024053D"/>
    <w:pPr>
      <w:spacing w:line="240" w:lineRule="auto"/>
      <w:ind w:left="200" w:hanging="200"/>
    </w:pPr>
  </w:style>
  <w:style w:type="paragraph" w:styleId="Date">
    <w:name w:val="Date"/>
    <w:basedOn w:val="Normal"/>
    <w:next w:val="Normal"/>
    <w:rsid w:val="0024053D"/>
    <w:pPr>
      <w:spacing w:line="240" w:lineRule="auto"/>
    </w:pPr>
  </w:style>
  <w:style w:type="paragraph" w:styleId="DocumentMap">
    <w:name w:val="Document Map"/>
    <w:basedOn w:val="Normal"/>
    <w:semiHidden/>
    <w:rsid w:val="0024053D"/>
    <w:pPr>
      <w:shd w:val="clear" w:color="auto" w:fill="000080"/>
      <w:spacing w:line="240" w:lineRule="auto"/>
    </w:pPr>
    <w:rPr>
      <w:rFonts w:ascii="Tahoma" w:hAnsi="Tahoma"/>
    </w:rPr>
  </w:style>
  <w:style w:type="paragraph" w:styleId="EndnoteText">
    <w:name w:val="endnote text"/>
    <w:basedOn w:val="Normal"/>
    <w:semiHidden/>
    <w:rsid w:val="0024053D"/>
    <w:pPr>
      <w:spacing w:line="240" w:lineRule="auto"/>
    </w:pPr>
  </w:style>
  <w:style w:type="paragraph" w:styleId="Signature">
    <w:name w:val="Signature"/>
    <w:basedOn w:val="Normal"/>
    <w:rsid w:val="0024053D"/>
    <w:pPr>
      <w:spacing w:line="240" w:lineRule="auto"/>
      <w:ind w:left="4252"/>
    </w:pPr>
  </w:style>
  <w:style w:type="paragraph" w:styleId="Index1">
    <w:name w:val="index 1"/>
    <w:basedOn w:val="Normal"/>
    <w:next w:val="Normal"/>
    <w:semiHidden/>
    <w:rsid w:val="0024053D"/>
    <w:pPr>
      <w:spacing w:line="240" w:lineRule="auto"/>
      <w:ind w:left="200" w:hanging="200"/>
    </w:pPr>
  </w:style>
  <w:style w:type="paragraph" w:styleId="Index2">
    <w:name w:val="index 2"/>
    <w:basedOn w:val="Normal"/>
    <w:next w:val="Normal"/>
    <w:semiHidden/>
    <w:rsid w:val="0024053D"/>
    <w:pPr>
      <w:spacing w:line="240" w:lineRule="auto"/>
      <w:ind w:left="400" w:hanging="200"/>
    </w:pPr>
  </w:style>
  <w:style w:type="paragraph" w:styleId="Index3">
    <w:name w:val="index 3"/>
    <w:basedOn w:val="Normal"/>
    <w:next w:val="Normal"/>
    <w:semiHidden/>
    <w:rsid w:val="0024053D"/>
    <w:pPr>
      <w:spacing w:line="240" w:lineRule="auto"/>
      <w:ind w:left="600" w:hanging="200"/>
    </w:pPr>
  </w:style>
  <w:style w:type="paragraph" w:styleId="Index4">
    <w:name w:val="index 4"/>
    <w:basedOn w:val="Normal"/>
    <w:next w:val="Normal"/>
    <w:semiHidden/>
    <w:rsid w:val="0024053D"/>
    <w:pPr>
      <w:spacing w:line="240" w:lineRule="auto"/>
      <w:ind w:left="800" w:hanging="200"/>
    </w:pPr>
  </w:style>
  <w:style w:type="paragraph" w:styleId="Index5">
    <w:name w:val="index 5"/>
    <w:basedOn w:val="Normal"/>
    <w:next w:val="Normal"/>
    <w:semiHidden/>
    <w:rsid w:val="0024053D"/>
    <w:pPr>
      <w:spacing w:line="240" w:lineRule="auto"/>
      <w:ind w:left="1000" w:hanging="200"/>
    </w:pPr>
  </w:style>
  <w:style w:type="paragraph" w:styleId="Index6">
    <w:name w:val="index 6"/>
    <w:basedOn w:val="Normal"/>
    <w:next w:val="Normal"/>
    <w:semiHidden/>
    <w:rsid w:val="0024053D"/>
    <w:pPr>
      <w:spacing w:line="240" w:lineRule="auto"/>
      <w:ind w:left="1200" w:hanging="200"/>
    </w:pPr>
  </w:style>
  <w:style w:type="paragraph" w:styleId="Index7">
    <w:name w:val="index 7"/>
    <w:basedOn w:val="Normal"/>
    <w:next w:val="Normal"/>
    <w:semiHidden/>
    <w:rsid w:val="0024053D"/>
    <w:pPr>
      <w:spacing w:line="240" w:lineRule="auto"/>
      <w:ind w:left="1400" w:hanging="200"/>
    </w:pPr>
  </w:style>
  <w:style w:type="paragraph" w:styleId="Index8">
    <w:name w:val="index 8"/>
    <w:basedOn w:val="Normal"/>
    <w:next w:val="Normal"/>
    <w:semiHidden/>
    <w:rsid w:val="0024053D"/>
    <w:pPr>
      <w:spacing w:line="240" w:lineRule="auto"/>
      <w:ind w:left="1600" w:hanging="200"/>
    </w:pPr>
  </w:style>
  <w:style w:type="paragraph" w:styleId="Index9">
    <w:name w:val="index 9"/>
    <w:basedOn w:val="Normal"/>
    <w:next w:val="Normal"/>
    <w:semiHidden/>
    <w:rsid w:val="0024053D"/>
    <w:pPr>
      <w:spacing w:line="240" w:lineRule="auto"/>
      <w:ind w:left="1800" w:hanging="200"/>
    </w:pPr>
  </w:style>
  <w:style w:type="paragraph" w:styleId="IndexHeading">
    <w:name w:val="index heading"/>
    <w:basedOn w:val="Normal"/>
    <w:next w:val="Index1"/>
    <w:semiHidden/>
    <w:rsid w:val="0024053D"/>
    <w:pPr>
      <w:spacing w:line="240" w:lineRule="auto"/>
    </w:pPr>
    <w:rPr>
      <w:rFonts w:ascii="Arial" w:hAnsi="Arial"/>
      <w:b/>
    </w:rPr>
  </w:style>
  <w:style w:type="paragraph" w:styleId="TOC1">
    <w:name w:val="toc 1"/>
    <w:basedOn w:val="Normal"/>
    <w:next w:val="Normal"/>
    <w:semiHidden/>
    <w:rsid w:val="0024053D"/>
    <w:pPr>
      <w:spacing w:line="240" w:lineRule="auto"/>
    </w:pPr>
  </w:style>
  <w:style w:type="paragraph" w:styleId="TOC2">
    <w:name w:val="toc 2"/>
    <w:basedOn w:val="Normal"/>
    <w:next w:val="Normal"/>
    <w:semiHidden/>
    <w:rsid w:val="0024053D"/>
    <w:pPr>
      <w:spacing w:line="240" w:lineRule="auto"/>
      <w:ind w:left="200"/>
    </w:pPr>
  </w:style>
  <w:style w:type="paragraph" w:styleId="TOC3">
    <w:name w:val="toc 3"/>
    <w:basedOn w:val="Normal"/>
    <w:next w:val="Normal"/>
    <w:semiHidden/>
    <w:rsid w:val="0024053D"/>
    <w:pPr>
      <w:spacing w:line="240" w:lineRule="auto"/>
      <w:ind w:left="400"/>
    </w:pPr>
  </w:style>
  <w:style w:type="paragraph" w:styleId="TOC4">
    <w:name w:val="toc 4"/>
    <w:basedOn w:val="Normal"/>
    <w:next w:val="Normal"/>
    <w:semiHidden/>
    <w:rsid w:val="0024053D"/>
    <w:pPr>
      <w:spacing w:line="240" w:lineRule="auto"/>
      <w:ind w:left="600"/>
    </w:pPr>
  </w:style>
  <w:style w:type="paragraph" w:styleId="TOC5">
    <w:name w:val="toc 5"/>
    <w:basedOn w:val="Normal"/>
    <w:next w:val="Normal"/>
    <w:semiHidden/>
    <w:rsid w:val="0024053D"/>
    <w:pPr>
      <w:spacing w:line="240" w:lineRule="auto"/>
      <w:ind w:left="800"/>
    </w:pPr>
  </w:style>
  <w:style w:type="paragraph" w:styleId="TOC6">
    <w:name w:val="toc 6"/>
    <w:basedOn w:val="Normal"/>
    <w:next w:val="Normal"/>
    <w:semiHidden/>
    <w:rsid w:val="0024053D"/>
    <w:pPr>
      <w:spacing w:line="240" w:lineRule="auto"/>
      <w:ind w:left="1000"/>
    </w:pPr>
  </w:style>
  <w:style w:type="paragraph" w:styleId="TOC7">
    <w:name w:val="toc 7"/>
    <w:basedOn w:val="Normal"/>
    <w:next w:val="Normal"/>
    <w:semiHidden/>
    <w:rsid w:val="0024053D"/>
    <w:pPr>
      <w:spacing w:line="240" w:lineRule="auto"/>
      <w:ind w:left="1200"/>
    </w:pPr>
  </w:style>
  <w:style w:type="paragraph" w:styleId="TOC8">
    <w:name w:val="toc 8"/>
    <w:basedOn w:val="Normal"/>
    <w:next w:val="Normal"/>
    <w:semiHidden/>
    <w:rsid w:val="0024053D"/>
    <w:pPr>
      <w:spacing w:line="240" w:lineRule="auto"/>
      <w:ind w:left="1400"/>
    </w:pPr>
  </w:style>
  <w:style w:type="paragraph" w:styleId="TOC9">
    <w:name w:val="toc 9"/>
    <w:basedOn w:val="Normal"/>
    <w:next w:val="Normal"/>
    <w:semiHidden/>
    <w:rsid w:val="0024053D"/>
    <w:pPr>
      <w:spacing w:line="240" w:lineRule="auto"/>
      <w:ind w:left="1600"/>
    </w:pPr>
  </w:style>
  <w:style w:type="paragraph" w:styleId="TOAHeading">
    <w:name w:val="toa heading"/>
    <w:basedOn w:val="Normal"/>
    <w:next w:val="Normal"/>
    <w:semiHidden/>
    <w:rsid w:val="0024053D"/>
    <w:pPr>
      <w:spacing w:before="120" w:line="240" w:lineRule="auto"/>
    </w:pPr>
    <w:rPr>
      <w:rFonts w:ascii="Arial" w:hAnsi="Arial"/>
      <w:b/>
      <w:sz w:val="24"/>
    </w:rPr>
  </w:style>
  <w:style w:type="paragraph" w:styleId="List">
    <w:name w:val="List"/>
    <w:basedOn w:val="Normal"/>
    <w:rsid w:val="0024053D"/>
    <w:pPr>
      <w:spacing w:line="240" w:lineRule="auto"/>
      <w:ind w:left="283" w:hanging="283"/>
    </w:pPr>
  </w:style>
  <w:style w:type="paragraph" w:styleId="List2">
    <w:name w:val="List 2"/>
    <w:basedOn w:val="Normal"/>
    <w:rsid w:val="0024053D"/>
    <w:pPr>
      <w:spacing w:line="240" w:lineRule="auto"/>
      <w:ind w:left="566" w:hanging="283"/>
    </w:pPr>
  </w:style>
  <w:style w:type="paragraph" w:styleId="List3">
    <w:name w:val="List 3"/>
    <w:basedOn w:val="Normal"/>
    <w:rsid w:val="0024053D"/>
    <w:pPr>
      <w:spacing w:line="240" w:lineRule="auto"/>
      <w:ind w:left="849" w:hanging="283"/>
    </w:pPr>
  </w:style>
  <w:style w:type="paragraph" w:styleId="List4">
    <w:name w:val="List 4"/>
    <w:basedOn w:val="Normal"/>
    <w:rsid w:val="0024053D"/>
    <w:pPr>
      <w:spacing w:line="240" w:lineRule="auto"/>
      <w:ind w:left="1132" w:hanging="283"/>
    </w:pPr>
  </w:style>
  <w:style w:type="paragraph" w:styleId="List5">
    <w:name w:val="List 5"/>
    <w:basedOn w:val="Normal"/>
    <w:rsid w:val="0024053D"/>
    <w:pPr>
      <w:spacing w:line="240" w:lineRule="auto"/>
      <w:ind w:left="1415" w:hanging="283"/>
    </w:pPr>
  </w:style>
  <w:style w:type="paragraph" w:styleId="TableofFigures">
    <w:name w:val="table of figures"/>
    <w:basedOn w:val="Normal"/>
    <w:next w:val="Normal"/>
    <w:semiHidden/>
    <w:rsid w:val="0024053D"/>
    <w:pPr>
      <w:spacing w:line="240" w:lineRule="auto"/>
      <w:ind w:left="400" w:hanging="400"/>
    </w:pPr>
  </w:style>
  <w:style w:type="paragraph" w:styleId="ListBullet">
    <w:name w:val="List Bullet"/>
    <w:basedOn w:val="Normal"/>
    <w:rsid w:val="0024053D"/>
    <w:pPr>
      <w:numPr>
        <w:numId w:val="11"/>
      </w:numPr>
      <w:spacing w:line="240" w:lineRule="auto"/>
    </w:pPr>
  </w:style>
  <w:style w:type="paragraph" w:styleId="ListBullet2">
    <w:name w:val="List Bullet 2"/>
    <w:basedOn w:val="Normal"/>
    <w:rsid w:val="0024053D"/>
    <w:pPr>
      <w:numPr>
        <w:numId w:val="12"/>
      </w:numPr>
      <w:spacing w:line="240" w:lineRule="auto"/>
    </w:pPr>
  </w:style>
  <w:style w:type="paragraph" w:styleId="ListBullet3">
    <w:name w:val="List Bullet 3"/>
    <w:basedOn w:val="Normal"/>
    <w:rsid w:val="0024053D"/>
    <w:pPr>
      <w:numPr>
        <w:numId w:val="13"/>
      </w:numPr>
      <w:spacing w:line="240" w:lineRule="auto"/>
    </w:pPr>
  </w:style>
  <w:style w:type="paragraph" w:styleId="ListBullet4">
    <w:name w:val="List Bullet 4"/>
    <w:basedOn w:val="Normal"/>
    <w:rsid w:val="0024053D"/>
    <w:pPr>
      <w:numPr>
        <w:numId w:val="14"/>
      </w:numPr>
      <w:spacing w:line="240" w:lineRule="auto"/>
    </w:pPr>
  </w:style>
  <w:style w:type="paragraph" w:styleId="ListBullet5">
    <w:name w:val="List Bullet 5"/>
    <w:basedOn w:val="Normal"/>
    <w:rsid w:val="0024053D"/>
    <w:pPr>
      <w:numPr>
        <w:numId w:val="15"/>
      </w:numPr>
      <w:spacing w:line="240" w:lineRule="auto"/>
    </w:pPr>
  </w:style>
  <w:style w:type="paragraph" w:styleId="ListNumber">
    <w:name w:val="List Number"/>
    <w:basedOn w:val="Normal"/>
    <w:rsid w:val="0024053D"/>
    <w:pPr>
      <w:numPr>
        <w:numId w:val="16"/>
      </w:numPr>
      <w:spacing w:line="240" w:lineRule="auto"/>
    </w:pPr>
  </w:style>
  <w:style w:type="paragraph" w:styleId="ListNumber2">
    <w:name w:val="List Number 2"/>
    <w:basedOn w:val="Normal"/>
    <w:rsid w:val="0024053D"/>
    <w:pPr>
      <w:numPr>
        <w:numId w:val="17"/>
      </w:numPr>
      <w:spacing w:line="240" w:lineRule="auto"/>
    </w:pPr>
  </w:style>
  <w:style w:type="paragraph" w:styleId="ListNumber3">
    <w:name w:val="List Number 3"/>
    <w:basedOn w:val="Normal"/>
    <w:rsid w:val="0024053D"/>
    <w:pPr>
      <w:numPr>
        <w:numId w:val="18"/>
      </w:numPr>
      <w:spacing w:line="240" w:lineRule="auto"/>
    </w:pPr>
  </w:style>
  <w:style w:type="paragraph" w:styleId="ListNumber4">
    <w:name w:val="List Number 4"/>
    <w:basedOn w:val="Normal"/>
    <w:rsid w:val="0024053D"/>
    <w:pPr>
      <w:numPr>
        <w:numId w:val="19"/>
      </w:numPr>
      <w:spacing w:line="240" w:lineRule="auto"/>
    </w:pPr>
  </w:style>
  <w:style w:type="paragraph" w:styleId="ListNumber5">
    <w:name w:val="List Number 5"/>
    <w:basedOn w:val="Normal"/>
    <w:rsid w:val="0024053D"/>
    <w:pPr>
      <w:numPr>
        <w:numId w:val="20"/>
      </w:numPr>
      <w:spacing w:line="240" w:lineRule="auto"/>
    </w:pPr>
  </w:style>
  <w:style w:type="paragraph" w:styleId="ListContinue">
    <w:name w:val="List Continue"/>
    <w:basedOn w:val="Normal"/>
    <w:rsid w:val="0024053D"/>
    <w:pPr>
      <w:spacing w:after="120" w:line="240" w:lineRule="auto"/>
      <w:ind w:left="283"/>
    </w:pPr>
  </w:style>
  <w:style w:type="paragraph" w:styleId="ListContinue2">
    <w:name w:val="List Continue 2"/>
    <w:basedOn w:val="Normal"/>
    <w:rsid w:val="0024053D"/>
    <w:pPr>
      <w:spacing w:after="120" w:line="240" w:lineRule="auto"/>
      <w:ind w:left="566"/>
    </w:pPr>
  </w:style>
  <w:style w:type="paragraph" w:styleId="ListContinue3">
    <w:name w:val="List Continue 3"/>
    <w:basedOn w:val="Normal"/>
    <w:rsid w:val="0024053D"/>
    <w:pPr>
      <w:spacing w:after="120" w:line="240" w:lineRule="auto"/>
      <w:ind w:left="849"/>
    </w:pPr>
  </w:style>
  <w:style w:type="paragraph" w:styleId="ListContinue4">
    <w:name w:val="List Continue 4"/>
    <w:basedOn w:val="Normal"/>
    <w:rsid w:val="0024053D"/>
    <w:pPr>
      <w:spacing w:after="120" w:line="240" w:lineRule="auto"/>
      <w:ind w:left="1132"/>
    </w:pPr>
  </w:style>
  <w:style w:type="paragraph" w:styleId="ListContinue5">
    <w:name w:val="List Continue 5"/>
    <w:basedOn w:val="Normal"/>
    <w:rsid w:val="0024053D"/>
    <w:pPr>
      <w:spacing w:after="120" w:line="240" w:lineRule="auto"/>
      <w:ind w:left="1415"/>
    </w:pPr>
  </w:style>
  <w:style w:type="paragraph" w:styleId="MacroText">
    <w:name w:val="macro"/>
    <w:semiHidden/>
    <w:rsid w:val="0024053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eHeading">
    <w:name w:val="Note Heading"/>
    <w:basedOn w:val="Normal"/>
    <w:next w:val="Normal"/>
    <w:rsid w:val="0024053D"/>
    <w:pPr>
      <w:spacing w:line="240" w:lineRule="auto"/>
    </w:pPr>
  </w:style>
  <w:style w:type="paragraph" w:styleId="PlainText">
    <w:name w:val="Plain Text"/>
    <w:basedOn w:val="Normal"/>
    <w:rsid w:val="0024053D"/>
    <w:pPr>
      <w:spacing w:line="240" w:lineRule="auto"/>
    </w:pPr>
    <w:rPr>
      <w:rFonts w:ascii="Courier New" w:hAnsi="Courier New"/>
    </w:rPr>
  </w:style>
  <w:style w:type="paragraph" w:styleId="BodyText">
    <w:name w:val="Body Text"/>
    <w:basedOn w:val="Normal"/>
    <w:rsid w:val="0024053D"/>
    <w:pPr>
      <w:spacing w:after="120" w:line="240" w:lineRule="auto"/>
    </w:pPr>
  </w:style>
  <w:style w:type="paragraph" w:styleId="BodyText2">
    <w:name w:val="Body Text 2"/>
    <w:basedOn w:val="Normal"/>
    <w:rsid w:val="0024053D"/>
    <w:pPr>
      <w:spacing w:after="120" w:line="480" w:lineRule="auto"/>
    </w:pPr>
  </w:style>
  <w:style w:type="paragraph" w:styleId="BodyText3">
    <w:name w:val="Body Text 3"/>
    <w:basedOn w:val="Normal"/>
    <w:rsid w:val="0024053D"/>
    <w:pPr>
      <w:spacing w:after="120" w:line="240" w:lineRule="auto"/>
    </w:pPr>
    <w:rPr>
      <w:sz w:val="16"/>
    </w:rPr>
  </w:style>
  <w:style w:type="paragraph" w:styleId="BodyTextFirstIndent">
    <w:name w:val="Body Text First Indent"/>
    <w:basedOn w:val="BodyText"/>
    <w:rsid w:val="0024053D"/>
    <w:pPr>
      <w:ind w:firstLine="210"/>
    </w:pPr>
  </w:style>
  <w:style w:type="paragraph" w:styleId="BodyTextIndent">
    <w:name w:val="Body Text Indent"/>
    <w:basedOn w:val="Normal"/>
    <w:rsid w:val="0024053D"/>
    <w:pPr>
      <w:spacing w:after="120" w:line="240" w:lineRule="auto"/>
      <w:ind w:left="283"/>
    </w:pPr>
  </w:style>
  <w:style w:type="paragraph" w:styleId="BodyTextFirstIndent2">
    <w:name w:val="Body Text First Indent 2"/>
    <w:basedOn w:val="BodyTextIndent"/>
    <w:rsid w:val="0024053D"/>
    <w:pPr>
      <w:ind w:firstLine="210"/>
    </w:pPr>
  </w:style>
  <w:style w:type="paragraph" w:styleId="BodyTextIndent2">
    <w:name w:val="Body Text Indent 2"/>
    <w:basedOn w:val="Normal"/>
    <w:rsid w:val="0024053D"/>
    <w:pPr>
      <w:spacing w:after="120" w:line="480" w:lineRule="auto"/>
      <w:ind w:left="283"/>
    </w:pPr>
  </w:style>
  <w:style w:type="paragraph" w:styleId="BodyTextIndent3">
    <w:name w:val="Body Text Indent 3"/>
    <w:basedOn w:val="Normal"/>
    <w:rsid w:val="0024053D"/>
    <w:pPr>
      <w:spacing w:after="120" w:line="240" w:lineRule="auto"/>
      <w:ind w:left="283"/>
    </w:pPr>
    <w:rPr>
      <w:sz w:val="16"/>
    </w:rPr>
  </w:style>
  <w:style w:type="paragraph" w:styleId="NormalIndent">
    <w:name w:val="Normal Indent"/>
    <w:basedOn w:val="Normal"/>
    <w:rsid w:val="0024053D"/>
    <w:pPr>
      <w:spacing w:line="240" w:lineRule="auto"/>
      <w:ind w:left="709"/>
    </w:pPr>
  </w:style>
  <w:style w:type="paragraph" w:styleId="Subtitle">
    <w:name w:val="Subtitle"/>
    <w:basedOn w:val="Normal"/>
    <w:qFormat/>
    <w:rsid w:val="0024053D"/>
    <w:pPr>
      <w:spacing w:after="60" w:line="240" w:lineRule="auto"/>
      <w:jc w:val="center"/>
      <w:outlineLvl w:val="1"/>
    </w:pPr>
    <w:rPr>
      <w:rFonts w:ascii="Arial" w:hAnsi="Arial"/>
      <w:sz w:val="24"/>
    </w:rPr>
  </w:style>
  <w:style w:type="paragraph" w:styleId="CommentText">
    <w:name w:val="annotation text"/>
    <w:basedOn w:val="Normal"/>
    <w:link w:val="CommentTextChar"/>
    <w:uiPriority w:val="99"/>
    <w:semiHidden/>
    <w:rsid w:val="0024053D"/>
    <w:pPr>
      <w:spacing w:line="240" w:lineRule="auto"/>
    </w:pPr>
  </w:style>
  <w:style w:type="paragraph" w:styleId="Title">
    <w:name w:val="Title"/>
    <w:basedOn w:val="Normal"/>
    <w:qFormat/>
    <w:rsid w:val="0024053D"/>
    <w:pPr>
      <w:spacing w:line="240" w:lineRule="auto"/>
    </w:pPr>
    <w:rPr>
      <w:b/>
      <w:sz w:val="36"/>
    </w:rPr>
  </w:style>
  <w:style w:type="paragraph" w:styleId="FootnoteText">
    <w:name w:val="footnote text"/>
    <w:basedOn w:val="Normal"/>
    <w:link w:val="FootnoteTextChar"/>
    <w:uiPriority w:val="99"/>
    <w:semiHidden/>
    <w:rsid w:val="0024053D"/>
    <w:pPr>
      <w:spacing w:line="240" w:lineRule="auto"/>
    </w:pPr>
  </w:style>
  <w:style w:type="paragraph" w:customStyle="1" w:styleId="Hoofdjes">
    <w:name w:val="Hoofdjes"/>
    <w:basedOn w:val="Normal"/>
    <w:rsid w:val="0024053D"/>
    <w:pPr>
      <w:spacing w:line="190" w:lineRule="exact"/>
    </w:pPr>
    <w:rPr>
      <w:spacing w:val="6"/>
      <w:sz w:val="14"/>
    </w:rPr>
  </w:style>
  <w:style w:type="paragraph" w:customStyle="1" w:styleId="Hoofdjesregel13pt">
    <w:name w:val="Hoofdjes regel 13 pt"/>
    <w:basedOn w:val="Hoofdjes"/>
    <w:rsid w:val="0024053D"/>
    <w:pPr>
      <w:spacing w:line="260" w:lineRule="exact"/>
    </w:pPr>
  </w:style>
  <w:style w:type="paragraph" w:customStyle="1" w:styleId="HoofdjesZwart">
    <w:name w:val="HoofdjesZwart"/>
    <w:basedOn w:val="Normal"/>
    <w:rsid w:val="0024053D"/>
    <w:pPr>
      <w:spacing w:line="240" w:lineRule="auto"/>
    </w:pPr>
    <w:rPr>
      <w:spacing w:val="6"/>
      <w:sz w:val="14"/>
    </w:rPr>
  </w:style>
  <w:style w:type="paragraph" w:customStyle="1" w:styleId="Kleinetekst">
    <w:name w:val="Kleine tekst"/>
    <w:basedOn w:val="Normal"/>
    <w:rsid w:val="0024053D"/>
    <w:pPr>
      <w:spacing w:before="57" w:after="57" w:line="240" w:lineRule="auto"/>
    </w:pPr>
    <w:rPr>
      <w:spacing w:val="10"/>
      <w:sz w:val="14"/>
    </w:rPr>
  </w:style>
  <w:style w:type="paragraph" w:customStyle="1" w:styleId="Memohoofd">
    <w:name w:val="Memohoofd"/>
    <w:basedOn w:val="Normal"/>
    <w:rsid w:val="0024053D"/>
    <w:pPr>
      <w:spacing w:line="240" w:lineRule="exact"/>
    </w:pPr>
  </w:style>
  <w:style w:type="paragraph" w:customStyle="1" w:styleId="GroteLetters">
    <w:name w:val="Grote Letters"/>
    <w:basedOn w:val="Normal"/>
    <w:rsid w:val="0024053D"/>
    <w:pPr>
      <w:spacing w:line="364" w:lineRule="exact"/>
    </w:pPr>
    <w:rPr>
      <w:sz w:val="28"/>
    </w:rPr>
  </w:style>
  <w:style w:type="character" w:styleId="FootnoteReference">
    <w:name w:val="footnote reference"/>
    <w:basedOn w:val="DefaultParagraphFont"/>
    <w:uiPriority w:val="99"/>
    <w:semiHidden/>
    <w:rsid w:val="00BB7CCF"/>
    <w:rPr>
      <w:vertAlign w:val="superscript"/>
    </w:rPr>
  </w:style>
  <w:style w:type="character" w:customStyle="1" w:styleId="FooterChar">
    <w:name w:val="Footer Char"/>
    <w:basedOn w:val="DefaultParagraphFont"/>
    <w:link w:val="Footer"/>
    <w:uiPriority w:val="99"/>
    <w:rsid w:val="00BF3F64"/>
    <w:rPr>
      <w:rFonts w:ascii="Univers" w:hAnsi="Univers"/>
    </w:rPr>
  </w:style>
  <w:style w:type="paragraph" w:styleId="ListParagraph">
    <w:name w:val="List Paragraph"/>
    <w:basedOn w:val="Normal"/>
    <w:uiPriority w:val="34"/>
    <w:qFormat/>
    <w:rsid w:val="00225092"/>
    <w:pPr>
      <w:ind w:left="720"/>
      <w:contextualSpacing/>
    </w:pPr>
  </w:style>
  <w:style w:type="character" w:styleId="Hyperlink">
    <w:name w:val="Hyperlink"/>
    <w:basedOn w:val="DefaultParagraphFont"/>
    <w:rsid w:val="00DD3086"/>
    <w:rPr>
      <w:color w:val="0000FF" w:themeColor="hyperlink"/>
      <w:u w:val="single"/>
    </w:rPr>
  </w:style>
  <w:style w:type="character" w:styleId="CommentReference">
    <w:name w:val="annotation reference"/>
    <w:basedOn w:val="DefaultParagraphFont"/>
    <w:uiPriority w:val="99"/>
    <w:rsid w:val="00FA1BC4"/>
    <w:rPr>
      <w:sz w:val="16"/>
      <w:szCs w:val="16"/>
    </w:rPr>
  </w:style>
  <w:style w:type="paragraph" w:styleId="CommentSubject">
    <w:name w:val="annotation subject"/>
    <w:basedOn w:val="CommentText"/>
    <w:next w:val="CommentText"/>
    <w:link w:val="CommentSubjectChar"/>
    <w:rsid w:val="00FA1BC4"/>
    <w:rPr>
      <w:b/>
      <w:bCs/>
    </w:rPr>
  </w:style>
  <w:style w:type="character" w:customStyle="1" w:styleId="CommentTextChar">
    <w:name w:val="Comment Text Char"/>
    <w:basedOn w:val="DefaultParagraphFont"/>
    <w:link w:val="CommentText"/>
    <w:uiPriority w:val="99"/>
    <w:semiHidden/>
    <w:rsid w:val="00FA1BC4"/>
    <w:rPr>
      <w:rFonts w:ascii="Univers" w:hAnsi="Univers"/>
    </w:rPr>
  </w:style>
  <w:style w:type="character" w:customStyle="1" w:styleId="CommentSubjectChar">
    <w:name w:val="Comment Subject Char"/>
    <w:basedOn w:val="CommentTextChar"/>
    <w:link w:val="CommentSubject"/>
    <w:rsid w:val="00FA1BC4"/>
    <w:rPr>
      <w:rFonts w:ascii="Univers" w:hAnsi="Univers"/>
    </w:rPr>
  </w:style>
  <w:style w:type="paragraph" w:styleId="BalloonText">
    <w:name w:val="Balloon Text"/>
    <w:basedOn w:val="Normal"/>
    <w:link w:val="BalloonTextChar"/>
    <w:rsid w:val="00FA1BC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A1BC4"/>
    <w:rPr>
      <w:rFonts w:ascii="Tahoma" w:hAnsi="Tahoma" w:cs="Tahoma"/>
      <w:sz w:val="16"/>
      <w:szCs w:val="16"/>
    </w:rPr>
  </w:style>
  <w:style w:type="paragraph" w:styleId="Revision">
    <w:name w:val="Revision"/>
    <w:hidden/>
    <w:uiPriority w:val="99"/>
    <w:semiHidden/>
    <w:rsid w:val="00F80EF2"/>
    <w:rPr>
      <w:rFonts w:ascii="Univers" w:hAnsi="Univers"/>
    </w:rPr>
  </w:style>
  <w:style w:type="character" w:customStyle="1" w:styleId="FootnoteTextChar">
    <w:name w:val="Footnote Text Char"/>
    <w:basedOn w:val="DefaultParagraphFont"/>
    <w:link w:val="FootnoteText"/>
    <w:uiPriority w:val="99"/>
    <w:semiHidden/>
    <w:rsid w:val="009345F8"/>
    <w:rPr>
      <w:rFonts w:ascii="Univers" w:hAnsi="Univers"/>
    </w:rPr>
  </w:style>
  <w:style w:type="paragraph" w:customStyle="1" w:styleId="Huisstijl-Aanhef">
    <w:name w:val="Huisstijl - Aanhef"/>
    <w:basedOn w:val="Normal"/>
    <w:rsid w:val="00B56093"/>
    <w:pPr>
      <w:widowControl w:val="0"/>
      <w:suppressAutoHyphens/>
      <w:autoSpaceDN w:val="0"/>
      <w:spacing w:before="100" w:after="240" w:line="240" w:lineRule="exact"/>
      <w:textAlignment w:val="baseline"/>
    </w:pPr>
    <w:rPr>
      <w:rFonts w:ascii="Verdana" w:eastAsia="DejaVu Sans" w:hAnsi="Verdana" w:cs="Lohit Hindi"/>
      <w:kern w:val="3"/>
      <w:sz w:val="18"/>
      <w:szCs w:val="24"/>
    </w:rPr>
  </w:style>
  <w:style w:type="table" w:styleId="TableGrid">
    <w:name w:val="Table Grid"/>
    <w:basedOn w:val="TableNormal"/>
    <w:uiPriority w:val="59"/>
    <w:rsid w:val="00B67E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141476">
      <w:bodyDiv w:val="1"/>
      <w:marLeft w:val="0"/>
      <w:marRight w:val="0"/>
      <w:marTop w:val="0"/>
      <w:marBottom w:val="0"/>
      <w:divBdr>
        <w:top w:val="none" w:sz="0" w:space="0" w:color="auto"/>
        <w:left w:val="none" w:sz="0" w:space="0" w:color="auto"/>
        <w:bottom w:val="none" w:sz="0" w:space="0" w:color="auto"/>
        <w:right w:val="none" w:sz="0" w:space="0" w:color="auto"/>
      </w:divBdr>
    </w:div>
    <w:div w:id="1425371885">
      <w:bodyDiv w:val="1"/>
      <w:marLeft w:val="0"/>
      <w:marRight w:val="0"/>
      <w:marTop w:val="0"/>
      <w:marBottom w:val="0"/>
      <w:divBdr>
        <w:top w:val="none" w:sz="0" w:space="0" w:color="auto"/>
        <w:left w:val="none" w:sz="0" w:space="0" w:color="auto"/>
        <w:bottom w:val="none" w:sz="0" w:space="0" w:color="auto"/>
        <w:right w:val="none" w:sz="0" w:space="0" w:color="auto"/>
      </w:divBdr>
    </w:div>
    <w:div w:id="175015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JABLONENSETS\SJABLONEN\VWS\VOORDRACHT%20TBV%20RAAD%20VAN%20STATE.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375D1-C943-4EDA-B7A7-F73956CA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VOORDRACHT TBV RAAD VAN STATE.DOT</Template>
  <TotalTime>16</TotalTime>
  <Pages>8</Pages>
  <Words>2553</Words>
  <Characters>14558</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Centric Training - (020) 523 04 00</Company>
  <LinksUpToDate>false</LinksUpToDate>
  <CharactersWithSpaces>17077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Beheerder</dc:creator>
  <cp:lastModifiedBy>Ke, Tingting</cp:lastModifiedBy>
  <cp:revision>6</cp:revision>
  <cp:lastPrinted>2019-05-29T13:48:00Z</cp:lastPrinted>
  <dcterms:created xsi:type="dcterms:W3CDTF">2019-07-08T12:56:00Z</dcterms:created>
  <dcterms:modified xsi:type="dcterms:W3CDTF">2019-07-23T12:34:00Z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Minuut">
    <vt:lpwstr>Origineel</vt:lpwstr>
  </property>
</Properties>
</file>