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5E9" w:rsidRPr="004425E9" w:rsidRDefault="004425E9" w:rsidP="004425E9">
      <w:pPr>
        <w:jc w:val="center"/>
        <w:rPr>
          <w:rFonts w:ascii="Courier New" w:hAnsi="Courier New"/>
        </w:rPr>
      </w:pPr>
      <w:r>
        <w:rPr>
          <w:rFonts w:ascii="Courier New" w:hAnsi="Courier New"/>
        </w:rPr>
        <w:t xml:space="preserve">1. </w:t>
      </w:r>
      <w:r>
        <w:rPr>
          <w:rFonts w:ascii="Courier New" w:hAnsi="Courier New"/>
        </w:rPr>
        <w:t>------IND- 2019 0333 SK- CS- ------ 20190716 --- --- PROJET</w:t>
      </w:r>
    </w:p>
    <w:p w:rsidR="006403F7" w:rsidRPr="004425E9" w:rsidRDefault="006403F7" w:rsidP="004425E9">
      <w:pPr>
        <w:jc w:val="center"/>
        <w:rPr>
          <w:b/>
          <w:bCs/>
          <w:sz w:val="24"/>
          <w:szCs w:val="24"/>
          <w:lang/>
        </w:rPr>
      </w:pPr>
      <w:r>
        <w:rPr>
          <w:b/>
          <w:sz w:val="24"/>
        </w:rPr>
        <w:t>Návrh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403F7" w:rsidRPr="004425E9" w:rsidRDefault="006403F7" w:rsidP="004425E9">
      <w:pPr>
        <w:pStyle w:val="Heading1"/>
        <w:keepNext w:val="0"/>
        <w:keepLines w:val="0"/>
        <w:spacing w:before="0" w:after="0"/>
        <w:rPr>
          <w:rFonts w:eastAsia="Calibri" w:cs="Times New Roman"/>
          <w:szCs w:val="24"/>
          <w:lang/>
        </w:rPr>
      </w:pPr>
    </w:p>
    <w:p w:rsidR="006403F7" w:rsidRPr="004425E9" w:rsidRDefault="006403F7" w:rsidP="004425E9">
      <w:pPr>
        <w:pStyle w:val="Heading2"/>
        <w:keepNext w:val="0"/>
        <w:keepLines w:val="0"/>
        <w:spacing w:before="0" w:after="0"/>
        <w:rPr>
          <w:lang/>
        </w:rPr>
      </w:pPr>
      <w:r>
        <w:t>VYHLÁŠKA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403F7" w:rsidRPr="004425E9" w:rsidRDefault="006403F7" w:rsidP="004425E9">
      <w:pPr>
        <w:rPr>
          <w:rFonts w:eastAsia="Calibri"/>
          <w:lang/>
        </w:rPr>
      </w:pPr>
    </w:p>
    <w:p w:rsidR="007C67D5" w:rsidRPr="004425E9" w:rsidRDefault="006403F7" w:rsidP="004425E9">
      <w:pPr>
        <w:pStyle w:val="Heading2"/>
        <w:keepNext w:val="0"/>
        <w:keepLines w:val="0"/>
        <w:spacing w:before="0" w:after="0"/>
        <w:rPr>
          <w:lang/>
        </w:rPr>
      </w:pPr>
      <w:r>
        <w:t>Ministerstva zemědělství a rozvoje venkova Slovenské republiky</w:t>
      </w:r>
      <w:r>
        <w:br/>
      </w:r>
      <w:r>
        <w:t xml:space="preserve">ze dne ............... </w:t>
      </w:r>
      <w:r>
        <w:t>2019,</w:t>
      </w:r>
      <w:r>
        <w:br/>
      </w:r>
      <w:r>
        <w:t>kterou se ustanovují podrobnosti o použití zvířete pro účely veřejného vystoupení nebo výcviku za účelem veřejného vystoupení a seznam zvířat pro účely veřejného vystoupení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7C67D5" w:rsidRPr="004425E9" w:rsidRDefault="007C67D5" w:rsidP="004425E9">
      <w:pPr/>
    </w:p>
    <w:p w:rsidR="007C67D5" w:rsidRPr="004425E9" w:rsidRDefault="0037765A" w:rsidP="004425E9">
      <w:pPr>
        <w:spacing w:before="120" w:after="120"/>
        <w:ind w:firstLine="708"/>
        <w:jc w:val="both"/>
      </w:pPr>
      <w:r>
        <w:rPr>
          <w:sz w:val="24"/>
        </w:rPr>
        <w:t>Ministerstvo zemědělství a rozvoje venkova Slovenské republiky podle § 53 odst. 1 písm. i) zákona č. 39/2007 Z. z. o veterinární péči ve znění zákona č. 184/2018 Z. z. (dále jen „zákon“) stanoví: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403F7" w:rsidRPr="004425E9" w:rsidRDefault="006403F7" w:rsidP="004425E9">
      <w:pPr>
        <w:spacing w:before="120" w:after="120"/>
        <w:jc w:val="center"/>
        <w:rPr>
          <w:b/>
          <w:sz w:val="24"/>
        </w:rPr>
      </w:pPr>
    </w:p>
    <w:p w:rsidR="007C67D5" w:rsidRPr="004425E9" w:rsidRDefault="0037765A" w:rsidP="004425E9">
      <w:pPr>
        <w:spacing w:before="120" w:after="120"/>
        <w:jc w:val="center"/>
      </w:pPr>
      <w:r>
        <w:rPr>
          <w:b/>
          <w:sz w:val="24"/>
        </w:rPr>
        <w:t>§ 1</w:t>
      </w:r>
    </w:p>
    <w:p w:rsidR="007C67D5" w:rsidRPr="004425E9" w:rsidRDefault="0037765A" w:rsidP="004425E9">
      <w:pPr>
        <w:spacing w:before="120" w:after="120"/>
        <w:ind w:firstLine="708"/>
        <w:jc w:val="both"/>
      </w:pPr>
      <w:r>
        <w:rPr>
          <w:sz w:val="24"/>
        </w:rPr>
        <w:t>Tato vyhláška stanoví</w:t>
      </w:r>
    </w:p>
    <w:p w:rsidR="007C67D5" w:rsidRPr="004425E9" w:rsidRDefault="0037765A" w:rsidP="004425E9">
      <w:pPr>
        <w:pStyle w:val="ListParagraph"/>
        <w:numPr>
          <w:ilvl w:val="0"/>
          <w:numId w:val="1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podrobnosti o použití zvířete pro účely veřejného vystoupení nebo výcviku za účelem veřejného vystoupení (dále jen „drezura zvířete“),</w:t>
      </w:r>
    </w:p>
    <w:p w:rsidR="007C67D5" w:rsidRPr="004425E9" w:rsidRDefault="0037765A" w:rsidP="004425E9">
      <w:pPr>
        <w:pStyle w:val="ListParagraph"/>
        <w:numPr>
          <w:ilvl w:val="0"/>
          <w:numId w:val="1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seznam zvířat, jejichž použití pro účely veřejného vystoupení nebo výcviku za účelem veřejného vystoupení je zakázáno [§ 22 odst. 4 písm. c) zákona].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403F7" w:rsidRPr="004425E9" w:rsidRDefault="006403F7" w:rsidP="004425E9">
      <w:pPr>
        <w:spacing w:before="120" w:after="120"/>
        <w:jc w:val="center"/>
        <w:rPr>
          <w:b/>
          <w:sz w:val="24"/>
        </w:rPr>
      </w:pPr>
    </w:p>
    <w:p w:rsidR="007C67D5" w:rsidRPr="004425E9" w:rsidRDefault="0037765A" w:rsidP="004425E9">
      <w:pPr>
        <w:keepNext/>
        <w:keepLines/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§ 2</w:t>
      </w:r>
    </w:p>
    <w:p w:rsidR="007C67D5" w:rsidRPr="004425E9" w:rsidRDefault="0037765A" w:rsidP="004425E9">
      <w:pPr>
        <w:keepNext/>
        <w:keepLines/>
        <w:spacing w:before="120" w:after="120"/>
        <w:ind w:firstLine="708"/>
        <w:jc w:val="both"/>
      </w:pPr>
      <w:r>
        <w:rPr>
          <w:sz w:val="24"/>
        </w:rPr>
        <w:t>Pro účely této vyhlášky se rozumí</w:t>
      </w:r>
    </w:p>
    <w:p w:rsidR="007C67D5" w:rsidRPr="004425E9" w:rsidRDefault="0037765A" w:rsidP="004425E9">
      <w:pPr>
        <w:pStyle w:val="ListParagraph"/>
        <w:numPr>
          <w:ilvl w:val="0"/>
          <w:numId w:val="3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veřejným vystoupením veřejnosti přístupné jednorázové nebo opakované předvádění zvířete nebo činnosti se zvířetem, při němž se předvádějí cviky, úkony nebo jiné činnosti, které zvíře získalo výcvikem; za veřejné vystoupení se nepovažuje komentované krmení a naučné přednášky v zoologické zahradě nebo v zařízení pro záchranu chráněných živočichů,</w:t>
      </w:r>
      <w:r>
        <w:rPr>
          <w:vertAlign w:val="superscript"/>
        </w:rPr>
        <w:footnoteReference w:id="1"/>
      </w:r>
      <w:r>
        <w:rPr>
          <w:sz w:val="24"/>
        </w:rPr>
        <w:t>) předvádění činnosti se služebním zvířetem</w:t>
      </w:r>
      <w:r>
        <w:rPr>
          <w:rStyle w:val="FootnoteReference"/>
          <w:sz w:val="24"/>
        </w:rPr>
        <w:footnoteReference w:id="2"/>
      </w:r>
      <w:r>
        <w:rPr>
          <w:sz w:val="24"/>
        </w:rPr>
        <w:t>) na kulturní, vzdělávací, sportovní nebo společenské akci a použití sokolnického dravce na sokolnickém vystoupení,</w:t>
      </w:r>
    </w:p>
    <w:p w:rsidR="007C67D5" w:rsidRPr="004425E9" w:rsidRDefault="0037765A" w:rsidP="004425E9">
      <w:pPr>
        <w:pStyle w:val="ListParagraph"/>
        <w:numPr>
          <w:ilvl w:val="0"/>
          <w:numId w:val="3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výcvikem vliv člověka na zvíře za účelem získání, upevnění nebo vylepšení určitého chování nebo činnosti zvířete, které není nevyhnutelné pro jeho přežití nebo pro běžnou manipulací s ním během krmení, přepravy a ošetřování.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403F7" w:rsidRPr="004425E9" w:rsidRDefault="006403F7" w:rsidP="004425E9">
      <w:pPr>
        <w:spacing w:before="120" w:after="120"/>
        <w:jc w:val="center"/>
        <w:rPr>
          <w:b/>
          <w:sz w:val="24"/>
        </w:rPr>
      </w:pPr>
      <w:bookmarkStart w:id="0" w:name="_GoBack"/>
      <w:bookmarkEnd w:id="0"/>
    </w:p>
    <w:p w:rsidR="007C67D5" w:rsidRPr="004425E9" w:rsidRDefault="0037765A" w:rsidP="004425E9">
      <w:pPr>
        <w:keepNext/>
        <w:keepLines/>
        <w:spacing w:before="120" w:after="120"/>
        <w:jc w:val="center"/>
      </w:pPr>
      <w:r>
        <w:rPr>
          <w:b/>
          <w:sz w:val="24"/>
        </w:rPr>
        <w:t>§ 3</w:t>
      </w:r>
    </w:p>
    <w:p w:rsidR="007C67D5" w:rsidRPr="004425E9" w:rsidRDefault="0037765A" w:rsidP="004425E9">
      <w:pPr>
        <w:keepNext/>
        <w:keepLines/>
        <w:spacing w:before="120" w:after="120"/>
        <w:ind w:firstLine="708"/>
        <w:jc w:val="both"/>
      </w:pPr>
      <w:r>
        <w:rPr>
          <w:sz w:val="24"/>
        </w:rPr>
        <w:t>(1) Drezura zvířete se provádí v ohraničeném prostoru (dále jen „manéž“), který</w:t>
      </w:r>
    </w:p>
    <w:p w:rsidR="007C67D5" w:rsidRPr="004425E9" w:rsidRDefault="0037765A" w:rsidP="004425E9">
      <w:pPr>
        <w:pStyle w:val="ListParagraph"/>
        <w:numPr>
          <w:ilvl w:val="0"/>
          <w:numId w:val="5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umožňuje bezpečný pohyb zvířete,</w:t>
      </w:r>
    </w:p>
    <w:p w:rsidR="007C67D5" w:rsidRPr="004425E9" w:rsidRDefault="0037765A" w:rsidP="004425E9">
      <w:pPr>
        <w:pStyle w:val="ListParagraph"/>
        <w:numPr>
          <w:ilvl w:val="0"/>
          <w:numId w:val="5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svou konstrukcí a svým vybavením minimalizuje možnosti zranění nebo jiného poškození zvířete,</w:t>
      </w:r>
    </w:p>
    <w:p w:rsidR="007C67D5" w:rsidRPr="004425E9" w:rsidRDefault="0037765A" w:rsidP="004425E9">
      <w:pPr>
        <w:pStyle w:val="ListParagraph"/>
        <w:numPr>
          <w:ilvl w:val="0"/>
          <w:numId w:val="5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má rozměry, které odpovídají druhu zvířete a</w:t>
      </w:r>
    </w:p>
    <w:p w:rsidR="007C67D5" w:rsidRPr="004425E9" w:rsidRDefault="0037765A" w:rsidP="004425E9">
      <w:pPr>
        <w:pStyle w:val="ListParagraph"/>
        <w:numPr>
          <w:ilvl w:val="0"/>
          <w:numId w:val="5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vylučuje možnosti úniku zvířete do prostoru nacházejícího se mimo manéže.</w:t>
      </w:r>
    </w:p>
    <w:p w:rsidR="007C67D5" w:rsidRPr="004425E9" w:rsidRDefault="0037765A" w:rsidP="004425E9">
      <w:pPr>
        <w:spacing w:before="120" w:after="120"/>
        <w:ind w:firstLine="709"/>
        <w:jc w:val="both"/>
      </w:pPr>
      <w:r>
        <w:rPr>
          <w:sz w:val="24"/>
        </w:rPr>
        <w:t>(2) Manéž, jejíž podklad netvoří hlinitý povrch, písčitý povrch nebo trávník, musí mít podklad pokrytý od země 8 cm až 10 cm hrubou vrstvou zeminy nebo písku, na který se naveze 8cm až 10cm hrubá vrstva dřevěných pilin.</w:t>
      </w:r>
    </w:p>
    <w:p w:rsidR="007C67D5" w:rsidRPr="004425E9" w:rsidRDefault="0037765A" w:rsidP="004425E9">
      <w:pPr>
        <w:spacing w:before="120" w:after="120"/>
        <w:ind w:firstLine="709"/>
        <w:jc w:val="both"/>
      </w:pPr>
      <w:r>
        <w:rPr>
          <w:sz w:val="24"/>
        </w:rPr>
        <w:t>(3) Místo dřevěných pilin lze pro účel podle odstavce 2 použít jiný materiál, pokud je tvárný, nepružící, neklouzavý a bezpečný pro pohyb zvířete.</w:t>
      </w:r>
    </w:p>
    <w:p w:rsidR="007C67D5" w:rsidRPr="004425E9" w:rsidRDefault="0037765A" w:rsidP="004425E9">
      <w:pPr>
        <w:spacing w:before="120" w:after="120"/>
        <w:ind w:firstLine="709"/>
        <w:jc w:val="both"/>
      </w:pPr>
      <w:r>
        <w:rPr>
          <w:sz w:val="24"/>
        </w:rPr>
        <w:t xml:space="preserve">(4) Hrany použitých konstrukcí a ohrazení manéže musí být zaoblené bez vyčnívajících častí. </w:t>
      </w:r>
      <w:r>
        <w:rPr>
          <w:sz w:val="24"/>
        </w:rPr>
        <w:t>Pro přístup zvířete do manéže a pro návrat zvířete z manéže se vytváří dostatečně široký přístupový prostor, který je bez cizích předmětů a překážek.</w:t>
      </w:r>
    </w:p>
    <w:p w:rsidR="007C67D5" w:rsidRPr="004425E9" w:rsidRDefault="0037765A" w:rsidP="004425E9">
      <w:pPr>
        <w:spacing w:before="120" w:after="120"/>
        <w:ind w:firstLine="709"/>
        <w:jc w:val="both"/>
      </w:pPr>
      <w:r>
        <w:rPr>
          <w:sz w:val="24"/>
        </w:rPr>
        <w:t>(5) Pokud se při drezuře zvířete využívají zvuky nebo osvětlení, zvíře si na ně zvyká postupně.</w:t>
      </w:r>
    </w:p>
    <w:p w:rsidR="007C67D5" w:rsidRPr="004425E9" w:rsidRDefault="0037765A" w:rsidP="004425E9">
      <w:pPr>
        <w:keepNext/>
        <w:keepLines/>
        <w:spacing w:before="120" w:after="120"/>
        <w:ind w:firstLine="709"/>
        <w:jc w:val="both"/>
      </w:pPr>
      <w:r>
        <w:rPr>
          <w:sz w:val="24"/>
        </w:rPr>
        <w:t>(6) Drezura zvířat se neprovádí se zvířetem, které je</w:t>
      </w:r>
    </w:p>
    <w:p w:rsidR="007C67D5" w:rsidRPr="004425E9" w:rsidRDefault="0037765A" w:rsidP="004425E9">
      <w:pPr>
        <w:pStyle w:val="ListParagraph"/>
        <w:numPr>
          <w:ilvl w:val="0"/>
          <w:numId w:val="7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gravidní samicí v druhé polovině gravidity nebo kojící samicí,</w:t>
      </w:r>
    </w:p>
    <w:p w:rsidR="007C67D5" w:rsidRPr="004425E9" w:rsidRDefault="0037765A" w:rsidP="004425E9">
      <w:pPr>
        <w:pStyle w:val="ListParagraph"/>
        <w:numPr>
          <w:ilvl w:val="0"/>
          <w:numId w:val="7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fyzicky vyčerpané, nemocné nebo jeví příznak choroby,</w:t>
      </w:r>
    </w:p>
    <w:p w:rsidR="006403F7" w:rsidRPr="004425E9" w:rsidRDefault="0037765A" w:rsidP="004425E9">
      <w:pPr>
        <w:pStyle w:val="ListParagraph"/>
        <w:numPr>
          <w:ilvl w:val="0"/>
          <w:numId w:val="7"/>
        </w:numPr>
        <w:spacing w:before="120" w:after="120"/>
        <w:ind w:left="426" w:hanging="426"/>
        <w:contextualSpacing w:val="0"/>
        <w:jc w:val="both"/>
        <w:rPr>
          <w:sz w:val="24"/>
        </w:rPr>
      </w:pPr>
      <w:r>
        <w:rPr>
          <w:sz w:val="24"/>
        </w:rPr>
        <w:t>pod vlivem dopingu, omamné látky nebo chemické látky, která poškozuje jeho zdraví nebo která navozuje jeho nefyziologický stav (dále jen „zakázaná látka“), nebo které přes podezření z užití zakázané látky není podrobeno vyšetření pro její zjištění,</w:t>
      </w:r>
    </w:p>
    <w:p w:rsidR="006403F7" w:rsidRPr="004425E9" w:rsidRDefault="0037765A" w:rsidP="004425E9">
      <w:pPr>
        <w:pStyle w:val="ListParagraph"/>
        <w:numPr>
          <w:ilvl w:val="0"/>
          <w:numId w:val="7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přepravené do manéže nevhodným způsobem, nevhodným prostředkem nebo v rozporu se zvláštním předpisem</w:t>
      </w:r>
      <w:r>
        <w:rPr>
          <w:vertAlign w:val="superscript"/>
        </w:rPr>
        <w:footnoteReference w:id="3"/>
      </w:r>
      <w:r>
        <w:rPr>
          <w:sz w:val="24"/>
        </w:rPr>
        <w:t>) který upravuje podmínky přepravy zvířete,</w:t>
      </w:r>
    </w:p>
    <w:p w:rsidR="00176A85" w:rsidRPr="004425E9" w:rsidRDefault="00176A85" w:rsidP="004425E9">
      <w:pPr>
        <w:pStyle w:val="ListParagraph"/>
        <w:numPr>
          <w:ilvl w:val="0"/>
          <w:numId w:val="7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ve stresu nebo které projevuje známky frustrace nebo nervozity.</w:t>
      </w:r>
    </w:p>
    <w:p w:rsidR="007C67D5" w:rsidRPr="004425E9" w:rsidRDefault="0037765A" w:rsidP="004425E9">
      <w:pPr>
        <w:spacing w:before="120" w:after="120"/>
        <w:ind w:firstLine="450"/>
        <w:jc w:val="both"/>
      </w:pPr>
      <w:r>
        <w:rPr>
          <w:sz w:val="24"/>
        </w:rPr>
        <w:t>(7) K odbourání strachu zvířete z kontaktu s člověkem a k vytvoření vztahu a respektu k člověku, kdy si zvíře zvyká na manipulaci, slouží tyto dorozumívací prostředky:</w:t>
      </w:r>
    </w:p>
    <w:p w:rsidR="007C67D5" w:rsidRPr="004425E9" w:rsidRDefault="0037765A" w:rsidP="004425E9">
      <w:pPr>
        <w:pStyle w:val="ListParagraph"/>
        <w:numPr>
          <w:ilvl w:val="0"/>
          <w:numId w:val="10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hlasové podněty,</w:t>
      </w:r>
    </w:p>
    <w:p w:rsidR="007C67D5" w:rsidRPr="004425E9" w:rsidRDefault="0037765A" w:rsidP="004425E9">
      <w:pPr>
        <w:pStyle w:val="ListParagraph"/>
        <w:numPr>
          <w:ilvl w:val="0"/>
          <w:numId w:val="10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bezkontaktní podněty částmi těla (řeč těla),</w:t>
      </w:r>
    </w:p>
    <w:p w:rsidR="007C67D5" w:rsidRPr="004425E9" w:rsidRDefault="0037765A" w:rsidP="004425E9">
      <w:pPr>
        <w:pStyle w:val="ListParagraph"/>
        <w:numPr>
          <w:ilvl w:val="0"/>
          <w:numId w:val="10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dotyky a kontaktní podněty, které nezpůsobí zvířeti bolest,</w:t>
      </w:r>
    </w:p>
    <w:p w:rsidR="007C67D5" w:rsidRPr="004425E9" w:rsidRDefault="0037765A" w:rsidP="004425E9">
      <w:pPr>
        <w:pStyle w:val="ListParagraph"/>
        <w:numPr>
          <w:ilvl w:val="0"/>
          <w:numId w:val="10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vedení zvířete,</w:t>
      </w:r>
    </w:p>
    <w:p w:rsidR="007C67D5" w:rsidRPr="004425E9" w:rsidRDefault="0037765A" w:rsidP="004425E9">
      <w:pPr>
        <w:pStyle w:val="ListParagraph"/>
        <w:numPr>
          <w:ilvl w:val="0"/>
          <w:numId w:val="10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odměna zvířete.</w:t>
      </w:r>
    </w:p>
    <w:p w:rsidR="007C67D5" w:rsidRPr="00622549" w:rsidRDefault="0037765A" w:rsidP="004425E9">
      <w:pPr>
        <w:spacing w:before="120" w:after="120"/>
        <w:ind w:firstLine="450"/>
        <w:jc w:val="both"/>
        <w:rPr>
          <w:sz w:val="24"/>
        </w:rPr>
      </w:pPr>
      <w:r>
        <w:rPr>
          <w:sz w:val="24"/>
        </w:rPr>
        <w:t xml:space="preserve">(8) Dorozumívací prostředky podle odstavce 7 se používají pro daného jedince srozumitelně, využívají se důsledně, s minimální námahou a tak, že zvířeti nezpůsobují stres, psychické utrpení nebo fyzické utrpení. </w:t>
      </w:r>
      <w:r>
        <w:rPr>
          <w:sz w:val="24"/>
        </w:rPr>
        <w:t xml:space="preserve">Nové pomůcky, které se používají při drezuře zvířete, je nutno zvířeti postupně představit tak, že zvíře v jejich přítomnosti neprojevuje známky stresu ani jiného psychického utrpení. </w:t>
      </w:r>
      <w:r>
        <w:rPr>
          <w:sz w:val="24"/>
        </w:rPr>
        <w:t>Na nové pomůcky, které se použijí při drezuře zvířete, si zvíře zvyká pomalu a postupně.</w:t>
      </w:r>
    </w:p>
    <w:p w:rsidR="007C67D5" w:rsidRPr="004425E9" w:rsidRDefault="0037765A" w:rsidP="004425E9">
      <w:pPr>
        <w:keepNext/>
        <w:keepLines/>
        <w:spacing w:before="120" w:after="120"/>
        <w:ind w:firstLine="450"/>
        <w:jc w:val="both"/>
      </w:pPr>
      <w:r>
        <w:rPr>
          <w:sz w:val="24"/>
        </w:rPr>
        <w:t>(9) Při drezuře zvířete se</w:t>
      </w:r>
    </w:p>
    <w:p w:rsidR="007C67D5" w:rsidRPr="004425E9" w:rsidRDefault="0037765A" w:rsidP="004425E9">
      <w:pPr>
        <w:pStyle w:val="ListParagraph"/>
        <w:numPr>
          <w:ilvl w:val="0"/>
          <w:numId w:val="13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využívají pouze přirozené vlastnosti zvířete,</w:t>
      </w:r>
    </w:p>
    <w:p w:rsidR="007C67D5" w:rsidRPr="004425E9" w:rsidRDefault="0037765A" w:rsidP="004425E9">
      <w:pPr>
        <w:pStyle w:val="ListParagraph"/>
        <w:numPr>
          <w:ilvl w:val="0"/>
          <w:numId w:val="13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zohledňují schopnosti zvířete pro hru,</w:t>
      </w:r>
    </w:p>
    <w:p w:rsidR="007C67D5" w:rsidRPr="004425E9" w:rsidRDefault="0037765A" w:rsidP="004425E9">
      <w:pPr>
        <w:pStyle w:val="ListParagraph"/>
        <w:numPr>
          <w:ilvl w:val="0"/>
          <w:numId w:val="13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vyvolávají pozitivní podněty na zvíře,</w:t>
      </w:r>
    </w:p>
    <w:p w:rsidR="007C67D5" w:rsidRPr="004425E9" w:rsidRDefault="0037765A" w:rsidP="004425E9">
      <w:pPr>
        <w:pStyle w:val="ListParagraph"/>
        <w:numPr>
          <w:ilvl w:val="0"/>
          <w:numId w:val="13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upevňují požadované návyky, cviky a triky s využitím odměny zvířete za správný výkon,</w:t>
      </w:r>
    </w:p>
    <w:p w:rsidR="007C67D5" w:rsidRPr="004425E9" w:rsidRDefault="0037765A" w:rsidP="004425E9">
      <w:pPr>
        <w:pStyle w:val="ListParagraph"/>
        <w:numPr>
          <w:ilvl w:val="0"/>
          <w:numId w:val="13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využívají pomůcky, které jsou zaoblené a bez vyčnívajících částí.</w:t>
      </w:r>
    </w:p>
    <w:p w:rsidR="007C67D5" w:rsidRPr="004425E9" w:rsidRDefault="0037765A" w:rsidP="004425E9">
      <w:pPr>
        <w:keepNext/>
        <w:keepLines/>
        <w:spacing w:before="120" w:after="120"/>
        <w:ind w:firstLine="450"/>
        <w:jc w:val="both"/>
      </w:pPr>
      <w:r>
        <w:rPr>
          <w:sz w:val="24"/>
        </w:rPr>
        <w:t>(10) Při drezuře zvířete se nepoužívá</w:t>
      </w:r>
    </w:p>
    <w:p w:rsidR="007C67D5" w:rsidRPr="004425E9" w:rsidRDefault="0037765A" w:rsidP="004425E9">
      <w:pPr>
        <w:pStyle w:val="ListParagraph"/>
        <w:numPr>
          <w:ilvl w:val="0"/>
          <w:numId w:val="15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oheň nebo jiný podnět, který může zvířeti způsobit bolest termickými nebo jinými vlivy fyzikální povahy nebo chemické povahy,</w:t>
      </w:r>
    </w:p>
    <w:p w:rsidR="007C67D5" w:rsidRPr="004425E9" w:rsidRDefault="0037765A" w:rsidP="004425E9">
      <w:pPr>
        <w:pStyle w:val="ListParagraph"/>
        <w:numPr>
          <w:ilvl w:val="0"/>
          <w:numId w:val="15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hladovění zvířete nebo výrazné omezení krmení zvířete, které může ohrozit zdraví zvířete,</w:t>
      </w:r>
    </w:p>
    <w:p w:rsidR="007C67D5" w:rsidRPr="004425E9" w:rsidRDefault="0037765A" w:rsidP="004425E9">
      <w:pPr>
        <w:pStyle w:val="ListParagraph"/>
        <w:numPr>
          <w:ilvl w:val="0"/>
          <w:numId w:val="15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pomůcka omezující pohyb končetin zvířete,</w:t>
      </w:r>
    </w:p>
    <w:p w:rsidR="007C67D5" w:rsidRPr="004425E9" w:rsidRDefault="0037765A" w:rsidP="004425E9">
      <w:pPr>
        <w:pStyle w:val="ListParagraph"/>
        <w:numPr>
          <w:ilvl w:val="0"/>
          <w:numId w:val="15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pomůcka nebo vybavení využívající elektrický impulz,</w:t>
      </w:r>
    </w:p>
    <w:p w:rsidR="007C67D5" w:rsidRPr="004425E9" w:rsidRDefault="0037765A" w:rsidP="004425E9">
      <w:pPr>
        <w:pStyle w:val="ListParagraph"/>
        <w:numPr>
          <w:ilvl w:val="0"/>
          <w:numId w:val="15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látka ovlivňující vnímání zvířete,</w:t>
      </w:r>
    </w:p>
    <w:p w:rsidR="007C67D5" w:rsidRPr="004425E9" w:rsidRDefault="0037765A" w:rsidP="004425E9">
      <w:pPr>
        <w:pStyle w:val="ListParagraph"/>
        <w:numPr>
          <w:ilvl w:val="0"/>
          <w:numId w:val="15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překážka nebo jiná pomůcka, která může ohrozit zdraví zvířete, zejména překážka nebo jiná pomůcka s ostrými hranami a výčnělky.</w:t>
      </w:r>
    </w:p>
    <w:p w:rsidR="007C67D5" w:rsidRPr="004425E9" w:rsidRDefault="0037765A" w:rsidP="004425E9">
      <w:pPr>
        <w:spacing w:before="120" w:after="120"/>
        <w:ind w:firstLine="450"/>
        <w:jc w:val="both"/>
      </w:pPr>
      <w:r>
        <w:rPr>
          <w:sz w:val="24"/>
        </w:rPr>
        <w:t>(11) Při drezuře zvířete se používá výstroj a pomůcky, které zvířeti nezpůsobí stres, psychické utrpení nebo fyzické utrpení a které jsou přiměřené stavbě těla, věkovým schopnostem a výkonnosti zvířete; výstroj a pomůcky jsou v takovém stavu, že jejich použití vylučuje poranění zvířete, utrpení zvířete a nebo poškození zdraví zvířete.</w:t>
      </w:r>
    </w:p>
    <w:p w:rsidR="007C67D5" w:rsidRPr="004425E9" w:rsidRDefault="0037765A" w:rsidP="004425E9">
      <w:pPr>
        <w:spacing w:before="120" w:after="120"/>
        <w:ind w:firstLine="450"/>
        <w:jc w:val="both"/>
      </w:pPr>
      <w:r>
        <w:rPr>
          <w:sz w:val="24"/>
        </w:rPr>
        <w:t xml:space="preserve">(12) Způsob drezury zvířete a čas trvání drezury zvířete odpovídá druhu, věku, tělesnému vývoji a chování zvířete. </w:t>
      </w:r>
      <w:r>
        <w:rPr>
          <w:sz w:val="24"/>
        </w:rPr>
        <w:t>Při drezuře zvířete se přihlíží k původu, pohlaví, sociálnímu postavení, zdravotnímu stavu, momentálnímu psychickému stavu zvířete a situaci v okolí zvířete.</w:t>
      </w:r>
    </w:p>
    <w:p w:rsidR="007C67D5" w:rsidRPr="004425E9" w:rsidRDefault="0037765A" w:rsidP="004425E9">
      <w:pPr>
        <w:spacing w:before="120" w:after="120"/>
        <w:ind w:firstLine="450"/>
        <w:jc w:val="both"/>
      </w:pPr>
      <w:r>
        <w:rPr>
          <w:sz w:val="24"/>
        </w:rPr>
        <w:t>(13) Zvíře se použije pro účely veřejného vystoupení pouze tehdy, pokud absolvuje přiměřený výcvik a je zvyklé na podmínky veřejného vystoupení.</w:t>
      </w:r>
    </w:p>
    <w:p w:rsidR="007C67D5" w:rsidRPr="004425E9" w:rsidRDefault="0037765A" w:rsidP="004425E9">
      <w:pPr>
        <w:spacing w:before="120" w:after="120"/>
        <w:ind w:firstLine="450"/>
        <w:jc w:val="both"/>
      </w:pPr>
      <w:r>
        <w:rPr>
          <w:sz w:val="24"/>
        </w:rPr>
        <w:t>(14) Zvíře se pro účely veřejného vystoupení používá čisté a ošetřené.</w:t>
      </w:r>
    </w:p>
    <w:p w:rsidR="007C67D5" w:rsidRPr="004425E9" w:rsidRDefault="0037765A" w:rsidP="004425E9">
      <w:pPr>
        <w:keepNext/>
        <w:keepLines/>
        <w:spacing w:before="120" w:after="120"/>
        <w:ind w:firstLine="450"/>
        <w:jc w:val="both"/>
      </w:pPr>
      <w:r>
        <w:rPr>
          <w:sz w:val="24"/>
        </w:rPr>
        <w:t>(15) Zahájená drezura zvířete se ukončí, pokud</w:t>
      </w:r>
    </w:p>
    <w:p w:rsidR="007C67D5" w:rsidRPr="004425E9" w:rsidRDefault="0037765A" w:rsidP="004425E9">
      <w:pPr>
        <w:pStyle w:val="ListParagraph"/>
        <w:numPr>
          <w:ilvl w:val="0"/>
          <w:numId w:val="18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je zvíře unavené a další pokračování drezury si vyžaduje jeho nadměrné pohánění,</w:t>
      </w:r>
    </w:p>
    <w:p w:rsidR="007C67D5" w:rsidRPr="004425E9" w:rsidRDefault="0037765A" w:rsidP="004425E9">
      <w:pPr>
        <w:pStyle w:val="ListParagraph"/>
        <w:numPr>
          <w:ilvl w:val="0"/>
          <w:numId w:val="18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zvíře není správně ovládáno nebo pokud se s ním jinak hrubě zachází,</w:t>
      </w:r>
    </w:p>
    <w:p w:rsidR="007C67D5" w:rsidRPr="004425E9" w:rsidRDefault="0037765A" w:rsidP="004425E9">
      <w:pPr>
        <w:pStyle w:val="ListParagraph"/>
        <w:numPr>
          <w:ilvl w:val="0"/>
          <w:numId w:val="18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se nadměrně používá bič nebo jiná pomůcka pro drezuru zvířete, která bič nahrazuje,</w:t>
      </w:r>
    </w:p>
    <w:p w:rsidR="007C67D5" w:rsidRPr="004425E9" w:rsidRDefault="0037765A" w:rsidP="004425E9">
      <w:pPr>
        <w:pStyle w:val="ListParagraph"/>
        <w:numPr>
          <w:ilvl w:val="0"/>
          <w:numId w:val="18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se na zvířeti projeví příznak choroby, stresu nebo jiný příznak, který může vést k utrpení zvířete,</w:t>
      </w:r>
    </w:p>
    <w:p w:rsidR="007C67D5" w:rsidRPr="004425E9" w:rsidRDefault="0037765A" w:rsidP="004425E9">
      <w:pPr>
        <w:pStyle w:val="ListParagraph"/>
        <w:numPr>
          <w:ilvl w:val="0"/>
          <w:numId w:val="18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během drezury dojde k poškození pomůcky, která se při drezuře zvířete využívá, nebo k poškození výstroje, kterou má zvíře během drezury na sobě a další pokračování v drezuře může z důvodu poškození pomůcky nebo výstroje způsobit zvířeti utrpení,</w:t>
      </w:r>
    </w:p>
    <w:p w:rsidR="007C67D5" w:rsidRPr="004425E9" w:rsidRDefault="0037765A" w:rsidP="004425E9">
      <w:pPr>
        <w:pStyle w:val="ListParagraph"/>
        <w:numPr>
          <w:ilvl w:val="0"/>
          <w:numId w:val="18"/>
        </w:numPr>
        <w:spacing w:before="120" w:after="120"/>
        <w:ind w:left="426" w:hanging="426"/>
        <w:contextualSpacing w:val="0"/>
        <w:jc w:val="both"/>
      </w:pPr>
      <w:r>
        <w:rPr>
          <w:sz w:val="24"/>
        </w:rPr>
        <w:t>se drezura zvířete uskutečňuje v rozporu s některou podmínkou podle odstavců 1 až 14.</w:t>
      </w:r>
    </w:p>
    <w:p w:rsidR="007C67D5" w:rsidRPr="004425E9" w:rsidRDefault="0037765A" w:rsidP="004425E9">
      <w:pPr>
        <w:spacing w:before="120" w:after="120"/>
        <w:jc w:val="center"/>
      </w:pPr>
      <w:r>
        <w:rPr>
          <w:b/>
          <w:sz w:val="24"/>
        </w:rPr>
        <w:t>§ 4</w:t>
      </w:r>
    </w:p>
    <w:p w:rsidR="007C67D5" w:rsidRPr="004425E9" w:rsidRDefault="0037765A" w:rsidP="004425E9">
      <w:pPr>
        <w:spacing w:before="120" w:after="120"/>
        <w:ind w:firstLine="708"/>
        <w:jc w:val="both"/>
      </w:pPr>
      <w:r>
        <w:rPr>
          <w:sz w:val="24"/>
        </w:rPr>
        <w:t>Seznam zvířat, jejichž použití pro účely veřejného vystoupení nebo výcviku za účelem veřejného vystoupení je zakázáno, je uvedený v příloze.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403F7" w:rsidRPr="004425E9" w:rsidRDefault="006403F7" w:rsidP="004425E9">
      <w:pPr>
        <w:spacing w:before="120" w:after="120"/>
        <w:jc w:val="center"/>
        <w:rPr>
          <w:b/>
          <w:sz w:val="24"/>
        </w:rPr>
      </w:pPr>
    </w:p>
    <w:p w:rsidR="007C67D5" w:rsidRPr="004425E9" w:rsidRDefault="0037765A" w:rsidP="004425E9">
      <w:pPr>
        <w:keepNext/>
        <w:keepLines/>
        <w:spacing w:before="120" w:after="120"/>
        <w:jc w:val="center"/>
      </w:pPr>
      <w:r>
        <w:rPr>
          <w:b/>
          <w:sz w:val="24"/>
        </w:rPr>
        <w:t>§ 5</w:t>
      </w:r>
    </w:p>
    <w:p w:rsidR="007C67D5" w:rsidRPr="004425E9" w:rsidRDefault="0037765A" w:rsidP="004425E9">
      <w:pPr>
        <w:spacing w:before="120" w:after="120"/>
        <w:ind w:firstLine="708"/>
        <w:jc w:val="both"/>
      </w:pPr>
      <w:r>
        <w:rPr>
          <w:sz w:val="24"/>
        </w:rPr>
        <w:t>Tato vyhláška byla přijata v souladu s právně závazným aktem Evropské unie v oblasti technických předpisů.</w:t>
      </w:r>
      <w:r>
        <w:rPr>
          <w:sz w:val="24"/>
          <w:vertAlign w:val="superscript"/>
        </w:rPr>
        <w:footnoteReference w:id="4"/>
      </w:r>
      <w:r>
        <w:rPr>
          <w:sz w:val="24"/>
        </w:rPr>
        <w:t>)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403F7" w:rsidRPr="004425E9" w:rsidRDefault="006403F7" w:rsidP="004425E9">
      <w:pPr>
        <w:spacing w:before="120" w:after="120"/>
        <w:jc w:val="center"/>
        <w:rPr>
          <w:b/>
          <w:sz w:val="24"/>
        </w:rPr>
      </w:pPr>
    </w:p>
    <w:p w:rsidR="007C67D5" w:rsidRPr="004425E9" w:rsidRDefault="0037765A" w:rsidP="004425E9">
      <w:pPr>
        <w:keepNext/>
        <w:keepLines/>
        <w:spacing w:before="120" w:after="120"/>
        <w:jc w:val="center"/>
      </w:pPr>
      <w:r>
        <w:rPr>
          <w:b/>
          <w:sz w:val="24"/>
        </w:rPr>
        <w:t>§ 6</w:t>
      </w:r>
    </w:p>
    <w:p w:rsidR="007C67D5" w:rsidRPr="004425E9" w:rsidRDefault="0037765A" w:rsidP="004425E9">
      <w:pPr>
        <w:keepNext/>
        <w:keepLines/>
        <w:spacing w:before="120" w:after="120"/>
        <w:jc w:val="center"/>
      </w:pPr>
      <w:r>
        <w:rPr>
          <w:b/>
          <w:sz w:val="24"/>
        </w:rPr>
        <w:t>Účinnost</w:t>
      </w:r>
    </w:p>
    <w:p w:rsidR="007C67D5" w:rsidRPr="004425E9" w:rsidRDefault="0037765A" w:rsidP="004425E9">
      <w:pPr>
        <w:spacing w:before="120" w:after="120"/>
        <w:ind w:firstLine="708"/>
        <w:jc w:val="both"/>
      </w:pPr>
      <w:r>
        <w:rPr>
          <w:sz w:val="24"/>
        </w:rPr>
        <w:t>Tato vyhláška nabývá platnosti 1. září 2019.</w:t>
      </w:r>
    </w:p>
    <w:p w:rsidR="007C67D5" w:rsidRPr="004425E9" w:rsidRDefault="004425E9" w:rsidP="004425E9">
      <w:pPr>
        <w:keepNext/>
        <w:keepLines/>
        <w:pageBreakBefore/>
        <w:spacing w:after="200"/>
        <w:ind w:left="6372"/>
        <w:rPr>
          <w:sz w:val="24"/>
        </w:rPr>
      </w:pPr>
      <w:r>
        <w:rPr>
          <w:sz w:val="24"/>
        </w:rPr>
        <w:t>Příloha</w:t>
      </w:r>
      <w:r>
        <w:rPr>
          <w:sz w:val="24"/>
        </w:rPr>
        <w:br/>
      </w:r>
      <w:r>
        <w:rPr>
          <w:sz w:val="24"/>
        </w:rPr>
        <w:t xml:space="preserve">k vyhlášce č. ... </w:t>
      </w:r>
      <w:r>
        <w:rPr>
          <w:sz w:val="24"/>
        </w:rPr>
        <w:t>/2019 Z. z.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6403F7" w:rsidRPr="004425E9" w:rsidRDefault="006403F7" w:rsidP="004425E9">
      <w:pPr>
        <w:keepNext/>
        <w:keepLines/>
        <w:spacing w:after="200"/>
        <w:ind w:left="6372"/>
      </w:pPr>
    </w:p>
    <w:p w:rsidR="007C67D5" w:rsidRPr="004425E9" w:rsidRDefault="0037765A" w:rsidP="004425E9">
      <w:pPr>
        <w:keepNext/>
        <w:keepLines/>
        <w:spacing w:after="200"/>
        <w:jc w:val="center"/>
      </w:pPr>
      <w:r>
        <w:rPr>
          <w:b/>
          <w:sz w:val="24"/>
        </w:rPr>
        <w:t xml:space="preserve">Seznam zvířat, jejichž použití pro účely veřejného vystoupení nebo výcviku za účelem veřejného vystoupení je zakázáno </w:t>
      </w:r>
    </w:p>
    <w:p w:rsidR="007C67D5" w:rsidRPr="004425E9" w:rsidRDefault="00C774F3" w:rsidP="004425E9">
      <w:pPr>
        <w:keepNext/>
        <w:keepLines/>
        <w:ind w:firstLine="425"/>
        <w:rPr>
          <w:sz w:val="24"/>
          <w:szCs w:val="24"/>
        </w:rPr>
      </w:pPr>
      <w:r>
        <w:rPr>
          <w:sz w:val="24"/>
        </w:rPr>
        <w:t>Zvířata, jejichž použití pro účely veřejného vystoupení nebo výcviku za účelem veřejného vystoupení je zakázáno, jsou zvířata z</w:t>
      </w:r>
    </w:p>
    <w:p w:rsidR="007C67D5" w:rsidRPr="004425E9" w:rsidRDefault="0037765A" w:rsidP="004425E9">
      <w:pPr>
        <w:pStyle w:val="ListParagraph"/>
        <w:numPr>
          <w:ilvl w:val="0"/>
          <w:numId w:val="19"/>
        </w:numPr>
        <w:spacing w:before="120" w:after="120"/>
        <w:ind w:left="425" w:hanging="425"/>
        <w:jc w:val="both"/>
      </w:pPr>
      <w:r>
        <w:rPr>
          <w:sz w:val="24"/>
        </w:rPr>
        <w:t>řádu šelmy (Carnivora) s výjimkou psa domácího (Canis lupus familiaris), kočky domácí (Felis silvestris catus) a fretky domácí (Mustela putorius Furo),</w:t>
      </w:r>
    </w:p>
    <w:p w:rsidR="007C67D5" w:rsidRPr="004425E9" w:rsidRDefault="0037765A" w:rsidP="004425E9">
      <w:pPr>
        <w:pStyle w:val="ListParagraph"/>
        <w:numPr>
          <w:ilvl w:val="0"/>
          <w:numId w:val="19"/>
        </w:numPr>
        <w:spacing w:before="120" w:after="120"/>
        <w:ind w:left="425" w:hanging="425"/>
      </w:pPr>
      <w:r>
        <w:rPr>
          <w:sz w:val="24"/>
        </w:rPr>
        <w:t xml:space="preserve">řádu primáti (Primates), </w:t>
      </w:r>
    </w:p>
    <w:p w:rsidR="007C67D5" w:rsidRPr="004425E9" w:rsidRDefault="0037765A" w:rsidP="004425E9">
      <w:pPr>
        <w:pStyle w:val="ListParagraph"/>
        <w:numPr>
          <w:ilvl w:val="0"/>
          <w:numId w:val="19"/>
        </w:numPr>
        <w:spacing w:before="120" w:after="120"/>
        <w:ind w:left="425" w:hanging="425"/>
        <w:jc w:val="both"/>
      </w:pPr>
      <w:r>
        <w:rPr>
          <w:sz w:val="24"/>
        </w:rPr>
        <w:t>čeledi slonovití (Elephantidae),</w:t>
      </w:r>
    </w:p>
    <w:p w:rsidR="007C67D5" w:rsidRPr="004425E9" w:rsidRDefault="0037765A" w:rsidP="004425E9">
      <w:pPr>
        <w:pStyle w:val="ListParagraph"/>
        <w:numPr>
          <w:ilvl w:val="0"/>
          <w:numId w:val="19"/>
        </w:numPr>
        <w:spacing w:before="120" w:after="120"/>
        <w:ind w:left="425" w:hanging="425"/>
      </w:pPr>
      <w:r>
        <w:rPr>
          <w:sz w:val="24"/>
        </w:rPr>
        <w:t>čeledi delfínovití (Delphindae),</w:t>
      </w:r>
    </w:p>
    <w:p w:rsidR="00DE5997" w:rsidRPr="004425E9" w:rsidRDefault="0037765A" w:rsidP="004425E9">
      <w:pPr>
        <w:pStyle w:val="ListParagraph"/>
        <w:numPr>
          <w:ilvl w:val="0"/>
          <w:numId w:val="19"/>
        </w:numPr>
        <w:spacing w:before="120" w:after="120"/>
        <w:ind w:left="425" w:hanging="425"/>
        <w:jc w:val="both"/>
        <w:rPr>
          <w:sz w:val="24"/>
        </w:rPr>
      </w:pPr>
      <w:r>
        <w:rPr>
          <w:sz w:val="24"/>
        </w:rPr>
        <w:t>čeledi hrochovití (Hippopotamidae),</w:t>
      </w:r>
    </w:p>
    <w:p w:rsidR="007C67D5" w:rsidRPr="004425E9" w:rsidRDefault="00E23F9D" w:rsidP="004425E9">
      <w:pPr>
        <w:pStyle w:val="ListParagraph"/>
        <w:numPr>
          <w:ilvl w:val="0"/>
          <w:numId w:val="19"/>
        </w:numPr>
        <w:spacing w:before="120" w:after="120"/>
        <w:ind w:left="425" w:hanging="425"/>
        <w:jc w:val="both"/>
        <w:rPr>
          <w:sz w:val="24"/>
        </w:rPr>
      </w:pPr>
      <w:r>
        <w:rPr>
          <w:sz w:val="24"/>
        </w:rPr>
        <w:t>čeledi žirafovití (Giraffidae),</w:t>
      </w:r>
    </w:p>
    <w:p w:rsidR="00E23F9D" w:rsidRPr="004425E9" w:rsidRDefault="00E23F9D" w:rsidP="004425E9">
      <w:pPr>
        <w:pStyle w:val="ListParagraph"/>
        <w:numPr>
          <w:ilvl w:val="0"/>
          <w:numId w:val="19"/>
        </w:numPr>
        <w:spacing w:before="120" w:after="120"/>
        <w:ind w:left="425" w:hanging="425"/>
        <w:jc w:val="both"/>
      </w:pPr>
      <w:r>
        <w:rPr>
          <w:sz w:val="24"/>
        </w:rPr>
        <w:t>čeledi nosorožcovití (Rhinocerotidae).</w:t>
      </w: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E23F9D" w:rsidRPr="004425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w15="http://schemas.microsoft.com/office/word/2012/wordml" w:type="separator" w:id="-1">
    <w:p w:rsidR="00A55742" w:rsidRDefault="00A55742">
      <w:pPr/>
      <w:r>
        <w:separator/>
      </w:r>
    </w:p>
  </w:endnote>
  <w:endnote xmlns:w15="http://schemas.microsoft.com/office/word/2012/wordml" w:type="continuationSeparator" w:id="0">
    <w:p w:rsidR="00A55742" w:rsidRDefault="00A55742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991278"/>
      <w:docPartObj>
        <w:docPartGallery w:val="Page Numbers (Bottom of Page)"/>
        <w:docPartUnique/>
      </w:docPartObj>
    </w:sdtPr>
    <w:sdtEndPr/>
    <w:sdtContent>
      <w:p w:rsidR="00D8362D" w:rsidRDefault="00D8362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549">
          <w:rPr>
            <w:noProof/>
          </w:rPr>
          <w:t>1</w:t>
        </w:r>
        <w:r>
          <w:fldChar w:fldCharType="end"/>
        </w:r>
      </w:p>
    </w:sdtContent>
  </w:sdt>
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8362D" w:rsidRDefault="00D8362D">
    <w:pPr>
      <w:pStyle w:val="Footer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w15="http://schemas.microsoft.com/office/word/2012/wordml" w:type="separator" w:id="-1">
    <w:p w:rsidR="00A55742" w:rsidRDefault="00A55742">
      <w:pPr/>
      <w:r>
        <w:separator/>
      </w:r>
    </w:p>
  </w:footnote>
  <w:footnote xmlns:w15="http://schemas.microsoft.com/office/word/2012/wordml" w:type="continuationSeparator" w:id="0">
    <w:p w:rsidR="00A55742" w:rsidRDefault="00A55742">
      <w:pPr/>
      <w:r>
        <w:continuationSeparator/>
      </w:r>
    </w:p>
  </w:footnote>
  <w:footnote xmlns:w="http://schemas.openxmlformats.org/wordprocessingml/2006/main" w:id="1">
    <w:p w:rsidR="007C67D5" w:rsidRDefault="0037765A" w:rsidP="004425E9">
      <w:pPr>
        <w:pStyle w:val="FootnoteText"/>
        <w:ind w:left="284" w:hanging="284"/>
        <w:jc w:val="both"/>
      </w:pPr>
      <w:r>
        <w:rPr>
          <w:vertAlign w:val="superscript"/>
        </w:rPr>
        <w:t>1</w:t>
      </w:r>
      <w:r>
        <w:t>)</w:t>
      </w:r>
      <w:r>
        <w:tab/>
      </w:r>
      <w:r>
        <w:t>§ 44 a 45 zákona č. 543/2002 Z. z. o ochraně přírody a krajiny ve znění pozdějších předpisů.</w:t>
      </w:r>
    </w:p>
  </w:footnote>
  <w:footnote xmlns:w="http://schemas.openxmlformats.org/wordprocessingml/2006/main" w:id="2">
    <w:p w:rsidR="00D537DF" w:rsidRDefault="00D537DF" w:rsidP="006403F7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t>)</w:t>
      </w:r>
      <w:r>
        <w:tab/>
      </w:r>
      <w:r>
        <w:t>Například § 50 odst. 1 písm. f) a g) zákona Národní rady Slovenské republiky č. 171/1993 Z. z. o Policejním sboru ve znění pozdějších předpisů, § 14 odst. 1 písm. b) zákona č. 321/2002 Z. z. o ozbrojených silách Slovenské republiky.</w:t>
      </w:r>
    </w:p>
  </w:footnote>
  <w:footnote xmlns:w="http://schemas.openxmlformats.org/wordprocessingml/2006/main" w:id="3">
    <w:p w:rsidR="007C67D5" w:rsidRDefault="00542CD2" w:rsidP="006403F7">
      <w:pPr>
        <w:ind w:left="284" w:hanging="284"/>
        <w:jc w:val="both"/>
      </w:pPr>
      <w:r>
        <w:rPr>
          <w:vertAlign w:val="superscript"/>
        </w:rPr>
        <w:t>3</w:t>
      </w:r>
      <w:r>
        <w:t>)</w:t>
      </w:r>
      <w:r>
        <w:tab/>
      </w:r>
      <w:r>
        <w:t>Nařízení Rady (ES) č. 1/2005 ze dne 22. prosince 2004 o ochraně zvířat během přepravy a s ní souvisejících činností a o změně a doplnění směrnic 64/432/EHS a 93/119/ES a nařízení (ES) č. 1255/97 (Úř. věst. L 3, 5.1.2005) v platném znění.</w:t>
      </w:r>
    </w:p>
  </w:footnote>
  <w:footnote xmlns:w="http://schemas.openxmlformats.org/wordprocessingml/2006/main" w:id="4">
    <w:p w:rsidR="007C67D5" w:rsidRDefault="00542CD2" w:rsidP="006403F7">
      <w:pPr>
        <w:ind w:left="284" w:hanging="284"/>
        <w:jc w:val="both"/>
      </w:pPr>
      <w:r>
        <w:rPr>
          <w:vertAlign w:val="superscript"/>
        </w:rPr>
        <w:t>4</w:t>
      </w:r>
      <w:r>
        <w:t>)</w:t>
      </w:r>
      <w:r>
        <w:tab/>
      </w:r>
      <w:r>
        <w:t>Směrnice Evropského parlamentu a Rady (EU) 2015/1535 ze dne 9. září 2015 o postupu při poskytování informací v oblasti technických předpisů a předpisů pro služby informační společnosti (Úř. věst. L 241, 17.9.2015).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0669"/>
    <w:multiLevelType w:val="hybridMultilevel"/>
    <w:tmpl w:val="57385A36"/>
    <w:lvl w:ilvl="0" w:tplc="328A6930">
      <w:start w:val="1"/>
      <w:numFmt w:val="lowerLetter"/>
      <w:lvlText w:val="%1) "/>
      <w:lvlJc w:val="left"/>
      <w:pPr>
        <w:ind w:left="10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B795849"/>
    <w:multiLevelType w:val="hybridMultilevel"/>
    <w:tmpl w:val="414EB448"/>
    <w:lvl w:ilvl="0" w:tplc="FC60BB0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C23"/>
    <w:multiLevelType w:val="hybridMultilevel"/>
    <w:tmpl w:val="13949974"/>
    <w:lvl w:ilvl="0" w:tplc="4BAC6368">
      <w:start w:val="1"/>
      <w:numFmt w:val="lowerLetter"/>
      <w:lvlText w:val="%1)"/>
      <w:lvlJc w:val="left"/>
      <w:pPr>
        <w:ind w:left="66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EE02F15"/>
    <w:multiLevelType w:val="hybridMultilevel"/>
    <w:tmpl w:val="3C98DBF6"/>
    <w:lvl w:ilvl="0" w:tplc="FC60BB06">
      <w:start w:val="1"/>
      <w:numFmt w:val="lowerLetter"/>
      <w:lvlText w:val="%1)"/>
      <w:lvlJc w:val="left"/>
      <w:pPr>
        <w:ind w:left="66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FE970D8"/>
    <w:multiLevelType w:val="hybridMultilevel"/>
    <w:tmpl w:val="94108F70"/>
    <w:lvl w:ilvl="0" w:tplc="355A22DC">
      <w:start w:val="1"/>
      <w:numFmt w:val="lowerLetter"/>
      <w:lvlText w:val="%1) "/>
      <w:lvlJc w:val="left"/>
      <w:pPr>
        <w:ind w:left="10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5B3A"/>
    <w:multiLevelType w:val="hybridMultilevel"/>
    <w:tmpl w:val="88DCE2B4"/>
    <w:lvl w:ilvl="0" w:tplc="8D6E3278">
      <w:start w:val="1"/>
      <w:numFmt w:val="lowerLetter"/>
      <w:lvlText w:val="%1)"/>
      <w:lvlJc w:val="left"/>
      <w:pPr>
        <w:ind w:left="66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31E13583"/>
    <w:multiLevelType w:val="hybridMultilevel"/>
    <w:tmpl w:val="2FE6D738"/>
    <w:lvl w:ilvl="0" w:tplc="FC60BB06">
      <w:start w:val="1"/>
      <w:numFmt w:val="lowerLetter"/>
      <w:lvlText w:val="%1)"/>
      <w:lvlJc w:val="left"/>
      <w:pPr>
        <w:ind w:left="96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56A7329"/>
    <w:multiLevelType w:val="hybridMultilevel"/>
    <w:tmpl w:val="F26EE760"/>
    <w:lvl w:ilvl="0" w:tplc="1FCC1604">
      <w:start w:val="1"/>
      <w:numFmt w:val="lowerLetter"/>
      <w:lvlText w:val="%1)"/>
      <w:lvlJc w:val="left"/>
      <w:pPr>
        <w:ind w:left="66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3794783E"/>
    <w:multiLevelType w:val="hybridMultilevel"/>
    <w:tmpl w:val="4108659E"/>
    <w:lvl w:ilvl="0" w:tplc="2F4CE9F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B608C"/>
    <w:multiLevelType w:val="hybridMultilevel"/>
    <w:tmpl w:val="8DD21F62"/>
    <w:lvl w:ilvl="0" w:tplc="A5809654">
      <w:start w:val="1"/>
      <w:numFmt w:val="lowerLetter"/>
      <w:lvlText w:val="%1)"/>
      <w:lvlJc w:val="left"/>
      <w:pPr>
        <w:ind w:left="66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4C9E0E9D"/>
    <w:multiLevelType w:val="hybridMultilevel"/>
    <w:tmpl w:val="9AEAAF2C"/>
    <w:lvl w:ilvl="0" w:tplc="A628FAE6">
      <w:start w:val="1"/>
      <w:numFmt w:val="lowerLetter"/>
      <w:lvlText w:val="%1) "/>
      <w:lvlJc w:val="left"/>
      <w:pPr>
        <w:ind w:left="10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4CE4126D"/>
    <w:multiLevelType w:val="hybridMultilevel"/>
    <w:tmpl w:val="57BAF7D0"/>
    <w:lvl w:ilvl="0" w:tplc="FC60BB06">
      <w:start w:val="1"/>
      <w:numFmt w:val="lowerLetter"/>
      <w:lvlText w:val="%1)"/>
      <w:lvlJc w:val="left"/>
      <w:pPr>
        <w:ind w:left="66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4D8E0648"/>
    <w:multiLevelType w:val="hybridMultilevel"/>
    <w:tmpl w:val="38466362"/>
    <w:lvl w:ilvl="0" w:tplc="2F4CE9F0">
      <w:start w:val="1"/>
      <w:numFmt w:val="lowerLetter"/>
      <w:lvlText w:val="%1)"/>
      <w:lvlJc w:val="left"/>
      <w:pPr>
        <w:ind w:left="10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5165676C"/>
    <w:multiLevelType w:val="hybridMultilevel"/>
    <w:tmpl w:val="B740971A"/>
    <w:lvl w:ilvl="0" w:tplc="FC60BB06">
      <w:start w:val="1"/>
      <w:numFmt w:val="lowerLetter"/>
      <w:lvlText w:val="%1)"/>
      <w:lvlJc w:val="left"/>
      <w:pPr>
        <w:ind w:left="66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46AD8"/>
    <w:multiLevelType w:val="hybridMultilevel"/>
    <w:tmpl w:val="2BCE06F2"/>
    <w:lvl w:ilvl="0" w:tplc="B604681E">
      <w:start w:val="1"/>
      <w:numFmt w:val="lowerLetter"/>
      <w:lvlText w:val="%1) "/>
      <w:lvlJc w:val="left"/>
      <w:pPr>
        <w:ind w:left="10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617345D0"/>
    <w:multiLevelType w:val="hybridMultilevel"/>
    <w:tmpl w:val="04C0B146"/>
    <w:lvl w:ilvl="0" w:tplc="FC60BB06">
      <w:start w:val="1"/>
      <w:numFmt w:val="lowerLetter"/>
      <w:lvlText w:val="%1)"/>
      <w:lvlJc w:val="left"/>
      <w:pPr>
        <w:ind w:left="66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720A3BE8"/>
    <w:multiLevelType w:val="hybridMultilevel"/>
    <w:tmpl w:val="89A4DCE4"/>
    <w:lvl w:ilvl="0" w:tplc="3CEC8430">
      <w:start w:val="1"/>
      <w:numFmt w:val="lowerLetter"/>
      <w:lvlText w:val="%1)"/>
      <w:lvlJc w:val="left"/>
      <w:pPr>
        <w:ind w:left="66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73525FC8"/>
    <w:multiLevelType w:val="hybridMultilevel"/>
    <w:tmpl w:val="F46C92E0"/>
    <w:lvl w:ilvl="0" w:tplc="3378D006">
      <w:start w:val="1"/>
      <w:numFmt w:val="lowerLetter"/>
      <w:lvlText w:val="%1)"/>
      <w:lvlJc w:val="left"/>
      <w:pPr>
        <w:ind w:left="66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755D3439"/>
    <w:multiLevelType w:val="hybridMultilevel"/>
    <w:tmpl w:val="3C444674"/>
    <w:lvl w:ilvl="0" w:tplc="AD1A2C0C">
      <w:start w:val="1"/>
      <w:numFmt w:val="lowerLetter"/>
      <w:lvlText w:val="%1) "/>
      <w:lvlJc w:val="left"/>
      <w:pPr>
        <w:ind w:left="10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 w15:restartNumberingAfterBreak="0">
    <w:nsid w:val="7ACA6BCB"/>
    <w:multiLevelType w:val="hybridMultilevel"/>
    <w:tmpl w:val="261C4CD0"/>
    <w:lvl w:ilvl="0" w:tplc="5D12E8E0">
      <w:start w:val="1"/>
      <w:numFmt w:val="lowerLetter"/>
      <w:lvlText w:val="%1) "/>
      <w:lvlJc w:val="left"/>
      <w:pPr>
        <w:ind w:left="10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7"/>
  </w:num>
  <w:num w:numId="5">
    <w:abstractNumId w:val="10"/>
  </w:num>
  <w:num w:numId="6">
    <w:abstractNumId w:val="9"/>
  </w:num>
  <w:num w:numId="7">
    <w:abstractNumId w:val="19"/>
  </w:num>
  <w:num w:numId="8">
    <w:abstractNumId w:val="17"/>
  </w:num>
  <w:num w:numId="9">
    <w:abstractNumId w:val="18"/>
  </w:num>
  <w:num w:numId="10">
    <w:abstractNumId w:val="0"/>
  </w:num>
  <w:num w:numId="11">
    <w:abstractNumId w:val="11"/>
  </w:num>
  <w:num w:numId="12">
    <w:abstractNumId w:val="6"/>
  </w:num>
  <w:num w:numId="13">
    <w:abstractNumId w:val="3"/>
  </w:num>
  <w:num w:numId="14">
    <w:abstractNumId w:val="13"/>
  </w:num>
  <w:num w:numId="15">
    <w:abstractNumId w:val="8"/>
  </w:num>
  <w:num w:numId="16">
    <w:abstractNumId w:val="12"/>
  </w:num>
  <w:num w:numId="17">
    <w:abstractNumId w:val="2"/>
  </w:num>
  <w:num w:numId="18">
    <w:abstractNumId w:val="15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7D5"/>
    <w:rsid w:val="00000C1F"/>
    <w:rsid w:val="000A10C5"/>
    <w:rsid w:val="00123EB6"/>
    <w:rsid w:val="001373ED"/>
    <w:rsid w:val="00176A85"/>
    <w:rsid w:val="001C2483"/>
    <w:rsid w:val="001D5DD5"/>
    <w:rsid w:val="00272B4A"/>
    <w:rsid w:val="002B45BF"/>
    <w:rsid w:val="002D7F58"/>
    <w:rsid w:val="00343D4D"/>
    <w:rsid w:val="00356415"/>
    <w:rsid w:val="00363100"/>
    <w:rsid w:val="0037765A"/>
    <w:rsid w:val="003F63F3"/>
    <w:rsid w:val="004425E9"/>
    <w:rsid w:val="004F2436"/>
    <w:rsid w:val="00542CD2"/>
    <w:rsid w:val="005819D1"/>
    <w:rsid w:val="005C70A6"/>
    <w:rsid w:val="00611ADB"/>
    <w:rsid w:val="0061466F"/>
    <w:rsid w:val="00622549"/>
    <w:rsid w:val="00637B9C"/>
    <w:rsid w:val="006403F7"/>
    <w:rsid w:val="00651A6E"/>
    <w:rsid w:val="00683AF8"/>
    <w:rsid w:val="006C40FD"/>
    <w:rsid w:val="006D7C14"/>
    <w:rsid w:val="007339F5"/>
    <w:rsid w:val="007C67D5"/>
    <w:rsid w:val="00873DEC"/>
    <w:rsid w:val="008C12F7"/>
    <w:rsid w:val="008E58BB"/>
    <w:rsid w:val="008F1664"/>
    <w:rsid w:val="008F4EA7"/>
    <w:rsid w:val="00935B7C"/>
    <w:rsid w:val="00964198"/>
    <w:rsid w:val="00A36AC9"/>
    <w:rsid w:val="00A55742"/>
    <w:rsid w:val="00A670D4"/>
    <w:rsid w:val="00AB63AE"/>
    <w:rsid w:val="00B55BC4"/>
    <w:rsid w:val="00C1493B"/>
    <w:rsid w:val="00C54803"/>
    <w:rsid w:val="00C7603F"/>
    <w:rsid w:val="00C774F3"/>
    <w:rsid w:val="00CA68FF"/>
    <w:rsid w:val="00CB02C9"/>
    <w:rsid w:val="00CC7A02"/>
    <w:rsid w:val="00D1219E"/>
    <w:rsid w:val="00D253C8"/>
    <w:rsid w:val="00D537DF"/>
    <w:rsid w:val="00D8362D"/>
    <w:rsid w:val="00DC1F46"/>
    <w:rsid w:val="00DE5997"/>
    <w:rsid w:val="00DF0B89"/>
    <w:rsid w:val="00E23F9D"/>
    <w:rsid w:val="00E472C8"/>
    <w:rsid w:val="00EE43A7"/>
    <w:rsid w:val="00EE7977"/>
    <w:rsid w:val="00F70CE2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55DAAF-D1B5-44C3-8A29-DB6D133FD23C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="Times New Roman" w:eastAsia="Times New Roman" w:hAnsi="Times New Roman" w:cs="Times New Roman"/>
        <w:lang w:val="cs-CZ" w:eastAsia="cs-CZ" w:bidi="cs-CZ"/>
      </w:rPr>
    </w:rPrDefault>
    <w:pPrDefault/>
  </w:docDefaults>
  <w:latentStyles xmlns:w15="http://schemas.microsoft.com/office/word/2012/wordml"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w:type="paragraph" w:default="1" w:styleId="Normal">
    <w:name w:val="Normal"/>
    <w:qFormat/>
  </w:style>
  <w:style xmlns:w15="http://schemas.microsoft.com/office/word/2012/wordml" w:type="paragraph" w:styleId="Heading1">
    <w:name w:val="heading 1"/>
    <w:basedOn w:val="Normal"/>
    <w:next w:val="Normal"/>
    <w:link w:val="Heading1Char"/>
    <w:qFormat/>
    <w:rsid w:val="006403F7"/>
    <w:pPr>
      <w:keepNext/>
      <w:keepLines/>
      <w:spacing w:before="360" w:after="120"/>
      <w:jc w:val="center"/>
      <w:outlineLvl w:val="0"/>
    </w:pPr>
    <w:rPr>
      <w:rFonts w:cs="Arial"/>
      <w:b/>
      <w:bCs/>
      <w:sz w:val="24"/>
      <w:szCs w:val="28"/>
      <w:lang w:val="cs-CZ" w:eastAsia="cs-CZ" w:bidi="cs-CZ"/>
    </w:rPr>
  </w:style>
  <w:style xmlns:w15="http://schemas.microsoft.com/office/word/2012/wordml" w:type="paragraph" w:styleId="Heading2">
    <w:name w:val="heading 2"/>
    <w:basedOn w:val="Normal"/>
    <w:next w:val="Normal"/>
    <w:link w:val="Heading2Char"/>
    <w:uiPriority w:val="9"/>
    <w:unhideWhenUsed/>
    <w:qFormat/>
    <w:rsid w:val="006403F7"/>
    <w:pPr>
      <w:keepNext/>
      <w:keepLines/>
      <w:spacing w:before="240" w:after="120"/>
      <w:jc w:val="center"/>
      <w:outlineLvl w:val="1"/>
    </w:pPr>
    <w:rPr>
      <w:rFonts w:cs="Arial"/>
      <w:b/>
      <w:bCs/>
      <w:sz w:val="24"/>
      <w:szCs w:val="26"/>
      <w:lang w:val="cs-CZ" w:eastAsia="cs-CZ" w:bidi="cs-CZ"/>
    </w:rPr>
  </w:style>
  <w:style xmlns:w15="http://schemas.microsoft.com/office/word/2012/wordml" w:type="character" w:default="1" w:styleId="DefaultParagraphFont">
    <w:name w:val="Default Paragraph Font"/>
    <w:uiPriority w:val="1"/>
    <w:semiHidden/>
    <w:unhideWhenUsed/>
  </w:style>
  <w:style xmlns:w15="http://schemas.microsoft.com/office/word/2012/wordml"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default="1" w:styleId="NoList">
    <w:name w:val="No List"/>
    <w:uiPriority w:val="99"/>
    <w:semiHidden/>
    <w:unhideWhenUsed/>
  </w:style>
  <w:style xmlns:w15="http://schemas.microsoft.com/office/word/2012/wordml" w:type="paragraph" w:styleId="FootnoteText">
    <w:name w:val="footnote text"/>
    <w:basedOn w:val="Normal"/>
    <w:link w:val="FootnoteTextChar"/>
    <w:uiPriority w:val="99"/>
    <w:semiHidden/>
    <w:unhideWhenUsed/>
    <w:rsid w:val="00D537DF"/>
  </w:style>
  <w:style xmlns:w15="http://schemas.microsoft.com/office/word/2012/wordml" w:type="character" w:customStyle="1" w:styleId="FootnoteTextChar">
    <w:name w:val="Footnote Text Char"/>
    <w:basedOn w:val="DefaultParagraphFont"/>
    <w:link w:val="FootnoteText"/>
    <w:uiPriority w:val="99"/>
    <w:semiHidden/>
    <w:rsid w:val="00D537DF"/>
  </w:style>
  <w:style xmlns:w15="http://schemas.microsoft.com/office/word/2012/wordml" w:type="character" w:styleId="FootnoteReference">
    <w:name w:val="footnote reference"/>
    <w:basedOn w:val="DefaultParagraphFont"/>
    <w:uiPriority w:val="99"/>
    <w:semiHidden/>
    <w:unhideWhenUsed/>
    <w:rsid w:val="00D537DF"/>
    <w:rPr>
      <w:vertAlign w:val="superscript"/>
    </w:rPr>
  </w:style>
  <w:style xmlns:w15="http://schemas.microsoft.com/office/word/2012/wordml" w:type="paragraph" w:styleId="BalloonText">
    <w:name w:val="Balloon Text"/>
    <w:basedOn w:val="Normal"/>
    <w:link w:val="BalloonTextChar"/>
    <w:uiPriority w:val="99"/>
    <w:semiHidden/>
    <w:unhideWhenUsed/>
    <w:rsid w:val="00176A85"/>
    <w:rPr>
      <w:rFonts w:ascii="Tahoma" w:hAnsi="Tahoma" w:cs="Tahoma"/>
      <w:sz w:val="16"/>
      <w:szCs w:val="16"/>
    </w:rPr>
  </w:style>
  <w:style xmlns:w15="http://schemas.microsoft.com/office/word/2012/wordml" w:type="character" w:customStyle="1" w:styleId="BalloonTextChar">
    <w:name w:val="Balloon Text Char"/>
    <w:basedOn w:val="DefaultParagraphFont"/>
    <w:link w:val="BalloonText"/>
    <w:uiPriority w:val="99"/>
    <w:semiHidden/>
    <w:rsid w:val="00176A85"/>
    <w:rPr>
      <w:rFonts w:ascii="Tahoma" w:hAnsi="Tahoma" w:cs="Tahoma"/>
      <w:sz w:val="16"/>
      <w:szCs w:val="16"/>
    </w:rPr>
  </w:style>
  <w:style xmlns:w15="http://schemas.microsoft.com/office/word/2012/wordml" w:type="paragraph" w:styleId="Header">
    <w:name w:val="header"/>
    <w:basedOn w:val="Normal"/>
    <w:link w:val="HeaderChar"/>
    <w:uiPriority w:val="99"/>
    <w:unhideWhenUsed/>
    <w:rsid w:val="00D8362D"/>
    <w:pPr>
      <w:tabs>
        <w:tab w:val="center" w:pos="4536"/>
        <w:tab w:val="right" w:pos="9072"/>
      </w:tabs>
    </w:pPr>
  </w:style>
  <w:style xmlns:w15="http://schemas.microsoft.com/office/word/2012/wordml" w:type="character" w:customStyle="1" w:styleId="HeaderChar">
    <w:name w:val="Header Char"/>
    <w:basedOn w:val="DefaultParagraphFont"/>
    <w:link w:val="Header"/>
    <w:uiPriority w:val="99"/>
    <w:rsid w:val="00D8362D"/>
  </w:style>
  <w:style xmlns:w15="http://schemas.microsoft.com/office/word/2012/wordml" w:type="paragraph" w:styleId="Footer">
    <w:name w:val="footer"/>
    <w:basedOn w:val="Normal"/>
    <w:link w:val="FooterChar"/>
    <w:uiPriority w:val="99"/>
    <w:unhideWhenUsed/>
    <w:rsid w:val="00D8362D"/>
    <w:pPr>
      <w:tabs>
        <w:tab w:val="center" w:pos="4536"/>
        <w:tab w:val="right" w:pos="9072"/>
      </w:tabs>
    </w:pPr>
  </w:style>
  <w:style xmlns:w15="http://schemas.microsoft.com/office/word/2012/wordml" w:type="character" w:customStyle="1" w:styleId="FooterChar">
    <w:name w:val="Footer Char"/>
    <w:basedOn w:val="DefaultParagraphFont"/>
    <w:link w:val="Footer"/>
    <w:uiPriority w:val="99"/>
    <w:rsid w:val="00D8362D"/>
  </w:style>
  <w:style xmlns:w15="http://schemas.microsoft.com/office/word/2012/wordml" w:type="character" w:customStyle="1" w:styleId="Heading1Char">
    <w:name w:val="Heading 1 Char"/>
    <w:basedOn w:val="DefaultParagraphFont"/>
    <w:link w:val="Heading1"/>
    <w:rsid w:val="006403F7"/>
    <w:rPr>
      <w:rFonts w:cs="Arial"/>
      <w:b/>
      <w:bCs/>
      <w:sz w:val="24"/>
      <w:szCs w:val="28"/>
      <w:lang w:val="cs-CZ" w:eastAsia="cs-CZ" w:bidi="cs-CZ"/>
    </w:rPr>
  </w:style>
  <w:style xmlns:w15="http://schemas.microsoft.com/office/word/2012/wordml" w:type="character" w:customStyle="1" w:styleId="Heading2Char">
    <w:name w:val="Heading 2 Char"/>
    <w:basedOn w:val="DefaultParagraphFont"/>
    <w:link w:val="Heading2"/>
    <w:uiPriority w:val="9"/>
    <w:rsid w:val="006403F7"/>
    <w:rPr>
      <w:rFonts w:cs="Arial"/>
      <w:b/>
      <w:bCs/>
      <w:sz w:val="24"/>
      <w:szCs w:val="26"/>
      <w:lang w:val="cs-CZ" w:eastAsia="cs-CZ" w:bidi="cs-CZ"/>
    </w:rPr>
  </w:style>
  <w:style xmlns:w15="http://schemas.microsoft.com/office/word/2012/wordml" w:type="paragraph" w:styleId="ListParagraph">
    <w:name w:val="List Paragraph"/>
    <w:basedOn w:val="Normal"/>
    <w:uiPriority w:val="34"/>
    <w:qFormat/>
    <w:rsid w:val="00640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y_material"/>
    <f:field ref="objsubject" par="" edit="true" text=""/>
    <f:field ref="objcreatedby" par="" text="Nemec, Roman, Mgr."/>
    <f:field ref="objcreatedat" par="" text="5.4.2019 7:16:41"/>
    <f:field ref="objchangedby" par="" text="Administrator, System"/>
    <f:field ref="objmodifiedat" par="" text="5.4.2019 7:16:4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051A0CB-EE07-4E47-BE84-8BB98A687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Ke, Tingting</cp:lastModifiedBy>
  <cp:revision>2</cp:revision>
  <dcterms:created xsi:type="dcterms:W3CDTF">2019-04-05T07:53:00Z</dcterms:created>
  <dcterms:modified xsi:type="dcterms:W3CDTF">2019-07-09T14:17:00Z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border="0" cellpadding="0" cellspacing="0" style="width:100.0%;" width="100%"&gt;	&lt;tbody&gt;		&lt;tr&gt;			&lt;td colspan="5" style="width:100.0%;height:37px;"&gt;			&lt;h2&gt;Správa o účasti verejnosti na tvorbe právneho predpisu&lt;/h2&gt;			&lt;h2&gt;Scenár 4: Verejno</vt:lpwstr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Veterinárna starostlivosť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Roman Nemec</vt:lpwstr>
  </property>
  <property fmtid="{D5CDD505-2E9C-101B-9397-08002B2CF9AE}" pid="12" name="FSC#SKEDITIONSLOVLEX@103.510:zodppredkladatel">
    <vt:lpwstr>Gabriela Matečná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ustanovujú podrobnosti o použití zvieraťa na účely verejného vystúpenia alebo výcviku za účelom verejného vystúpenia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pôdohospodárstva a rozvoja vidieka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návrh</vt:lpwstr>
  </property>
  <property fmtid="{D5CDD505-2E9C-101B-9397-08002B2CF9AE}" pid="23" name="FSC#SKEDITIONSLOVLEX@103.510:plnynazovpredpis">
    <vt:lpwstr> Vyhláška Ministerstva pôdohospodárstva a rozvoja vidieka Slovenskej republiky, ktorou sa ustanovujú podrobnosti o použití zvieraťa na účely verejného vystúpenia alebo výcviku za účelom verejného vystúpenia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5199/2019-410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LP/2019/214</vt:lpwstr>
  </property>
  <property fmtid="{D5CDD505-2E9C-101B-9397-08002B2CF9AE}" pid="37" name="FSC#SKEDITIONSLOVLEX@103.510:typsprievdok">
    <vt:lpwstr/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16. 3. 2019</vt:lpwstr>
  </property>
  <property fmtid="{D5CDD505-2E9C-101B-9397-08002B2CF9AE}" pid="59" name="FSC#SKEDITIONSLOVLEX@103.510:AttrDateDocPropUkonceniePKK">
    <vt:lpwstr>1. 4. 2019</vt:lpwstr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&lt;p&gt;Na území Slovenskej republiky sa ustanoví zoznam&amp;nbsp; zvierat – najmä exotické (zástupcovia radov mäsožravce a primáty, zástupcovia čeľadí slonovité, delfínovité a&amp;nbsp;žirafovité), ktorých použitie na účely verejného vystúpenia bude zakázaný a nebude</vt:lpwstr>
  </property>
  <property fmtid="{D5CDD505-2E9C-101B-9397-08002B2CF9AE}" pid="66" name="FSC#SKEDITIONSLOVLEX@103.510:AttrStrListDocPropAltRiesenia">
    <vt:lpwstr>Alternatíva 0: nesúlad s § 53 ods. 1 písm. i) zákona č. 39/2007 Z. z. o veterinárnej starostlivosti v znení zákona č. 184/2018 Z. z.Alternatíva 1: riadne vykonanie splnomocňovacieho ustanovenia uvedeného v alternatíve 0.</vt:lpwstr>
  </property>
  <property fmtid="{D5CDD505-2E9C-101B-9397-08002B2CF9AE}" pid="67" name="FSC#SKEDITIONSLOVLEX@103.510:AttrStrListDocPropStanoviskoGest">
    <vt:lpwstr>&lt;h4 style="text-align: center;"&gt;stanovisko komisie&lt;/h4&gt;&lt;p align="center"&gt;&lt;br /&gt;&amp;nbsp;&lt;/p&gt;&lt;p align="center"&gt;&lt;strong&gt;(predbežné pripomienkové konanie)&lt;/strong&gt;&lt;/p&gt;&lt;p align="center"&gt;&amp;nbsp;&lt;/p&gt;&lt;p align="center"&gt;&lt;br /&gt;&lt;strong&gt;k&amp;nbsp;návrhu&lt;/strong&gt;&lt;/p&gt;&lt;p align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pôdohospodárstva a rozvoja vidieka Slovenskej republiky</vt:lpwstr>
  </property>
  <property fmtid="{D5CDD505-2E9C-101B-9397-08002B2CF9AE}" pid="142" name="FSC#SKEDITIONSLOVLEX@103.510:funkciaZodpPredAkuzativ">
    <vt:lpwstr>ministerka pôdohospodárstva a rozvoja vidieka Slovenskej republiky</vt:lpwstr>
  </property>
  <property fmtid="{D5CDD505-2E9C-101B-9397-08002B2CF9AE}" pid="143" name="FSC#SKEDITIONSLOVLEX@103.510:funkciaZodpPredDativ">
    <vt:lpwstr>ministerka pôdohospodárstva a rozvoja vidieka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Gabriela Matečná_x000d_
ministerka pôdohospodárstva a rozvoja vidieka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pôdohospodárstva a rozvoja vidieka Slovenskej republiky predkladá návrh vyhlášky Ministerstva pôdohospodárstva a rozvoja vidieka Slovenskej republiky, ktorou sa ustanovujú podrobnosti o&amp;nbsp;použití zvieraťa na účely verejného vystúpenia a</vt:lpwstr>
  </property>
  <property fmtid="{D5CDD505-2E9C-101B-9397-08002B2CF9AE}" pid="150" name="FSC#SKEDITIONSLOVLEX@103.510:vytvorenedna">
    <vt:lpwstr>5. 4. 2019</vt:lpwstr>
  </property>
  <property fmtid="{D5CDD505-2E9C-101B-9397-08002B2CF9AE}" pid="151" name="FSC#COOSYSTEM@1.1:Container">
    <vt:lpwstr>COO.2145.1000.3.3289170</vt:lpwstr>
  </property>
  <property fmtid="{D5CDD505-2E9C-101B-9397-08002B2CF9AE}" pid="152" name="FSC#FSCFOLIO@1.1001:docpropproject">
    <vt:lpwstr/>
  </property>
</Properties>
</file>