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B92" w:rsidRPr="008F61B0" w:rsidRDefault="006B2B92" w:rsidP="006B2B92">
      <w:pPr>
        <w:pStyle w:val="PlainText"/>
        <w:rPr>
          <w:rFonts w:ascii="Courier New" w:hAnsi="Courier New" w:cs="Courier New"/>
          <w:sz w:val="20"/>
          <w:szCs w:val="20"/>
        </w:rPr>
      </w:pPr>
      <w:r>
        <w:rPr>
          <w:rFonts w:ascii="Courier New" w:hAnsi="Courier New"/>
          <w:sz w:val="20"/>
        </w:rPr>
        <w:t xml:space="preserve">1. ------IND- 2019 0518 F-- EL- ------ 20200930 --- --- FINAL </w:t>
      </w:r>
    </w:p>
    <w:p w:rsidR="00D8408E" w:rsidRPr="00621B9B" w:rsidRDefault="00DD2A33">
      <w:pPr>
        <w:widowControl w:val="0"/>
        <w:autoSpaceDE w:val="0"/>
        <w:autoSpaceDN w:val="0"/>
        <w:adjustRightInd w:val="0"/>
        <w:spacing w:after="0" w:line="240" w:lineRule="auto"/>
        <w:jc w:val="right"/>
        <w:rPr>
          <w:rFonts w:ascii="Arial" w:hAnsi="Arial" w:cs="Arial"/>
          <w:sz w:val="24"/>
          <w:szCs w:val="24"/>
        </w:rPr>
      </w:pPr>
      <w:r>
        <w:rPr>
          <w:rFonts w:ascii="Arial" w:hAnsi="Arial"/>
          <w:sz w:val="24"/>
        </w:rPr>
        <w:t>10 Απριλίου 2020</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Επίσημη Εφημερίδα της Γαλλικής Δημοκρατίας αριθ. 0085 της 7ης Απριλίου 2020</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Κείμενο αριθ. 11</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b/>
          <w:sz w:val="24"/>
        </w:rPr>
        <w:t>Απόφαση της 1ης Απριλίου 2020 για τον καθορισμό της σύνθεσης των φακέλων αίτησης άδειας κυκλοφορίας και έγκρισης λιπαντικών υλών, προσθέτων λιπαντικών υλών και βελτιωτικών εδάφους και των κριτηρίων που πρέπει να λαμβάνονται υπόψη κατά την προετοιμασία των στοιχείων που απαιτούνται για την αξιολόγηση</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B2B92"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ΑΡΙΘ. ΑΝΑΦΟΡΑΣ: AGRG2008998A</w:t>
      </w:r>
    </w:p>
    <w:p w:rsidR="00621B9B" w:rsidRPr="00C65FAF" w:rsidRDefault="00621B9B">
      <w:pPr>
        <w:widowControl w:val="0"/>
        <w:autoSpaceDE w:val="0"/>
        <w:autoSpaceDN w:val="0"/>
        <w:adjustRightInd w:val="0"/>
        <w:spacing w:after="0" w:line="240" w:lineRule="auto"/>
        <w:rPr>
          <w:rFonts w:ascii="Arial" w:hAnsi="Arial" w:cs="Arial"/>
          <w:sz w:val="24"/>
          <w:szCs w:val="24"/>
        </w:rPr>
      </w:pPr>
    </w:p>
    <w:p w:rsidR="00621B9B" w:rsidRPr="00C65FAF" w:rsidRDefault="00621B9B">
      <w:pPr>
        <w:widowControl w:val="0"/>
        <w:autoSpaceDE w:val="0"/>
        <w:autoSpaceDN w:val="0"/>
        <w:adjustRightInd w:val="0"/>
        <w:spacing w:after="0" w:line="240" w:lineRule="auto"/>
        <w:rPr>
          <w:rFonts w:ascii="Arial" w:hAnsi="Arial" w:cs="Arial"/>
          <w:sz w:val="24"/>
          <w:szCs w:val="24"/>
        </w:rPr>
      </w:pPr>
    </w:p>
    <w:p w:rsidR="00D8408E" w:rsidRPr="006B2B92"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0"/>
        </w:rPr>
        <w:t>ELI:https://www.legifrance.gouv.fr/eli/arrete/2020/4/1/AGRG2008998A/jo/texte</w:t>
      </w:r>
    </w:p>
    <w:p w:rsidR="00621B9B" w:rsidRPr="00C65FAF" w:rsidRDefault="00621B9B">
      <w:pPr>
        <w:widowControl w:val="0"/>
        <w:autoSpaceDE w:val="0"/>
        <w:autoSpaceDN w:val="0"/>
        <w:adjustRightInd w:val="0"/>
        <w:spacing w:after="0" w:line="240" w:lineRule="auto"/>
        <w:rPr>
          <w:rFonts w:ascii="Arial" w:hAnsi="Arial" w:cs="Arial"/>
          <w:sz w:val="24"/>
          <w:szCs w:val="24"/>
        </w:rPr>
      </w:pPr>
    </w:p>
    <w:p w:rsidR="00621B9B" w:rsidRPr="00C65FAF" w:rsidRDefault="00621B9B">
      <w:pPr>
        <w:widowControl w:val="0"/>
        <w:autoSpaceDE w:val="0"/>
        <w:autoSpaceDN w:val="0"/>
        <w:adjustRightInd w:val="0"/>
        <w:spacing w:after="0" w:line="240" w:lineRule="auto"/>
        <w:rPr>
          <w:rFonts w:ascii="Arial" w:hAnsi="Arial" w:cs="Arial"/>
          <w:sz w:val="24"/>
          <w:szCs w:val="24"/>
        </w:rPr>
      </w:pPr>
    </w:p>
    <w:p w:rsidR="00621B9B" w:rsidRPr="00C65FAF" w:rsidRDefault="00621B9B">
      <w:pPr>
        <w:widowControl w:val="0"/>
        <w:autoSpaceDE w:val="0"/>
        <w:autoSpaceDN w:val="0"/>
        <w:adjustRightInd w:val="0"/>
        <w:spacing w:after="0" w:line="240" w:lineRule="auto"/>
        <w:rPr>
          <w:rFonts w:ascii="Arial" w:hAnsi="Arial" w:cs="Arial"/>
          <w:sz w:val="24"/>
          <w:szCs w:val="24"/>
        </w:rPr>
      </w:pPr>
    </w:p>
    <w:p w:rsidR="00621B9B" w:rsidRPr="00C65FAF"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Ενδιαφερόμενο κοινό: κάτοχοι και αιτούντες άδειας κυκλοφορίας ή έγκρισης λιπαντικών υλών, προσθέτων λιπαντικών υλών και βοηθημάτων καλλιέργειας.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Αντικείμενο: σύνθεση των φακέλων αίτησης άδειας κυκλοφορίας, έγκρισης διενέργειας πειραμάτων και έγκρισης εισαγωγής λιπαντικών υλών, των προσθέτων τους και βοηθημάτων καλλιέργειας, περιεχόμενο των κοινοποιήσεων και των δηλώσεων σχετικά με αυτά τα προϊόντα.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Έναρξη ισχύος: το κείμενο τίθεται σε ισχύ την επομένη της δημοσίευσής του.</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Σημείωση: η απόφαση καθορίζει, για κάθε τύπο αίτησης, κοινοποίησης και δήλωσης σχετικά με άδεια ή έγκριση για λιπαντική ύλη, πρόσθετη λιπαντική ύλη ή βοήθημα καλλιέργειας, τη σύνθεση του φακέλου που υποβάλλεται στην Εθνική υπηρεσία για την υγειονομική ασφάλεια των τροφίμων, του περιβάλλοντος και της εργασίας.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Παραπομπές: η απόφαση λαμβάνεται κατ’ εφαρμογή των άρθρων R. 255-13 και R. 255-14 του Κώδικα Γεωργίας και Θαλάσσιας Αλιείας. Διατίθεται στον ιστότοπο Légifrance (https://www.legifrance.gouv.fr).</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 υπουργός Γεωργίας και Τροφίμων,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Έχοντας υπόψη τον Κώδικα Γεωργίας και Θαλάσσιας Αλιείας και, ειδικότερα, τα άρθρα R. 255-13 και R. 255-14·</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lastRenderedPageBreak/>
        <w:t>Έχοντας υπόψη το διάταγμα αριθ. 80-478, της 16ης Ιουνίου 1980, για την εφαρμογή του άρθρου L. 412-1 του Καταναλωτικού Κώδικα όσον αφορά τις λιπαντικές ύλες και τα βοηθήματα καλλιέργειας·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Έχοντας υπόψη την πρόταση του γενικού διευθυντή της εθνικής υπηρεσίας για την υγειονομική ασφάλεια των τροφίμων, του περιβάλλοντος και της εργασίας της 2ας Αυγούστου 2019,</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Αποφασίζει:</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1</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Πεδίο εφαρμογής.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Οι διατάξεις της παρούσας απόφασης ισχύουν για τις λιπαντικές ύλες, τα πρόσθετα λιπαντικών υλών και τα βελτιωτικά εδάφους, τα οποία αναφέρονται στο εξής με τον όρο «προϊόν» και νοούνται ως «προϊόν ή σύνολο προϊόντων» κατά την έννοια του άρθρου R 255-1 του Κώδικα Γεωργίας και Θαλάσσιας Αλιείας.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2</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Κοινές διατάξεις.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Κάθε αίτηση άδειας κυκλοφορίας, έγκρισης διενέργειας πειραμάτων ή έγκρισης εισαγωγής ενός προϊόντος, κάθε αίτηση τροποποίησης, ανανέωσης ή ανάκλησης των αδειών ή εγκρίσεων, καθώς και οποιαδήποτε διαβίβαση πληροφορίας, κοινοποίηση ή δήλωση σχετικά με αυτά τα προϊόντα, υποβάλλεται στην Εθνική υπηρεσία για την υγειονομική ασφάλεια των τροφίμων, του περιβάλλοντος και της εργασίας (Anses). Καταρτίζεται υπό μορφή φακέλου που συντάσσεται στη γαλλική γλώσσα, εκτός από τις ειδικές διατάξεις που προβλέπονται στο άρθρο 3.</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Αυτός ο φάκελος περιέχει:</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1° μια επιστολή που αφορά την αίτηση, τη διαβίβαση των πληροφοριών, την κοινοποίηση ή τη δήλωση·</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2° έντυπο δεόντως συμπληρωμένο σύμφωνα με το αντίστοιχο φύλλο οδηγιών, το οποίο φέρει ημερομηνία και υπογραφή. Το έντυπο και το φύλλο οδηγιών του διατίθενται στον ιστότοπο της Anses·</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3° κατά περίπτωση, τα απαραίτητα συμπληρωματικά στοιχεία για την εξέταση και την αξιολόγηση της αίτησης ή την καταχώριση της κοινοποίησης ή της δήλωσης που προβλέπονται στα άρθρα 3 έως 6 της παρούσας απόφασης.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Κάθε φάκελος υποβάλλεται με τη μορφή ψηφιακής έκδοσης που διαβιβάζεται σε μέσο αποθήκευσης δεδομένων. Μπορεί επίσης να περιλαμβάνει μια έντυπη έκδοση, η οποία προσκομίζεται σε δύο αντίτυπα και συνοδεύεται από βεβαίωση ταυτότητας εγγράφων σε έντυπη μορφή και τα έγγραφα σε ηλεκτρονική μορφή.</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 φάκελος προσκομίζεται σύμφωνα με τη σημείωση που συνοδεύει το έντυπο υποβολής.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Τα προϊόντα που αποτελούν αντικείμενο της αίτησης χαρακτηρίζονται σύμφωνα με το παράρτημα της παρούσας απόφασης και με τον «οδηγό σχετικά με την αξιολόγηση των φακέλων αίτησης σχετικά με μια άδεια κυκλοφορίας (ΑΚ) ή με μια έγκριση για λιπαντικές ύλες, πρόσθετες λιπαντικές ύλες ή βελτιωτικά εδάφους» που είναι διαθέσιμος στον ιστότοπο της Anses.</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3</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Άδεια κυκλοφορίας.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w:t>
      </w:r>
      <w:r w:rsidR="00C65FAF">
        <w:rPr>
          <w:rFonts w:ascii="Arial" w:hAnsi="Arial"/>
          <w:sz w:val="24"/>
        </w:rPr>
        <w:t xml:space="preserve"> </w:t>
      </w:r>
      <w:r>
        <w:rPr>
          <w:rFonts w:ascii="Arial" w:hAnsi="Arial"/>
          <w:sz w:val="24"/>
        </w:rPr>
        <w:t>- Η αίτηση άδειας κυκλοφορίας ενός προϊόντος, ανανέωσης ή τροποποίησης μιας άδειας κυκλοφορίας ενός προϊόντος, με εξαίρεση τις αιτήσεις που προβλέπονται στις παραγράφους ΙΙΙ και IV, περιλαμβάνει τα ακόλουθα συμπληρωματικά στοιχεία για τους σκοπούς της αξιολόγησης που προβλέπεται στο άρθρο L. 255-7 του Κώδικα Γεωργίας και Θαλάσσιας Αλιείας:</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τα δεδομένα ιχνηλασιμότητας του προϊόντος και των πρώτων υλών που το αποτελούν, σε επίπεδο εγκαταστάσεων παραγωγής και κατασκευής, εφόσον είναι διαφορετικές·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την πλήρη σύνθεση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τις εκθέσεις αναλύσεων χαρακτηρισμού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τις πληροφορίες σχετικά με τη σταθερότητα της σύνθεσης του προϊόντος σε σχέση με τις εγγυημένες παραμέτρους και αξίες, όπως η ομοιογένεια, η μη μεταβλητότητα και η σταθερότητά του, καθώς και τις εκθέσεις των αντίστοιχων αναλύσεων·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τις πληροφορίες σχετικά με την παρασκευή του προϊόντος, ιδίως την περιγραφή των χρησιμοποιούμενων πρώτων υλών και βοηθητικών μέσων επεξεργασίας, τις λεπτομέρειες της διαδικασίας παρασκευής, τις διαδικασίες διαχείρισης της ποιότητας, ελέγχου και αυτοελέγχου, τον καθορισμό των παρτίδων και τη διαχείριση των ασυμφωνιών·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 συγκεφαλαιωτική αγρονομική έκθεση και τις εκθέσεις δοκιμής που ορίζουν, σύμφωνα με τους προβλεπόμενους όρους χρήσης, την αποτελεσματικότητα του προϊόντος σε σχέση με τις ειδικά επικαλούμενες επιπτώσεις. Σε περίπτωση αίτησης ανανέωσης της άδειας κυκλοφορίας, ο αιτών αιτιολογεί τυχόν μη διαβίβαση αυτών των συγκεφαλαιωτικών εκθέσεων και εκθέσεων δοκιμής·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 συγκεφαλαιωτική έκθεση και τις εκθέσεις ερευνών που ορίζουν, σύμφωνα με τους προβλεπόμενους όρους χρήσης, την έλλειψη δυσμενών επιπτώσεων του προϊόντος στην υγεία του ανθρώπου, των ζώων και το περιβάλλον. Σε περίπτωση αίτησης ανανέωσης της άδειας κυκλοφορίας, ο αιτών αιτιολογεί τυχόν μη διαβίβαση αυτών των εκθέσεων·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σε περίπτωση αίτησης ανανέωσης της άδειας κυκλοφορίας, τα αποτελέσματα των αναλύσεων παρακολούθησης της παραγωγής καθώς και τα συμπληρωματικά δεδομένα μετά τη χορήγηση τη άδειας που προβλέπονται, κατά περίπτωση, στην αρχική απόφαση·</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σχέδιο ετικέτας ή ενημερωτικού δελτίου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δελτίο δεδομένων ασφαλείας του προϊόντος και του συνόλου των πρώτων υλών, που προβλέπεται στο άρθρο 31 του προαναφερθέντος κανονισμού (ΕΚ) αριθ. 1907/2006.</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Οι συγκεφαλαιωτικές εκθέσεις, οι εκθέσεις μελετών και δοκιμής μπορούν να συντάσσονται στην αγγλική γλώσσα.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II. - Η αίτηση άδειας κυκλοφορίας προϊόντος με αμοιβαία αναγνώριση που προβλέπεται στο άρθρο R. 255-17 του Κώδικα Γεωργίας και Θαλάσσιας Αλιείας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βεβαίωση της ταυτότητας του προϊόντος που αποτελεί το αντικείμενο της αίτησης με το προϊόν που διατίθεται νόμιμα στην αγορά στο κράτος μέλος αναφοράς·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την πλήρη σύνθεση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αντίγραφο της διοικητικής απόφασης, του προτύπου ή του κανονιστικού κειμένου δυνάμει του οποίου αδειοδοτείται η κυκλοφορία του προϊόντος στο κράτος μέλος αναφοράς, καθώς και τη μετάφρασή του στη γαλλική ή αγγλική γλώσσα·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υπόδειγμα ετικέτας του προϊόντος που διατίθεται στην αγορά στο κράτος μέλος αναφοράς, καθώς και τη μετάφρασή του στη γαλλική ή αγγλική γλώσσα·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τον κατάλογο των καλλιεργειών που προορίζονται να λάβουν το προϊόν καθώς και τους όρους χρήσης. Για καθεμία από τις καλλιέργειες ή για κάθε τύπο εδάφους, ο αιτών καθορίζει, ειδικότερα, τον τρόπο εφαρμογής του προϊόντος, τις ελάχιστες και μέγιστες δοσολογίες ενίσχυσης ανά εφαρμογή και ανά εκτάριο, τον ετήσιο αριθμό εφαρμογών, την περίοδο ή/και το στάδιο εφαρμογής στην καλλιέργεια. Μπορούν να προτείνονται μέτρα διαχείρισης των κινδύνων·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σχέδιο ετικέτας ή ενημερωτικού δελτίου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δελτίο δεδομένων ασφαλείας του προϊόντος και του συνόλου των πρώτων υλών, που προβλέπεται στο άρθρο 31 του προαναφερθέντος κανονισμού (ΕΚ) αριθ. 1907/2006.</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III. - Η αίτηση άδειας κυκλοφορίας ενός προϊόντος που είναι πανομοιότυπο με ένα προϊόν το οποίο έχει ήδη λάβει αδειοδότηση περιλαμβάνει την υποβολή των ακόλουθων συμπληρωματικών στοιχείων:</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των δεδομένων ιχνηλασιμότητας του προϊόντος στο επίπεδο των εγκαταστάσεων παραγωγής και κατασκευής, εφόσον αυτές διαφέρουν·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βεβαίωση ταυτότητας μεταξύ του προϊόντος αναφοράς και του προϊόντος για το οποίο υποβάλλεται αίτηση για άδεια·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του σχεδίου ετικέτας ή ενημερωτικού δελτίου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IV. - Η αίτηση τροποποίησης μιας άδειας κυκλοφορίας προϊόντος για την έγκριση μίας ή περισσότερων συμπληρωματικών χρήσεων ή λεπτομερειών εφαρμογής περιλαμβάνει, για κάθε χρήση,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 συγκεφαλαιωτική αγρονομική έκθεση και τις εκθέσεις δοκιμής που ορίζουν, σύμφωνα με τους προβλεπόμενους όρους χρήσης, την αποτελεσματικότητα του προϊόντος σε σχέση με τις ειδικά επικαλούμενες επιπτώσεις·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 συγκεφαλαιωτική έκθεση και τις εκθέσεις ερευνών που ορίζουν, σύμφωνα με τους προβλεπόμενους όρους χρήσης, την έλλειψη δυσμενών επιπτώσεων του προϊόντος στην υγεία του ανθρώπου, των ζώων και το περιβάλλον·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σχέδιο ετικέτας ή ενημερωτικού δελτίου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Οι συγκεφαλαιωτικές εκθέσεις, οι εκθέσεις μελετών και δοκιμής μπορούν να συντάσσονται στην αγγλική γλώσσα.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4</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Έγκριση διενέργειας πειραμάτων.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w:t>
      </w:r>
      <w:r w:rsidR="005837D2">
        <w:rPr>
          <w:rFonts w:ascii="Arial" w:hAnsi="Arial"/>
          <w:sz w:val="24"/>
        </w:rPr>
        <w:t xml:space="preserve"> </w:t>
      </w:r>
      <w:r>
        <w:rPr>
          <w:rFonts w:ascii="Arial" w:hAnsi="Arial"/>
          <w:sz w:val="24"/>
        </w:rPr>
        <w:t>- Η αίτηση έγκρισης διενέργειας πειραμάτων προϊόντος ή ανανέωσης αυτής της έγκρισης περιλαμβάνει τα ακόλουθα συμπληρωματικά στοιχεία για τους σκοπούς της αξιολόγησης που προβλέπεται στο άρθρο L. 255-8 του Κώδικα Γεωργίας και Θαλάσσιας Αλιείας:</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τα δεδομένα ιχνηλασιμότητας του προϊόντος και των πρώτων υλών που το αποτελούν, τις εγκαταστάσεις παραγωγής και κατασκευής, εφόσον είναι διαφορετικές·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την πλήρη σύνθεση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τις εκθέσεις αναλύσεων χαρακτηρισμού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δελτίο δεδομένων ασφαλείας του προϊόντος και του συνόλου των πρώτων υλών, που προβλέπεται στο άρθρο 31 του κανονισμού (ΕΚ) αριθ. 1907/2006.</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II. - Η κοινοποίηση τροποποίησης των όρων διενέργειας πειραμάτων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αντίγραφο της άδειας διενέργειας πειραμάτων·</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τα αντίστοιχα δικαιολογητικά στοιχεία.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5</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Έγκριση για εισαγωγή.</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Η αίτηση έγκρισης εισαγωγής ενός προϊόντος, τροποποίησης ή ανανέωσης αυτής της άδειας περιλαμβάνει τα ακόλουθα συμπληρωματικά στοιχεία για τους σκοπούς της αξιολόγησης που προβλέπεται στο άρθρο L. 255-7 του Κώδικα Γεωργίας και Θαλάσσιας Αλιείας:</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κάθε πληροφορία που επιτρέπει την εκτίμηση της ταυτότητας των προϊόντων σύμφωνα με το άρθρο R. 255-20 του Κώδικα Γεωργίας και Θαλάσσιας Αλιείας·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την αρχική ετικέτα του προϊόντος για το οποίο προβλέπεται η εισαγωγή·</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σχέδιο ετικέτας ή το ενημερωτικό δελτίο, στη γαλλική γλώσσα.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6</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Λοιπές αιτήσεις ή δηλώσεις.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w:t>
      </w:r>
      <w:r w:rsidR="005837D2">
        <w:rPr>
          <w:rFonts w:ascii="Arial" w:hAnsi="Arial"/>
          <w:sz w:val="24"/>
        </w:rPr>
        <w:t xml:space="preserve"> </w:t>
      </w:r>
      <w:r>
        <w:rPr>
          <w:rFonts w:ascii="Arial" w:hAnsi="Arial"/>
          <w:sz w:val="24"/>
        </w:rPr>
        <w:t>- Η αίτηση μεταβίβασης μιας άδειας κυκλοφορίας ή έγκρισης που προβλέπεται στο άρθρο R. 255-5 του Κώδικα Γεωργίας και Θαλάσσιας Αλιείας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το πρωτότυπο αντίγραφο της απόφασης αδειοδότησης ή έγκρισης·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βεβαίωση του αρχικού κατόχου ότι συναινεί στη μεταβίβαση της άδειας ή της έγκρισης.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II. - Η αίτηση προσθήκης μιας νέας εμπορικής περιγραφής σε προϊόν που έχει ήδη λάβει την άδεια που προβλέπεται στο άρθρο R. 255-5 του Κώδικα Γεωργίας και Θαλάσσιας Αλιείας ή τη δήλωση μεταβολής της εμπορικής περιγραφής ενός προϊόντος που προβλέπεται στο άρθρο R. 255-9 του ίδιου κώδικα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αντίγραφο της άδειας κυκλοφορίας ή της έγκρισης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βεβαίωση ταυτότητας μεταξύ του προϊόντος αναφοράς και του προϊόντος για το οποίο υποβάλλεται αίτηση για άδεια.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III. - Η δήλωση αλλαγής της διεύθυνσης του κατόχου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αντίγραφο της άδειας κυκλοφορίας ή της έγκρισης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ένα δικαιολογητικό έγγραφο αλλαγής της διεύθυνσης του κατόχου.</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IV. - Η δήλωση μεταβολής της εταιρικής επωνυμίας του δικαιούχου άδειας κυκλοφορίας ενός προϊόντος ή έγκρισης που προβλέπεται στο άρθρο R. 255-9 του Κώδικα Γεωργίας και Θαλάσσιας Αλιείας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αντίγραφο της άδειας κυκλοφορίας ή της έγκρισης του προϊόντος·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ένα δικαιολογητικό έγγραφο μεταβολής της εταιρικής επωνυμίας.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V.</w:t>
      </w:r>
      <w:r w:rsidR="005837D2">
        <w:rPr>
          <w:rFonts w:ascii="Arial" w:hAnsi="Arial"/>
          <w:sz w:val="24"/>
        </w:rPr>
        <w:t xml:space="preserve"> </w:t>
      </w:r>
      <w:bookmarkStart w:id="0" w:name="_GoBack"/>
      <w:bookmarkEnd w:id="0"/>
      <w:r>
        <w:rPr>
          <w:rFonts w:ascii="Arial" w:hAnsi="Arial"/>
          <w:sz w:val="24"/>
        </w:rPr>
        <w:t>- Η δήλωση μεταβολής ή προσθήκης μιας εγκατάστασης παρασκευής ή παραγωγής προϊόντος που προβλέπεται στο άρθρο R. 255-9 του Κώδικα Γεωργίας και Θαλάσσιας Αλιείας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τα δεδομένα ιχνηλασιμότητας του προϊόντος και των πρώτων υλών που το αποτελούν, σε επίπεδο εγκαταστάσεων παραγωγής και κατασκευής, εφόσον είναι διαφορετικές.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VI. - Η αίτηση τροποποίησης των πληροφοριών που έχουν δηλωθεί για ένα φάκελο ο οποίος βρίσκεται σε στάδιο αξιολόγησης περιλαμβάνει τα ακόλουθα συμπληρωματικά στοιχεία: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για αίτηση μεταβίβασης ενός προϊόντος: βεβαίωση του αρχικού κατόχου ότι συναινεί στη μεταβίβαση της άδειας ή της έγκρισης·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για αίτηση αλλαγής της διεύθυνσης του κατόχου: ένα δικαιολογητικό έγγραφο αλλαγής της διεύθυνσης του κατόχου·</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για αίτηση μεταβολής της εταιρικής επωνυμίας του κατόχου: ένα δικαιολογητικό έγγραφο μεταβολής της εταιρικής επωνυμίας·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 για αλλαγή της εμπορικής περιγραφής του προϊόντος: βεβαίωση ταυτότητας μεταξύ του προϊόντος αναφοράς και του προϊόντος για το οποίο υποβάλλεται αίτηση για άδεια.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7</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Η τροποποιημένη απόφαση της 21ης Δεκεμβρίου 1998 σχετικά με την έγκριση λιπαντικών υλών και βοηθημάτων καλλιέργειας καταργείται.</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Άρθρο 8</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 γενικός διευθυντής τροφίμων αναλαμβάνει την εκτέλεση της παρούσας απόφασης, η οποία θα δημοσιευθεί στην Επίσημη Εφημερίδα της Γαλλικής Δημοκρατίας.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b/>
          <w:sz w:val="24"/>
        </w:rPr>
        <w:t>Παράρτημα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ΠΑΡΑΡΤΗΜΑ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ΠΕΡΙΕΚΤΙΚΟΤΗΤΑ ΣΕ ΙΧΝΟΣΤΟΙΧΕΙΑ ΜΕΤΑΛΛΩΝ ΚΑΙ ΟΡΓΑΝΙΚΕΣ ΕΝΩΣΕΙΣ ΣΕ ΙΧΝΗ - ΜΙΚΡΟΒΙΟΛΟΓΙΚΑ ΚΡΙΤΗΡΙΑ</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Τα κάτωθι κριτήρια αποτελούν συστάσεις ποιότητας για τα προϊόντα. Σε περίπτωση υπέρβασης των τιμών, ο αιτών παρέχει τις απαιτούμενες αιτιολογήσεις για τα πλεονάζοντα στοιχεία.</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Οι αθροιστικές πτυχές εισροών σε ιχνοστοιχεία μετάλλων και οργανικές ενώσεις σε ίχνη από λιπαντικές ύλες, στα πρόσθετά τους ή στα βελτιωτικά εδάφους λαμβάνονται υπόψη για να επαληθευτεί η έλλειψη δυσμενών επιπτώσεων στην υγεία του ανθρώπου και των ζώων και το περιβάλλον, λαμβάνοντας υπόψη τις δοσολογίες και τις συχνότητες εισροών σύμφωνα με τους προτεινόμενους όρους χρήσης.</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Οι πληροφορίες παρέχονται σύμφωνα με τον «οδηγό σχετικά με την αξιολόγηση των φακέλων αίτησης άδειας κυκλοφορίας (ΑΚ) ή έγκρισης λιπαντικών υλών, προσθέτων λιπαντικών υλών και βελτιωτικών εδάφους» που αναφέρεται στο άρθρο 2.</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rPr>
          <w:rFonts w:ascii="Arial" w:hAnsi="Arial" w:cs="Arial"/>
          <w:sz w:val="24"/>
          <w:szCs w:val="24"/>
        </w:rPr>
      </w:pPr>
      <w:r>
        <w:rPr>
          <w:rFonts w:ascii="Arial" w:hAnsi="Arial"/>
          <w:sz w:val="24"/>
        </w:rPr>
        <w:t>Ιχνοστοιχεία Μετάλλων (ETM)</w:t>
      </w:r>
    </w:p>
    <w:tbl>
      <w:tblPr>
        <w:tblW w:w="0" w:type="auto"/>
        <w:tblInd w:w="8" w:type="dxa"/>
        <w:tblLayout w:type="fixed"/>
        <w:tblCellMar>
          <w:left w:w="0" w:type="dxa"/>
          <w:right w:w="0" w:type="dxa"/>
        </w:tblCellMar>
        <w:tblLook w:val="0000" w:firstRow="0" w:lastRow="0" w:firstColumn="0" w:lastColumn="0" w:noHBand="0" w:noVBand="0"/>
      </w:tblPr>
      <w:tblGrid>
        <w:gridCol w:w="3200"/>
        <w:gridCol w:w="3200"/>
        <w:gridCol w:w="3200"/>
        <w:gridCol w:w="30"/>
      </w:tblGrid>
      <w:tr w:rsidR="00D8408E" w:rsidRPr="00621B9B" w:rsidTr="00B553AE">
        <w:trPr>
          <w:gridAfter w:val="1"/>
          <w:wAfter w:w="2" w:type="dxa"/>
          <w:trHeight w:val="276"/>
        </w:trPr>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D8408E" w:rsidRPr="00621B9B" w:rsidRDefault="00D8408E" w:rsidP="00990A0D">
            <w:pPr>
              <w:keepNext/>
              <w:widowControl w:val="0"/>
              <w:autoSpaceDE w:val="0"/>
              <w:autoSpaceDN w:val="0"/>
              <w:adjustRightInd w:val="0"/>
              <w:spacing w:after="0" w:line="240" w:lineRule="auto"/>
              <w:jc w:val="center"/>
              <w:rPr>
                <w:rFonts w:ascii="Arial" w:hAnsi="Arial" w:cs="Arial"/>
                <w:sz w:val="24"/>
                <w:szCs w:val="24"/>
              </w:rPr>
            </w:pP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rPr>
              <w:t>Μέγιστη περιεκτικότητα όσον αφορά τις λιπαντικές ύλες</w:t>
            </w:r>
          </w:p>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rPr>
              <w:t>(σε mg/kg ξηράς ύλης)</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rPr>
              <w:t>Μέγιστη περιεκτικότητα όσον αφορά τα βελτιωτικά εδάφους</w:t>
            </w:r>
          </w:p>
          <w:p w:rsidR="00621B9B" w:rsidRPr="00621B9B" w:rsidRDefault="00621B9B" w:rsidP="00990A0D">
            <w:pPr>
              <w:keepNext/>
              <w:widowControl w:val="0"/>
              <w:autoSpaceDE w:val="0"/>
              <w:autoSpaceDN w:val="0"/>
              <w:adjustRightInd w:val="0"/>
              <w:spacing w:after="0" w:line="240" w:lineRule="auto"/>
              <w:jc w:val="center"/>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center"/>
              <w:rPr>
                <w:rFonts w:ascii="Arial" w:hAnsi="Arial" w:cs="Arial"/>
                <w:sz w:val="24"/>
                <w:szCs w:val="24"/>
              </w:rPr>
            </w:pPr>
            <w:r>
              <w:rPr>
                <w:rFonts w:ascii="Arial" w:hAnsi="Arial"/>
                <w:sz w:val="24"/>
              </w:rPr>
              <w:t>(σε mg/kg ξηράς ύλης)</w:t>
            </w: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As</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40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40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Cd</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Cr VI</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2</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2</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Ολικό Cr</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120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150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Cu</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300 (*)</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200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Hg</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Ni</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50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50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Pb</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120</w:t>
            </w:r>
          </w:p>
        </w:tc>
        <w:tc>
          <w:tcPr>
            <w:tcW w:w="32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120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r w:rsidR="00D8408E" w:rsidRPr="00621B9B" w:rsidTr="00B553AE">
        <w:tc>
          <w:tcPr>
            <w:tcW w:w="32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Zn</w:t>
            </w:r>
          </w:p>
        </w:tc>
        <w:tc>
          <w:tcPr>
            <w:tcW w:w="32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800 (*)</w:t>
            </w:r>
          </w:p>
        </w:tc>
        <w:tc>
          <w:tcPr>
            <w:tcW w:w="32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500</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bl>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 Εκτός εάν πρόκειται για περίπτωση αναγνωρισμένης ανάγκης σύμφωνα με την ισχύουσα κανονιστική ρύθμιση.</w:t>
      </w:r>
    </w:p>
    <w:p w:rsidR="00621B9B" w:rsidRDefault="00621B9B">
      <w:pPr>
        <w:widowControl w:val="0"/>
        <w:autoSpaceDE w:val="0"/>
        <w:autoSpaceDN w:val="0"/>
        <w:adjustRightInd w:val="0"/>
        <w:spacing w:after="0" w:line="240" w:lineRule="auto"/>
        <w:rPr>
          <w:rFonts w:ascii="Arial" w:hAnsi="Arial" w:cs="Arial"/>
          <w:sz w:val="24"/>
          <w:szCs w:val="24"/>
        </w:rPr>
      </w:pPr>
    </w:p>
    <w:p w:rsidR="00B553AE" w:rsidRPr="00621B9B" w:rsidRDefault="00B553AE">
      <w:pPr>
        <w:widowControl w:val="0"/>
        <w:autoSpaceDE w:val="0"/>
        <w:autoSpaceDN w:val="0"/>
        <w:adjustRightInd w:val="0"/>
        <w:spacing w:after="0" w:line="240" w:lineRule="auto"/>
        <w:rPr>
          <w:rFonts w:ascii="Arial" w:hAnsi="Arial" w:cs="Arial"/>
          <w:sz w:val="24"/>
          <w:szCs w:val="24"/>
        </w:rPr>
      </w:pPr>
    </w:p>
    <w:p w:rsidR="00D8408E" w:rsidRPr="00621B9B" w:rsidRDefault="00621B9B" w:rsidP="00990A0D">
      <w:pPr>
        <w:keepNext/>
        <w:widowControl w:val="0"/>
        <w:autoSpaceDE w:val="0"/>
        <w:autoSpaceDN w:val="0"/>
        <w:adjustRightInd w:val="0"/>
        <w:spacing w:after="0" w:line="240" w:lineRule="auto"/>
        <w:rPr>
          <w:rFonts w:ascii="Arial" w:hAnsi="Arial" w:cs="Arial"/>
          <w:sz w:val="24"/>
          <w:szCs w:val="24"/>
        </w:rPr>
      </w:pPr>
      <w:r>
        <w:rPr>
          <w:rFonts w:ascii="Arial" w:hAnsi="Arial"/>
          <w:sz w:val="24"/>
        </w:rPr>
        <w:t>Οργανικές ενώσεις σε ίχνη</w:t>
      </w:r>
    </w:p>
    <w:tbl>
      <w:tblPr>
        <w:tblW w:w="0" w:type="auto"/>
        <w:tblInd w:w="8" w:type="dxa"/>
        <w:tblLayout w:type="fixed"/>
        <w:tblCellMar>
          <w:left w:w="0" w:type="dxa"/>
          <w:right w:w="0" w:type="dxa"/>
        </w:tblCellMar>
        <w:tblLook w:val="0000" w:firstRow="0" w:lastRow="0" w:firstColumn="0" w:lastColumn="0" w:noHBand="0" w:noVBand="0"/>
      </w:tblPr>
      <w:tblGrid>
        <w:gridCol w:w="4800"/>
        <w:gridCol w:w="4800"/>
        <w:gridCol w:w="30"/>
      </w:tblGrid>
      <w:tr w:rsidR="00D8408E" w:rsidRPr="00621B9B">
        <w:tc>
          <w:tcPr>
            <w:tcW w:w="48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both"/>
              <w:rPr>
                <w:rFonts w:ascii="Arial" w:hAnsi="Arial" w:cs="Arial"/>
                <w:sz w:val="24"/>
                <w:szCs w:val="24"/>
              </w:rPr>
            </w:pPr>
            <w:r>
              <w:rPr>
                <w:rFonts w:ascii="Arial" w:hAnsi="Arial"/>
                <w:sz w:val="24"/>
              </w:rPr>
              <w:t>Σύνολο 16 πολυκυκλικών αρωματικών υδρογονανθράκων (ΠΑΥ):</w:t>
            </w:r>
          </w:p>
          <w:p w:rsidR="00621B9B" w:rsidRPr="00621B9B" w:rsidRDefault="00621B9B">
            <w:pPr>
              <w:widowControl w:val="0"/>
              <w:autoSpaceDE w:val="0"/>
              <w:autoSpaceDN w:val="0"/>
              <w:adjustRightInd w:val="0"/>
              <w:spacing w:after="0" w:line="240" w:lineRule="auto"/>
              <w:jc w:val="both"/>
              <w:rPr>
                <w:rFonts w:ascii="Arial" w:hAnsi="Arial" w:cs="Arial"/>
                <w:sz w:val="24"/>
                <w:szCs w:val="24"/>
              </w:rPr>
            </w:pPr>
          </w:p>
          <w:p w:rsidR="00D8408E"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Ναφθαλένιο, ακεναφθυλένιο, ακεναφθένιο, φλουορένιο, φαινανθρένιο, ανθρακένιο, φλουορανθένιο, πυρένιο, βενζο[a]ανθρακένιο, χρυσένιο, βενζο[b]φλουορανθένιο, βενζο[k]φλουορανθένιο, βενζο[α]πυρένιο, ινδενο[1,2,3-cd]πυρένιο, διβενζο[a,h]ανθρακένιο και βενζο[ghi]περυλένιο.</w:t>
            </w:r>
          </w:p>
        </w:tc>
        <w:tc>
          <w:tcPr>
            <w:tcW w:w="48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Μέγιστη περιεκτικότητα:</w:t>
            </w:r>
          </w:p>
          <w:p w:rsidR="00621B9B" w:rsidRPr="00621B9B" w:rsidRDefault="00621B9B">
            <w:pPr>
              <w:widowControl w:val="0"/>
              <w:autoSpaceDE w:val="0"/>
              <w:autoSpaceDN w:val="0"/>
              <w:adjustRightInd w:val="0"/>
              <w:spacing w:after="0" w:line="240" w:lineRule="auto"/>
              <w:jc w:val="center"/>
              <w:rPr>
                <w:rFonts w:ascii="Arial" w:hAnsi="Arial" w:cs="Arial"/>
                <w:sz w:val="24"/>
                <w:szCs w:val="24"/>
              </w:rPr>
            </w:pPr>
          </w:p>
          <w:p w:rsidR="00D8408E" w:rsidRPr="00621B9B" w:rsidRDefault="00DD2A33">
            <w:pPr>
              <w:widowControl w:val="0"/>
              <w:autoSpaceDE w:val="0"/>
              <w:autoSpaceDN w:val="0"/>
              <w:adjustRightInd w:val="0"/>
              <w:spacing w:after="0" w:line="240" w:lineRule="auto"/>
              <w:jc w:val="center"/>
              <w:rPr>
                <w:rFonts w:ascii="Arial" w:hAnsi="Arial" w:cs="Arial"/>
                <w:sz w:val="24"/>
                <w:szCs w:val="24"/>
              </w:rPr>
            </w:pPr>
            <w:r>
              <w:rPr>
                <w:rFonts w:ascii="Arial" w:hAnsi="Arial"/>
                <w:sz w:val="24"/>
              </w:rPr>
              <w:t>6 mg/kg ξηράς ύλης</w:t>
            </w:r>
          </w:p>
        </w:tc>
        <w:tc>
          <w:tcPr>
            <w:tcW w:w="2" w:type="dxa"/>
            <w:tcBorders>
              <w:top w:val="nil"/>
              <w:left w:val="nil"/>
              <w:bottom w:val="nil"/>
              <w:right w:val="nil"/>
            </w:tcBorders>
          </w:tcPr>
          <w:p w:rsidR="00D8408E" w:rsidRPr="00621B9B" w:rsidRDefault="00D8408E">
            <w:pPr>
              <w:widowControl w:val="0"/>
              <w:autoSpaceDE w:val="0"/>
              <w:autoSpaceDN w:val="0"/>
              <w:adjustRightInd w:val="0"/>
              <w:spacing w:after="0" w:line="240" w:lineRule="auto"/>
              <w:rPr>
                <w:rFonts w:ascii="Arial" w:hAnsi="Arial" w:cs="Arial"/>
                <w:sz w:val="24"/>
                <w:szCs w:val="24"/>
              </w:rPr>
            </w:pPr>
          </w:p>
        </w:tc>
      </w:tr>
    </w:tbl>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C34831" w:rsidRDefault="00C34831" w:rsidP="00C34831">
      <w:pPr>
        <w:widowControl w:val="0"/>
        <w:autoSpaceDE w:val="0"/>
        <w:autoSpaceDN w:val="0"/>
        <w:adjustRightInd w:val="0"/>
        <w:spacing w:after="0" w:line="240" w:lineRule="auto"/>
        <w:rPr>
          <w:rFonts w:ascii="Arial" w:hAnsi="Arial" w:cs="Arial"/>
          <w:sz w:val="24"/>
          <w:szCs w:val="24"/>
        </w:rPr>
      </w:pPr>
      <w:r>
        <w:rPr>
          <w:rFonts w:ascii="Arial" w:hAnsi="Arial"/>
          <w:sz w:val="24"/>
        </w:rPr>
        <w:t>Μικροβιολογικά κριτήρια </w:t>
      </w:r>
    </w:p>
    <w:tbl>
      <w:tblPr>
        <w:tblW w:w="9640" w:type="dxa"/>
        <w:tblInd w:w="8" w:type="dxa"/>
        <w:tblLayout w:type="fixed"/>
        <w:tblCellMar>
          <w:left w:w="0" w:type="dxa"/>
          <w:right w:w="0" w:type="dxa"/>
        </w:tblCellMar>
        <w:tblLook w:val="0000" w:firstRow="0" w:lastRow="0" w:firstColumn="0" w:lastColumn="0" w:noHBand="0" w:noVBand="0"/>
      </w:tblPr>
      <w:tblGrid>
        <w:gridCol w:w="1600"/>
        <w:gridCol w:w="1264"/>
        <w:gridCol w:w="1440"/>
        <w:gridCol w:w="1350"/>
        <w:gridCol w:w="1440"/>
        <w:gridCol w:w="1260"/>
        <w:gridCol w:w="1286"/>
      </w:tblGrid>
      <w:tr w:rsidR="00C34831" w:rsidTr="00C34831">
        <w:tc>
          <w:tcPr>
            <w:tcW w:w="1600" w:type="dxa"/>
            <w:vMerge w:val="restart"/>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8040" w:type="dxa"/>
            <w:gridSpan w:val="6"/>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Καλλιέργειες</w:t>
            </w:r>
          </w:p>
        </w:tc>
      </w:tr>
      <w:tr w:rsidR="00C34831" w:rsidTr="00C5171F">
        <w:tc>
          <w:tcPr>
            <w:tcW w:w="1600" w:type="dxa"/>
            <w:vMerge/>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1264"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Αροτραίες καλλιέργειες</w:t>
            </w:r>
          </w:p>
        </w:tc>
        <w:tc>
          <w:tcPr>
            <w:tcW w:w="144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Δενδροκομία Αμπελουργία</w:t>
            </w: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Μικροί καρποί</w:t>
            </w:r>
          </w:p>
        </w:tc>
        <w:tc>
          <w:tcPr>
            <w:tcW w:w="135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Χλοοτάπητας</w:t>
            </w: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Λειμώνας</w:t>
            </w:r>
          </w:p>
        </w:tc>
        <w:tc>
          <w:tcPr>
            <w:tcW w:w="144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Δασοκομία Φυτώρια καλλωπιστικών σπόρων</w:t>
            </w:r>
          </w:p>
        </w:tc>
        <w:tc>
          <w:tcPr>
            <w:tcW w:w="126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Καλλιέργειες ανθοκομικών</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Λαχανικά Φράουλες</w:t>
            </w:r>
          </w:p>
        </w:tc>
      </w:tr>
      <w:tr w:rsidR="00C34831" w:rsidTr="00C34831">
        <w:tc>
          <w:tcPr>
            <w:tcW w:w="9640" w:type="dxa"/>
            <w:gridSpan w:val="7"/>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Παθογόνοι μικροοργανισμοί για τον άνθρωπο ή τα ζώα:</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Εντερόκοκκοι</w:t>
            </w:r>
          </w:p>
        </w:tc>
        <w:tc>
          <w:tcPr>
            <w:tcW w:w="6754" w:type="dxa"/>
            <w:gridSpan w:val="5"/>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 10.000/g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&lt;100/g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Κολοβακτηρίδιο</w:t>
            </w:r>
          </w:p>
        </w:tc>
        <w:tc>
          <w:tcPr>
            <w:tcW w:w="6754" w:type="dxa"/>
            <w:gridSpan w:val="5"/>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 1.000/g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&lt;100/g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Clostridium perfringens (σπόρια και φυτικές μορφές)</w:t>
            </w:r>
          </w:p>
        </w:tc>
        <w:tc>
          <w:tcPr>
            <w:tcW w:w="2704"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 100/g*</w:t>
            </w:r>
          </w:p>
        </w:tc>
        <w:tc>
          <w:tcPr>
            <w:tcW w:w="135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 10/g*</w:t>
            </w:r>
          </w:p>
        </w:tc>
        <w:tc>
          <w:tcPr>
            <w:tcW w:w="2700"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jc w:val="center"/>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 100/g*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 10/g*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Σαλμονέλλα</w:t>
            </w:r>
          </w:p>
        </w:tc>
        <w:tc>
          <w:tcPr>
            <w:tcW w:w="6754" w:type="dxa"/>
            <w:gridSpan w:val="5"/>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Απουσία στο 1 g</w:t>
            </w:r>
          </w:p>
        </w:tc>
        <w:tc>
          <w:tcPr>
            <w:tcW w:w="1286"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Απουσία στα 25 g</w:t>
            </w:r>
          </w:p>
        </w:tc>
      </w:tr>
      <w:tr w:rsidR="00C34831" w:rsidTr="00C34831">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Staphylococcus aureus ή</w:t>
            </w:r>
          </w:p>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στην πηκτάση +</w:t>
            </w:r>
          </w:p>
        </w:tc>
        <w:tc>
          <w:tcPr>
            <w:tcW w:w="8040" w:type="dxa"/>
            <w:gridSpan w:val="6"/>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&lt; 10/g</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Λιστέρια η μονοκυτογόνος</w:t>
            </w:r>
          </w:p>
        </w:tc>
        <w:tc>
          <w:tcPr>
            <w:tcW w:w="2704"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135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Απουσία στα 25 g (χορτολιβαδική έκταση)</w:t>
            </w:r>
          </w:p>
        </w:tc>
        <w:tc>
          <w:tcPr>
            <w:tcW w:w="144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tc>
        <w:tc>
          <w:tcPr>
            <w:tcW w:w="2546"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Απουσία στα 25 g</w:t>
            </w:r>
          </w:p>
        </w:tc>
      </w:tr>
      <w:tr w:rsidR="00C34831" w:rsidTr="00C34831">
        <w:tc>
          <w:tcPr>
            <w:tcW w:w="9640" w:type="dxa"/>
            <w:gridSpan w:val="7"/>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Παθογόνοι μακροοργανισμοί για τον άνθρωπο ή τα ζώα:</w:t>
            </w:r>
          </w:p>
        </w:tc>
      </w:tr>
      <w:tr w:rsidR="00C34831" w:rsidTr="00C5171F">
        <w:tc>
          <w:tcPr>
            <w:tcW w:w="1600" w:type="dxa"/>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Νηματώδεις (αυγά και προνύμφες)</w:t>
            </w:r>
          </w:p>
        </w:tc>
        <w:tc>
          <w:tcPr>
            <w:tcW w:w="5494" w:type="dxa"/>
            <w:gridSpan w:val="4"/>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Απουσία στο 1 g**</w:t>
            </w:r>
          </w:p>
        </w:tc>
        <w:tc>
          <w:tcPr>
            <w:tcW w:w="2546" w:type="dxa"/>
            <w:gridSpan w:val="2"/>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jc w:val="center"/>
              <w:rPr>
                <w:rFonts w:ascii="Arial" w:hAnsi="Arial" w:cs="Arial"/>
                <w:sz w:val="24"/>
                <w:szCs w:val="24"/>
              </w:rPr>
            </w:pPr>
            <w:r>
              <w:rPr>
                <w:rFonts w:ascii="Arial" w:hAnsi="Arial"/>
                <w:sz w:val="24"/>
              </w:rPr>
              <w:t>Απουσία στα 25 g**</w:t>
            </w:r>
          </w:p>
        </w:tc>
      </w:tr>
      <w:tr w:rsidR="00C34831" w:rsidTr="00C34831">
        <w:tc>
          <w:tcPr>
            <w:tcW w:w="9640" w:type="dxa"/>
            <w:gridSpan w:val="7"/>
            <w:tcBorders>
              <w:top w:val="single" w:sz="6" w:space="0" w:color="auto"/>
              <w:left w:val="single" w:sz="6" w:space="0" w:color="auto"/>
              <w:bottom w:val="single" w:sz="6" w:space="0" w:color="auto"/>
              <w:right w:val="single" w:sz="8" w:space="0" w:color="auto"/>
            </w:tcBorders>
            <w:tcMar>
              <w:top w:w="2" w:type="dxa"/>
              <w:left w:w="2" w:type="dxa"/>
              <w:bottom w:w="2" w:type="dxa"/>
              <w:right w:w="2" w:type="dxa"/>
            </w:tcMar>
          </w:tcPr>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Οι συνιστώμενες μέθοδοι ανάλυσης καθορίζονται στον οδηγό που δημοσιεύεται από την Anses.</w:t>
            </w:r>
          </w:p>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 Οι συνιστώμενες συμπληρωματικές αναλύσεις ανάλογα με τη φύση των προϊόντων και των αιτούμενων καλλιεργειών καθορίζονται στον οδηγό που δημοσιεύεται από την Anses.</w:t>
            </w:r>
          </w:p>
          <w:p w:rsidR="00C34831" w:rsidRDefault="00C34831" w:rsidP="005B0076">
            <w:pPr>
              <w:widowControl w:val="0"/>
              <w:autoSpaceDE w:val="0"/>
              <w:autoSpaceDN w:val="0"/>
              <w:adjustRightInd w:val="0"/>
              <w:spacing w:after="0" w:line="240" w:lineRule="auto"/>
              <w:rPr>
                <w:rFonts w:ascii="Arial" w:hAnsi="Arial" w:cs="Arial"/>
                <w:sz w:val="24"/>
                <w:szCs w:val="24"/>
              </w:rPr>
            </w:pPr>
          </w:p>
          <w:p w:rsidR="00C34831" w:rsidRDefault="00C34831" w:rsidP="005B0076">
            <w:pPr>
              <w:widowControl w:val="0"/>
              <w:autoSpaceDE w:val="0"/>
              <w:autoSpaceDN w:val="0"/>
              <w:adjustRightInd w:val="0"/>
              <w:spacing w:after="0" w:line="240" w:lineRule="auto"/>
              <w:rPr>
                <w:rFonts w:ascii="Arial" w:hAnsi="Arial" w:cs="Arial"/>
                <w:sz w:val="24"/>
                <w:szCs w:val="24"/>
              </w:rPr>
            </w:pPr>
            <w:r>
              <w:rPr>
                <w:rFonts w:ascii="Arial" w:hAnsi="Arial"/>
                <w:sz w:val="24"/>
              </w:rPr>
              <w:t>** Σε περίπτωση παρουσίας προνυμφών, καθορίζονται συνιστώμενες συμπληρωματικές αναλύσεις στον οδηγό που δημοσιεύεται από την Anses.</w:t>
            </w:r>
          </w:p>
        </w:tc>
      </w:tr>
    </w:tbl>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D8408E" w:rsidRPr="00621B9B" w:rsidRDefault="00DD2A33" w:rsidP="00990A0D">
      <w:pPr>
        <w:keepNext/>
        <w:widowControl w:val="0"/>
        <w:autoSpaceDE w:val="0"/>
        <w:autoSpaceDN w:val="0"/>
        <w:adjustRightInd w:val="0"/>
        <w:spacing w:after="0" w:line="240" w:lineRule="auto"/>
        <w:jc w:val="both"/>
        <w:rPr>
          <w:rFonts w:ascii="Arial" w:hAnsi="Arial" w:cs="Arial"/>
          <w:sz w:val="24"/>
          <w:szCs w:val="24"/>
        </w:rPr>
      </w:pPr>
      <w:r>
        <w:rPr>
          <w:rFonts w:ascii="Arial" w:hAnsi="Arial"/>
          <w:sz w:val="24"/>
        </w:rPr>
        <w:t>Αντοχή στα αντιβιοτικά</w:t>
      </w:r>
    </w:p>
    <w:p w:rsidR="00621B9B" w:rsidRPr="00621B9B" w:rsidRDefault="00621B9B" w:rsidP="00990A0D">
      <w:pPr>
        <w:keepNext/>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Για τα προϊόντα που αποτελούνται από ή στα οποία έχει(ουν) ενσωματωθεί μικροοργανισμός(οί) (βακτήρια) για το (τα) οποίο(α) ζητείται(ούνται) αποτέλεσμα λίπανσης, πρέπει να καταρτιστεί αντιβιόγραμμα με βάση τον οδηγό της EFSA (1) και τις κατηγορίες αντιβιοτικών που καθορίζονται από την ΠΟΥ (2).</w:t>
      </w:r>
    </w:p>
    <w:p w:rsidR="00621B9B" w:rsidRPr="00621B9B"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B2B92"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(1) Guidance on microorganisms used as feed additives or as production organisms, Table 2 (EFSA) [Καθοδήγηση σχετικά με τους μικροοργανισμούς που χρησιμοποιούνται ως πρόσθετες ύλες ζωοτροφών ή ως οργανισμοί παραγωγής, πίνακας 2 (EFSA)].</w:t>
      </w:r>
    </w:p>
    <w:p w:rsidR="00621B9B" w:rsidRPr="00C65FAF"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B2B92"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(2) WHO List of Essential Medicines (OMS) [πρότυπος κατάλογος βασικών φαρμάκων της ΠΟΥ].</w:t>
      </w:r>
    </w:p>
    <w:p w:rsidR="00621B9B" w:rsidRPr="00C65FAF"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C65FAF" w:rsidRDefault="00621B9B" w:rsidP="00990A0D">
      <w:pPr>
        <w:widowControl w:val="0"/>
        <w:autoSpaceDE w:val="0"/>
        <w:autoSpaceDN w:val="0"/>
        <w:adjustRightInd w:val="0"/>
        <w:spacing w:after="0" w:line="240" w:lineRule="auto"/>
        <w:jc w:val="both"/>
        <w:rPr>
          <w:rFonts w:ascii="Arial" w:hAnsi="Arial" w:cs="Arial"/>
          <w:sz w:val="24"/>
          <w:szCs w:val="24"/>
        </w:rPr>
      </w:pPr>
    </w:p>
    <w:p w:rsidR="00621B9B" w:rsidRPr="00621B9B" w:rsidRDefault="00DD2A33" w:rsidP="00990A0D">
      <w:pPr>
        <w:widowControl w:val="0"/>
        <w:autoSpaceDE w:val="0"/>
        <w:autoSpaceDN w:val="0"/>
        <w:adjustRightInd w:val="0"/>
        <w:spacing w:after="0" w:line="240" w:lineRule="auto"/>
        <w:jc w:val="both"/>
        <w:rPr>
          <w:rFonts w:ascii="Arial" w:hAnsi="Arial" w:cs="Arial"/>
          <w:sz w:val="24"/>
          <w:szCs w:val="24"/>
        </w:rPr>
      </w:pPr>
      <w:r>
        <w:rPr>
          <w:rFonts w:ascii="Arial" w:hAnsi="Arial"/>
          <w:sz w:val="24"/>
        </w:rPr>
        <w:t>Συντάχθηκε την 1η Απριλίου 2020.</w:t>
      </w:r>
    </w:p>
    <w:p w:rsidR="00621B9B" w:rsidRPr="00621B9B" w:rsidRDefault="00621B9B">
      <w:pPr>
        <w:widowControl w:val="0"/>
        <w:autoSpaceDE w:val="0"/>
        <w:autoSpaceDN w:val="0"/>
        <w:adjustRightInd w:val="0"/>
        <w:spacing w:after="0" w:line="240" w:lineRule="auto"/>
        <w:rPr>
          <w:rFonts w:ascii="Arial" w:hAnsi="Arial" w:cs="Arial"/>
          <w:sz w:val="24"/>
          <w:szCs w:val="24"/>
        </w:rPr>
      </w:pPr>
    </w:p>
    <w:p w:rsidR="00621B9B" w:rsidRPr="00621B9B" w:rsidRDefault="00DD2A33" w:rsidP="00990A0D">
      <w:pPr>
        <w:keepNext/>
        <w:widowControl w:val="0"/>
        <w:autoSpaceDE w:val="0"/>
        <w:autoSpaceDN w:val="0"/>
        <w:adjustRightInd w:val="0"/>
        <w:spacing w:after="0" w:line="240" w:lineRule="auto"/>
        <w:rPr>
          <w:rFonts w:ascii="Arial" w:hAnsi="Arial" w:cs="Arial"/>
          <w:sz w:val="24"/>
          <w:szCs w:val="24"/>
        </w:rPr>
      </w:pPr>
      <w:r>
        <w:rPr>
          <w:rFonts w:ascii="Arial" w:hAnsi="Arial"/>
          <w:sz w:val="24"/>
        </w:rPr>
        <w:t>Για τον υπουργό και κατ’ εντολήν αυτού:</w:t>
      </w:r>
    </w:p>
    <w:p w:rsidR="00621B9B"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Ο γενικός υποδιευθυντής τροφίμων,</w:t>
      </w:r>
    </w:p>
    <w:p w:rsidR="00621B9B" w:rsidRPr="00621B9B" w:rsidRDefault="00DD2A33">
      <w:pPr>
        <w:widowControl w:val="0"/>
        <w:autoSpaceDE w:val="0"/>
        <w:autoSpaceDN w:val="0"/>
        <w:adjustRightInd w:val="0"/>
        <w:spacing w:after="0" w:line="240" w:lineRule="auto"/>
        <w:rPr>
          <w:rFonts w:ascii="Arial" w:hAnsi="Arial" w:cs="Arial"/>
          <w:sz w:val="24"/>
          <w:szCs w:val="24"/>
        </w:rPr>
      </w:pPr>
      <w:r>
        <w:rPr>
          <w:rFonts w:ascii="Arial" w:hAnsi="Arial"/>
          <w:sz w:val="24"/>
        </w:rPr>
        <w:t>L. Evain</w:t>
      </w:r>
    </w:p>
    <w:sectPr w:rsidR="00621B9B" w:rsidRPr="00621B9B">
      <w:pgSz w:w="11905" w:h="16837"/>
      <w:pgMar w:top="1133" w:right="1133" w:bottom="1133" w:left="1133"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2482" w:rsidRDefault="00DF2482" w:rsidP="00716768">
      <w:pPr>
        <w:spacing w:after="0" w:line="240" w:lineRule="auto"/>
      </w:pPr>
      <w:r>
        <w:separator/>
      </w:r>
    </w:p>
  </w:endnote>
  <w:endnote w:type="continuationSeparator" w:id="0">
    <w:p w:rsidR="00DF2482" w:rsidRDefault="00DF2482" w:rsidP="00716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2482" w:rsidRDefault="00DF2482" w:rsidP="00716768">
      <w:pPr>
        <w:spacing w:after="0" w:line="240" w:lineRule="auto"/>
      </w:pPr>
      <w:r>
        <w:separator/>
      </w:r>
    </w:p>
  </w:footnote>
  <w:footnote w:type="continuationSeparator" w:id="0">
    <w:p w:rsidR="00DF2482" w:rsidRDefault="00DF2482" w:rsidP="007167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C03F9B"/>
    <w:multiLevelType w:val="singleLevel"/>
    <w:tmpl w:val="53A5200D"/>
    <w:lvl w:ilvl="0">
      <w:start w:val="1"/>
      <w:numFmt w:val="bullet"/>
      <w:lvlText w:val="·"/>
      <w:lvlJc w:val="left"/>
      <w:rPr>
        <w:rFonts w:ascii="Times New Roman" w:hAnsi="Times New Roman" w:cs="Times New Roman"/>
      </w:rPr>
    </w:lvl>
  </w:abstractNum>
  <w:abstractNum w:abstractNumId="1" w15:restartNumberingAfterBreak="0">
    <w:nsid w:val="53C61E88"/>
    <w:multiLevelType w:val="singleLevel"/>
    <w:tmpl w:val="0EC5D46D"/>
    <w:lvl w:ilvl="0">
      <w:start w:val="1"/>
      <w:numFmt w:val="bullet"/>
      <w:lvlText w:val="·"/>
      <w:lvlJc w:val="left"/>
      <w:rPr>
        <w:rFonts w:ascii="Times New Roman" w:hAnsi="Times New Roman" w:cs="Times New Roman"/>
      </w:rPr>
    </w:lvl>
  </w:abstractNum>
  <w:num w:numId="1">
    <w:abstractNumId w:val="1"/>
  </w:num>
  <w:num w:numId="2">
    <w:abstractNumId w:val="0"/>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C28"/>
    <w:rsid w:val="000C1AB6"/>
    <w:rsid w:val="00510235"/>
    <w:rsid w:val="005837D2"/>
    <w:rsid w:val="00621B9B"/>
    <w:rsid w:val="006B2B92"/>
    <w:rsid w:val="00716768"/>
    <w:rsid w:val="00755C28"/>
    <w:rsid w:val="00915AB1"/>
    <w:rsid w:val="00990A0D"/>
    <w:rsid w:val="00A619BA"/>
    <w:rsid w:val="00AD6FFF"/>
    <w:rsid w:val="00B553AE"/>
    <w:rsid w:val="00C34831"/>
    <w:rsid w:val="00C5171F"/>
    <w:rsid w:val="00C65FAF"/>
    <w:rsid w:val="00D8408E"/>
    <w:rsid w:val="00DD2A33"/>
    <w:rsid w:val="00DF248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97528802-E004-4F22-8A01-B9E922B2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768"/>
    <w:pPr>
      <w:tabs>
        <w:tab w:val="center" w:pos="4703"/>
        <w:tab w:val="right" w:pos="9406"/>
      </w:tabs>
      <w:spacing w:after="0" w:line="240" w:lineRule="auto"/>
    </w:pPr>
  </w:style>
  <w:style w:type="character" w:customStyle="1" w:styleId="HeaderChar">
    <w:name w:val="Header Char"/>
    <w:basedOn w:val="DefaultParagraphFont"/>
    <w:link w:val="Header"/>
    <w:uiPriority w:val="99"/>
    <w:rsid w:val="00716768"/>
  </w:style>
  <w:style w:type="paragraph" w:styleId="Footer">
    <w:name w:val="footer"/>
    <w:basedOn w:val="Normal"/>
    <w:link w:val="FooterChar"/>
    <w:uiPriority w:val="99"/>
    <w:unhideWhenUsed/>
    <w:rsid w:val="00716768"/>
    <w:pPr>
      <w:tabs>
        <w:tab w:val="center" w:pos="4703"/>
        <w:tab w:val="right" w:pos="9406"/>
      </w:tabs>
      <w:spacing w:after="0" w:line="240" w:lineRule="auto"/>
    </w:pPr>
  </w:style>
  <w:style w:type="character" w:customStyle="1" w:styleId="FooterChar">
    <w:name w:val="Footer Char"/>
    <w:basedOn w:val="DefaultParagraphFont"/>
    <w:link w:val="Footer"/>
    <w:uiPriority w:val="99"/>
    <w:rsid w:val="00716768"/>
  </w:style>
  <w:style w:type="paragraph" w:styleId="PlainText">
    <w:name w:val="Plain Text"/>
    <w:basedOn w:val="Normal"/>
    <w:link w:val="PlainTextChar"/>
    <w:uiPriority w:val="99"/>
    <w:unhideWhenUsed/>
    <w:rsid w:val="006B2B92"/>
    <w:pPr>
      <w:spacing w:after="0" w:line="240" w:lineRule="auto"/>
    </w:pPr>
    <w:rPr>
      <w:rFonts w:ascii="Consolas" w:eastAsia="Times New Roman" w:hAnsi="Consolas" w:cs="Times New Roman"/>
      <w:sz w:val="21"/>
      <w:szCs w:val="21"/>
      <w:lang w:eastAsia="en-US"/>
    </w:rPr>
  </w:style>
  <w:style w:type="character" w:customStyle="1" w:styleId="PlainTextChar">
    <w:name w:val="Plain Text Char"/>
    <w:basedOn w:val="DefaultParagraphFont"/>
    <w:link w:val="PlainText"/>
    <w:uiPriority w:val="99"/>
    <w:rsid w:val="006B2B92"/>
    <w:rPr>
      <w:rFonts w:ascii="Consolas" w:eastAsia="Times New Roman" w:hAnsi="Consolas" w:cs="Times New Roman"/>
      <w:sz w:val="21"/>
      <w:szCs w:val="21"/>
      <w:lang w:val="el-GR" w:eastAsia="en-US"/>
    </w:rPr>
  </w:style>
  <w:style w:type="paragraph" w:styleId="ListParagraph">
    <w:name w:val="List Paragraph"/>
    <w:basedOn w:val="Normal"/>
    <w:uiPriority w:val="34"/>
    <w:qFormat/>
    <w:rsid w:val="00C65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2631</Words>
  <Characters>15000</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Liu, Lei</cp:lastModifiedBy>
  <cp:revision>9</cp:revision>
  <dcterms:created xsi:type="dcterms:W3CDTF">2020-04-10T08:50:00Z</dcterms:created>
  <dcterms:modified xsi:type="dcterms:W3CDTF">2020-10-09T02:21:00Z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forCreatedThisOn">
    <vt:lpwstr>Fri Apr 10 10:49:34 CEST 2020</vt:lpwstr>
  </property>
  <property fmtid="{D5CDD505-2E9C-101B-9397-08002B2CF9AE}" pid="3" name="jforVersion">
    <vt:lpwstr>jfor V0.7.2rc1 - see http://www.jfor.org</vt:lpwstr>
  </property>
</Properties>
</file>