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39F8" w:rsidRPr="008F61B0" w:rsidRDefault="008D39F8" w:rsidP="008D39F8">
      <w:pPr>
        <w:pStyle w:val="PlainText"/>
        <w:rPr>
          <w:rFonts w:ascii="Courier New" w:hAnsi="Courier New" w:cs="Courier New"/>
          <w:sz w:val="20"/>
          <w:szCs w:val="20"/>
          <w:lang w:val="da-DK"/>
        </w:rPr>
      </w:pPr>
      <w:r>
        <w:rPr>
          <w:rFonts w:ascii="Courier New" w:hAnsi="Courier New" w:cs="Courier New"/>
          <w:sz w:val="20"/>
          <w:szCs w:val="20"/>
        </w:rPr>
        <w:t xml:space="preserve">1. ------IND- 2019 0518 F-- </w:t>
      </w:r>
      <w:r w:rsidR="00997DDF">
        <w:rPr>
          <w:rFonts w:ascii="Courier New" w:hAnsi="Courier New" w:cs="Courier New"/>
          <w:sz w:val="20"/>
          <w:szCs w:val="20"/>
        </w:rPr>
        <w:t>MT</w:t>
      </w:r>
      <w:r>
        <w:rPr>
          <w:rFonts w:ascii="Courier New" w:hAnsi="Courier New" w:cs="Courier New"/>
          <w:sz w:val="20"/>
          <w:szCs w:val="20"/>
        </w:rPr>
        <w:t>- ------ 20200930 --- --- FINAL</w:t>
      </w:r>
    </w:p>
    <w:p w:rsidR="0091289F" w:rsidRPr="00DA0D8C" w:rsidRDefault="0091289F" w:rsidP="00632EA4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DA0D8C">
        <w:rPr>
          <w:rFonts w:ascii="Arial" w:hAnsi="Arial" w:cs="Arial"/>
        </w:rPr>
        <w:t>L-10 ta’ April 2020</w:t>
      </w:r>
    </w:p>
    <w:p w:rsidR="0091289F" w:rsidRPr="00DA0D8C" w:rsidRDefault="0091289F" w:rsidP="00632EA4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A0D8C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46EEB" w:rsidRDefault="002A16CE" w:rsidP="00DA0D8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6EEB">
        <w:rPr>
          <w:rFonts w:ascii="Arial" w:hAnsi="Arial" w:cs="Arial"/>
        </w:rPr>
        <w:t>Il-</w:t>
      </w:r>
      <w:r w:rsidR="0091289F" w:rsidRPr="00DA0D8C">
        <w:rPr>
          <w:rFonts w:ascii="Arial" w:hAnsi="Arial" w:cs="Arial"/>
        </w:rPr>
        <w:t>Ġurnal Uffiċjali tar-Repubblika Franċiża Nru </w:t>
      </w:r>
      <w:r w:rsidR="0091289F" w:rsidRPr="008D39F8">
        <w:rPr>
          <w:rFonts w:ascii="Arial" w:hAnsi="Arial" w:cs="Arial"/>
        </w:rPr>
        <w:t>0085 tas-7 </w:t>
      </w:r>
      <w:r w:rsidR="0091289F" w:rsidRPr="002A16CE">
        <w:rPr>
          <w:rFonts w:ascii="Arial" w:hAnsi="Arial" w:cs="Arial"/>
        </w:rPr>
        <w:t>ta’ April </w:t>
      </w:r>
      <w:r w:rsidR="0091289F" w:rsidRPr="00D46EEB">
        <w:rPr>
          <w:rFonts w:ascii="Arial" w:hAnsi="Arial" w:cs="Arial"/>
        </w:rPr>
        <w:t>2020</w:t>
      </w:r>
    </w:p>
    <w:p w:rsidR="0091289F" w:rsidRPr="00D46EEB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46EEB" w:rsidRDefault="0091289F" w:rsidP="00DA0D8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6EEB">
        <w:rPr>
          <w:rFonts w:ascii="Arial" w:hAnsi="Arial" w:cs="Arial"/>
        </w:rPr>
        <w:t>Test Nru 11</w:t>
      </w:r>
    </w:p>
    <w:p w:rsidR="0091289F" w:rsidRPr="00D46EEB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46EEB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A0D8C" w:rsidRDefault="0091289F" w:rsidP="00DA0D8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6EEB">
        <w:rPr>
          <w:rFonts w:ascii="Arial" w:hAnsi="Arial" w:cs="Arial"/>
          <w:b/>
        </w:rPr>
        <w:t>Digriet tal-1 ta’ April </w:t>
      </w:r>
      <w:r w:rsidRPr="00D46EEB">
        <w:rPr>
          <w:rFonts w:ascii="Arial" w:hAnsi="Arial" w:cs="Arial"/>
          <w:b/>
          <w:bCs/>
        </w:rPr>
        <w:t xml:space="preserve">2020 </w:t>
      </w:r>
      <w:r w:rsidR="00501E06" w:rsidRPr="00D46EEB">
        <w:rPr>
          <w:rFonts w:ascii="Arial" w:hAnsi="Arial" w:cs="Arial"/>
          <w:b/>
        </w:rPr>
        <w:t>li jistabbilixxi l-kompożizzjoni tal-applikazzjonijiet għall-awtorizzazzjonijiet għat-tqegħid fis-suq u l-permess għall-fertilizzanti, addittivi fertilizzanti u l-mezzi għat-tkabbir u l-kriterji li għandhom jitqiesu fil-preparazzjoni tal-elementi meħtieġa għall-evalwazzjoni</w:t>
      </w:r>
      <w:r w:rsidR="00501E06" w:rsidRPr="00D46EEB">
        <w:rPr>
          <w:rFonts w:ascii="Arial" w:hAnsi="Arial" w:cs="Arial"/>
        </w:rPr>
        <w:br/>
      </w:r>
      <w:r w:rsidR="00501E06" w:rsidRPr="00D46EEB">
        <w:rPr>
          <w:rFonts w:ascii="Arial" w:hAnsi="Arial" w:cs="Arial"/>
        </w:rPr>
        <w:br/>
        <w:t>NOR</w:t>
      </w:r>
      <w:r w:rsidRPr="00DA0D8C">
        <w:rPr>
          <w:rFonts w:ascii="Arial" w:hAnsi="Arial" w:cs="Arial"/>
        </w:rPr>
        <w:t>: AGRG2008998A</w:t>
      </w:r>
    </w:p>
    <w:p w:rsidR="0091289F" w:rsidRPr="00DA0D8C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A0D8C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46EEB" w:rsidRDefault="0091289F" w:rsidP="00DA0D8C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2A16CE">
        <w:rPr>
          <w:rFonts w:ascii="Arial" w:hAnsi="Arial" w:cs="Arial"/>
          <w:sz w:val="20"/>
          <w:szCs w:val="20"/>
        </w:rPr>
        <w:t>ELI:https://www.legifrance.gouv.fr/eli/arrete/2020/4/1/AGRG2008998A/jo/texte</w:t>
      </w:r>
    </w:p>
    <w:p w:rsidR="0091289F" w:rsidRPr="00DA0D8C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91289F" w:rsidRPr="00DA0D8C" w:rsidRDefault="0091289F" w:rsidP="00DA0D8C">
      <w:pPr>
        <w:autoSpaceDE w:val="0"/>
        <w:autoSpaceDN w:val="0"/>
        <w:adjustRightInd w:val="0"/>
        <w:rPr>
          <w:rFonts w:ascii="Arial" w:hAnsi="Arial" w:cs="Arial"/>
        </w:rPr>
      </w:pPr>
    </w:p>
    <w:p w:rsidR="00501E06" w:rsidRPr="00D46EEB" w:rsidRDefault="00501E06" w:rsidP="00D46EEB">
      <w:pPr>
        <w:pStyle w:val="SNNORCentr"/>
        <w:rPr>
          <w:rFonts w:ascii="Arial" w:hAnsi="Arial" w:cs="Arial"/>
          <w:szCs w:val="24"/>
        </w:rPr>
      </w:pPr>
    </w:p>
    <w:p w:rsidR="00501E06" w:rsidRPr="00D46EEB" w:rsidRDefault="00501E06" w:rsidP="00632EA4">
      <w:pPr>
        <w:pStyle w:val="SNNORCentr"/>
        <w:rPr>
          <w:rFonts w:ascii="Arial" w:hAnsi="Arial" w:cs="Arial"/>
          <w:szCs w:val="24"/>
        </w:rPr>
      </w:pPr>
    </w:p>
    <w:p w:rsidR="00501E06" w:rsidRPr="00D46EEB" w:rsidRDefault="00501E06" w:rsidP="00DA0D8C">
      <w:pPr>
        <w:pStyle w:val="Default"/>
        <w:jc w:val="both"/>
        <w:rPr>
          <w:rFonts w:ascii="Arial" w:hAnsi="Arial" w:cs="Arial"/>
          <w:iCs/>
        </w:rPr>
      </w:pPr>
      <w:r w:rsidRPr="00D46EEB">
        <w:rPr>
          <w:rFonts w:ascii="Arial" w:hAnsi="Arial" w:cs="Arial"/>
        </w:rPr>
        <w:t>Pubbliku konċernat: detenturi u applikanti għall-awtorizzazzjoni għat-tqegħid fis-suq jew permess għall-fertilizzanti, addittivi fertilizzanti u l-mezzi għat-tkabbir.</w:t>
      </w:r>
    </w:p>
    <w:p w:rsidR="009D474A" w:rsidRPr="00D46EEB" w:rsidRDefault="009D474A" w:rsidP="00DA0D8C">
      <w:pPr>
        <w:pStyle w:val="Standard"/>
        <w:jc w:val="both"/>
        <w:rPr>
          <w:rFonts w:ascii="Arial" w:hAnsi="Arial" w:cs="Arial"/>
          <w:iCs/>
        </w:rPr>
      </w:pPr>
    </w:p>
    <w:p w:rsidR="00501E06" w:rsidRPr="00D46EEB" w:rsidRDefault="00501E06" w:rsidP="002A16CE">
      <w:pPr>
        <w:pStyle w:val="Standard"/>
        <w:jc w:val="both"/>
        <w:rPr>
          <w:rFonts w:ascii="Arial" w:hAnsi="Arial" w:cs="Arial"/>
          <w:iCs/>
        </w:rPr>
      </w:pPr>
      <w:r w:rsidRPr="00D46EEB">
        <w:rPr>
          <w:rFonts w:ascii="Arial" w:hAnsi="Arial" w:cs="Arial"/>
        </w:rPr>
        <w:t>Suġġett: kompożizzjoni tal-applikazzjonijiet għall-awtorizzazzjoni għat-tqegħid fis-suq, tal-permess ta’ esperimentazzjoni u tal-permess għall-introduzzjoni ta’ fertilizzanti, l-addittivi tagħhom u l-mezzi għat-tkabbir, il-kontenut tan-notifiki u dikjarazzjonijiet relatati ma’ dawn il-prodotti.</w:t>
      </w:r>
    </w:p>
    <w:p w:rsidR="009D474A" w:rsidRPr="00D46EEB" w:rsidRDefault="009D474A" w:rsidP="00D46EEB">
      <w:pPr>
        <w:pStyle w:val="Default"/>
        <w:jc w:val="both"/>
        <w:rPr>
          <w:rFonts w:ascii="Arial" w:hAnsi="Arial" w:cs="Arial"/>
          <w:iCs/>
        </w:rPr>
      </w:pPr>
    </w:p>
    <w:p w:rsidR="00501E06" w:rsidRPr="00D46EEB" w:rsidRDefault="00501E06" w:rsidP="00D46EEB">
      <w:pPr>
        <w:pStyle w:val="Default"/>
        <w:jc w:val="both"/>
        <w:rPr>
          <w:rFonts w:ascii="Arial" w:hAnsi="Arial" w:cs="Arial"/>
          <w:iCs/>
        </w:rPr>
      </w:pPr>
      <w:r w:rsidRPr="00D46EEB">
        <w:rPr>
          <w:rFonts w:ascii="Arial" w:hAnsi="Arial" w:cs="Arial"/>
        </w:rPr>
        <w:t xml:space="preserve">Dħul fis-seħħ: it-test jidħol fis-seħħ </w:t>
      </w:r>
      <w:r w:rsidR="0091289F" w:rsidRPr="00D46EEB">
        <w:rPr>
          <w:rFonts w:ascii="Arial" w:hAnsi="Arial" w:cs="Arial"/>
        </w:rPr>
        <w:t>l-għada tal-pubblikazzjoni tiegħu</w:t>
      </w:r>
      <w:r w:rsidRPr="00D46EEB">
        <w:rPr>
          <w:rFonts w:ascii="Arial" w:hAnsi="Arial" w:cs="Arial"/>
        </w:rPr>
        <w:t>.</w:t>
      </w:r>
    </w:p>
    <w:p w:rsidR="008D39F8" w:rsidRDefault="008D39F8" w:rsidP="002A16CE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2A16CE">
      <w:pPr>
        <w:pStyle w:val="Standard"/>
        <w:jc w:val="both"/>
        <w:rPr>
          <w:rFonts w:ascii="Arial" w:hAnsi="Arial" w:cs="Arial"/>
          <w:iCs/>
        </w:rPr>
      </w:pPr>
      <w:r w:rsidRPr="00D46EEB">
        <w:rPr>
          <w:rFonts w:ascii="Arial" w:hAnsi="Arial" w:cs="Arial"/>
        </w:rPr>
        <w:t>Avviż: id-Digriet jiffissa, għal kull tip ta’ applikazzjoni, notifika u dikjarazzjoni li għandhom x’jaqsmu ma’ awtorizzazzjoni jew ma’ permess għall-fertilizzant, addittiv għall-fertilizzanti jew mezzi għat-tkabbir, il-kompożizzjoni tal-fajl li għandha tissottometti lill-Aġenzija Nazzjonali għas-Sikurezza tal-Ikel, l-Ambjent u x-Xogħol.</w:t>
      </w:r>
    </w:p>
    <w:p w:rsidR="00501E06" w:rsidRPr="00D46EEB" w:rsidRDefault="00501E06" w:rsidP="00DA0D8C">
      <w:pPr>
        <w:pStyle w:val="Standard"/>
        <w:jc w:val="both"/>
        <w:rPr>
          <w:rFonts w:ascii="Arial" w:hAnsi="Arial" w:cs="Arial"/>
          <w:iCs/>
        </w:rPr>
      </w:pPr>
    </w:p>
    <w:p w:rsidR="00501E06" w:rsidRPr="00D46EEB" w:rsidRDefault="00501E06" w:rsidP="00DA0D8C">
      <w:pPr>
        <w:pStyle w:val="Default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Referenzi : dan id-Digriet jiġi applikat skont l-Artikoli R. 255-13 u R. 255-14 tal-Kodiċi Rurali u tas-Sajd Marittimu. Dan jista’ jiġi kkonsultat fuq is-sit Légifrance </w:t>
      </w:r>
      <w:r w:rsidR="0091289F" w:rsidRPr="00DA0D8C">
        <w:rPr>
          <w:rFonts w:ascii="Arial" w:hAnsi="Arial" w:cs="Arial"/>
        </w:rPr>
        <w:t>(https://www.legifrance.gouv.fr).</w:t>
      </w:r>
    </w:p>
    <w:p w:rsidR="0091289F" w:rsidRPr="00D46EEB" w:rsidRDefault="0091289F" w:rsidP="00DA0D8C">
      <w:pPr>
        <w:pStyle w:val="Default"/>
        <w:jc w:val="both"/>
        <w:rPr>
          <w:rFonts w:ascii="Arial" w:hAnsi="Arial" w:cs="Arial"/>
        </w:rPr>
      </w:pPr>
    </w:p>
    <w:p w:rsidR="0091289F" w:rsidRPr="00D46EEB" w:rsidRDefault="0091289F" w:rsidP="00DA0D8C">
      <w:pPr>
        <w:pStyle w:val="Default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Il-Ministru għall-Agrikoltura u l-Ikel,</w:t>
      </w:r>
    </w:p>
    <w:p w:rsidR="0091289F" w:rsidRPr="00D46EEB" w:rsidRDefault="0091289F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Wara li kkunsidra r-Regolament (KE) Nru 1907/2006 tal-Parlament Ewropew u tal-Kunsill tat-18 ta’ Diċembru 2006 dwar ir-reġistrazzjoni, il-valutazzjoni, l-awtorizzazzjoni u r-restrizzjoni ta’ sustanzi kimiċi (REACH), li jistabbilixxi Aġenzija Ewropea għas-Sustanzi Kimiċi;</w:t>
      </w:r>
    </w:p>
    <w:p w:rsidR="0091289F" w:rsidRPr="00D46EEB" w:rsidRDefault="0091289F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jc w:val="both"/>
        <w:rPr>
          <w:rStyle w:val="StrongEmphasis"/>
          <w:rFonts w:ascii="Arial" w:hAnsi="Arial" w:cs="Arial"/>
          <w:b w:val="0"/>
        </w:rPr>
      </w:pPr>
      <w:r w:rsidRPr="00D46EEB">
        <w:rPr>
          <w:rFonts w:ascii="Arial" w:hAnsi="Arial" w:cs="Arial"/>
        </w:rPr>
        <w:t>Wara li kkunsidra l-Kodiċi Rurali u tas-Sajd Marittimu, b’mod partikolari l-Artikoli R. 255-13 u R. 255-14 tiegħu;</w:t>
      </w:r>
    </w:p>
    <w:p w:rsidR="0091289F" w:rsidRPr="00D46EEB" w:rsidRDefault="0091289F" w:rsidP="00D46EEB">
      <w:pPr>
        <w:pStyle w:val="Standard"/>
        <w:jc w:val="both"/>
        <w:rPr>
          <w:rStyle w:val="StrongEmphasis"/>
          <w:rFonts w:ascii="Arial" w:hAnsi="Arial" w:cs="Arial"/>
          <w:b w:val="0"/>
        </w:rPr>
      </w:pP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Style w:val="StrongEmphasis"/>
          <w:rFonts w:ascii="Arial" w:hAnsi="Arial" w:cs="Arial"/>
          <w:b w:val="0"/>
        </w:rPr>
        <w:t>Wara li kkunsidra d-Digriet Nru 80-478 tas-16 ta’ Ġunju 1980 li japplika l-Artikolu L. 412-1 tal-Kodiċi tal-Konsum fir-rigward tas-sustanzi fertilizzanti u l-mezzi għat-tkabbir;</w:t>
      </w:r>
    </w:p>
    <w:p w:rsidR="0091289F" w:rsidRPr="00D46EEB" w:rsidRDefault="0091289F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Wara li kkunsidra l-proposta tad-Direttur Ġenerali tal-Aġenzija Nazzjonali tas-Sikurezza tal-Ikel, tal-Ambjent u tax-Xogħol tat-2 t’Awwissu 2019.</w:t>
      </w:r>
    </w:p>
    <w:p w:rsidR="0091289F" w:rsidRPr="00D46EEB" w:rsidRDefault="0091289F" w:rsidP="00D46EEB">
      <w:pPr>
        <w:pStyle w:val="Standard"/>
        <w:jc w:val="both"/>
        <w:rPr>
          <w:rFonts w:ascii="Arial" w:hAnsi="Arial" w:cs="Arial"/>
          <w:bCs/>
        </w:rPr>
      </w:pPr>
    </w:p>
    <w:p w:rsidR="00501E06" w:rsidRPr="00D46EEB" w:rsidRDefault="00501E06" w:rsidP="00D46EEB">
      <w:pPr>
        <w:pStyle w:val="SNArticle"/>
        <w:keepNext/>
        <w:spacing w:before="0" w:after="0"/>
        <w:jc w:val="both"/>
        <w:rPr>
          <w:rFonts w:ascii="Arial" w:hAnsi="Arial" w:cs="Arial"/>
          <w:b w:val="0"/>
        </w:rPr>
      </w:pPr>
      <w:r w:rsidRPr="00D46EEB">
        <w:rPr>
          <w:rFonts w:ascii="Arial" w:hAnsi="Arial" w:cs="Arial"/>
          <w:b w:val="0"/>
        </w:rPr>
        <w:t>Jordna:</w:t>
      </w:r>
    </w:p>
    <w:p w:rsidR="0091289F" w:rsidRPr="00D46EEB" w:rsidRDefault="0091289F" w:rsidP="00D46EEB">
      <w:pPr>
        <w:pStyle w:val="Textbody"/>
        <w:spacing w:after="0"/>
        <w:rPr>
          <w:rFonts w:ascii="Arial" w:hAnsi="Arial" w:cs="Arial"/>
        </w:rPr>
      </w:pPr>
    </w:p>
    <w:p w:rsidR="0091289F" w:rsidRPr="00D46EEB" w:rsidRDefault="0091289F" w:rsidP="00D46EEB">
      <w:pPr>
        <w:pStyle w:val="Textbody"/>
        <w:spacing w:after="0"/>
        <w:rPr>
          <w:rFonts w:ascii="Arial" w:hAnsi="Arial" w:cs="Arial"/>
        </w:rPr>
      </w:pPr>
    </w:p>
    <w:p w:rsidR="00501E06" w:rsidRPr="00D46EEB" w:rsidRDefault="00501E06" w:rsidP="00D46EEB">
      <w:pPr>
        <w:pStyle w:val="SNArticle"/>
        <w:keepNext/>
        <w:spacing w:before="0" w:after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Artikolu 1</w:t>
      </w:r>
    </w:p>
    <w:p w:rsidR="0091289F" w:rsidRPr="00DA0D8C" w:rsidRDefault="0091289F" w:rsidP="00632EA4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1289F" w:rsidRPr="00DA0D8C" w:rsidRDefault="0091289F" w:rsidP="00DA0D8C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1289F" w:rsidRPr="00DA0D8C" w:rsidRDefault="0091289F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0D8C">
        <w:rPr>
          <w:rFonts w:ascii="Arial" w:hAnsi="Arial" w:cs="Arial"/>
        </w:rPr>
        <w:t>Kamp ta’ applikazzjoni.</w:t>
      </w:r>
    </w:p>
    <w:p w:rsidR="0091289F" w:rsidRPr="00DA0D8C" w:rsidRDefault="0091289F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Id-disposizzjonijiet ta’ dan id-Digriet japplikaw għall-fertilizzanti, għall-addittivi ta’ fertilizzanti u għal mezzi għat-tkabbir, minn hawn ’il quddiem imsejħa “prodott”, u huma mifhuma li jfissru “prodott jew grupp ta’ prodotti” fit-tifsira tal-Artikolu R 255-1 tal-Kodiċi Rurali u tas-Sajd Marittimu.</w:t>
      </w:r>
    </w:p>
    <w:p w:rsidR="003F35BB" w:rsidRDefault="003F35BB" w:rsidP="00D46EEB">
      <w:pPr>
        <w:pStyle w:val="SNREPUBLIQUE"/>
        <w:keepNext/>
        <w:jc w:val="both"/>
        <w:rPr>
          <w:rFonts w:ascii="Arial" w:hAnsi="Arial" w:cs="Arial"/>
          <w:b w:val="0"/>
          <w:szCs w:val="24"/>
        </w:rPr>
      </w:pPr>
    </w:p>
    <w:p w:rsidR="0091289F" w:rsidRPr="00D46EEB" w:rsidRDefault="00501E06" w:rsidP="00D46EEB">
      <w:pPr>
        <w:pStyle w:val="SNREPUBLIQUE"/>
        <w:keepNext/>
        <w:jc w:val="both"/>
        <w:rPr>
          <w:rFonts w:ascii="Arial" w:hAnsi="Arial" w:cs="Arial"/>
          <w:szCs w:val="24"/>
        </w:rPr>
      </w:pPr>
      <w:r w:rsidRPr="00D46EEB">
        <w:rPr>
          <w:rFonts w:ascii="Arial" w:hAnsi="Arial" w:cs="Arial"/>
          <w:szCs w:val="24"/>
        </w:rPr>
        <w:t>Artikolu 2</w:t>
      </w:r>
    </w:p>
    <w:p w:rsidR="0091289F" w:rsidRPr="00D46EEB" w:rsidRDefault="0091289F" w:rsidP="00D46EEB">
      <w:pPr>
        <w:pStyle w:val="SNREPUBLIQUE"/>
        <w:keepNext/>
        <w:jc w:val="both"/>
        <w:rPr>
          <w:rFonts w:ascii="Arial" w:hAnsi="Arial" w:cs="Arial"/>
          <w:b w:val="0"/>
          <w:szCs w:val="24"/>
        </w:rPr>
      </w:pPr>
    </w:p>
    <w:p w:rsidR="0091289F" w:rsidRPr="00D46EEB" w:rsidRDefault="0091289F" w:rsidP="00D46EEB">
      <w:pPr>
        <w:pStyle w:val="SNREPUBLIQUE"/>
        <w:keepNext/>
        <w:jc w:val="both"/>
        <w:rPr>
          <w:rFonts w:ascii="Arial" w:hAnsi="Arial" w:cs="Arial"/>
          <w:b w:val="0"/>
          <w:szCs w:val="24"/>
        </w:rPr>
      </w:pPr>
    </w:p>
    <w:p w:rsidR="00501E06" w:rsidRPr="00D46EEB" w:rsidRDefault="00501E06" w:rsidP="00D46EEB">
      <w:pPr>
        <w:pStyle w:val="SNREPUBLIQUE"/>
        <w:keepNext/>
        <w:jc w:val="both"/>
        <w:rPr>
          <w:rFonts w:ascii="Arial" w:hAnsi="Arial" w:cs="Arial"/>
          <w:b w:val="0"/>
          <w:szCs w:val="24"/>
        </w:rPr>
      </w:pPr>
      <w:r w:rsidRPr="00D46EEB">
        <w:rPr>
          <w:rFonts w:ascii="Arial" w:hAnsi="Arial" w:cs="Arial"/>
          <w:b w:val="0"/>
          <w:szCs w:val="24"/>
        </w:rPr>
        <w:t>Dispożizzjonijiet komuni</w:t>
      </w:r>
      <w:r w:rsidR="0091289F" w:rsidRPr="00D46EEB">
        <w:rPr>
          <w:rFonts w:ascii="Arial" w:hAnsi="Arial" w:cs="Arial"/>
          <w:b w:val="0"/>
          <w:szCs w:val="24"/>
        </w:rPr>
        <w:t>.</w:t>
      </w:r>
    </w:p>
    <w:p w:rsidR="0091289F" w:rsidRPr="00D46EEB" w:rsidRDefault="0091289F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Kull applikazzjoni għall-awtorizzazzjoni għat-tqegħid fis-suq, għall-permess ta’ esperimentazzjoni u għall-permess għall-introduzzjoni ta’ prodott, kwalunkwe applikazzjoni għal modifika, tiġdid jew irtirar ta’ dawn l-awtorizzazzjonijiet jew permessi, kif ukoll kwalunkwe </w:t>
      </w:r>
      <w:r w:rsidR="0091289F" w:rsidRPr="00D46EEB">
        <w:rPr>
          <w:rFonts w:ascii="Arial" w:hAnsi="Arial" w:cs="Arial"/>
        </w:rPr>
        <w:t xml:space="preserve">trażmissjoni ta’ informazzjoni, </w:t>
      </w:r>
      <w:r w:rsidRPr="00D46EEB">
        <w:rPr>
          <w:rFonts w:ascii="Arial" w:hAnsi="Arial" w:cs="Arial"/>
        </w:rPr>
        <w:t>notifika jew dikjarazzjoni relatata ma’ dawn il-prodotti, hija sottomessa lill-Aġenzija Nazzjonali għas-Sikurezza tal-Ikel, l-Ambjent u x-Xogħol (ANSES). Hija stabbilita fil-forma ta’ fajl abbozzat bil-Franċiż, ħlief għal dispożizzjonijiet speċifiċi previsti fl-Artikolu 3.</w:t>
      </w:r>
    </w:p>
    <w:p w:rsidR="003A3CBE" w:rsidRPr="00D46EEB" w:rsidRDefault="003A3CBE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Dan il-fajl jinkludi:</w:t>
      </w:r>
    </w:p>
    <w:p w:rsidR="003A3CBE" w:rsidRPr="00D46EEB" w:rsidRDefault="003A3CBE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501E06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(1) </w:t>
      </w:r>
      <w:r w:rsidR="003A3CBE" w:rsidRPr="00D46EEB">
        <w:rPr>
          <w:rFonts w:ascii="Arial" w:hAnsi="Arial" w:cs="Arial"/>
        </w:rPr>
        <w:t xml:space="preserve">Ittra </w:t>
      </w:r>
      <w:r w:rsidRPr="00D46EEB">
        <w:rPr>
          <w:rFonts w:ascii="Arial" w:hAnsi="Arial" w:cs="Arial"/>
        </w:rPr>
        <w:t xml:space="preserve">li għandha x’taqsam mal-applikazzjoni, </w:t>
      </w:r>
      <w:r w:rsidR="003A3CBE" w:rsidRPr="00D46EEB">
        <w:rPr>
          <w:rFonts w:ascii="Arial" w:hAnsi="Arial" w:cs="Arial"/>
        </w:rPr>
        <w:t xml:space="preserve">it-trażmissjoni ta’ informazzjoni, </w:t>
      </w:r>
      <w:r w:rsidRPr="00D46EEB">
        <w:rPr>
          <w:rFonts w:ascii="Arial" w:hAnsi="Arial" w:cs="Arial"/>
        </w:rPr>
        <w:t>in-notifika jew id-dikjarazzjoni</w:t>
      </w:r>
      <w:r w:rsidR="003A3CBE" w:rsidRPr="00D46EEB">
        <w:rPr>
          <w:rFonts w:ascii="Arial" w:hAnsi="Arial" w:cs="Arial"/>
        </w:rPr>
        <w:t>;</w:t>
      </w:r>
    </w:p>
    <w:p w:rsidR="003A3CBE" w:rsidRPr="00D46EEB" w:rsidRDefault="003A3CBE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501E06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(2) </w:t>
      </w:r>
      <w:r w:rsidR="003A3CBE" w:rsidRPr="00D46EEB">
        <w:rPr>
          <w:rFonts w:ascii="Arial" w:hAnsi="Arial" w:cs="Arial"/>
        </w:rPr>
        <w:t xml:space="preserve">Formola </w:t>
      </w:r>
      <w:r w:rsidRPr="00D46EEB">
        <w:rPr>
          <w:rFonts w:ascii="Arial" w:hAnsi="Arial" w:cs="Arial"/>
        </w:rPr>
        <w:t>mimlija kif xieraq skont l-avviż korrispondenti, datata u ffirmata. Il-formola u l-istruzzjonijiet tagħha huma disponibbli fuq il-websajt tal-ANSES</w:t>
      </w:r>
      <w:r w:rsidR="003A3CBE" w:rsidRPr="00D46EEB">
        <w:rPr>
          <w:rFonts w:ascii="Arial" w:hAnsi="Arial" w:cs="Arial"/>
        </w:rPr>
        <w:t>;</w:t>
      </w:r>
    </w:p>
    <w:p w:rsidR="003A3CBE" w:rsidRPr="00D46EEB" w:rsidRDefault="003A3CBE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501E06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(3) </w:t>
      </w:r>
      <w:r w:rsidR="003A3CBE" w:rsidRPr="00D46EEB">
        <w:rPr>
          <w:rFonts w:ascii="Arial" w:hAnsi="Arial" w:cs="Arial"/>
        </w:rPr>
        <w:t xml:space="preserve">Fejn </w:t>
      </w:r>
      <w:r w:rsidRPr="00D46EEB">
        <w:rPr>
          <w:rFonts w:ascii="Arial" w:hAnsi="Arial" w:cs="Arial"/>
        </w:rPr>
        <w:t xml:space="preserve">applikabbli, l-elementi addizzjonali meħtieġa għall-eżami u l-evalwazzjoni tal-applikazzjoni jew ir-reġistrazzjoni tan-notifika jew tad-dikjarazzjoni previsti fl-Artikoli 3 sa </w:t>
      </w:r>
      <w:r w:rsidR="003A3CBE" w:rsidRPr="00D46EEB">
        <w:rPr>
          <w:rFonts w:ascii="Arial" w:hAnsi="Arial" w:cs="Arial"/>
        </w:rPr>
        <w:t xml:space="preserve">6 </w:t>
      </w:r>
      <w:r w:rsidRPr="00D46EEB">
        <w:rPr>
          <w:rFonts w:ascii="Arial" w:hAnsi="Arial" w:cs="Arial"/>
        </w:rPr>
        <w:t>ta’ dan id-Digriet.</w:t>
      </w:r>
    </w:p>
    <w:p w:rsidR="003A3CBE" w:rsidRPr="00D46EEB" w:rsidRDefault="003A3CBE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501E06" w:rsidP="00D46EEB">
      <w:pPr>
        <w:pStyle w:val="Header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Kull fajl huwa ppreżentat fil-forma ta’ verżjoni diġitali trażmessa fuq mezz ta’ ħżin tad-data. Jista’ jinkludi wkoll verżjoni stampata, ipprovduta f’żewġ kopji flimkien ma' ċertifikazzjoni tal-identità tad-dokumenti f’format stampat u dokumenti f’format elettroniku.</w:t>
      </w:r>
    </w:p>
    <w:p w:rsidR="003A3CBE" w:rsidRPr="00D46EEB" w:rsidRDefault="003A3CBE" w:rsidP="00D46EEB">
      <w:pPr>
        <w:pStyle w:val="Header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Header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Il-fajl huwa ppreżentat skont l-istruzzjonijiet li jakkumpanjaw il-formola ta’ sottomissjoni.</w:t>
      </w:r>
    </w:p>
    <w:p w:rsidR="003A3CBE" w:rsidRPr="00D46EEB" w:rsidRDefault="003A3CBE" w:rsidP="00D46EEB">
      <w:pPr>
        <w:pStyle w:val="Header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Header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Il-prodotti li huma s-suġġett tal-applikazzjoni huma kkaratterizzati skont l-anness għal dan id-Digriet u għall-</w:t>
      </w:r>
      <w:r w:rsidR="003A3CBE" w:rsidRPr="00D46EEB">
        <w:rPr>
          <w:rFonts w:ascii="Arial" w:hAnsi="Arial" w:cs="Arial"/>
        </w:rPr>
        <w:t>“</w:t>
      </w:r>
      <w:r w:rsidRPr="00D46EEB">
        <w:rPr>
          <w:rFonts w:ascii="Arial" w:hAnsi="Arial" w:cs="Arial"/>
        </w:rPr>
        <w:t>Gwida dwar l-evalwazzjoni tal-fajls ta’ applikazzjoni għall-Awtorizzazzjoni għat-Tqegħid fis-Suq (AMM) jew għall-permess għall-fertilizzanti, addittivi fertilizzanti u l-mezzi għat-tkabbir” disponibbli fuq il-websajt tal-ANSES.</w:t>
      </w:r>
    </w:p>
    <w:p w:rsidR="003A3CBE" w:rsidRPr="00D46EEB" w:rsidRDefault="003A3CBE" w:rsidP="00D46EEB">
      <w:pPr>
        <w:pStyle w:val="Header"/>
        <w:keepNext/>
        <w:jc w:val="both"/>
        <w:rPr>
          <w:rFonts w:ascii="Arial" w:hAnsi="Arial" w:cs="Arial"/>
        </w:rPr>
      </w:pPr>
    </w:p>
    <w:p w:rsidR="003A3CBE" w:rsidRPr="00D46EEB" w:rsidRDefault="00501E06" w:rsidP="00D46EEB">
      <w:pPr>
        <w:pStyle w:val="Header"/>
        <w:keepNext/>
        <w:jc w:val="both"/>
        <w:rPr>
          <w:rFonts w:ascii="Arial" w:hAnsi="Arial" w:cs="Arial"/>
          <w:b/>
        </w:rPr>
      </w:pPr>
      <w:r w:rsidRPr="00D46EEB">
        <w:rPr>
          <w:rFonts w:ascii="Arial" w:hAnsi="Arial" w:cs="Arial"/>
          <w:b/>
        </w:rPr>
        <w:t>Artikolu 3</w:t>
      </w:r>
    </w:p>
    <w:p w:rsidR="003A3CBE" w:rsidRPr="00D46EEB" w:rsidRDefault="003A3CBE" w:rsidP="00D46EEB">
      <w:pPr>
        <w:pStyle w:val="Header"/>
        <w:keepNext/>
        <w:jc w:val="both"/>
        <w:rPr>
          <w:rFonts w:ascii="Arial" w:hAnsi="Arial" w:cs="Arial"/>
        </w:rPr>
      </w:pPr>
    </w:p>
    <w:p w:rsidR="003A3CBE" w:rsidRPr="00D46EEB" w:rsidRDefault="003A3CBE" w:rsidP="00D46EEB">
      <w:pPr>
        <w:pStyle w:val="Header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Header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Awtorizzazzjoni għat-tqegħid fis-suq</w:t>
      </w:r>
      <w:r w:rsidR="003A3CBE" w:rsidRPr="00D46EEB">
        <w:rPr>
          <w:rFonts w:ascii="Arial" w:hAnsi="Arial" w:cs="Arial"/>
        </w:rPr>
        <w:t>.</w:t>
      </w:r>
    </w:p>
    <w:p w:rsidR="00156772" w:rsidRPr="00D46EEB" w:rsidRDefault="00156772" w:rsidP="00D46EEB">
      <w:pPr>
        <w:pStyle w:val="Header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Textbody"/>
        <w:keepNext/>
        <w:spacing w:after="0"/>
        <w:rPr>
          <w:rFonts w:ascii="Arial" w:hAnsi="Arial" w:cs="Arial"/>
        </w:rPr>
      </w:pPr>
      <w:r w:rsidRPr="00D46EEB">
        <w:rPr>
          <w:rFonts w:ascii="Arial" w:hAnsi="Arial" w:cs="Arial"/>
        </w:rPr>
        <w:t>I.</w:t>
      </w:r>
      <w:r w:rsidR="00156772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L-applikazzjoni għall-awtorizzazzjoni għat-tqegħid fis-suq ta’ prodott, it-tiġdid jew modifika ta’ awtorizzazzjoni għat-tqegħid fis-suq ta’ prodott, bl-eċċezzjoni tal-applikazzjoni</w:t>
      </w:r>
      <w:r w:rsidR="00156772" w:rsidRPr="00D46EEB">
        <w:rPr>
          <w:rFonts w:ascii="Arial" w:hAnsi="Arial" w:cs="Arial"/>
        </w:rPr>
        <w:t>jiet</w:t>
      </w:r>
      <w:r w:rsidRPr="00D46EEB">
        <w:rPr>
          <w:rFonts w:ascii="Arial" w:hAnsi="Arial" w:cs="Arial"/>
        </w:rPr>
        <w:t xml:space="preserve"> msemmija fil-</w:t>
      </w:r>
      <w:r w:rsidR="00156772" w:rsidRPr="00D46EEB">
        <w:rPr>
          <w:rFonts w:ascii="Arial" w:hAnsi="Arial" w:cs="Arial"/>
        </w:rPr>
        <w:t>paragrafi </w:t>
      </w:r>
      <w:r w:rsidRPr="00D46EEB">
        <w:rPr>
          <w:rFonts w:ascii="Arial" w:hAnsi="Arial" w:cs="Arial"/>
        </w:rPr>
        <w:t>III</w:t>
      </w:r>
      <w:r w:rsidR="00156772" w:rsidRPr="00D46EEB">
        <w:rPr>
          <w:rFonts w:ascii="Arial" w:hAnsi="Arial" w:cs="Arial"/>
        </w:rPr>
        <w:t xml:space="preserve"> u IV</w:t>
      </w:r>
      <w:r w:rsidRPr="00D46EEB">
        <w:rPr>
          <w:rFonts w:ascii="Arial" w:hAnsi="Arial" w:cs="Arial"/>
        </w:rPr>
        <w:t>, għandha tinkludi l-elementi addizzjonali li ġejjin għall-finijiet tal-evalwazzjoni msemmija fl-Artikolu L. 255-7 tal-Kodiċi Rurali u tas-Sajd Marittimu:</w:t>
      </w:r>
    </w:p>
    <w:p w:rsidR="00156772" w:rsidRPr="00D46EEB" w:rsidRDefault="00156772" w:rsidP="00D46EEB">
      <w:pPr>
        <w:pStyle w:val="Textbody"/>
        <w:keepNext/>
        <w:spacing w:after="0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id-data dwar it-traċċabilità tal-prodott u </w:t>
      </w:r>
      <w:r w:rsidRPr="00D46EEB">
        <w:rPr>
          <w:rFonts w:ascii="Arial" w:hAnsi="Arial" w:cs="Arial"/>
        </w:rPr>
        <w:t>l-</w:t>
      </w:r>
      <w:r w:rsidR="00501E06" w:rsidRPr="00D46EEB">
        <w:rPr>
          <w:rFonts w:ascii="Arial" w:hAnsi="Arial" w:cs="Arial"/>
        </w:rPr>
        <w:t>materja prima</w:t>
      </w:r>
      <w:r w:rsidRPr="00D46EEB">
        <w:rPr>
          <w:rFonts w:ascii="Arial" w:hAnsi="Arial" w:cs="Arial"/>
        </w:rPr>
        <w:t xml:space="preserve"> tagħha,</w:t>
      </w:r>
      <w:r w:rsidR="00501E06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fil-livell tas-</w:t>
      </w:r>
      <w:r w:rsidR="00501E06" w:rsidRPr="00D46EEB">
        <w:rPr>
          <w:rFonts w:ascii="Arial" w:hAnsi="Arial" w:cs="Arial"/>
        </w:rPr>
        <w:t>siti tal-produzzjoni u tal-manifattura meta huma differenti;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il-kompożizzjoni integrali tal-prodott;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ir-rapporti dwar l-analiżi tal-karatterizzazzjoni tal-prodott;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l-informazzjoni relatata mal-kostanza tal-kompożizzjoni tal-prodott f’relazzjoni mal-parametri u l-valuri ggarantiti, bħall-omoġenjità, l-invarjabilità u l-istabbiltà tiegħu, kif ukoll ir-rapporti ta’ analiżi korrispondenti;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l-informazzjoni relatata mal-manifattura tal-prodott, b’mod partikolari d-deskrizzjoni tal-materja prima u l-għajnuniet għall-ipproċessar użati, id-dettalji tal-proċess tal-manifattura, il-ġestjoni tal-kwalità, il-kontroll u l-proċeduri ta’ awtomonitoraġġ, id-definizzjoni tal-lottijiet u l-immaniġġjar ta’ nuqqas ta’ konformità;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ir-rapport sommarju agronomiku u r-rapporti tat-test li jistabbilixxu, skont il-kundizzjonijiet tal-użu preskritti, l-effikaċja tal-prodott b’relazzjoni mal-effetti indikati speċifikament. Fil-każ ta’ applikazzjoni għal tiġdid ta’ awtorizzazzjoni għat-tqegħid fis-suq, l-applikant għandu jiġġustifika n-nuqqas possibbli ta’ trasmissjoni ta’ dawn ir-rapporti sommarji u tat-test;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ir-rapport sommarju u r-rapporti ta’ studji li jistabbilixxu, skont il-kundizzjonijiet preskritti tal-użu, in-nuqqas ta’ effett ta’ ħsara tal-prodott fuq is-saħħa tal-bniedem, is-saħħa tal-annimali u l-ambjent. Fil-każ ta’ applikazzjoni għal tiġdid ta’ awtorizzazzjoni għat-tqegħid fis-suq, l-applikant għandu jiġġustifika n-nuqqas possibbli ta’ trasmissjoni ta’ dawn ir-rapporti;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fil-każ ta’ applikazzjoni għal tiġdid ta’ awtorizzazzjoni għat-tqegħid fis-suq, ir-riżultati tal-analiżi tal-monitoraġġ tal-produzzjoni kif ukoll id-data addizzjonali ta’ wara l-awtorizzazzjoni fejn ikun meħtieġ fid-deċiżjoni inizjali;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it-tikketta proposta jew l-iskeda ta’ informazzjoni dwar il-prodott;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l-iskeda ta’ informazzjoni dwar is-sigurtà tal-prodott u l-materja prima kollha prevista fl-Artikolu 31 tar-Regolament (KE)</w:t>
      </w:r>
      <w:r w:rsidR="002A16CE" w:rsidRPr="00D46EEB">
        <w:rPr>
          <w:rFonts w:ascii="Arial" w:hAnsi="Arial" w:cs="Arial"/>
        </w:rPr>
        <w:t xml:space="preserve"> </w:t>
      </w:r>
      <w:r w:rsidR="00501E06" w:rsidRPr="00D46EEB">
        <w:rPr>
          <w:rFonts w:ascii="Arial" w:hAnsi="Arial" w:cs="Arial"/>
        </w:rPr>
        <w:t>Nru 1907/2006</w:t>
      </w:r>
      <w:r w:rsidRPr="00D46EEB">
        <w:rPr>
          <w:rFonts w:ascii="Arial" w:hAnsi="Arial" w:cs="Arial"/>
        </w:rPr>
        <w:t xml:space="preserve"> msemmi hawn fuq</w:t>
      </w:r>
      <w:r w:rsidR="00501E06" w:rsidRPr="00D46EEB">
        <w:rPr>
          <w:rFonts w:ascii="Arial" w:hAnsi="Arial" w:cs="Arial"/>
        </w:rPr>
        <w:t>.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>Ir-rapporti tal-studji u tat-test fil-qosor jistgħu jinkitbu bl-Ingliż.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II.</w:t>
      </w:r>
      <w:r w:rsidR="00156772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L-applikazzjoni għall-awtorizzazzjoni għat-tqegħid fis-suq ta’ prodott b’rikonoxximent reċiproku msemmija fl-Artikolu R. 255-17 tal-Kodiċi Rurali u tas-Sajd Marittimu tinkludi l-elementi addizzjonali li ġejjin: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ċertifikazzjoni tal-identità tal-prodott li huwa s-suġġett tal-applikazzjoni mal-prodott li legalment tqiegħed fis-suq fl-Istat Membru ta’ referenza; 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il-kompożizzjoni integrali tal-prodott;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il-kopja tad-deċiżjoni amministrattiva, tal-istandard jew tat-test regolatorju li taħtu huwa awtorizzat </w:t>
      </w:r>
      <w:r w:rsidRPr="00D46EEB">
        <w:rPr>
          <w:rFonts w:ascii="Arial" w:hAnsi="Arial" w:cs="Arial"/>
        </w:rPr>
        <w:t>it-tqegħid</w:t>
      </w:r>
      <w:r w:rsidR="00501E06" w:rsidRPr="00D46EEB">
        <w:rPr>
          <w:rFonts w:ascii="Arial" w:hAnsi="Arial" w:cs="Arial"/>
        </w:rPr>
        <w:t xml:space="preserve"> fis-suq fl-Istat Membru ta’ referenza, flimkien mat-traduzzjoni bil-</w:t>
      </w:r>
      <w:r w:rsidRPr="00D46EEB">
        <w:rPr>
          <w:rFonts w:ascii="Arial" w:hAnsi="Arial" w:cs="Arial"/>
        </w:rPr>
        <w:t xml:space="preserve">lingwa </w:t>
      </w:r>
      <w:r w:rsidR="00501E06" w:rsidRPr="00D46EEB">
        <w:rPr>
          <w:rFonts w:ascii="Arial" w:hAnsi="Arial" w:cs="Arial"/>
        </w:rPr>
        <w:t>Franċiż</w:t>
      </w:r>
      <w:r w:rsidRPr="00D46EEB">
        <w:rPr>
          <w:rFonts w:ascii="Arial" w:hAnsi="Arial" w:cs="Arial"/>
        </w:rPr>
        <w:t>a jew Ingliża</w:t>
      </w:r>
      <w:r w:rsidR="00501E06" w:rsidRPr="00D46EEB">
        <w:rPr>
          <w:rFonts w:ascii="Arial" w:hAnsi="Arial" w:cs="Arial"/>
        </w:rPr>
        <w:t xml:space="preserve"> tagħha;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il-mudell tat-tikketta tal-prodott li tqiegħed fis-suq fl-Istat Membru ta’ referenza, flimkien mat-traduzzjoni bil-lingwa Franċiża jew Ingliża tiegħu;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il-</w:t>
      </w:r>
      <w:r w:rsidRPr="00D46EEB">
        <w:rPr>
          <w:rFonts w:ascii="Arial" w:hAnsi="Arial" w:cs="Arial"/>
        </w:rPr>
        <w:t xml:space="preserve">lista ta’ </w:t>
      </w:r>
      <w:r w:rsidR="00501E06" w:rsidRPr="00D46EEB">
        <w:rPr>
          <w:rFonts w:ascii="Arial" w:hAnsi="Arial" w:cs="Arial"/>
        </w:rPr>
        <w:t xml:space="preserve">kultivazzjonijiet li se jirċievu l-prodott u l-kundizzjonijiet tal-użu. Għal kull waħda mill-kultivazzjonijiet jew </w:t>
      </w:r>
      <w:r w:rsidRPr="00D46EEB">
        <w:rPr>
          <w:rFonts w:ascii="Arial" w:hAnsi="Arial" w:cs="Arial"/>
        </w:rPr>
        <w:t xml:space="preserve">kwalunkwe </w:t>
      </w:r>
      <w:r w:rsidR="00501E06" w:rsidRPr="00D46EEB">
        <w:rPr>
          <w:rFonts w:ascii="Arial" w:hAnsi="Arial" w:cs="Arial"/>
        </w:rPr>
        <w:t>tip ta’ ħamrija, l-applikant għandu jispeċifika b’mod partikolari l-metodu ta’ applikazzjoni tal-prodott, ir-rati minimi u massimi ta’ provvista għal kull applikazzjoni u għal kull ettaru, in-numru annwali ta’ applikazzjonijiet, il-perjodu u/jew l-istadju ta’ applikazzjoni kulturali. Jistgħu jiġu proposti miżuri ta’ mmaniġġjar tar-riskju;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it-tikketta proposta jew l-iskeda ta’ informazzjoni dwar il-prodott;</w:t>
      </w: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l-iskeda ta’ informazzjoni dwar is-sigurtà tal-prodott u l-materja prima kollha prevista fl-Artikolu 31 tar-Regolament (KE) Nru 1907/2006</w:t>
      </w:r>
      <w:r w:rsidRPr="00D46EEB">
        <w:rPr>
          <w:rFonts w:ascii="Arial" w:hAnsi="Arial" w:cs="Arial"/>
        </w:rPr>
        <w:t xml:space="preserve"> msemmi hawn fuq</w:t>
      </w:r>
      <w:r w:rsidR="00501E06" w:rsidRPr="00D46EEB">
        <w:rPr>
          <w:rFonts w:ascii="Arial" w:hAnsi="Arial" w:cs="Arial"/>
        </w:rPr>
        <w:t>.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156772" w:rsidRPr="00DA0D8C" w:rsidRDefault="00156772" w:rsidP="00632EA4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0D8C">
        <w:rPr>
          <w:rFonts w:ascii="Arial" w:hAnsi="Arial" w:cs="Arial"/>
        </w:rPr>
        <w:t>III. – L-applikazzjoni għall-awtorizzazzjoni għat-tqegħid fis-suq ta’ prodott li hu identiku għal prodott li diġà ġie awtorizzat tinkludi l-elementi addizzjonali li ġejjin:</w:t>
      </w:r>
    </w:p>
    <w:p w:rsidR="00156772" w:rsidRPr="008D39F8" w:rsidRDefault="00156772" w:rsidP="00DA0D8C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6772" w:rsidRPr="00D46EEB" w:rsidRDefault="00156772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16CE">
        <w:rPr>
          <w:rFonts w:ascii="Arial" w:hAnsi="Arial" w:cs="Arial"/>
        </w:rPr>
        <w:t>- id-</w:t>
      </w:r>
      <w:r w:rsidRPr="00D46EEB">
        <w:rPr>
          <w:rFonts w:ascii="Arial" w:hAnsi="Arial" w:cs="Arial"/>
          <w:i/>
          <w:iCs/>
        </w:rPr>
        <w:t>data</w:t>
      </w:r>
      <w:r w:rsidRPr="002A16CE">
        <w:rPr>
          <w:rFonts w:ascii="Arial" w:hAnsi="Arial" w:cs="Arial"/>
        </w:rPr>
        <w:t xml:space="preserve"> dwar it-traċċabilità tal-prodott fil-livell tas-siti tal-produzzjoni u tal-manifattura meta huma differenti</w:t>
      </w:r>
      <w:r w:rsidRPr="00D46EEB">
        <w:rPr>
          <w:rFonts w:ascii="Arial" w:hAnsi="Arial" w:cs="Arial"/>
        </w:rPr>
        <w:t>;</w:t>
      </w:r>
    </w:p>
    <w:p w:rsidR="00156772" w:rsidRPr="00D46EEB" w:rsidRDefault="00156772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6772" w:rsidRPr="00D46EEB" w:rsidRDefault="00156772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ċertifikazzjoni tal-identità bejn il-prodott ta’ referenza u l-prodott li għalih saret l-applikazzjoni;</w:t>
      </w:r>
    </w:p>
    <w:p w:rsidR="00156772" w:rsidRPr="00D46EEB" w:rsidRDefault="00156772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6772" w:rsidRPr="00D46EEB" w:rsidRDefault="00156772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it-tikketta proposta jew l-iskeda ta’ informazzjoni dwar il-prodott.</w:t>
      </w:r>
    </w:p>
    <w:p w:rsidR="00156772" w:rsidRPr="00D46EEB" w:rsidRDefault="00156772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IV. -</w:t>
      </w:r>
      <w:r w:rsidR="00501E06" w:rsidRPr="00D46EEB">
        <w:rPr>
          <w:rFonts w:ascii="Arial" w:hAnsi="Arial" w:cs="Arial"/>
        </w:rPr>
        <w:t xml:space="preserve"> L-applikazzjoni għal modifika ta’ awtorizzazzjoni għat-tqegħid fis-suq ta’ prodott sabiex jiġ</w:t>
      </w:r>
      <w:r w:rsidRPr="00D46EEB">
        <w:rPr>
          <w:rFonts w:ascii="Arial" w:hAnsi="Arial" w:cs="Arial"/>
        </w:rPr>
        <w:t>u</w:t>
      </w:r>
      <w:r w:rsidR="00501E06" w:rsidRPr="00D46EEB">
        <w:rPr>
          <w:rFonts w:ascii="Arial" w:hAnsi="Arial" w:cs="Arial"/>
        </w:rPr>
        <w:t xml:space="preserve"> awtorizzat</w:t>
      </w:r>
      <w:r w:rsidRPr="00D46EEB">
        <w:rPr>
          <w:rFonts w:ascii="Arial" w:hAnsi="Arial" w:cs="Arial"/>
        </w:rPr>
        <w:t>i</w:t>
      </w:r>
      <w:r w:rsidR="00501E06" w:rsidRPr="00D46EEB">
        <w:rPr>
          <w:rFonts w:ascii="Arial" w:hAnsi="Arial" w:cs="Arial"/>
        </w:rPr>
        <w:t xml:space="preserve"> l-użu</w:t>
      </w:r>
      <w:r w:rsidRPr="00D46EEB">
        <w:rPr>
          <w:rFonts w:ascii="Arial" w:hAnsi="Arial" w:cs="Arial"/>
        </w:rPr>
        <w:t xml:space="preserve"> jew </w:t>
      </w:r>
      <w:r w:rsidR="002A16CE" w:rsidRPr="00D46EEB">
        <w:rPr>
          <w:rFonts w:ascii="Arial" w:hAnsi="Arial" w:cs="Arial"/>
        </w:rPr>
        <w:t>il-</w:t>
      </w:r>
      <w:r w:rsidRPr="00D46EEB">
        <w:rPr>
          <w:rFonts w:ascii="Arial" w:hAnsi="Arial" w:cs="Arial"/>
        </w:rPr>
        <w:t>modalità</w:t>
      </w:r>
      <w:r w:rsidR="00501E06" w:rsidRPr="00D46EEB">
        <w:rPr>
          <w:rFonts w:ascii="Arial" w:hAnsi="Arial" w:cs="Arial"/>
        </w:rPr>
        <w:t xml:space="preserve"> addizzjonali jew aktar tinkludi, għal kull </w:t>
      </w:r>
      <w:r w:rsidRPr="00D46EEB">
        <w:rPr>
          <w:rFonts w:ascii="Arial" w:hAnsi="Arial" w:cs="Arial"/>
        </w:rPr>
        <w:t>wieħed minn dawn</w:t>
      </w:r>
      <w:r w:rsidR="00501E06" w:rsidRPr="00D46EEB">
        <w:rPr>
          <w:rFonts w:ascii="Arial" w:hAnsi="Arial" w:cs="Arial"/>
        </w:rPr>
        <w:t>, l-elementi addizzjonali li ġejjin: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ir-rapport sommarju agronomiku u r-rapporti tat-test li jistabbilixxu taħt il-kundizzjonijiet tal-użu preskritti l-effikaċja tal-prodott b’relazzjoni mal-effetti indikati speċifikament;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ir-rapport sommarju u r-rapporti ta’ studji li jistabbilixxu, taħt il-kundizzjonijiet preskritti tal-użu, in-nuqqas ta’ effett ta’ ħsara tal-prodott fuq is-saħħa tal-bniedem, is-saħħa tal-annimali u l-ambjent;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it-tikketta proposta jew l-iskeda ta’ informazzjoni dwar il-prodott.</w:t>
      </w:r>
    </w:p>
    <w:p w:rsidR="00156772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501E06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>Ir-rapporti tal-studji u tat-test fil-qosor jistgħu jinkitbu bl-Ingliż.</w:t>
      </w:r>
    </w:p>
    <w:p w:rsidR="00156772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156772" w:rsidRPr="00D46EEB" w:rsidRDefault="00501E06" w:rsidP="00D46EEB">
      <w:pPr>
        <w:pStyle w:val="Standard"/>
        <w:keepNext/>
        <w:jc w:val="both"/>
        <w:rPr>
          <w:rFonts w:ascii="Arial" w:hAnsi="Arial" w:cs="Arial"/>
          <w:b/>
        </w:rPr>
      </w:pPr>
      <w:r w:rsidRPr="00D46EEB">
        <w:rPr>
          <w:rFonts w:ascii="Arial" w:hAnsi="Arial" w:cs="Arial"/>
          <w:b/>
        </w:rPr>
        <w:t>Artikolu 4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Permess ta’ esperimentazzjoni</w:t>
      </w:r>
      <w:r w:rsidR="00156772" w:rsidRPr="00D46EEB">
        <w:rPr>
          <w:rFonts w:ascii="Arial" w:hAnsi="Arial" w:cs="Arial"/>
        </w:rPr>
        <w:t>.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I.</w:t>
      </w:r>
      <w:r w:rsidR="00156772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L-applikazzjoni għal permess ta’ esperimentazzjoni ta’ prodott jew ta’ tiġdid ta’ dan il-permess tinkludi l-elementi addizzjonali li ġejjin għall-finijiet tal-evalwazzjoni msemmija fl-Artikolu L. 255-8 tal-Kodiċi Rurali u tas-Sajd Marittimu: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id-data dwar it-traċċabilità tal-prodott u </w:t>
      </w:r>
      <w:r w:rsidRPr="00D46EEB">
        <w:rPr>
          <w:rFonts w:ascii="Arial" w:hAnsi="Arial" w:cs="Arial"/>
        </w:rPr>
        <w:t>l-</w:t>
      </w:r>
      <w:r w:rsidR="00501E06" w:rsidRPr="00D46EEB">
        <w:rPr>
          <w:rFonts w:ascii="Arial" w:hAnsi="Arial" w:cs="Arial"/>
        </w:rPr>
        <w:t xml:space="preserve">materja prima </w:t>
      </w:r>
      <w:r w:rsidRPr="00D46EEB">
        <w:rPr>
          <w:rFonts w:ascii="Arial" w:hAnsi="Arial" w:cs="Arial"/>
        </w:rPr>
        <w:t>tagħha, fil-livell ta</w:t>
      </w:r>
      <w:r w:rsidR="00501E06" w:rsidRPr="00D46EEB">
        <w:rPr>
          <w:rFonts w:ascii="Arial" w:hAnsi="Arial" w:cs="Arial"/>
        </w:rPr>
        <w:t>s-siti tal-produzzjoni u tal-manifattura meta huma differenti;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il-kompożizzjoni integrali tal-prodott;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ir-rapporti dwar l-analiżi tal-karatterizzazzjoni tal-prodott;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l-iskeda ta’ informazzjoni dwar is-sigurtà tal-prodott u l-materja prima kollha prevista fl-Artikolu 31 tar-Regolament (KE)</w:t>
      </w:r>
      <w:r w:rsidR="002A16CE" w:rsidRPr="00D46EEB">
        <w:rPr>
          <w:rFonts w:ascii="Arial" w:hAnsi="Arial" w:cs="Arial"/>
          <w:lang w:val="es-ES_tradnl"/>
        </w:rPr>
        <w:t xml:space="preserve"> </w:t>
      </w:r>
      <w:r w:rsidR="00501E06" w:rsidRPr="00D46EEB">
        <w:rPr>
          <w:rFonts w:ascii="Arial" w:hAnsi="Arial" w:cs="Arial"/>
        </w:rPr>
        <w:t>Nru 1907/2006.</w:t>
      </w: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II.</w:t>
      </w:r>
      <w:r w:rsidR="00156772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In-notifika tal-modifika tal-kundizzjonijiet tal-esperimentazzjoni tinkludi l-elementi addizzjonali li ġejjin: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kopja tal-permess ta’ esperimentazzjoni;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il-ġustifikazzjonijiet korrispondenti.</w:t>
      </w:r>
    </w:p>
    <w:p w:rsidR="00156772" w:rsidRPr="00D46EEB" w:rsidRDefault="00156772" w:rsidP="00D46EEB">
      <w:pPr>
        <w:pStyle w:val="Standard"/>
        <w:jc w:val="both"/>
        <w:rPr>
          <w:rFonts w:ascii="Arial" w:hAnsi="Arial" w:cs="Arial"/>
        </w:rPr>
      </w:pPr>
    </w:p>
    <w:p w:rsidR="00156772" w:rsidRPr="00D46EEB" w:rsidRDefault="00501E06" w:rsidP="00D46EEB">
      <w:pPr>
        <w:pStyle w:val="Standard"/>
        <w:keepNext/>
        <w:jc w:val="both"/>
        <w:rPr>
          <w:rFonts w:ascii="Arial" w:hAnsi="Arial" w:cs="Arial"/>
          <w:b/>
        </w:rPr>
      </w:pPr>
      <w:r w:rsidRPr="00D46EEB">
        <w:rPr>
          <w:rFonts w:ascii="Arial" w:hAnsi="Arial" w:cs="Arial"/>
          <w:b/>
        </w:rPr>
        <w:t>Artikolu 5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Permess ta’ introduzzjoni</w:t>
      </w:r>
      <w:r w:rsidR="00156772" w:rsidRPr="00D46EEB">
        <w:rPr>
          <w:rFonts w:ascii="Arial" w:hAnsi="Arial" w:cs="Arial"/>
        </w:rPr>
        <w:t>.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L-applikazzjoni għal permess ta’ introduzzjoni ta’ prodott, ta’ modifika jew ta’ tiġdid ta’ dan il-permess tinkludi l-elementi addizzjonali li ġejjin għall-finijiet tal-evalwazzjoni msemmija fl-Artikolu L. 255-7 tal-Kodiċi Rurali u tas-Sajd Marittimu: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kwalunkwe informazzjoni li tippermetti li l-identità tal-prodotti tkun evalwata skont l-Artikolu R. 255-20 tal-Kodiċi Rurali u tas-Sajd Marittimu;</w:t>
      </w:r>
    </w:p>
    <w:p w:rsidR="00156772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it-tikketta oriġinali tal-prodott li qed jiġi introdott;</w:t>
      </w:r>
    </w:p>
    <w:p w:rsidR="00156772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501E06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it-tikketta </w:t>
      </w:r>
      <w:r w:rsidRPr="00D46EEB">
        <w:rPr>
          <w:rFonts w:ascii="Arial" w:hAnsi="Arial" w:cs="Arial"/>
        </w:rPr>
        <w:t xml:space="preserve">proposta </w:t>
      </w:r>
      <w:r w:rsidR="00501E06" w:rsidRPr="00D46EEB">
        <w:rPr>
          <w:rFonts w:ascii="Arial" w:hAnsi="Arial" w:cs="Arial"/>
        </w:rPr>
        <w:t>jew l-iskeda ta’ informazzjoni, bil-Franċiż.</w:t>
      </w:r>
    </w:p>
    <w:p w:rsidR="00156772" w:rsidRPr="00D46EEB" w:rsidRDefault="00156772" w:rsidP="00D46EEB">
      <w:pPr>
        <w:pStyle w:val="Puce2"/>
        <w:numPr>
          <w:ilvl w:val="0"/>
          <w:numId w:val="0"/>
        </w:numPr>
        <w:rPr>
          <w:rFonts w:ascii="Arial" w:hAnsi="Arial" w:cs="Arial"/>
        </w:rPr>
      </w:pPr>
    </w:p>
    <w:p w:rsidR="00156772" w:rsidRPr="00D46EEB" w:rsidRDefault="00501E06" w:rsidP="00D46EEB">
      <w:pPr>
        <w:pStyle w:val="Standard"/>
        <w:keepNext/>
        <w:jc w:val="both"/>
        <w:rPr>
          <w:rFonts w:ascii="Arial" w:hAnsi="Arial" w:cs="Arial"/>
          <w:b/>
        </w:rPr>
      </w:pPr>
      <w:r w:rsidRPr="00D46EEB">
        <w:rPr>
          <w:rFonts w:ascii="Arial" w:hAnsi="Arial" w:cs="Arial"/>
          <w:b/>
        </w:rPr>
        <w:t>Artikolu 6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Applikazzjonijiet jew dikjarazzjonijiet oħra</w:t>
      </w:r>
      <w:r w:rsidR="00156772" w:rsidRPr="00D46EEB">
        <w:rPr>
          <w:rFonts w:ascii="Arial" w:hAnsi="Arial" w:cs="Arial"/>
        </w:rPr>
        <w:t>.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I.</w:t>
      </w:r>
      <w:r w:rsidR="00156772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L-applikazzjoni għal trasferiment ta’ awtorizzazzjoni għat-tqegħid fis-suq jew permess imsemmi fl-Artikolu R. 255-5 tal-Kodiċi Rurali u tas-Sajd Marittimu jinkludi l-elementi addizzjonali li ġejjin:</w:t>
      </w:r>
    </w:p>
    <w:p w:rsidR="00156772" w:rsidRPr="00D46EEB" w:rsidRDefault="00156772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156772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il-kopja oriġinali tal-awtorizzazzjoni jew deċiżjoni tal-permess;</w:t>
      </w:r>
    </w:p>
    <w:p w:rsidR="000556E1" w:rsidRPr="00D46EEB" w:rsidRDefault="000556E1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0556E1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ċertifikat mid-detentur </w:t>
      </w:r>
      <w:r w:rsidRPr="00D46EEB">
        <w:rPr>
          <w:rFonts w:ascii="Arial" w:hAnsi="Arial" w:cs="Arial"/>
        </w:rPr>
        <w:t xml:space="preserve">inizjali tal-qbil tiegħu għat-trasferiment </w:t>
      </w:r>
      <w:r w:rsidR="00501E06" w:rsidRPr="00D46EEB">
        <w:rPr>
          <w:rFonts w:ascii="Arial" w:hAnsi="Arial" w:cs="Arial"/>
        </w:rPr>
        <w:t>tal-awtorizzazzjoni jew tal-permess.</w:t>
      </w:r>
    </w:p>
    <w:p w:rsidR="000556E1" w:rsidRPr="00D46EEB" w:rsidRDefault="000556E1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II.</w:t>
      </w:r>
      <w:r w:rsidR="000556E1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L-applikazzjoni għal żieda ta’ isem kummerċjali ġdid lill-prodott diġà awtorizzat imsemmi fl-Artikolu R. 255-5 tal-Kodiċi Rurali u Sajd Marittimu jew id-dikjarazzjoni ta’ bidla ta’ isem kummerċjali ta’ prodott imsemmi fl-Artikolu R. 255-9 tal-istess kodiċi jinkludi l-element</w:t>
      </w:r>
      <w:r w:rsidR="000556E1" w:rsidRPr="00D46EEB">
        <w:rPr>
          <w:rFonts w:ascii="Arial" w:hAnsi="Arial" w:cs="Arial"/>
        </w:rPr>
        <w:t>i</w:t>
      </w:r>
      <w:r w:rsidRPr="00D46EEB">
        <w:rPr>
          <w:rFonts w:ascii="Arial" w:hAnsi="Arial" w:cs="Arial"/>
        </w:rPr>
        <w:t xml:space="preserve"> addizzjonali li ġej</w:t>
      </w:r>
      <w:r w:rsidR="000556E1" w:rsidRPr="00D46EEB">
        <w:rPr>
          <w:rFonts w:ascii="Arial" w:hAnsi="Arial" w:cs="Arial"/>
        </w:rPr>
        <w:t>jin</w:t>
      </w:r>
      <w:r w:rsidRPr="00D46EEB">
        <w:rPr>
          <w:rFonts w:ascii="Arial" w:hAnsi="Arial" w:cs="Arial"/>
        </w:rPr>
        <w:t>:</w:t>
      </w:r>
    </w:p>
    <w:p w:rsidR="000556E1" w:rsidRPr="00D46EEB" w:rsidRDefault="000556E1" w:rsidP="00D46EEB">
      <w:pPr>
        <w:pStyle w:val="Standard"/>
        <w:keepNext/>
        <w:jc w:val="both"/>
        <w:rPr>
          <w:rFonts w:ascii="Arial" w:hAnsi="Arial" w:cs="Arial"/>
        </w:rPr>
      </w:pPr>
    </w:p>
    <w:p w:rsidR="00501E06" w:rsidRPr="00D46EEB" w:rsidRDefault="000556E1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kopja tal-awtorizzazzjoni għat-tqegħid fis-suq jew tal-permess tal-prodott.</w:t>
      </w:r>
    </w:p>
    <w:p w:rsidR="000556E1" w:rsidRPr="00D46EEB" w:rsidRDefault="000556E1" w:rsidP="00D46EEB">
      <w:pPr>
        <w:pStyle w:val="Standard"/>
        <w:jc w:val="both"/>
        <w:rPr>
          <w:rFonts w:ascii="Arial" w:hAnsi="Arial" w:cs="Arial"/>
        </w:rPr>
      </w:pPr>
    </w:p>
    <w:p w:rsidR="000556E1" w:rsidRPr="00DA0D8C" w:rsidRDefault="000556E1" w:rsidP="00632EA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0D8C">
        <w:rPr>
          <w:rFonts w:ascii="Arial" w:hAnsi="Arial" w:cs="Arial"/>
        </w:rPr>
        <w:t>- ċertifikazzjoni tal-identità bejn il-prodott ta’ referenza u l-prodott li għalih saret l-applikazzjoni.</w:t>
      </w:r>
    </w:p>
    <w:p w:rsidR="000556E1" w:rsidRPr="00DA0D8C" w:rsidRDefault="000556E1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556E1" w:rsidRPr="00D46EEB" w:rsidRDefault="000556E1" w:rsidP="00DA0D8C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0D8C">
        <w:rPr>
          <w:rFonts w:ascii="Arial" w:hAnsi="Arial" w:cs="Arial"/>
        </w:rPr>
        <w:t xml:space="preserve">III. - Id-dikjarazzjoni </w:t>
      </w:r>
      <w:r w:rsidRPr="008D39F8">
        <w:rPr>
          <w:rFonts w:ascii="Arial" w:hAnsi="Arial" w:cs="Arial"/>
        </w:rPr>
        <w:t>ta’</w:t>
      </w:r>
      <w:r w:rsidRPr="002A16CE">
        <w:rPr>
          <w:rFonts w:ascii="Arial" w:hAnsi="Arial" w:cs="Arial"/>
        </w:rPr>
        <w:t xml:space="preserve"> bidla tal-indirizz tad-detentur tinkludi l-elementi addizzjonali li ġejjin</w:t>
      </w:r>
      <w:r w:rsidRPr="00D46EEB">
        <w:rPr>
          <w:rFonts w:ascii="Arial" w:hAnsi="Arial" w:cs="Arial"/>
        </w:rPr>
        <w:t>:</w:t>
      </w:r>
    </w:p>
    <w:p w:rsidR="000556E1" w:rsidRPr="00D46EEB" w:rsidRDefault="000556E1" w:rsidP="00DA0D8C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556E1" w:rsidRPr="00D46EEB" w:rsidRDefault="000556E1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kopja tal-awtorizzazzjoni għat-tqegħid fis-suq jew tal-permess tal-prodott;</w:t>
      </w:r>
    </w:p>
    <w:p w:rsidR="000556E1" w:rsidRPr="00D46EEB" w:rsidRDefault="000556E1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556E1" w:rsidRPr="00D46EEB" w:rsidRDefault="000556E1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prova tal-bidla tal-indirizz tad-detentur.</w:t>
      </w:r>
    </w:p>
    <w:p w:rsidR="000556E1" w:rsidRPr="00D46EEB" w:rsidRDefault="000556E1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01E06" w:rsidRPr="00D46EEB" w:rsidRDefault="000556E1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IV. -</w:t>
      </w:r>
      <w:r w:rsidR="00501E06" w:rsidRPr="00D46EEB">
        <w:rPr>
          <w:rFonts w:ascii="Arial" w:hAnsi="Arial" w:cs="Arial"/>
        </w:rPr>
        <w:t xml:space="preserve"> Id-dikjarazzjoni ta’ bidla ta’ isem soċjali tad-detentur ta’ awtorizzazzjoni għat-tqegħid fis-suq ta’ prodott jew ta’ permess msemmi fl-Artikolu R. 255-9 tal-Kodiċi Rurali u tas-Sajd Marittimu jinkludi l-elementi addizzjonali li ġejjin:</w:t>
      </w:r>
    </w:p>
    <w:p w:rsidR="00632EA4" w:rsidRPr="00D46EEB" w:rsidRDefault="00632EA4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632EA4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kopja tal-awtorizzazzjoni għat-tqegħid fis-suq jew tal-permess tal-prodott;</w:t>
      </w:r>
    </w:p>
    <w:p w:rsidR="00632EA4" w:rsidRPr="00D46EEB" w:rsidRDefault="00632EA4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632EA4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>prova tal-bidla tal-isem soċjali.</w:t>
      </w:r>
    </w:p>
    <w:p w:rsidR="00632EA4" w:rsidRPr="00D46EEB" w:rsidRDefault="00632EA4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V.</w:t>
      </w:r>
      <w:r w:rsidR="00632EA4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- Id-dikjarazzjoni ta’ bidla jew żieda ta’ sit ta’ manifattura jew produzzjoni ta’ prodott imsemmi fl-Artikolu R. 255-9 tal-Kodiċi Rurali u tas-Sajd Marittimu tinkludi l-elementi addizzjonali li ġejjin:</w:t>
      </w:r>
    </w:p>
    <w:p w:rsidR="00632EA4" w:rsidRPr="00D46EEB" w:rsidRDefault="00632EA4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632EA4" w:rsidP="00D46EEB">
      <w:pPr>
        <w:pStyle w:val="Standard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 xml:space="preserve">- </w:t>
      </w:r>
      <w:r w:rsidR="00501E06" w:rsidRPr="00D46EEB">
        <w:rPr>
          <w:rFonts w:ascii="Arial" w:hAnsi="Arial" w:cs="Arial"/>
        </w:rPr>
        <w:t xml:space="preserve">id-data dwar it-traċċabilità tal-prodott u </w:t>
      </w:r>
      <w:r w:rsidRPr="00D46EEB">
        <w:rPr>
          <w:rFonts w:ascii="Arial" w:hAnsi="Arial" w:cs="Arial"/>
        </w:rPr>
        <w:t>l-</w:t>
      </w:r>
      <w:r w:rsidR="00501E06" w:rsidRPr="00D46EEB">
        <w:rPr>
          <w:rFonts w:ascii="Arial" w:hAnsi="Arial" w:cs="Arial"/>
        </w:rPr>
        <w:t>materja prima</w:t>
      </w:r>
      <w:r w:rsidRPr="00D46EEB">
        <w:rPr>
          <w:rFonts w:ascii="Arial" w:hAnsi="Arial" w:cs="Arial"/>
        </w:rPr>
        <w:t>, fil-livell</w:t>
      </w:r>
      <w:r w:rsidR="00501E06" w:rsidRPr="00D46EEB">
        <w:rPr>
          <w:rFonts w:ascii="Arial" w:hAnsi="Arial" w:cs="Arial"/>
        </w:rPr>
        <w:t xml:space="preserve"> </w:t>
      </w:r>
      <w:r w:rsidRPr="00D46EEB">
        <w:rPr>
          <w:rFonts w:ascii="Arial" w:hAnsi="Arial" w:cs="Arial"/>
        </w:rPr>
        <w:t>ta</w:t>
      </w:r>
      <w:r w:rsidR="00501E06" w:rsidRPr="00D46EEB">
        <w:rPr>
          <w:rFonts w:ascii="Arial" w:hAnsi="Arial" w:cs="Arial"/>
        </w:rPr>
        <w:t>s-siti tal-produzzjoni u tal-manifattura meta huma differenti</w:t>
      </w:r>
      <w:r w:rsidRPr="00D46EEB">
        <w:rPr>
          <w:rFonts w:ascii="Arial" w:hAnsi="Arial" w:cs="Arial"/>
        </w:rPr>
        <w:t>.</w:t>
      </w:r>
    </w:p>
    <w:p w:rsidR="00632EA4" w:rsidRPr="00D46EEB" w:rsidRDefault="00632EA4" w:rsidP="00D46EEB">
      <w:pPr>
        <w:pStyle w:val="Standard"/>
        <w:jc w:val="both"/>
        <w:rPr>
          <w:rFonts w:ascii="Arial" w:hAnsi="Arial" w:cs="Arial"/>
        </w:rPr>
      </w:pPr>
    </w:p>
    <w:p w:rsidR="00632EA4" w:rsidRPr="00DA0D8C" w:rsidRDefault="00632EA4" w:rsidP="00632EA4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0D8C">
        <w:rPr>
          <w:rFonts w:ascii="Arial" w:hAnsi="Arial" w:cs="Arial"/>
        </w:rPr>
        <w:t xml:space="preserve">VI. </w:t>
      </w:r>
      <w:r w:rsidR="00EE53D8">
        <w:rPr>
          <w:rFonts w:ascii="Arial" w:hAnsi="Arial" w:cs="Arial"/>
        </w:rPr>
        <w:t>-</w:t>
      </w:r>
      <w:bookmarkStart w:id="0" w:name="_GoBack"/>
      <w:bookmarkEnd w:id="0"/>
      <w:r w:rsidRPr="00DA0D8C">
        <w:rPr>
          <w:rFonts w:ascii="Arial" w:hAnsi="Arial" w:cs="Arial"/>
        </w:rPr>
        <w:t xml:space="preserve"> L-applikazzjoni għal emedna tal-informazzjoni ddikjarata f’fajl li qed jiġi evalwat tinkludi l-elementi addizzjonali li ġejjin:</w:t>
      </w:r>
    </w:p>
    <w:p w:rsidR="00632EA4" w:rsidRPr="00DA0D8C" w:rsidRDefault="00632EA4" w:rsidP="00DA0D8C">
      <w:pPr>
        <w:keepNext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A0D8C">
        <w:rPr>
          <w:rFonts w:ascii="Arial" w:hAnsi="Arial" w:cs="Arial"/>
        </w:rPr>
        <w:t>- għal applikazzjoni għat-trasferiment ta’ prodott</w:t>
      </w:r>
      <w:r w:rsidRPr="008D39F8">
        <w:rPr>
          <w:rFonts w:ascii="Arial" w:hAnsi="Arial" w:cs="Arial"/>
        </w:rPr>
        <w:t>: ċ</w:t>
      </w:r>
      <w:r w:rsidRPr="002A16CE">
        <w:rPr>
          <w:rFonts w:ascii="Arial" w:hAnsi="Arial" w:cs="Arial"/>
        </w:rPr>
        <w:t>ertifikat mid-detentur inizjali tal-qbil tiegħu għat-trasferiment tal-awtorizzazzjoni jew tal-permess.</w:t>
      </w:r>
      <w:r w:rsidRPr="00D46EEB">
        <w:rPr>
          <w:rFonts w:ascii="Arial" w:hAnsi="Arial" w:cs="Arial"/>
        </w:rPr>
        <w:t>;</w:t>
      </w: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għal bidla fl-indirizz tad-detentur: prova tal-bidla tal-indirizz tad-detentur;</w:t>
      </w: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għal bidla ta’ isem soċjali tad-detentur: prova tal-bidla tal-isem soċjali;</w:t>
      </w: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2EA4" w:rsidRPr="00D46EEB" w:rsidRDefault="00632EA4" w:rsidP="00DA0D8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- għal bidla ta’ isem kummerċjali ta’ prodott: ċertifikazzjoni tal-identità bejn il-prodott ta’ referenza u l-prodott li għalih saret l-applikazzjoni.</w:t>
      </w:r>
    </w:p>
    <w:p w:rsidR="00501E06" w:rsidRPr="00D46EEB" w:rsidRDefault="00501E06" w:rsidP="00D46EEB">
      <w:pPr>
        <w:pStyle w:val="Standard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  <w:b/>
          <w:bCs/>
        </w:rPr>
      </w:pPr>
      <w:r w:rsidRPr="00D46EEB">
        <w:rPr>
          <w:rFonts w:ascii="Arial" w:hAnsi="Arial" w:cs="Arial"/>
          <w:b/>
        </w:rPr>
        <w:t>Artikolu 7</w:t>
      </w:r>
    </w:p>
    <w:p w:rsidR="00632EA4" w:rsidRPr="00D46EEB" w:rsidRDefault="00632EA4" w:rsidP="00D46EEB">
      <w:pPr>
        <w:pStyle w:val="Textbody"/>
        <w:spacing w:after="0"/>
        <w:rPr>
          <w:rFonts w:ascii="Arial" w:hAnsi="Arial" w:cs="Arial"/>
        </w:rPr>
      </w:pPr>
    </w:p>
    <w:p w:rsidR="00632EA4" w:rsidRPr="00D46EEB" w:rsidRDefault="00632EA4" w:rsidP="00D46EEB">
      <w:pPr>
        <w:pStyle w:val="Textbody"/>
        <w:spacing w:after="0"/>
        <w:rPr>
          <w:rFonts w:ascii="Arial" w:hAnsi="Arial" w:cs="Arial"/>
        </w:rPr>
      </w:pPr>
    </w:p>
    <w:p w:rsidR="00501E06" w:rsidRPr="00D46EEB" w:rsidRDefault="00501E06" w:rsidP="00D46EEB">
      <w:pPr>
        <w:pStyle w:val="Textbody"/>
        <w:spacing w:after="0"/>
        <w:rPr>
          <w:rFonts w:ascii="Arial" w:hAnsi="Arial" w:cs="Arial"/>
        </w:rPr>
      </w:pPr>
      <w:r w:rsidRPr="00D46EEB">
        <w:rPr>
          <w:rFonts w:ascii="Arial" w:hAnsi="Arial" w:cs="Arial"/>
        </w:rPr>
        <w:t>Id-Digriet tal-21 ta’ Diċembru 1998 dwar l-approvazzjoni tal-fertilizzanti u tal-mezzi għat- tat-tkabbir</w:t>
      </w:r>
      <w:r w:rsidR="00632EA4" w:rsidRPr="00D46EEB">
        <w:rPr>
          <w:rFonts w:ascii="Arial" w:hAnsi="Arial" w:cs="Arial"/>
        </w:rPr>
        <w:t>, kif emendat,</w:t>
      </w:r>
      <w:r w:rsidRPr="00D46EEB">
        <w:rPr>
          <w:rFonts w:ascii="Arial" w:hAnsi="Arial" w:cs="Arial"/>
        </w:rPr>
        <w:t xml:space="preserve"> huwa mħassar.</w:t>
      </w:r>
    </w:p>
    <w:p w:rsidR="00632EA4" w:rsidRPr="00D46EEB" w:rsidRDefault="00632EA4" w:rsidP="00D46EEB">
      <w:pPr>
        <w:pStyle w:val="Textbody"/>
        <w:spacing w:after="0"/>
        <w:rPr>
          <w:rFonts w:ascii="Arial" w:hAnsi="Arial" w:cs="Arial"/>
        </w:rPr>
      </w:pPr>
    </w:p>
    <w:p w:rsidR="00501E06" w:rsidRPr="00D46EEB" w:rsidRDefault="00501E06" w:rsidP="00D46EEB">
      <w:pPr>
        <w:pStyle w:val="Standard"/>
        <w:keepNext/>
        <w:jc w:val="both"/>
        <w:rPr>
          <w:rFonts w:ascii="Arial" w:hAnsi="Arial" w:cs="Arial"/>
          <w:b/>
          <w:bCs/>
        </w:rPr>
      </w:pPr>
      <w:r w:rsidRPr="00D46EEB">
        <w:rPr>
          <w:rFonts w:ascii="Arial" w:hAnsi="Arial" w:cs="Arial"/>
          <w:b/>
        </w:rPr>
        <w:t>Artikolu 8</w:t>
      </w:r>
    </w:p>
    <w:p w:rsidR="00632EA4" w:rsidRPr="00D46EEB" w:rsidRDefault="00632EA4" w:rsidP="00D46EEB">
      <w:pPr>
        <w:pStyle w:val="Textbody"/>
        <w:spacing w:after="0"/>
        <w:rPr>
          <w:rFonts w:ascii="Arial" w:hAnsi="Arial" w:cs="Arial"/>
        </w:rPr>
      </w:pPr>
    </w:p>
    <w:p w:rsidR="00632EA4" w:rsidRPr="00D46EEB" w:rsidRDefault="00632EA4" w:rsidP="00D46EEB">
      <w:pPr>
        <w:pStyle w:val="Textbody"/>
        <w:spacing w:after="0"/>
        <w:rPr>
          <w:rFonts w:ascii="Arial" w:hAnsi="Arial" w:cs="Arial"/>
        </w:rPr>
      </w:pPr>
    </w:p>
    <w:p w:rsidR="00632EA4" w:rsidRPr="00D46EEB" w:rsidRDefault="00501E06" w:rsidP="00D46EEB">
      <w:pPr>
        <w:pStyle w:val="Textbody"/>
        <w:spacing w:after="0"/>
        <w:rPr>
          <w:rFonts w:ascii="Arial" w:hAnsi="Arial" w:cs="Arial"/>
        </w:rPr>
      </w:pPr>
      <w:r w:rsidRPr="00D46EEB">
        <w:rPr>
          <w:rFonts w:ascii="Arial" w:hAnsi="Arial" w:cs="Arial"/>
        </w:rPr>
        <w:t>Id-Direttur Ġenerali tal-Ikel huwa responsabbli għall-implimentazzjoni ta’ dan id-Digriet, li se jiġi ppubblikat fil-Ġurnal Uffiċjali tar-Repubblika Franċiża.</w:t>
      </w:r>
    </w:p>
    <w:p w:rsidR="00632EA4" w:rsidRPr="00D46EEB" w:rsidRDefault="00632EA4" w:rsidP="00D46EEB">
      <w:pPr>
        <w:pStyle w:val="Textbody"/>
        <w:spacing w:after="0"/>
        <w:rPr>
          <w:rFonts w:ascii="Arial" w:hAnsi="Arial" w:cs="Arial"/>
        </w:rPr>
      </w:pPr>
    </w:p>
    <w:p w:rsidR="00501E06" w:rsidRPr="00D46EEB" w:rsidRDefault="00501E06" w:rsidP="00D46EEB">
      <w:pPr>
        <w:pStyle w:val="Textbody"/>
        <w:spacing w:after="0"/>
        <w:rPr>
          <w:rFonts w:ascii="Arial" w:hAnsi="Arial" w:cs="Arial"/>
          <w:b/>
        </w:rPr>
      </w:pPr>
      <w:r w:rsidRPr="00D46EEB">
        <w:rPr>
          <w:rFonts w:ascii="Arial" w:hAnsi="Arial" w:cs="Arial"/>
          <w:b/>
        </w:rPr>
        <w:t>Anness</w:t>
      </w:r>
    </w:p>
    <w:p w:rsidR="00632EA4" w:rsidRPr="00D46EEB" w:rsidRDefault="00632EA4" w:rsidP="00D46EEB">
      <w:pPr>
        <w:pStyle w:val="Header"/>
        <w:jc w:val="both"/>
        <w:rPr>
          <w:rFonts w:ascii="Arial" w:hAnsi="Arial" w:cs="Arial"/>
        </w:rPr>
      </w:pPr>
    </w:p>
    <w:p w:rsidR="00632EA4" w:rsidRPr="00D46EEB" w:rsidRDefault="00632EA4" w:rsidP="00D46EEB">
      <w:pPr>
        <w:pStyle w:val="Header"/>
        <w:jc w:val="both"/>
        <w:rPr>
          <w:rFonts w:ascii="Arial" w:hAnsi="Arial" w:cs="Arial"/>
        </w:rPr>
      </w:pPr>
    </w:p>
    <w:p w:rsidR="00501E06" w:rsidRPr="00D46EEB" w:rsidRDefault="00632EA4" w:rsidP="00D46EEB">
      <w:pPr>
        <w:pStyle w:val="Header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ANNESS</w:t>
      </w:r>
    </w:p>
    <w:p w:rsidR="00632EA4" w:rsidRPr="00D46EEB" w:rsidRDefault="00632EA4" w:rsidP="00D46EEB">
      <w:pPr>
        <w:pStyle w:val="Header"/>
        <w:jc w:val="both"/>
        <w:rPr>
          <w:rFonts w:ascii="Arial" w:hAnsi="Arial" w:cs="Arial"/>
        </w:rPr>
      </w:pPr>
    </w:p>
    <w:p w:rsidR="00632EA4" w:rsidRPr="00D46EEB" w:rsidRDefault="00632EA4" w:rsidP="00D46EEB">
      <w:pPr>
        <w:pStyle w:val="Header"/>
        <w:jc w:val="both"/>
        <w:rPr>
          <w:rFonts w:ascii="Arial" w:hAnsi="Arial" w:cs="Arial"/>
        </w:rPr>
      </w:pPr>
      <w:r w:rsidRPr="00D46EEB">
        <w:rPr>
          <w:rFonts w:ascii="Arial" w:hAnsi="Arial" w:cs="Arial"/>
        </w:rPr>
        <w:t>KONTENUT TA’ TRAĊĊI METALLIĊI U KONTENUT TA’ OLIGOELEMENTI ORGANIĊI – KRITERJI MIKROBIJOLOĠIĊI</w:t>
      </w:r>
    </w:p>
    <w:p w:rsidR="00501E06" w:rsidRPr="00D46EEB" w:rsidRDefault="00501E06" w:rsidP="00D46EEB">
      <w:pPr>
        <w:pStyle w:val="Header"/>
        <w:jc w:val="both"/>
        <w:rPr>
          <w:rFonts w:ascii="Arial" w:hAnsi="Arial" w:cs="Arial"/>
        </w:rPr>
      </w:pPr>
    </w:p>
    <w:p w:rsidR="00501E06" w:rsidRPr="00D46EEB" w:rsidRDefault="00501E06" w:rsidP="00D46EEB">
      <w:pPr>
        <w:pStyle w:val="Retraitcorpsdetexte31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D46EEB">
        <w:rPr>
          <w:rFonts w:ascii="Arial" w:hAnsi="Arial" w:cs="Arial"/>
          <w:color w:val="000000"/>
          <w:sz w:val="24"/>
          <w:szCs w:val="24"/>
        </w:rPr>
        <w:t xml:space="preserve">Il-kriterji hawn taħt huma referenzi </w:t>
      </w:r>
      <w:r w:rsidR="00632EA4" w:rsidRPr="00D46EEB">
        <w:rPr>
          <w:rFonts w:ascii="Arial" w:hAnsi="Arial" w:cs="Arial"/>
          <w:color w:val="000000"/>
          <w:sz w:val="24"/>
          <w:szCs w:val="24"/>
        </w:rPr>
        <w:t>għal</w:t>
      </w:r>
      <w:r w:rsidRPr="00D46EEB">
        <w:rPr>
          <w:rFonts w:ascii="Arial" w:hAnsi="Arial" w:cs="Arial"/>
          <w:color w:val="000000"/>
          <w:sz w:val="24"/>
          <w:szCs w:val="24"/>
        </w:rPr>
        <w:t xml:space="preserve">-kwalità </w:t>
      </w:r>
      <w:r w:rsidR="00632EA4" w:rsidRPr="00D46EEB">
        <w:rPr>
          <w:rFonts w:ascii="Arial" w:hAnsi="Arial" w:cs="Arial"/>
          <w:color w:val="000000"/>
          <w:sz w:val="24"/>
          <w:szCs w:val="24"/>
        </w:rPr>
        <w:t>ta</w:t>
      </w:r>
      <w:r w:rsidRPr="00D46EEB">
        <w:rPr>
          <w:rFonts w:ascii="Arial" w:hAnsi="Arial" w:cs="Arial"/>
          <w:color w:val="000000"/>
          <w:sz w:val="24"/>
          <w:szCs w:val="24"/>
        </w:rPr>
        <w:t xml:space="preserve">l-prodotti. Fil-każ ta’ ammont żejjed, l-applikant jipprovdi </w:t>
      </w:r>
      <w:r w:rsidR="00632EA4" w:rsidRPr="00D46EEB">
        <w:rPr>
          <w:rFonts w:ascii="Arial" w:hAnsi="Arial" w:cs="Arial"/>
          <w:color w:val="000000"/>
          <w:sz w:val="24"/>
          <w:szCs w:val="24"/>
        </w:rPr>
        <w:t>l-provi meħtieġa dwar l-elementi żejda</w:t>
      </w:r>
      <w:r w:rsidRPr="00D46EEB">
        <w:rPr>
          <w:rFonts w:ascii="Arial" w:hAnsi="Arial" w:cs="Arial"/>
          <w:color w:val="000000"/>
          <w:sz w:val="24"/>
          <w:szCs w:val="24"/>
        </w:rPr>
        <w:t>.</w:t>
      </w:r>
    </w:p>
    <w:p w:rsidR="00632EA4" w:rsidRPr="00D46EEB" w:rsidRDefault="00632EA4" w:rsidP="00D46EEB">
      <w:pPr>
        <w:pStyle w:val="Retraitcorpsdetexte31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501E06" w:rsidRPr="00D46EEB" w:rsidRDefault="00501E06" w:rsidP="00D46EEB">
      <w:pPr>
        <w:pStyle w:val="Retraitcorpsdetexte31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D46EEB">
        <w:rPr>
          <w:rFonts w:ascii="Arial" w:hAnsi="Arial" w:cs="Arial"/>
          <w:color w:val="000000"/>
          <w:sz w:val="24"/>
          <w:szCs w:val="24"/>
        </w:rPr>
        <w:t xml:space="preserve">L-aspett kumulattiv tal-konsum ta' traċċi metalliċi u komposti ta’ oligoelementi organiċi mill-fertilizzanti, l-aġġuvanti tagħhom </w:t>
      </w:r>
      <w:r w:rsidR="00632EA4" w:rsidRPr="00D46EEB">
        <w:rPr>
          <w:rFonts w:ascii="Arial" w:hAnsi="Arial" w:cs="Arial"/>
          <w:color w:val="000000"/>
          <w:sz w:val="24"/>
          <w:szCs w:val="24"/>
        </w:rPr>
        <w:t>jew i</w:t>
      </w:r>
      <w:r w:rsidRPr="00D46EEB">
        <w:rPr>
          <w:rFonts w:ascii="Arial" w:hAnsi="Arial" w:cs="Arial"/>
          <w:color w:val="000000"/>
          <w:sz w:val="24"/>
          <w:szCs w:val="24"/>
        </w:rPr>
        <w:t xml:space="preserve">l-mezzi għat-tkabbir huwa kkunsidrat għall-verifika tan-nuqqas ta’ effett ta’ ħsara fuq is-saħħa tal-bniedem, is-saħħa tal-annimali u l-ambjent u </w:t>
      </w:r>
      <w:r w:rsidR="00632EA4" w:rsidRPr="00D46EEB">
        <w:rPr>
          <w:rFonts w:ascii="Arial" w:hAnsi="Arial" w:cs="Arial"/>
          <w:color w:val="000000"/>
          <w:sz w:val="24"/>
          <w:szCs w:val="24"/>
        </w:rPr>
        <w:t>b’kunsiderazzjoni</w:t>
      </w:r>
      <w:r w:rsidRPr="00D46EEB">
        <w:rPr>
          <w:rFonts w:ascii="Arial" w:hAnsi="Arial" w:cs="Arial"/>
          <w:color w:val="000000"/>
          <w:sz w:val="24"/>
          <w:szCs w:val="24"/>
        </w:rPr>
        <w:t xml:space="preserve"> tad-dożi u l-frekwenzi tal-konsum </w:t>
      </w:r>
      <w:r w:rsidR="00632EA4" w:rsidRPr="00D46EEB">
        <w:rPr>
          <w:rFonts w:ascii="Arial" w:hAnsi="Arial" w:cs="Arial"/>
          <w:color w:val="000000"/>
          <w:sz w:val="24"/>
          <w:szCs w:val="24"/>
        </w:rPr>
        <w:t xml:space="preserve">irrakkomandati </w:t>
      </w:r>
      <w:r w:rsidRPr="00D46EEB">
        <w:rPr>
          <w:rFonts w:ascii="Arial" w:hAnsi="Arial" w:cs="Arial"/>
          <w:color w:val="000000"/>
          <w:sz w:val="24"/>
          <w:szCs w:val="24"/>
        </w:rPr>
        <w:t>fil-kundizzjonijiet tal-użu.</w:t>
      </w:r>
    </w:p>
    <w:p w:rsidR="00DA0D8C" w:rsidRPr="00D46EEB" w:rsidRDefault="00DA0D8C" w:rsidP="00D46EEB">
      <w:pPr>
        <w:pStyle w:val="Retraitcorpsdetexte31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501E06" w:rsidRPr="00D46EEB" w:rsidRDefault="00501E06" w:rsidP="00D46EEB">
      <w:pPr>
        <w:pStyle w:val="Retraitcorpsdetexte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46EEB">
        <w:rPr>
          <w:rFonts w:ascii="Arial" w:hAnsi="Arial" w:cs="Arial"/>
          <w:sz w:val="24"/>
          <w:szCs w:val="24"/>
        </w:rPr>
        <w:t>L-informazzjoni għandha tiġi pprovduta skont il-Gwida għall-evalwazzjoni tal-fajls tal-Applikazzjoni dwar l-Awtorizzazzjoni għat-Tqegħid fis-Suq (AMM) jew għal permess għall-fertilizzanti, addittivi tal-fertilizzanti u mezzi għat-tkabbir imsemmija fl-Artikolu 2.</w:t>
      </w:r>
    </w:p>
    <w:p w:rsidR="00501E06" w:rsidRPr="00D46EEB" w:rsidRDefault="00501E06" w:rsidP="00D46EEB">
      <w:pPr>
        <w:pStyle w:val="Retraitcorpsdetexte31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501E06" w:rsidRPr="00D46EEB" w:rsidRDefault="00501E06" w:rsidP="00D46EEB">
      <w:pPr>
        <w:pStyle w:val="Retraitcorpsdetexte31"/>
        <w:keepNext/>
        <w:widowControl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46EEB">
        <w:rPr>
          <w:rFonts w:ascii="Arial" w:hAnsi="Arial" w:cs="Arial"/>
          <w:sz w:val="24"/>
          <w:szCs w:val="24"/>
        </w:rPr>
        <w:t>Traċċi metalliċi (ETM)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3255"/>
        <w:gridCol w:w="3255"/>
      </w:tblGrid>
      <w:tr w:rsidR="00501E06" w:rsidRPr="00D46EEB" w:rsidTr="00D46EEB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501E06" w:rsidRPr="00D46EEB" w:rsidRDefault="00501E06" w:rsidP="00632EA4">
            <w:pPr>
              <w:keepNext/>
              <w:snapToGrid w:val="0"/>
              <w:ind w:left="72" w:right="51"/>
              <w:rPr>
                <w:rFonts w:ascii="Arial" w:hAnsi="Arial" w:cs="Arial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Kontenut massimu ta’ fertilizzanti</w:t>
            </w:r>
          </w:p>
          <w:p w:rsidR="00DA0D8C" w:rsidRPr="00D46EEB" w:rsidRDefault="00DA0D8C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(ta’ materjal niexef f’mg/kg)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Kontenut massimu tal-mezzi għat-tkabbir</w:t>
            </w:r>
          </w:p>
          <w:p w:rsidR="00DA0D8C" w:rsidRPr="00D46EEB" w:rsidRDefault="00DA0D8C" w:rsidP="00DA0D8C">
            <w:pPr>
              <w:keepNext/>
              <w:ind w:right="50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keepNext/>
              <w:tabs>
                <w:tab w:val="left" w:pos="2497"/>
              </w:tabs>
              <w:ind w:right="72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(ta’ materjal niexef f’mg/kg)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pStyle w:val="Heading4"/>
              <w:rPr>
                <w:rFonts w:ascii="Arial" w:hAnsi="Arial" w:cs="Arial"/>
                <w:b w:val="0"/>
              </w:rPr>
            </w:pPr>
          </w:p>
          <w:p w:rsidR="00501E06" w:rsidRPr="00D46EEB" w:rsidRDefault="00501E06" w:rsidP="00632EA4">
            <w:pPr>
              <w:pStyle w:val="Heading4"/>
              <w:rPr>
                <w:rFonts w:ascii="Arial" w:hAnsi="Arial" w:cs="Arial"/>
                <w:b w:val="0"/>
              </w:rPr>
            </w:pPr>
            <w:r w:rsidRPr="00D46EEB">
              <w:rPr>
                <w:rFonts w:ascii="Arial" w:hAnsi="Arial" w:cs="Arial"/>
                <w:b w:val="0"/>
              </w:rPr>
              <w:t>As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40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40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Cd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Cr VI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2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2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Cr totali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120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150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Cu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300</w:t>
            </w:r>
            <w:r w:rsidR="00DA0D8C" w:rsidRPr="00D46EEB">
              <w:rPr>
                <w:rFonts w:ascii="Arial" w:hAnsi="Arial" w:cs="Arial"/>
              </w:rPr>
              <w:t xml:space="preserve"> (</w:t>
            </w:r>
            <w:r w:rsidRPr="00D46EEB">
              <w:rPr>
                <w:rFonts w:ascii="Arial" w:hAnsi="Arial" w:cs="Arial"/>
              </w:rPr>
              <w:t>*</w:t>
            </w:r>
            <w:r w:rsidR="00DA0D8C" w:rsidRPr="00D46EEB">
              <w:rPr>
                <w:rFonts w:ascii="Arial" w:hAnsi="Arial" w:cs="Arial"/>
              </w:rPr>
              <w:t>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200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Hg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Ni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50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50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Pb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120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120</w:t>
            </w:r>
          </w:p>
        </w:tc>
      </w:tr>
      <w:tr w:rsidR="00501E06" w:rsidRPr="00D46EEB" w:rsidTr="00D46EEB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632EA4">
            <w:pPr>
              <w:ind w:left="72" w:right="51"/>
              <w:rPr>
                <w:rFonts w:ascii="Arial" w:hAnsi="Arial" w:cs="Arial"/>
              </w:rPr>
            </w:pPr>
          </w:p>
          <w:p w:rsidR="00501E06" w:rsidRPr="00D46EEB" w:rsidRDefault="00501E06" w:rsidP="00632EA4">
            <w:pPr>
              <w:ind w:left="72" w:right="51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Zn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123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12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800</w:t>
            </w:r>
            <w:r w:rsidR="00DA0D8C" w:rsidRPr="00D46EEB">
              <w:rPr>
                <w:rFonts w:ascii="Arial" w:hAnsi="Arial" w:cs="Arial"/>
              </w:rPr>
              <w:t xml:space="preserve"> (</w:t>
            </w:r>
            <w:r w:rsidRPr="00D46EEB">
              <w:rPr>
                <w:rFonts w:ascii="Arial" w:hAnsi="Arial" w:cs="Arial"/>
              </w:rPr>
              <w:t>*</w:t>
            </w:r>
            <w:r w:rsidR="00DA0D8C" w:rsidRPr="00D46EEB">
              <w:rPr>
                <w:rFonts w:ascii="Arial" w:hAnsi="Arial" w:cs="Arial"/>
              </w:rPr>
              <w:t>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A0D8C">
            <w:pPr>
              <w:ind w:right="497"/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A0D8C">
            <w:pPr>
              <w:ind w:right="497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500</w:t>
            </w:r>
          </w:p>
        </w:tc>
      </w:tr>
    </w:tbl>
    <w:p w:rsidR="00DA0D8C" w:rsidRPr="00D46EEB" w:rsidRDefault="00DA0D8C" w:rsidP="00632EA4">
      <w:pPr>
        <w:pStyle w:val="Retraitcorpsdetexte31"/>
        <w:widowControl w:val="0"/>
        <w:spacing w:after="0"/>
        <w:ind w:left="425"/>
        <w:jc w:val="both"/>
        <w:rPr>
          <w:rFonts w:ascii="Arial" w:hAnsi="Arial" w:cs="Arial"/>
          <w:sz w:val="24"/>
          <w:szCs w:val="24"/>
        </w:rPr>
      </w:pPr>
    </w:p>
    <w:p w:rsidR="00501E06" w:rsidRPr="00D46EEB" w:rsidRDefault="00DA0D8C" w:rsidP="00D46EEB">
      <w:pPr>
        <w:pStyle w:val="Retraitcorpsdetexte31"/>
        <w:widowControl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46EEB">
        <w:rPr>
          <w:rFonts w:ascii="Arial" w:hAnsi="Arial" w:cs="Arial"/>
          <w:sz w:val="24"/>
          <w:szCs w:val="24"/>
        </w:rPr>
        <w:t xml:space="preserve">(*) Ġħajr </w:t>
      </w:r>
      <w:r w:rsidR="00501E06" w:rsidRPr="00D46EEB">
        <w:rPr>
          <w:rFonts w:ascii="Arial" w:hAnsi="Arial" w:cs="Arial"/>
          <w:sz w:val="24"/>
          <w:szCs w:val="24"/>
        </w:rPr>
        <w:t>f'każ rkonoxxut fejn huwa meħtieġ skont ir-regolamenti applikabbli.</w:t>
      </w:r>
    </w:p>
    <w:p w:rsidR="00501E06" w:rsidRPr="00D46EEB" w:rsidRDefault="00501E06" w:rsidP="00DA0D8C">
      <w:pPr>
        <w:pStyle w:val="Retraitcorpsdetexte31"/>
        <w:widowControl w:val="0"/>
        <w:spacing w:after="0"/>
        <w:ind w:left="425" w:firstLine="283"/>
        <w:jc w:val="both"/>
        <w:rPr>
          <w:rFonts w:ascii="Arial" w:hAnsi="Arial" w:cs="Arial"/>
          <w:sz w:val="24"/>
          <w:szCs w:val="24"/>
        </w:rPr>
      </w:pPr>
    </w:p>
    <w:p w:rsidR="00DA0D8C" w:rsidRPr="00D46EEB" w:rsidRDefault="00DA0D8C" w:rsidP="00DA0D8C">
      <w:pPr>
        <w:pStyle w:val="Retraitcorpsdetexte31"/>
        <w:widowControl w:val="0"/>
        <w:spacing w:after="0"/>
        <w:ind w:left="425" w:firstLine="283"/>
        <w:jc w:val="both"/>
        <w:rPr>
          <w:rFonts w:ascii="Arial" w:hAnsi="Arial" w:cs="Arial"/>
          <w:sz w:val="24"/>
          <w:szCs w:val="24"/>
        </w:rPr>
      </w:pPr>
    </w:p>
    <w:p w:rsidR="00501E06" w:rsidRPr="00D46EEB" w:rsidRDefault="00501E06" w:rsidP="00D46EEB">
      <w:pPr>
        <w:pStyle w:val="Retraitcorpsdetexte31"/>
        <w:keepNext/>
        <w:widowControl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46EEB">
        <w:rPr>
          <w:rFonts w:ascii="Arial" w:hAnsi="Arial" w:cs="Arial"/>
          <w:sz w:val="24"/>
          <w:szCs w:val="24"/>
        </w:rPr>
        <w:t>Komposti ta’ Oligoelementi Organiċi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4802"/>
      </w:tblGrid>
      <w:tr w:rsidR="00501E06" w:rsidRPr="00D46EEB" w:rsidTr="00D46EEB"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0D8C" w:rsidRPr="00D46EEB" w:rsidRDefault="00DA0D8C" w:rsidP="00D46EEB">
            <w:pPr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46EEB">
            <w:pPr>
              <w:jc w:val="both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Somma ta’ 16-il idrokarbonju aromatiku poliċikliku:</w:t>
            </w:r>
          </w:p>
          <w:p w:rsidR="00DA0D8C" w:rsidRPr="00D46EEB" w:rsidRDefault="00DA0D8C" w:rsidP="00D46EEB">
            <w:pPr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46EEB">
            <w:pPr>
              <w:pStyle w:val="List"/>
              <w:widowControl w:val="0"/>
              <w:spacing w:after="0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Naftalen, aċenaftilen, aċenaften, fluworen, fenantren, antraċen, fluworanten, piren, benżo[a]antraċen, krisen, benżo[b]fluworanten, benżo[k]fluworanten, benżo[a]piren, indeno[1,2,3-cd]piren, dibenżo[a,</w:t>
            </w:r>
            <w:r w:rsidR="00DA0D8C" w:rsidRPr="00D46EEB">
              <w:rPr>
                <w:rFonts w:ascii="Arial" w:hAnsi="Arial" w:cs="Arial"/>
              </w:rPr>
              <w:t xml:space="preserve"> </w:t>
            </w:r>
            <w:r w:rsidRPr="00D46EEB">
              <w:rPr>
                <w:rFonts w:ascii="Arial" w:hAnsi="Arial" w:cs="Arial"/>
              </w:rPr>
              <w:t>h]antraċen u benżo[ghi]perilen.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06" w:rsidRPr="00D46EEB" w:rsidRDefault="00501E06" w:rsidP="00D46EEB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Kontenut massimu:</w:t>
            </w:r>
          </w:p>
          <w:p w:rsidR="00DA0D8C" w:rsidRPr="00D46EEB" w:rsidRDefault="00DA0D8C" w:rsidP="00D46EEB">
            <w:pPr>
              <w:jc w:val="center"/>
              <w:rPr>
                <w:rFonts w:ascii="Arial" w:hAnsi="Arial" w:cs="Arial"/>
              </w:rPr>
            </w:pPr>
          </w:p>
          <w:p w:rsidR="00501E06" w:rsidRPr="00D46EEB" w:rsidRDefault="00501E06" w:rsidP="00D46EEB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(6 mg/kg ta’ materjal niexef)</w:t>
            </w:r>
          </w:p>
        </w:tc>
      </w:tr>
    </w:tbl>
    <w:p w:rsidR="00501E06" w:rsidRPr="00D46EEB" w:rsidRDefault="00501E06" w:rsidP="00D46EEB">
      <w:pPr>
        <w:pStyle w:val="Retraitcorpsdetexte31"/>
        <w:widowControl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501E06" w:rsidRPr="00D46EEB" w:rsidRDefault="00501E06" w:rsidP="00D46EEB">
      <w:pPr>
        <w:pStyle w:val="Retraitcorpsdetexte31"/>
        <w:keepNext/>
        <w:widowControl w:val="0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D46EEB">
        <w:rPr>
          <w:rFonts w:ascii="Arial" w:hAnsi="Arial" w:cs="Arial"/>
          <w:sz w:val="24"/>
          <w:szCs w:val="24"/>
        </w:rPr>
        <w:t>Kriterji mikrobijoloġiċi</w:t>
      </w:r>
    </w:p>
    <w:tbl>
      <w:tblPr>
        <w:tblW w:w="9943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73"/>
        <w:gridCol w:w="1083"/>
        <w:gridCol w:w="1418"/>
        <w:gridCol w:w="1425"/>
        <w:gridCol w:w="1286"/>
        <w:gridCol w:w="995"/>
        <w:gridCol w:w="1276"/>
        <w:gridCol w:w="527"/>
        <w:gridCol w:w="60"/>
      </w:tblGrid>
      <w:tr w:rsidR="003F35BB" w:rsidRPr="00D46EEB" w:rsidTr="00D46EEB"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</w:tcPr>
          <w:p w:rsidR="003F35BB" w:rsidRPr="00D46EEB" w:rsidRDefault="003F35BB" w:rsidP="00632EA4">
            <w:pPr>
              <w:keepNext/>
              <w:snapToGrid w:val="0"/>
              <w:rPr>
                <w:rFonts w:ascii="Arial" w:hAnsi="Arial" w:cs="Arial"/>
              </w:rPr>
            </w:pPr>
          </w:p>
        </w:tc>
        <w:tc>
          <w:tcPr>
            <w:tcW w:w="7483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Kultivazzjonijiet</w:t>
            </w:r>
          </w:p>
        </w:tc>
        <w:tc>
          <w:tcPr>
            <w:tcW w:w="58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keepNext/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1873" w:type="dxa"/>
            <w:vMerge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Kultivazzjonijiet kbar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Vitikultura u kultivazzjoni tas-siġar</w:t>
            </w: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Frott żgħir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Mergħat tal-ħaxix</w:t>
            </w:r>
          </w:p>
        </w:tc>
        <w:tc>
          <w:tcPr>
            <w:tcW w:w="12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Mixtla ornamentali tal-forestrija</w:t>
            </w:r>
          </w:p>
        </w:tc>
        <w:tc>
          <w:tcPr>
            <w:tcW w:w="99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Kultivazzjonijiet tal-fjuri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46EEB">
            <w:pPr>
              <w:keepNext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Ħxejjex Frawli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46EEB">
            <w:pPr>
              <w:keepNext/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46EEB">
            <w:pPr>
              <w:keepNext/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5BB" w:rsidRPr="00D46EEB" w:rsidRDefault="003F35BB" w:rsidP="00632EA4">
            <w:pPr>
              <w:keepNext/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keepNext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Mikro-organiżmi patoġeniċi għall-bnedmin jew għall-annimali: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63C38" w:rsidRPr="00D46EEB" w:rsidTr="00031562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  <w:r w:rsidRPr="00D46EEB">
              <w:rPr>
                <w:rFonts w:ascii="Arial" w:hAnsi="Arial" w:cs="Arial"/>
                <w:position w:val="-5"/>
              </w:rPr>
              <w:t>Enterokoċċi</w:t>
            </w:r>
          </w:p>
        </w:tc>
        <w:tc>
          <w:tcPr>
            <w:tcW w:w="620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  <w:position w:val="-5"/>
              </w:rPr>
            </w:pPr>
            <w:r w:rsidRPr="00D46EEB">
              <w:rPr>
                <w:rFonts w:ascii="Arial" w:hAnsi="Arial" w:cs="Arial"/>
                <w:position w:val="-5"/>
              </w:rPr>
              <w:t>&lt; 10 000/g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ind w:left="-96" w:right="-113"/>
              <w:jc w:val="center"/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DA0D8C">
            <w:pPr>
              <w:ind w:left="-96" w:right="-11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  <w:position w:val="-5"/>
              </w:rPr>
              <w:t>&lt;100/g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63C38" w:rsidRPr="00D46EEB" w:rsidTr="00031562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  <w:r w:rsidRPr="00D46EEB">
              <w:rPr>
                <w:rFonts w:ascii="Arial" w:hAnsi="Arial" w:cs="Arial"/>
              </w:rPr>
              <w:t>Escherichia coli</w:t>
            </w:r>
          </w:p>
        </w:tc>
        <w:tc>
          <w:tcPr>
            <w:tcW w:w="6207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  <w:position w:val="-5"/>
              </w:rPr>
              <w:t>&lt; 1 000/g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ind w:left="-96" w:right="-113"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ind w:left="-96" w:right="-113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&lt;100/g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63C38" w:rsidRPr="00D46EEB" w:rsidTr="00031562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Clostridium perfringens (spori u forom veġetattivi)</w:t>
            </w:r>
          </w:p>
        </w:tc>
        <w:tc>
          <w:tcPr>
            <w:tcW w:w="250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pStyle w:val="SNNORCentr"/>
              <w:widowControl w:val="0"/>
              <w:rPr>
                <w:rFonts w:ascii="Arial" w:hAnsi="Arial" w:cs="Arial"/>
                <w:szCs w:val="24"/>
              </w:rPr>
            </w:pPr>
          </w:p>
          <w:p w:rsidR="003F35BB" w:rsidRPr="00D46EEB" w:rsidRDefault="003F35BB" w:rsidP="00DA0D8C">
            <w:pPr>
              <w:pStyle w:val="SNNORCentr"/>
              <w:widowControl w:val="0"/>
              <w:rPr>
                <w:rFonts w:ascii="Arial" w:hAnsi="Arial" w:cs="Arial"/>
                <w:szCs w:val="24"/>
              </w:rPr>
            </w:pPr>
            <w:r w:rsidRPr="00D46EEB">
              <w:rPr>
                <w:rFonts w:ascii="Arial" w:hAnsi="Arial" w:cs="Arial"/>
                <w:szCs w:val="24"/>
              </w:rPr>
              <w:t>&lt; 100/g*</w:t>
            </w:r>
          </w:p>
        </w:tc>
        <w:tc>
          <w:tcPr>
            <w:tcW w:w="1425" w:type="dxa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&lt; 10/g*</w:t>
            </w:r>
          </w:p>
        </w:tc>
        <w:tc>
          <w:tcPr>
            <w:tcW w:w="2281" w:type="dxa"/>
            <w:gridSpan w:val="2"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&lt; 100/g*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&lt; 10/g*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  <w:r w:rsidRPr="00D46EEB">
              <w:rPr>
                <w:rFonts w:ascii="Arial" w:hAnsi="Arial" w:cs="Arial"/>
                <w:position w:val="-5"/>
              </w:rPr>
              <w:t>Salmonella</w:t>
            </w:r>
          </w:p>
        </w:tc>
        <w:tc>
          <w:tcPr>
            <w:tcW w:w="6207" w:type="dxa"/>
            <w:gridSpan w:val="5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  <w:position w:val="-5"/>
              </w:rPr>
              <w:t>Assenza f’1 g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Assenza f’25 g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 xml:space="preserve">Staphylococcus aureus jew </w:t>
            </w:r>
          </w:p>
          <w:p w:rsidR="003F35BB" w:rsidRPr="00D46EEB" w:rsidRDefault="003F35BB" w:rsidP="00632EA4">
            <w:pPr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  <w:r w:rsidRPr="00D46EEB">
              <w:rPr>
                <w:rFonts w:ascii="Arial" w:hAnsi="Arial" w:cs="Arial"/>
              </w:rPr>
              <w:t>koagulażi pożittiva</w:t>
            </w:r>
          </w:p>
        </w:tc>
        <w:tc>
          <w:tcPr>
            <w:tcW w:w="748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  <w:position w:val="-5"/>
              </w:rPr>
              <w:t>&lt; 10/g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  <w:position w:val="-5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  <w:position w:val="-5"/>
              </w:rPr>
              <w:t>Listeria monocytogenes</w:t>
            </w:r>
          </w:p>
        </w:tc>
        <w:tc>
          <w:tcPr>
            <w:tcW w:w="5212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ind w:left="-130" w:right="-96"/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snapToGrid w:val="0"/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Assenza f’25 g (mergħa)</w:t>
            </w:r>
          </w:p>
        </w:tc>
        <w:tc>
          <w:tcPr>
            <w:tcW w:w="2271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Assenza f’25 g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632EA4">
            <w:pPr>
              <w:keepNext/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keepNext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Makro-organiżmi patoġeniċi għall-bnedmin jew għall-annimali: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63C38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rPr>
                <w:rFonts w:ascii="Arial" w:hAnsi="Arial" w:cs="Arial"/>
              </w:rPr>
            </w:pPr>
          </w:p>
          <w:p w:rsidR="003F35BB" w:rsidRPr="00D46EEB" w:rsidRDefault="003F35BB" w:rsidP="00632EA4">
            <w:pPr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Nematodi (bajd u larva)</w:t>
            </w:r>
          </w:p>
        </w:tc>
        <w:tc>
          <w:tcPr>
            <w:tcW w:w="5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Assenza f’1 g**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</w:p>
          <w:p w:rsidR="003F35BB" w:rsidRPr="00D46EEB" w:rsidRDefault="003F35BB" w:rsidP="00DA0D8C">
            <w:pPr>
              <w:jc w:val="center"/>
              <w:rPr>
                <w:rFonts w:ascii="Arial" w:hAnsi="Arial" w:cs="Arial"/>
              </w:rPr>
            </w:pPr>
            <w:r w:rsidRPr="00D46EEB">
              <w:rPr>
                <w:rFonts w:ascii="Arial" w:hAnsi="Arial" w:cs="Arial"/>
              </w:rPr>
              <w:t>Assenza f’25 g**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  <w:tr w:rsidR="003F35BB" w:rsidRPr="00D46EEB" w:rsidTr="00D46EEB">
        <w:tblPrEx>
          <w:tblCellMar>
            <w:left w:w="0" w:type="dxa"/>
            <w:right w:w="0" w:type="dxa"/>
          </w:tblCellMar>
        </w:tblPrEx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5BB" w:rsidRPr="00D46EEB" w:rsidRDefault="003F35BB" w:rsidP="00632EA4">
            <w:pPr>
              <w:pStyle w:val="Paragraphedeliste"/>
              <w:spacing w:before="0" w:after="0" w:line="240" w:lineRule="auto"/>
              <w:ind w:left="0"/>
              <w:rPr>
                <w:rFonts w:ascii="Arial" w:hAnsi="Arial" w:cs="Arial"/>
                <w:szCs w:val="24"/>
              </w:rPr>
            </w:pPr>
          </w:p>
          <w:p w:rsidR="003F35BB" w:rsidRPr="00D46EEB" w:rsidRDefault="003F35BB" w:rsidP="00632EA4">
            <w:pPr>
              <w:pStyle w:val="Paragraphedeliste"/>
              <w:spacing w:before="0" w:after="0" w:line="240" w:lineRule="auto"/>
              <w:ind w:left="0"/>
              <w:rPr>
                <w:rFonts w:ascii="Arial" w:hAnsi="Arial" w:cs="Arial"/>
                <w:szCs w:val="24"/>
              </w:rPr>
            </w:pPr>
            <w:r w:rsidRPr="00D46EEB">
              <w:rPr>
                <w:rFonts w:ascii="Arial" w:hAnsi="Arial" w:cs="Arial"/>
                <w:szCs w:val="24"/>
              </w:rPr>
              <w:t>Il-metodi ta’ analiżi rrakkomandati huma speċifikati fil-gwida ppubblikata mill-ANSES.</w:t>
            </w:r>
          </w:p>
          <w:p w:rsidR="003F35BB" w:rsidRPr="00D46EEB" w:rsidRDefault="003F35BB" w:rsidP="00DA0D8C">
            <w:pPr>
              <w:pStyle w:val="Paragraphedeliste"/>
              <w:spacing w:before="0" w:after="0" w:line="240" w:lineRule="auto"/>
              <w:ind w:left="0"/>
              <w:jc w:val="both"/>
              <w:rPr>
                <w:rFonts w:ascii="Arial" w:hAnsi="Arial" w:cs="Arial"/>
                <w:szCs w:val="24"/>
              </w:rPr>
            </w:pPr>
          </w:p>
          <w:p w:rsidR="003F35BB" w:rsidRPr="00D46EEB" w:rsidRDefault="003F35BB" w:rsidP="00DA0D8C">
            <w:pPr>
              <w:pStyle w:val="Paragraphedeliste"/>
              <w:spacing w:before="0" w:after="0" w:line="240" w:lineRule="auto"/>
              <w:ind w:left="0"/>
              <w:jc w:val="both"/>
              <w:rPr>
                <w:rFonts w:ascii="Arial" w:hAnsi="Arial" w:cs="Arial"/>
                <w:szCs w:val="24"/>
              </w:rPr>
            </w:pPr>
            <w:r w:rsidRPr="00D46EEB">
              <w:rPr>
                <w:rFonts w:ascii="Arial" w:hAnsi="Arial" w:cs="Arial"/>
                <w:szCs w:val="24"/>
              </w:rPr>
              <w:t>* Analiżi addizzjonali rrakkomandati skont in-natura tal-prodotti u l-kultivazzjonijiet mitluba huma speċifikati fil-gwida ppubblikata mill-ANSES.</w:t>
            </w:r>
          </w:p>
          <w:p w:rsidR="003F35BB" w:rsidRPr="00D46EEB" w:rsidRDefault="003F35BB" w:rsidP="00DA0D8C">
            <w:pPr>
              <w:pStyle w:val="Paragraphedeliste"/>
              <w:spacing w:before="0" w:after="0" w:line="240" w:lineRule="auto"/>
              <w:ind w:left="0"/>
              <w:jc w:val="both"/>
              <w:rPr>
                <w:rFonts w:ascii="Arial" w:hAnsi="Arial" w:cs="Arial"/>
                <w:szCs w:val="24"/>
              </w:rPr>
            </w:pPr>
          </w:p>
          <w:p w:rsidR="003F35BB" w:rsidRPr="00D46EEB" w:rsidRDefault="003F35BB" w:rsidP="00DA0D8C">
            <w:pPr>
              <w:pStyle w:val="Paragraphedeliste"/>
              <w:spacing w:before="0" w:after="0" w:line="240" w:lineRule="auto"/>
              <w:ind w:left="0"/>
              <w:jc w:val="both"/>
              <w:rPr>
                <w:rFonts w:ascii="Arial" w:hAnsi="Arial" w:cs="Arial"/>
                <w:szCs w:val="24"/>
              </w:rPr>
            </w:pPr>
            <w:r w:rsidRPr="00D46EEB">
              <w:rPr>
                <w:rFonts w:ascii="Arial" w:hAnsi="Arial" w:cs="Arial"/>
                <w:szCs w:val="24"/>
              </w:rPr>
              <w:t>** Jekk ikun hemm preżenza ta’ larva, l-analiżi addizzjonali rrakkomandati skont il-kultivazzjonijiet mitluba huma speċifikati fil-gwida ppubblikata mill-ANSES.</w:t>
            </w:r>
          </w:p>
        </w:tc>
        <w:tc>
          <w:tcPr>
            <w:tcW w:w="527" w:type="dxa"/>
            <w:tcBorders>
              <w:left w:val="single" w:sz="4" w:space="0" w:color="auto"/>
            </w:tcBorders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3F35BB" w:rsidRPr="00D46EEB" w:rsidRDefault="003F35BB" w:rsidP="00DA0D8C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501E06" w:rsidRPr="00D46EEB" w:rsidRDefault="00501E06" w:rsidP="00632EA4">
      <w:pPr>
        <w:pStyle w:val="Header"/>
        <w:jc w:val="center"/>
        <w:rPr>
          <w:rFonts w:ascii="Arial" w:hAnsi="Arial" w:cs="Arial"/>
        </w:rPr>
      </w:pPr>
    </w:p>
    <w:p w:rsidR="00DA0D8C" w:rsidRPr="00D46EEB" w:rsidRDefault="00DA0D8C" w:rsidP="00D46EEB">
      <w:pPr>
        <w:pStyle w:val="Retraitcorpsdetexte31"/>
        <w:keepNext/>
        <w:widowControl w:val="0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501E06" w:rsidRPr="00D46EEB" w:rsidRDefault="009D474A" w:rsidP="00D46EEB">
      <w:pPr>
        <w:pStyle w:val="Retraitcorpsdetexte31"/>
        <w:keepNext/>
        <w:widowControl w:val="0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D46EEB">
        <w:rPr>
          <w:rFonts w:ascii="Arial" w:hAnsi="Arial" w:cs="Arial"/>
          <w:color w:val="000000"/>
          <w:sz w:val="24"/>
          <w:szCs w:val="24"/>
        </w:rPr>
        <w:t>Reżistenza għall-antibijotiċi</w:t>
      </w:r>
    </w:p>
    <w:p w:rsidR="00DA0D8C" w:rsidRDefault="00DA0D8C" w:rsidP="00632EA4">
      <w:pPr>
        <w:pStyle w:val="Header"/>
        <w:jc w:val="both"/>
        <w:rPr>
          <w:rFonts w:ascii="Arial" w:hAnsi="Arial" w:cs="Arial"/>
          <w:color w:val="000000"/>
        </w:rPr>
      </w:pPr>
    </w:p>
    <w:p w:rsidR="00501E06" w:rsidRDefault="00501E06" w:rsidP="00632EA4">
      <w:pPr>
        <w:pStyle w:val="Header"/>
        <w:jc w:val="both"/>
        <w:rPr>
          <w:rFonts w:ascii="Arial" w:hAnsi="Arial" w:cs="Arial"/>
          <w:color w:val="000000"/>
        </w:rPr>
      </w:pPr>
      <w:r w:rsidRPr="00D46EEB">
        <w:rPr>
          <w:rFonts w:ascii="Arial" w:hAnsi="Arial" w:cs="Arial"/>
          <w:color w:val="000000"/>
        </w:rPr>
        <w:t xml:space="preserve">Għal prodotti li jikkonsistu jew li fihom ġie/ġew inkorporat/i mikroorganiżmu/i (batterji) li għaliħ/għalihom hemm effett ta’ fertilizzant speċifikat, jiġi stabbilit antibijogramma b’referenza għall-gwida tal-EFSA </w:t>
      </w:r>
      <w:r w:rsidR="00DA0D8C">
        <w:rPr>
          <w:rFonts w:ascii="Arial" w:hAnsi="Arial" w:cs="Arial"/>
          <w:color w:val="000000"/>
        </w:rPr>
        <w:t xml:space="preserve">(1) </w:t>
      </w:r>
      <w:r w:rsidRPr="00D46EEB">
        <w:rPr>
          <w:rFonts w:ascii="Arial" w:hAnsi="Arial" w:cs="Arial"/>
          <w:color w:val="000000"/>
        </w:rPr>
        <w:t>u l-klassijiet ta’ antibijotiċi definiti mid-WHO</w:t>
      </w:r>
      <w:r w:rsidR="00DA0D8C">
        <w:rPr>
          <w:rFonts w:ascii="Arial" w:hAnsi="Arial" w:cs="Arial"/>
          <w:color w:val="000000"/>
        </w:rPr>
        <w:t xml:space="preserve"> (2).</w:t>
      </w:r>
    </w:p>
    <w:p w:rsidR="00DA0D8C" w:rsidRDefault="00DA0D8C" w:rsidP="00632EA4">
      <w:pPr>
        <w:pStyle w:val="Header"/>
        <w:jc w:val="both"/>
        <w:rPr>
          <w:rFonts w:ascii="Arial" w:hAnsi="Arial" w:cs="Arial"/>
          <w:color w:val="000000"/>
        </w:rPr>
      </w:pPr>
    </w:p>
    <w:p w:rsidR="00DA0D8C" w:rsidRDefault="00DA0D8C" w:rsidP="00DA0D8C">
      <w:pPr>
        <w:pStyle w:val="Header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(1) </w:t>
      </w:r>
      <w:r w:rsidRPr="00DA0D8C">
        <w:rPr>
          <w:rFonts w:ascii="Arial" w:hAnsi="Arial" w:cs="Arial"/>
          <w:color w:val="000000"/>
        </w:rPr>
        <w:t>Guidance on microorganisms used as feed additives or as production organisms, Table 2 (EFSA)</w:t>
      </w:r>
    </w:p>
    <w:p w:rsidR="00DA0D8C" w:rsidRDefault="00DA0D8C" w:rsidP="00DA0D8C">
      <w:pPr>
        <w:pStyle w:val="Header"/>
        <w:jc w:val="both"/>
        <w:rPr>
          <w:rFonts w:ascii="Arial" w:hAnsi="Arial" w:cs="Arial"/>
          <w:color w:val="000000"/>
        </w:rPr>
      </w:pPr>
    </w:p>
    <w:p w:rsidR="00DA0D8C" w:rsidRPr="00D46EEB" w:rsidRDefault="00DA0D8C" w:rsidP="00DA0D8C">
      <w:pPr>
        <w:pStyle w:val="Header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</w:rPr>
        <w:t xml:space="preserve">(2) </w:t>
      </w:r>
      <w:r w:rsidRPr="00DA0D8C">
        <w:rPr>
          <w:rFonts w:ascii="Arial" w:hAnsi="Arial" w:cs="Arial"/>
          <w:color w:val="000000"/>
        </w:rPr>
        <w:t>WHO List of Essential Medicines (OMS)</w:t>
      </w:r>
      <w:r w:rsidR="002A16CE">
        <w:rPr>
          <w:rFonts w:ascii="Arial" w:hAnsi="Arial" w:cs="Arial"/>
          <w:color w:val="000000"/>
          <w:lang w:val="en-GB"/>
        </w:rPr>
        <w:t>.</w:t>
      </w:r>
    </w:p>
    <w:p w:rsidR="00DA0D8C" w:rsidRDefault="00DA0D8C" w:rsidP="00632EA4">
      <w:pPr>
        <w:pStyle w:val="Header"/>
        <w:jc w:val="both"/>
        <w:rPr>
          <w:rFonts w:ascii="Arial" w:hAnsi="Arial" w:cs="Arial"/>
          <w:color w:val="000000"/>
        </w:rPr>
      </w:pPr>
    </w:p>
    <w:p w:rsidR="00363C38" w:rsidRPr="00EE53D8" w:rsidRDefault="002A16CE" w:rsidP="00632EA4">
      <w:pPr>
        <w:pStyle w:val="Header"/>
        <w:jc w:val="both"/>
        <w:rPr>
          <w:rFonts w:ascii="Arial" w:hAnsi="Arial" w:cs="Arial"/>
          <w:color w:val="000000"/>
        </w:rPr>
      </w:pPr>
      <w:r w:rsidRPr="00EE53D8">
        <w:rPr>
          <w:rFonts w:ascii="Arial" w:hAnsi="Arial" w:cs="Arial"/>
          <w:color w:val="000000"/>
        </w:rPr>
        <w:t>Mag</w:t>
      </w:r>
      <w:r>
        <w:rPr>
          <w:rFonts w:ascii="Arial" w:hAnsi="Arial" w:cs="Arial"/>
          <w:color w:val="000000"/>
        </w:rPr>
        <w:t>ħ</w:t>
      </w:r>
      <w:r w:rsidRPr="00EE53D8">
        <w:rPr>
          <w:rFonts w:ascii="Arial" w:hAnsi="Arial" w:cs="Arial"/>
          <w:color w:val="000000"/>
        </w:rPr>
        <w:t>mul fl-1 ta’ April 2020.</w:t>
      </w:r>
    </w:p>
    <w:p w:rsidR="002A16CE" w:rsidRPr="00EE53D8" w:rsidRDefault="002A16CE" w:rsidP="00632EA4">
      <w:pPr>
        <w:pStyle w:val="Header"/>
        <w:jc w:val="both"/>
        <w:rPr>
          <w:rFonts w:ascii="Arial" w:hAnsi="Arial" w:cs="Arial"/>
          <w:color w:val="000000"/>
        </w:rPr>
      </w:pPr>
    </w:p>
    <w:p w:rsidR="00DA0D8C" w:rsidRPr="001F4DE1" w:rsidRDefault="00DA0D8C" w:rsidP="00D46EEB">
      <w:pPr>
        <w:pStyle w:val="Textbody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Għall-Ministru u b’delega: </w:t>
      </w:r>
      <w:r>
        <w:rPr>
          <w:rFonts w:ascii="Arial" w:hAnsi="Arial" w:cs="Arial"/>
        </w:rPr>
        <w:br/>
        <w:t>Il</w:t>
      </w:r>
      <w:r w:rsidRPr="001F4DE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Viċi </w:t>
      </w:r>
      <w:r w:rsidRPr="001F4DE1">
        <w:rPr>
          <w:rFonts w:ascii="Arial" w:hAnsi="Arial" w:cs="Arial"/>
        </w:rPr>
        <w:t xml:space="preserve">Direttur Ġenerali tal-Ikel, </w:t>
      </w:r>
      <w:r w:rsidRPr="001F4DE1">
        <w:rPr>
          <w:rFonts w:ascii="Arial" w:hAnsi="Arial" w:cs="Arial"/>
        </w:rPr>
        <w:br/>
      </w:r>
      <w:r w:rsidRPr="00D46EEB">
        <w:rPr>
          <w:rFonts w:ascii="Arial" w:hAnsi="Arial" w:cs="Arial"/>
          <w:lang w:val="es-ES_tradnl"/>
        </w:rPr>
        <w:t>L. Evain</w:t>
      </w:r>
    </w:p>
    <w:p w:rsidR="00DA0D8C" w:rsidRPr="00D46EEB" w:rsidRDefault="00DA0D8C" w:rsidP="00632EA4">
      <w:pPr>
        <w:pStyle w:val="Header"/>
        <w:jc w:val="both"/>
        <w:rPr>
          <w:rFonts w:ascii="Arial" w:hAnsi="Arial" w:cs="Arial"/>
          <w:color w:val="000000"/>
        </w:rPr>
      </w:pPr>
    </w:p>
    <w:sectPr w:rsidR="00DA0D8C" w:rsidRPr="00D46EEB">
      <w:pgSz w:w="11906" w:h="16838"/>
      <w:pgMar w:top="851" w:right="1418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78C" w:rsidRDefault="0058278C">
      <w:pPr>
        <w:rPr>
          <w:rFonts w:hint="eastAsia"/>
        </w:rPr>
      </w:pPr>
      <w:r>
        <w:separator/>
      </w:r>
    </w:p>
  </w:endnote>
  <w:endnote w:type="continuationSeparator" w:id="0">
    <w:p w:rsidR="0058278C" w:rsidRDefault="005827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78C" w:rsidRDefault="0058278C">
      <w:pPr>
        <w:rPr>
          <w:rFonts w:hint="eastAsia"/>
        </w:rPr>
      </w:pPr>
      <w:r>
        <w:separator/>
      </w:r>
    </w:p>
  </w:footnote>
  <w:footnote w:type="continuationSeparator" w:id="0">
    <w:p w:rsidR="0058278C" w:rsidRDefault="0058278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Puce2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pStyle w:val="Puce1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eastAsia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544"/>
    <w:rsid w:val="00031562"/>
    <w:rsid w:val="000556E1"/>
    <w:rsid w:val="00096781"/>
    <w:rsid w:val="00156772"/>
    <w:rsid w:val="002A16CE"/>
    <w:rsid w:val="002C7EEA"/>
    <w:rsid w:val="00363C38"/>
    <w:rsid w:val="00364377"/>
    <w:rsid w:val="003A3CBE"/>
    <w:rsid w:val="003F35BB"/>
    <w:rsid w:val="00407DEB"/>
    <w:rsid w:val="00501E06"/>
    <w:rsid w:val="00511BFF"/>
    <w:rsid w:val="00515B14"/>
    <w:rsid w:val="0058278C"/>
    <w:rsid w:val="00632EA4"/>
    <w:rsid w:val="006766E0"/>
    <w:rsid w:val="00695EFA"/>
    <w:rsid w:val="008D39F8"/>
    <w:rsid w:val="0091289F"/>
    <w:rsid w:val="00997DDF"/>
    <w:rsid w:val="009D474A"/>
    <w:rsid w:val="00C22F98"/>
    <w:rsid w:val="00D3111F"/>
    <w:rsid w:val="00D46EEB"/>
    <w:rsid w:val="00D57BA2"/>
    <w:rsid w:val="00D81F93"/>
    <w:rsid w:val="00DA0D8C"/>
    <w:rsid w:val="00E464B1"/>
    <w:rsid w:val="00EA753D"/>
    <w:rsid w:val="00EE53D8"/>
    <w:rsid w:val="00F137A0"/>
    <w:rsid w:val="00F35544"/>
    <w:rsid w:val="00F6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1CEBC399-4996-4ACA-9CC6-CF6EC532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val="mt-MT" w:eastAsia="mt-MT" w:bidi="mt-MT"/>
    </w:rPr>
  </w:style>
  <w:style w:type="paragraph" w:styleId="Heading1">
    <w:name w:val="heading 1"/>
    <w:basedOn w:val="Standard"/>
    <w:next w:val="Standard"/>
    <w:qFormat/>
    <w:pPr>
      <w:keepNext/>
      <w:numPr>
        <w:numId w:val="1"/>
      </w:numPr>
      <w:spacing w:before="240"/>
      <w:jc w:val="center"/>
      <w:outlineLvl w:val="0"/>
    </w:pPr>
    <w:rPr>
      <w:rFonts w:cs="Arial"/>
      <w:bCs/>
      <w:caps/>
    </w:rPr>
  </w:style>
  <w:style w:type="paragraph" w:styleId="Heading2">
    <w:name w:val="heading 2"/>
    <w:basedOn w:val="Standard"/>
    <w:next w:val="Standard"/>
    <w:qFormat/>
    <w:pPr>
      <w:keepNext/>
      <w:numPr>
        <w:ilvl w:val="1"/>
        <w:numId w:val="1"/>
      </w:numPr>
      <w:spacing w:before="240"/>
      <w:jc w:val="center"/>
      <w:outlineLvl w:val="1"/>
    </w:pPr>
    <w:rPr>
      <w:bCs/>
      <w:iCs/>
      <w:smallCaps/>
    </w:rPr>
  </w:style>
  <w:style w:type="paragraph" w:styleId="Heading3">
    <w:name w:val="heading 3"/>
    <w:basedOn w:val="Standard"/>
    <w:next w:val="Standard"/>
    <w:qFormat/>
    <w:pPr>
      <w:keepNext/>
      <w:numPr>
        <w:ilvl w:val="2"/>
        <w:numId w:val="1"/>
      </w:numPr>
      <w:spacing w:before="120"/>
      <w:jc w:val="center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pPr>
      <w:keepNext/>
      <w:ind w:left="72" w:right="51"/>
      <w:outlineLvl w:val="3"/>
    </w:pPr>
    <w:rPr>
      <w:rFonts w:ascii="Times New Roman" w:hAnsi="Times New Roman" w:cs="Times New Roman"/>
      <w:b/>
    </w:rPr>
  </w:style>
  <w:style w:type="paragraph" w:styleId="Heading7">
    <w:name w:val="heading 7"/>
    <w:basedOn w:val="Standard"/>
    <w:next w:val="Standard"/>
    <w:qFormat/>
    <w:pPr>
      <w:widowControl w:val="0"/>
      <w:numPr>
        <w:ilvl w:val="6"/>
        <w:numId w:val="1"/>
      </w:numPr>
      <w:spacing w:before="240" w:after="60"/>
      <w:outlineLvl w:val="6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 w:hint="default"/>
      <w:lang w:eastAsia="mt-MT"/>
    </w:rPr>
  </w:style>
  <w:style w:type="character" w:customStyle="1" w:styleId="Policepardfaut">
    <w:name w:val="Police par défaut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Wingdings" w:hAnsi="Wingdings" w:cs="Wingdings"/>
      <w:shd w:val="clear" w:color="auto" w:fill="FFFF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Wingdings" w:hAnsi="Wingdings" w:cs="Wingdings"/>
      <w:shd w:val="clear" w:color="auto" w:fill="FFFF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" w:hAnsi="Wingdings" w:cs="Wingdings"/>
      <w:shd w:val="clear" w:color="auto" w:fill="FFFF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Wingdings" w:hAnsi="Wingdings" w:cs="Wingdings"/>
      <w:shd w:val="clear" w:color="auto" w:fill="FFFF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Wingdings" w:hAnsi="Wingdings" w:cs="Wingdings"/>
      <w:shd w:val="clear" w:color="auto" w:fill="FFFF0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Policepardfaut1">
    <w:name w:val="Police par défaut1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" w:hAnsi="Wingdings" w:cs="Wingdings"/>
      <w:shd w:val="clear" w:color="auto" w:fill="FFFF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Wingdings" w:hAnsi="Wingdings" w:cs="Wingdings"/>
      <w:shd w:val="clear" w:color="auto" w:fill="FFFF0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/>
      <w:shd w:val="clear" w:color="auto" w:fill="FFFF0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Wingdings" w:hAnsi="Wingdings" w:cs="Wingdings"/>
      <w:shd w:val="clear" w:color="auto" w:fill="FFFF0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/>
      <w:shd w:val="clear" w:color="auto" w:fill="FFFF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Wingdings"/>
      <w:shd w:val="clear" w:color="auto" w:fill="FFFF0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Wingdings" w:hAnsi="Wingdings" w:cs="Wingdings"/>
      <w:shd w:val="clear" w:color="auto" w:fill="FFFF0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-Policepardfaut">
    <w:name w:val="WW-Police par défaut"/>
  </w:style>
  <w:style w:type="character" w:customStyle="1" w:styleId="SNTimbreCar">
    <w:name w:val="SNTimbre Car"/>
    <w:rPr>
      <w:rFonts w:eastAsia="Lucida Sans Unicode"/>
      <w:sz w:val="24"/>
      <w:szCs w:val="24"/>
      <w:lang w:val="mt-MT" w:bidi="mt-MT"/>
    </w:rPr>
  </w:style>
  <w:style w:type="character" w:customStyle="1" w:styleId="SNDatearrtCar">
    <w:name w:val="SNDate arrêté Car"/>
    <w:rPr>
      <w:sz w:val="24"/>
      <w:szCs w:val="24"/>
      <w:lang w:val="mt-MT" w:bidi="mt-MT"/>
    </w:rPr>
  </w:style>
  <w:style w:type="character" w:customStyle="1" w:styleId="SNArticleCar">
    <w:name w:val="SNArticle Car"/>
    <w:rPr>
      <w:b/>
      <w:sz w:val="24"/>
      <w:szCs w:val="24"/>
      <w:lang w:val="mt-MT" w:bidi="mt-MT"/>
    </w:rPr>
  </w:style>
  <w:style w:type="character" w:customStyle="1" w:styleId="En-tteCar">
    <w:name w:val="En-tête Car"/>
    <w:rPr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basedOn w:val="WW-Policepardfaut"/>
  </w:style>
  <w:style w:type="character" w:customStyle="1" w:styleId="ObjetducommentaireCar">
    <w:name w:val="Objet du commentaire Car"/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pple-converted-space">
    <w:name w:val="apple-converted-space"/>
  </w:style>
  <w:style w:type="character" w:customStyle="1" w:styleId="Retraitcorpsdetexte3Car">
    <w:name w:val="Retrait corps de texte 3 Car"/>
    <w:rPr>
      <w:sz w:val="16"/>
      <w:szCs w:val="16"/>
    </w:rPr>
  </w:style>
  <w:style w:type="character" w:customStyle="1" w:styleId="Titre7Car">
    <w:name w:val="Titre 7 Car"/>
    <w:rPr>
      <w:rFonts w:ascii="Calibri" w:hAnsi="Calibri" w:cs="Calibri"/>
      <w:kern w:val="1"/>
      <w:sz w:val="24"/>
      <w:szCs w:val="24"/>
    </w:rPr>
  </w:style>
  <w:style w:type="character" w:customStyle="1" w:styleId="NotedebasdepageCar">
    <w:name w:val="Note de bas de page Car"/>
    <w:rPr>
      <w:rFonts w:ascii="Liberation Sans" w:eastAsia="Lucida Sans Unicode" w:hAnsi="Liberation Sans" w:cs="Tahoma"/>
      <w:kern w:val="1"/>
    </w:rPr>
  </w:style>
  <w:style w:type="character" w:customStyle="1" w:styleId="FootnoteSymbol">
    <w:name w:val="Footnote Symbol"/>
    <w:rPr>
      <w:vertAlign w:val="superscript"/>
    </w:rPr>
  </w:style>
  <w:style w:type="character" w:customStyle="1" w:styleId="TitreCar">
    <w:name w:val="Titre Car"/>
    <w:rPr>
      <w:rFonts w:ascii="Arial" w:hAnsi="Arial" w:cs="Arial"/>
      <w:b/>
      <w:bCs/>
      <w:i/>
      <w:iCs/>
      <w:sz w:val="28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sz w:val="24"/>
      <w:szCs w:val="24"/>
    </w:rPr>
  </w:style>
  <w:style w:type="character" w:customStyle="1" w:styleId="tgc">
    <w:name w:val="_tgc"/>
  </w:style>
  <w:style w:type="character" w:customStyle="1" w:styleId="surlignage">
    <w:name w:val="surlignage"/>
  </w:style>
  <w:style w:type="character" w:customStyle="1" w:styleId="CommentaireCar1">
    <w:name w:val="Commentaire Car1"/>
  </w:style>
  <w:style w:type="character" w:styleId="Hyperlink">
    <w:name w:val="Hyperlink"/>
    <w:rPr>
      <w:color w:val="000080"/>
      <w:u w:val="single"/>
    </w:rPr>
  </w:style>
  <w:style w:type="character" w:customStyle="1" w:styleId="NotedebasdepageCar1">
    <w:name w:val="Note de bas de page Car1"/>
    <w:rPr>
      <w:rFonts w:ascii="Liberation Serif" w:eastAsia="SimSun" w:hAnsi="Liberation Serif" w:cs="Mangal"/>
      <w:kern w:val="1"/>
      <w:szCs w:val="18"/>
      <w:lang w:eastAsia="mt-MT" w:bidi="mt-MT"/>
    </w:rPr>
  </w:style>
  <w:style w:type="character" w:customStyle="1" w:styleId="Caractresdenotedebasdepage">
    <w:name w:val="Caractères de note de bas de page"/>
    <w:rPr>
      <w:vertAlign w:val="superscript"/>
    </w:rPr>
  </w:style>
  <w:style w:type="character" w:customStyle="1" w:styleId="Appelnotedebasdep">
    <w:name w:val="Appel note de bas de p."/>
    <w:rPr>
      <w:vertAlign w:val="superscript"/>
    </w:rPr>
  </w:style>
  <w:style w:type="character" w:customStyle="1" w:styleId="Caractresdenotedefin">
    <w:name w:val="Caractères de note de fin"/>
    <w:rPr>
      <w:vertAlign w:val="superscript"/>
    </w:rPr>
  </w:style>
  <w:style w:type="character" w:customStyle="1" w:styleId="WW-Caractresdenotedefin">
    <w:name w:val="WW-Caractères de note de fin"/>
  </w:style>
  <w:style w:type="character" w:customStyle="1" w:styleId="Appeldenotedefin">
    <w:name w:val="Appel de note de fin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Titre">
    <w:name w:val="Titre"/>
    <w:basedOn w:val="Titre1"/>
    <w:next w:val="BodyText"/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Textbody"/>
    <w:rPr>
      <w:rFonts w:ascii="Liberation Sans" w:hAnsi="Liberation Sans"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Liberation Sans" w:hAnsi="Liberation Sans"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Liberation Sans" w:hAnsi="Liberation Sans" w:cs="Mangal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val="mt-MT" w:eastAsia="mt-MT" w:bidi="mt-MT"/>
    </w:rPr>
  </w:style>
  <w:style w:type="paragraph" w:customStyle="1" w:styleId="Heading">
    <w:name w:val="Heading"/>
    <w:basedOn w:val="Standard"/>
    <w:next w:val="Subtitle"/>
    <w:pPr>
      <w:spacing w:after="240"/>
      <w:jc w:val="center"/>
    </w:pPr>
    <w:rPr>
      <w:rFonts w:ascii="Arial" w:hAnsi="Arial" w:cs="Arial"/>
      <w:b/>
      <w:bCs/>
      <w:i/>
      <w:iCs/>
      <w:sz w:val="28"/>
    </w:rPr>
  </w:style>
  <w:style w:type="paragraph" w:customStyle="1" w:styleId="Titre1">
    <w:name w:val="Titre1"/>
    <w:basedOn w:val="Heading"/>
    <w:next w:val="Textbody"/>
    <w:rPr>
      <w:sz w:val="56"/>
      <w:szCs w:val="56"/>
    </w:rPr>
  </w:style>
  <w:style w:type="paragraph" w:customStyle="1" w:styleId="Textbody">
    <w:name w:val="Text body"/>
    <w:basedOn w:val="Standard"/>
    <w:pPr>
      <w:spacing w:after="120"/>
      <w:jc w:val="both"/>
    </w:pPr>
  </w:style>
  <w:style w:type="paragraph" w:customStyle="1" w:styleId="SNREPUBLIQUE">
    <w:name w:val="SNREPUBLIQUE"/>
    <w:basedOn w:val="Standard"/>
    <w:pPr>
      <w:jc w:val="center"/>
    </w:pPr>
    <w:rPr>
      <w:b/>
      <w:bCs/>
      <w:szCs w:val="20"/>
    </w:rPr>
  </w:style>
  <w:style w:type="paragraph" w:customStyle="1" w:styleId="SNSignature">
    <w:name w:val="SNSignature"/>
    <w:basedOn w:val="Standard"/>
    <w:pPr>
      <w:ind w:firstLine="720"/>
    </w:pPr>
  </w:style>
  <w:style w:type="paragraph" w:customStyle="1" w:styleId="puce10">
    <w:name w:val="puce1"/>
    <w:basedOn w:val="Standard"/>
    <w:pPr>
      <w:widowControl w:val="0"/>
      <w:spacing w:before="240"/>
      <w:ind w:left="1429" w:hanging="360"/>
    </w:pPr>
    <w:rPr>
      <w:rFonts w:eastAsia="Lucida Sans Unicode"/>
    </w:rPr>
  </w:style>
  <w:style w:type="paragraph" w:customStyle="1" w:styleId="puce20">
    <w:name w:val="puce2"/>
    <w:basedOn w:val="Standard"/>
    <w:pPr>
      <w:widowControl w:val="0"/>
      <w:spacing w:before="240"/>
      <w:ind w:left="2149" w:hanging="360"/>
    </w:pPr>
    <w:rPr>
      <w:rFonts w:eastAsia="Lucida Sans Unicode"/>
    </w:rPr>
  </w:style>
  <w:style w:type="paragraph" w:customStyle="1" w:styleId="puce3">
    <w:name w:val="puce3"/>
    <w:basedOn w:val="Standard"/>
    <w:pPr>
      <w:widowControl w:val="0"/>
      <w:spacing w:before="240"/>
      <w:ind w:left="2869" w:hanging="360"/>
    </w:pPr>
    <w:rPr>
      <w:rFonts w:eastAsia="Lucida Sans Unicode"/>
    </w:rPr>
  </w:style>
  <w:style w:type="paragraph" w:customStyle="1" w:styleId="num1">
    <w:name w:val="num1"/>
    <w:basedOn w:val="Standard"/>
    <w:pPr>
      <w:widowControl w:val="0"/>
      <w:spacing w:before="240"/>
      <w:ind w:left="1429" w:hanging="360"/>
    </w:pPr>
    <w:rPr>
      <w:rFonts w:eastAsia="Lucida Sans Unicode"/>
    </w:rPr>
  </w:style>
  <w:style w:type="paragraph" w:customStyle="1" w:styleId="num2">
    <w:name w:val="num2"/>
    <w:basedOn w:val="Standard"/>
    <w:pPr>
      <w:widowControl w:val="0"/>
      <w:spacing w:before="240"/>
      <w:ind w:left="2149" w:hanging="360"/>
    </w:pPr>
    <w:rPr>
      <w:rFonts w:eastAsia="Lucida Sans Unicode"/>
    </w:rPr>
  </w:style>
  <w:style w:type="paragraph" w:customStyle="1" w:styleId="num3">
    <w:name w:val="num3"/>
    <w:basedOn w:val="Standard"/>
    <w:pPr>
      <w:widowControl w:val="0"/>
      <w:spacing w:before="240"/>
      <w:ind w:left="2869" w:hanging="180"/>
    </w:pPr>
    <w:rPr>
      <w:rFonts w:eastAsia="Lucida Sans Unicode"/>
    </w:rPr>
  </w:style>
  <w:style w:type="paragraph" w:customStyle="1" w:styleId="Direction">
    <w:name w:val="Direction"/>
    <w:basedOn w:val="Standard"/>
    <w:pPr>
      <w:spacing w:before="720"/>
      <w:jc w:val="center"/>
    </w:pPr>
    <w:rPr>
      <w:b/>
    </w:rPr>
  </w:style>
  <w:style w:type="paragraph" w:customStyle="1" w:styleId="SNConsultation">
    <w:name w:val="SNConsultation"/>
    <w:basedOn w:val="Standard"/>
    <w:pPr>
      <w:widowControl w:val="0"/>
      <w:spacing w:before="120" w:after="120"/>
      <w:ind w:firstLine="709"/>
      <w:jc w:val="both"/>
    </w:pPr>
    <w:rPr>
      <w:rFonts w:eastAsia="Lucida Sans Unicode"/>
    </w:rPr>
  </w:style>
  <w:style w:type="paragraph" w:customStyle="1" w:styleId="SNNature">
    <w:name w:val="SNNature"/>
    <w:basedOn w:val="Standard"/>
    <w:next w:val="SNtitre"/>
    <w:pPr>
      <w:widowControl w:val="0"/>
      <w:suppressLineNumbers/>
      <w:spacing w:before="720" w:after="120"/>
      <w:jc w:val="center"/>
    </w:pPr>
    <w:rPr>
      <w:rFonts w:eastAsia="Lucida Sans Unicode"/>
      <w:b/>
      <w:bCs/>
    </w:rPr>
  </w:style>
  <w:style w:type="paragraph" w:customStyle="1" w:styleId="SNtitre">
    <w:name w:val="SNtitre"/>
    <w:basedOn w:val="Standard"/>
    <w:next w:val="SNNORCentr"/>
    <w:pPr>
      <w:widowControl w:val="0"/>
      <w:suppressLineNumbers/>
      <w:spacing w:after="360"/>
      <w:jc w:val="center"/>
    </w:pPr>
    <w:rPr>
      <w:rFonts w:eastAsia="Lucida Sans Unicode"/>
      <w:b/>
    </w:rPr>
  </w:style>
  <w:style w:type="paragraph" w:customStyle="1" w:styleId="SNNORCentr">
    <w:name w:val="SNNOR+Centré"/>
    <w:next w:val="SNAutorit"/>
    <w:pPr>
      <w:suppressAutoHyphens/>
      <w:jc w:val="center"/>
      <w:textAlignment w:val="baseline"/>
    </w:pPr>
    <w:rPr>
      <w:bCs/>
      <w:kern w:val="1"/>
      <w:sz w:val="24"/>
      <w:lang w:val="mt-MT" w:eastAsia="mt-MT" w:bidi="mt-MT"/>
    </w:rPr>
  </w:style>
  <w:style w:type="paragraph" w:customStyle="1" w:styleId="SNAutorit">
    <w:name w:val="SNAutorité"/>
    <w:basedOn w:val="Standard"/>
    <w:pPr>
      <w:spacing w:before="720" w:after="240"/>
      <w:ind w:firstLine="720"/>
    </w:pPr>
    <w:rPr>
      <w:b/>
    </w:rPr>
  </w:style>
  <w:style w:type="paragraph" w:customStyle="1" w:styleId="SNTimbre">
    <w:name w:val="SNTimbre"/>
    <w:basedOn w:val="Standard"/>
    <w:pPr>
      <w:widowControl w:val="0"/>
      <w:snapToGrid w:val="0"/>
      <w:spacing w:before="120"/>
      <w:jc w:val="center"/>
    </w:pPr>
    <w:rPr>
      <w:rFonts w:eastAsia="Lucida Sans Unicode"/>
    </w:rPr>
  </w:style>
  <w:style w:type="paragraph" w:customStyle="1" w:styleId="SNRapport">
    <w:name w:val="SNRapport"/>
    <w:basedOn w:val="Standard"/>
    <w:pPr>
      <w:spacing w:before="240" w:after="120"/>
      <w:ind w:firstLine="720"/>
    </w:pPr>
  </w:style>
  <w:style w:type="paragraph" w:customStyle="1" w:styleId="SNVisa">
    <w:name w:val="SNVisa"/>
    <w:basedOn w:val="Standard"/>
    <w:pPr>
      <w:spacing w:before="120" w:after="120"/>
      <w:ind w:firstLine="720"/>
    </w:pPr>
  </w:style>
  <w:style w:type="paragraph" w:customStyle="1" w:styleId="SNDatearrt">
    <w:name w:val="SNDate arrêté"/>
    <w:basedOn w:val="Standard"/>
    <w:next w:val="SNContreseing"/>
    <w:pPr>
      <w:spacing w:before="480" w:after="1680"/>
      <w:ind w:firstLine="720"/>
    </w:pPr>
  </w:style>
  <w:style w:type="paragraph" w:customStyle="1" w:styleId="SNContreseing">
    <w:name w:val="SNContreseing"/>
    <w:basedOn w:val="Standard"/>
    <w:next w:val="Standard"/>
    <w:pPr>
      <w:spacing w:before="480"/>
      <w:ind w:firstLine="720"/>
    </w:pPr>
  </w:style>
  <w:style w:type="paragraph" w:customStyle="1" w:styleId="SNActe">
    <w:name w:val="SNActe"/>
    <w:basedOn w:val="Standard"/>
    <w:pPr>
      <w:spacing w:before="480" w:after="360"/>
      <w:jc w:val="center"/>
    </w:pPr>
    <w:rPr>
      <w:b/>
    </w:rPr>
  </w:style>
  <w:style w:type="paragraph" w:customStyle="1" w:styleId="SNArticle">
    <w:name w:val="SNArticle"/>
    <w:basedOn w:val="Standard"/>
    <w:next w:val="Textbody"/>
    <w:pPr>
      <w:spacing w:before="240" w:after="240"/>
      <w:jc w:val="center"/>
    </w:pPr>
    <w:rPr>
      <w:b/>
    </w:rPr>
  </w:style>
  <w:style w:type="paragraph" w:customStyle="1" w:styleId="SNConsidrant">
    <w:name w:val="SNConsidérant"/>
    <w:basedOn w:val="Standard"/>
    <w:pPr>
      <w:ind w:firstLine="720"/>
    </w:pPr>
  </w:style>
  <w:style w:type="paragraph" w:customStyle="1" w:styleId="SNConsultationCE">
    <w:name w:val="SNConsultationCE"/>
    <w:basedOn w:val="SNConsultation"/>
  </w:style>
  <w:style w:type="paragraph" w:customStyle="1" w:styleId="SNConsultationCM">
    <w:name w:val="SNConsultationCM"/>
    <w:basedOn w:val="SNConsultation"/>
  </w:style>
  <w:style w:type="paragraph" w:customStyle="1" w:styleId="SNDirection">
    <w:name w:val="SNDirection"/>
    <w:basedOn w:val="Standard"/>
    <w:pPr>
      <w:spacing w:before="720"/>
      <w:jc w:val="center"/>
    </w:pPr>
    <w:rPr>
      <w:b/>
    </w:rPr>
  </w:style>
  <w:style w:type="paragraph" w:customStyle="1" w:styleId="SNIntitul">
    <w:name w:val="SNIntitulé"/>
    <w:basedOn w:val="Standard"/>
    <w:pPr>
      <w:jc w:val="center"/>
    </w:pPr>
  </w:style>
  <w:style w:type="paragraph" w:customStyle="1" w:styleId="Titre1objet">
    <w:name w:val="Titre 1 objet"/>
    <w:basedOn w:val="Heading1"/>
    <w:next w:val="Standard"/>
    <w:pPr>
      <w:numPr>
        <w:numId w:val="0"/>
      </w:numPr>
      <w:spacing w:before="0" w:after="120"/>
    </w:pPr>
    <w:rPr>
      <w:b/>
    </w:rPr>
  </w:style>
  <w:style w:type="paragraph" w:customStyle="1" w:styleId="SNExcution">
    <w:name w:val="SNExécution"/>
    <w:basedOn w:val="Standard"/>
  </w:style>
  <w:style w:type="paragraph" w:customStyle="1" w:styleId="SNLibell">
    <w:name w:val="SNLibellé"/>
    <w:basedOn w:val="Standard"/>
  </w:style>
  <w:style w:type="paragraph" w:customStyle="1" w:styleId="SNRfrence">
    <w:name w:val="SNRéférence"/>
    <w:basedOn w:val="Standard"/>
  </w:style>
  <w:style w:type="paragraph" w:customStyle="1" w:styleId="Textedebulles">
    <w:name w:val="Texte de bulles"/>
    <w:basedOn w:val="Standard"/>
    <w:rPr>
      <w:rFonts w:ascii="Tahoma" w:hAnsi="Tahoma" w:cs="Tahoma"/>
      <w:sz w:val="16"/>
      <w:szCs w:val="16"/>
    </w:rPr>
  </w:style>
  <w:style w:type="paragraph" w:customStyle="1" w:styleId="Titre2objet">
    <w:name w:val="Titre 2 objet"/>
    <w:basedOn w:val="Heading2"/>
    <w:pPr>
      <w:numPr>
        <w:ilvl w:val="0"/>
        <w:numId w:val="0"/>
      </w:numPr>
      <w:spacing w:before="0" w:after="120"/>
    </w:pPr>
    <w:rPr>
      <w:b/>
    </w:rPr>
  </w:style>
  <w:style w:type="paragraph" w:customStyle="1" w:styleId="Style1">
    <w:name w:val="Style1"/>
    <w:basedOn w:val="Heading3"/>
    <w:next w:val="Standard"/>
    <w:pPr>
      <w:numPr>
        <w:ilvl w:val="0"/>
        <w:numId w:val="0"/>
      </w:numPr>
      <w:spacing w:before="0" w:after="120"/>
    </w:pPr>
    <w:rPr>
      <w:b/>
    </w:rPr>
  </w:style>
  <w:style w:type="paragraph" w:customStyle="1" w:styleId="Titre3objet">
    <w:name w:val="Titre 3 objet"/>
    <w:basedOn w:val="Heading3"/>
    <w:next w:val="Standard"/>
    <w:pPr>
      <w:numPr>
        <w:ilvl w:val="0"/>
        <w:numId w:val="0"/>
      </w:numPr>
      <w:spacing w:before="0" w:after="120"/>
    </w:pPr>
    <w:rPr>
      <w:b/>
    </w:rPr>
  </w:style>
  <w:style w:type="paragraph" w:styleId="Header">
    <w:name w:val="header"/>
    <w:basedOn w:val="Standard"/>
  </w:style>
  <w:style w:type="paragraph" w:customStyle="1" w:styleId="Default">
    <w:name w:val="Default"/>
    <w:pPr>
      <w:suppressAutoHyphens/>
      <w:autoSpaceDE w:val="0"/>
      <w:textAlignment w:val="baseline"/>
    </w:pPr>
    <w:rPr>
      <w:color w:val="000000"/>
      <w:kern w:val="1"/>
      <w:sz w:val="24"/>
      <w:szCs w:val="24"/>
      <w:lang w:val="mt-MT" w:eastAsia="mt-MT" w:bidi="mt-MT"/>
    </w:rPr>
  </w:style>
  <w:style w:type="paragraph" w:customStyle="1" w:styleId="Commentaire1">
    <w:name w:val="Commentaire1"/>
    <w:basedOn w:val="Standard"/>
    <w:rPr>
      <w:sz w:val="20"/>
      <w:szCs w:val="20"/>
    </w:rPr>
  </w:style>
  <w:style w:type="paragraph" w:customStyle="1" w:styleId="Objetducommentaire">
    <w:name w:val="Objet du commentaire"/>
    <w:basedOn w:val="Commentaire1"/>
    <w:next w:val="Commentaire1"/>
    <w:rPr>
      <w:b/>
      <w:bCs/>
    </w:rPr>
  </w:style>
  <w:style w:type="paragraph" w:customStyle="1" w:styleId="Rvision">
    <w:name w:val="Révision"/>
    <w:pPr>
      <w:suppressAutoHyphens/>
      <w:textAlignment w:val="baseline"/>
    </w:pPr>
    <w:rPr>
      <w:kern w:val="1"/>
      <w:sz w:val="24"/>
      <w:szCs w:val="24"/>
      <w:lang w:val="mt-MT" w:eastAsia="mt-MT" w:bidi="mt-MT"/>
    </w:rPr>
  </w:style>
  <w:style w:type="paragraph" w:customStyle="1" w:styleId="Puce1">
    <w:name w:val="Puce1"/>
    <w:basedOn w:val="Standard"/>
    <w:pPr>
      <w:numPr>
        <w:numId w:val="3"/>
      </w:numPr>
      <w:jc w:val="both"/>
    </w:pPr>
  </w:style>
  <w:style w:type="paragraph" w:customStyle="1" w:styleId="Puce2">
    <w:name w:val="Puce2"/>
    <w:basedOn w:val="Standard"/>
    <w:pPr>
      <w:numPr>
        <w:numId w:val="2"/>
      </w:numPr>
      <w:jc w:val="both"/>
    </w:pPr>
  </w:style>
  <w:style w:type="paragraph" w:styleId="NormalWeb">
    <w:name w:val="Normal (Web)"/>
    <w:basedOn w:val="Standard"/>
    <w:pPr>
      <w:spacing w:before="280" w:after="280"/>
    </w:pPr>
  </w:style>
  <w:style w:type="paragraph" w:styleId="Footer">
    <w:name w:val="footer"/>
    <w:basedOn w:val="Standard"/>
  </w:style>
  <w:style w:type="paragraph" w:customStyle="1" w:styleId="Listenumros31">
    <w:name w:val="Liste à numéros 31"/>
    <w:basedOn w:val="Standard"/>
    <w:pPr>
      <w:ind w:left="926" w:hanging="360"/>
    </w:pPr>
    <w:rPr>
      <w:rFonts w:ascii="Times" w:hAnsi="Times" w:cs="Times"/>
      <w:szCs w:val="20"/>
    </w:rPr>
  </w:style>
  <w:style w:type="paragraph" w:customStyle="1" w:styleId="Retraitcorpsdetexte31">
    <w:name w:val="Retrait corps de texte 31"/>
    <w:basedOn w:val="Standard"/>
    <w:pPr>
      <w:spacing w:after="120"/>
      <w:ind w:left="283"/>
    </w:pPr>
    <w:rPr>
      <w:sz w:val="16"/>
      <w:szCs w:val="16"/>
    </w:rPr>
  </w:style>
  <w:style w:type="paragraph" w:customStyle="1" w:styleId="Footnote">
    <w:name w:val="Footnote"/>
    <w:basedOn w:val="Standard"/>
    <w:pPr>
      <w:widowControl w:val="0"/>
    </w:pPr>
    <w:rPr>
      <w:rFonts w:ascii="Liberation Sans" w:eastAsia="Lucida Sans Unicode" w:hAnsi="Liberation Sans" w:cs="Tahoma"/>
      <w:sz w:val="20"/>
      <w:szCs w:val="20"/>
    </w:rPr>
  </w:style>
  <w:style w:type="paragraph" w:styleId="Subtitle">
    <w:name w:val="Subtitle"/>
    <w:basedOn w:val="Standard"/>
    <w:next w:val="Standard"/>
    <w:qFormat/>
    <w:pPr>
      <w:spacing w:after="60"/>
      <w:jc w:val="center"/>
    </w:pPr>
    <w:rPr>
      <w:rFonts w:ascii="Cambria" w:hAnsi="Cambria"/>
    </w:rPr>
  </w:style>
  <w:style w:type="paragraph" w:customStyle="1" w:styleId="Paragraphedeliste">
    <w:name w:val="Paragraphe de liste"/>
    <w:basedOn w:val="Standard"/>
    <w:pPr>
      <w:spacing w:before="120" w:after="120" w:line="360" w:lineRule="auto"/>
      <w:ind w:left="720"/>
    </w:pPr>
    <w:rPr>
      <w:rFonts w:eastAsia="Calibri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WW-Titre">
    <w:name w:val="WW-Titre"/>
    <w:basedOn w:val="Titre1"/>
    <w:next w:val="BodyText"/>
  </w:style>
  <w:style w:type="paragraph" w:styleId="FootnoteText">
    <w:name w:val="footnote text"/>
    <w:basedOn w:val="Normal"/>
    <w:rPr>
      <w:sz w:val="20"/>
      <w:szCs w:val="18"/>
    </w:rPr>
  </w:style>
  <w:style w:type="paragraph" w:styleId="Title">
    <w:name w:val="Title"/>
    <w:basedOn w:val="Titre"/>
    <w:next w:val="BodyText"/>
    <w:qFormat/>
  </w:style>
  <w:style w:type="paragraph" w:styleId="PlainText">
    <w:name w:val="Plain Text"/>
    <w:basedOn w:val="Normal"/>
    <w:link w:val="PlainTextChar"/>
    <w:uiPriority w:val="99"/>
    <w:rsid w:val="00D3111F"/>
    <w:pPr>
      <w:widowControl/>
      <w:suppressAutoHyphens w:val="0"/>
      <w:textAlignment w:val="auto"/>
    </w:pPr>
    <w:rPr>
      <w:rFonts w:ascii="Calibri" w:eastAsia="Calibri" w:hAnsi="Calibri" w:cs="Times New Roman"/>
      <w:kern w:val="0"/>
      <w:sz w:val="22"/>
      <w:szCs w:val="22"/>
    </w:rPr>
  </w:style>
  <w:style w:type="character" w:customStyle="1" w:styleId="PlainTextChar">
    <w:name w:val="Plain Text Char"/>
    <w:link w:val="PlainText"/>
    <w:uiPriority w:val="99"/>
    <w:rsid w:val="00D3111F"/>
    <w:rPr>
      <w:rFonts w:ascii="Calibri" w:eastAsia="Calibri" w:hAnsi="Calibri"/>
      <w:sz w:val="22"/>
      <w:szCs w:val="22"/>
      <w:lang w:val="mt-MT" w:eastAsia="mt-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8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289F"/>
    <w:rPr>
      <w:rFonts w:ascii="Segoe UI" w:eastAsia="SimSun" w:hAnsi="Segoe UI" w:cs="Segoe UI"/>
      <w:kern w:val="1"/>
      <w:sz w:val="18"/>
      <w:szCs w:val="18"/>
      <w:lang w:val="mt-MT" w:eastAsia="mt-MT" w:bidi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44F02-3A01-4B1A-95B6-D23388CF4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Journal officiel de la République française - N° 142 du 18 juin 2017</vt:lpstr>
    </vt:vector>
  </TitlesOfParts>
  <Company>Microsoft</Company>
  <LinksUpToDate>false</LinksUpToDate>
  <CharactersWithSpaces>17531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officiel de la République française - N° 142 du 18 juin 2017</dc:title>
  <dc:subject>Lois et décrets</dc:subject>
  <dc:creator>Direction de l'information légale et administrative</dc:creator>
  <cp:keywords/>
  <dc:description/>
  <cp:lastModifiedBy>Liu, Lei</cp:lastModifiedBy>
  <cp:revision>5</cp:revision>
  <cp:lastPrinted>2017-06-30T16:40:00Z</cp:lastPrinted>
  <dcterms:created xsi:type="dcterms:W3CDTF">2020-10-09T02:11:00Z</dcterms:created>
  <dcterms:modified xsi:type="dcterms:W3CDTF">2020-10-09T02:36:00Z</dcterms:modified>
</cp:coreProperties>
</file>