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 xml:space="preserve">FRANCIA KÖZTÁRSASÁG</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color w:val="auto"/>
                <w:rFonts w:eastAsia="Lucida Sans Unicode"/>
              </w:rPr>
            </w:pPr>
            <w:r>
              <w:rPr>
                <w:color w:val="auto"/>
              </w:rPr>
              <w:t xml:space="preserve">Az Ökológiai Átállásért és a Területi Kohézióért Felelős Minisztérium</w:t>
            </w:r>
          </w:p>
          <w:p w14:paraId="1882E8BD" w14:textId="77777777" w:rsidR="00A857F7" w:rsidRPr="00A857F7" w:rsidRDefault="00A857F7" w:rsidP="00BF6E47">
            <w:pPr>
              <w:widowControl w:val="0"/>
              <w:snapToGrid w:val="0"/>
              <w:spacing w:before="120" w:line="276" w:lineRule="auto"/>
              <w:ind w:hanging="57"/>
              <w:jc w:val="center"/>
              <w:rPr>
                <w:color w:val="auto"/>
                <w:rFonts w:eastAsia="Lucida Sans Unicode"/>
              </w:rPr>
            </w:pPr>
            <w:r>
              <w:rPr>
                <w:color w:val="auto"/>
              </w:rPr>
              <w:t xml:space="preserve">Egészségügyi és Megelőzésért Felelős Minisztérium</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 xml:space="preserve">Rendelettervezet</w:t>
      </w:r>
      <w:r>
        <w:rPr>
          <w:rStyle w:val="SNDateSignature"/>
        </w:rPr>
        <w:t xml:space="preserve"> </w:t>
      </w:r>
    </w:p>
    <w:p w14:paraId="204A034E" w14:textId="77777777" w:rsidR="008347CD" w:rsidRPr="00972079" w:rsidRDefault="00CE68A3">
      <w:pPr>
        <w:pStyle w:val="SNObjet"/>
        <w:jc w:val="center"/>
      </w:pPr>
      <w:r>
        <w:t xml:space="preserve">a közegészségügyi törvénykönyv L. 5232-5. cikkének I. és II. bekezdésében előírt információk tartalmára és megjelenítésének feltételeire vonatkozó részletes szabályok meghatározásáról</w:t>
      </w:r>
      <w:r>
        <w:t xml:space="preserve">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NOR:</w:t>
      </w:r>
      <w:r>
        <w:t xml:space="preserve"> </w:t>
      </w:r>
      <w:r>
        <w:rPr>
          <w:highlight w:val="yellow"/>
        </w:rPr>
        <w:t xml:space="preserve">XXXXXXXXXX</w:t>
      </w:r>
    </w:p>
    <w:p w14:paraId="0BF7F525" w14:textId="77777777" w:rsidR="008347CD" w:rsidRPr="007636F9" w:rsidRDefault="00C46B5B" w:rsidP="007636F9">
      <w:pPr>
        <w:spacing w:before="720" w:after="120"/>
        <w:jc w:val="both"/>
      </w:pPr>
      <w:r>
        <w:rPr>
          <w:i/>
          <w:b/>
        </w:rPr>
        <w:t xml:space="preserve">Célközönség:</w:t>
      </w:r>
      <w:r>
        <w:rPr>
          <w:i/>
        </w:rPr>
        <w:t xml:space="preserve"> </w:t>
      </w:r>
      <w:r>
        <w:rPr>
          <w:i/>
        </w:rPr>
        <w:t xml:space="preserve">Minden olyan személy, aki olyan termékeket hoz forgalomba a fogyasztók számára, amelyek a gyártásuk végén a francia Nemzeti Élelmiszer-, Környezet- és Munkabiztonsági Ügynökség (ANSES) minősítése szerint igazoltan, vélelmezhetően vagy feltehetően endokrin károsító tulajdonságokkal rendelkező anyagokat tartalmaznak</w:t>
      </w:r>
    </w:p>
    <w:p w14:paraId="42843534" w14:textId="77777777" w:rsidR="00C30C40" w:rsidRPr="007636F9" w:rsidRDefault="00C46B5B" w:rsidP="007636F9">
      <w:pPr>
        <w:jc w:val="both"/>
        <w:rPr>
          <w:bCs/>
          <w:i/>
          <w:iCs/>
        </w:rPr>
      </w:pPr>
      <w:r>
        <w:rPr>
          <w:i/>
          <w:b/>
        </w:rPr>
        <w:t xml:space="preserve">Cél:</w:t>
      </w:r>
      <w:r>
        <w:rPr>
          <w:i/>
        </w:rPr>
        <w:t xml:space="preserve"> </w:t>
      </w:r>
      <w:r>
        <w:rPr>
          <w:i/>
        </w:rPr>
        <w:t xml:space="preserve">Ez a rendelet a közegészségügyi törvénykönyv L. 5232-5. cikkének I. és II. bekezdésében előírt információk tartalmára és megjelenítésének feltételeire vonatkozó részletes szabályokat határozza meg a következők tekintetében:</w:t>
      </w:r>
    </w:p>
    <w:p w14:paraId="64F9DE89" w14:textId="77777777" w:rsidR="00026E60" w:rsidRPr="007636F9" w:rsidRDefault="00CE68A3" w:rsidP="007636F9">
      <w:pPr>
        <w:pStyle w:val="ListParagraph"/>
        <w:numPr>
          <w:ilvl w:val="0"/>
          <w:numId w:val="4"/>
        </w:numPr>
        <w:spacing w:before="120" w:after="200"/>
        <w:jc w:val="both"/>
        <w:rPr>
          <w:i/>
        </w:rPr>
      </w:pPr>
      <w:r>
        <w:rPr>
          <w:i/>
        </w:rPr>
        <w:t xml:space="preserve">az igazoltan vagy feltehetően endokrin károsító tulajdonságokkal rendelkező anyagok jelenléte a közegészségügyi törvénykönyv R. 5232-19. cikkében meghatározott termékekben;</w:t>
      </w:r>
    </w:p>
    <w:p w14:paraId="60DB1505" w14:textId="77777777" w:rsidR="00C30C40" w:rsidRPr="007636F9" w:rsidRDefault="00C30C40" w:rsidP="007636F9">
      <w:pPr>
        <w:pStyle w:val="ListParagraph"/>
        <w:numPr>
          <w:ilvl w:val="0"/>
          <w:numId w:val="4"/>
        </w:numPr>
        <w:spacing w:before="120" w:after="200"/>
        <w:jc w:val="both"/>
        <w:rPr>
          <w:i/>
        </w:rPr>
      </w:pPr>
      <w:r>
        <w:rPr>
          <w:i/>
        </w:rPr>
        <w:t xml:space="preserve">a feltehetően endokrin károsító tulajdonságokkal rendelkező anyagok jelenléte a közegészségügyi törvénykönyv L. 5232-5. cikkének II. bekezdésében említett, különös expozíciós kockázatot jelentő termékkategóriákban.</w:t>
      </w:r>
    </w:p>
    <w:p w14:paraId="4FC24632" w14:textId="77777777" w:rsidR="008347CD" w:rsidRPr="007636F9" w:rsidRDefault="00C46B5B" w:rsidP="007636F9">
      <w:pPr>
        <w:spacing w:before="120" w:after="120"/>
        <w:jc w:val="both"/>
      </w:pPr>
      <w:bookmarkStart w:id="0" w:name="move773304541"/>
      <w:bookmarkEnd w:id="0"/>
      <w:r>
        <w:rPr>
          <w:i/>
          <w:b/>
        </w:rPr>
        <w:t xml:space="preserve">Hatálybalépés:</w:t>
      </w:r>
      <w:r>
        <w:rPr>
          <w:i/>
        </w:rPr>
        <w:t xml:space="preserve"> </w:t>
      </w:r>
      <w:r>
        <w:rPr>
          <w:i/>
        </w:rPr>
        <w:t xml:space="preserve">A szöveg a kihirdetését követő napon lép hatályba.</w:t>
      </w:r>
    </w:p>
    <w:p w14:paraId="6B0BBCC9" w14:textId="77777777" w:rsidR="005C023A" w:rsidRPr="007636F9" w:rsidRDefault="00C46B5B" w:rsidP="007636F9">
      <w:pPr>
        <w:spacing w:after="120"/>
        <w:jc w:val="both"/>
        <w:rPr>
          <w:i/>
          <w:iCs/>
        </w:rPr>
      </w:pPr>
      <w:r>
        <w:rPr>
          <w:i/>
          <w:b/>
        </w:rPr>
        <w:t xml:space="preserve">Megjegyzés:</w:t>
      </w:r>
      <w:r>
        <w:rPr>
          <w:i/>
        </w:rPr>
        <w:t xml:space="preserve"> </w:t>
      </w:r>
      <w:r>
        <w:rPr>
          <w:i/>
        </w:rPr>
        <w:t xml:space="preserve">A pazarlás elleni küzdelemről és a körforgásos gazdaságról szóló, 2020. február 10-i 2020-105. sz. törvény, az úgynevezett „AGEC” 13-II. cikke előírja, hogy minden olyan személynek, aki olyan termékeket hoz forgalomba </w:t>
      </w:r>
      <w:r>
        <w:rPr>
          <w:i/>
          <w:color w:val="auto"/>
        </w:rPr>
        <w:t xml:space="preserve">a fogyasztók számára, amelyek a francia Nemzeti Élelmiszer-,</w:t>
      </w:r>
      <w:r>
        <w:rPr>
          <w:i/>
        </w:rPr>
        <w:t xml:space="preserve"> Környezet- és Munkabiztonsági Ügynökség (ANSES) minősítése szerint igazoltan vagy feltehetően endokrin károsító tulajdonságokkal rendelkező anyagokat tartalmaznak, „elektronikus úton, nyílt, könnyen újrafelhasználható és automatizált feldolgozó rendszerrel feldolgozható formában a nyilvánosság rendelkezésére kell bocsátania azokat az információkat, amelyek lehetővé teszik az ilyen anyagok jelenlétének meghatározását ezekben a termékekben”.</w:t>
      </w:r>
      <w:r>
        <w:rPr>
          <w:i/>
        </w:rPr>
        <w:t xml:space="preserve"> </w:t>
      </w:r>
      <w:r>
        <w:rPr>
          <w:i/>
        </w:rPr>
        <w:t xml:space="preserve">Ez a kötelezettség a különös expozíciós kockázatot jelentő egyes termékkategóriákra is vonatkozik azon anyagok esetében, amelyek az ANSES minősítése feltehetően endokrin károsító tulajdonságokkal rendelkeznek.</w:t>
      </w:r>
    </w:p>
    <w:p w14:paraId="3C5655F1" w14:textId="77777777" w:rsidR="00AD6125" w:rsidRPr="007636F9" w:rsidRDefault="005C023A" w:rsidP="007636F9">
      <w:pPr>
        <w:spacing w:after="120"/>
        <w:jc w:val="both"/>
        <w:rPr>
          <w:i/>
          <w:iCs/>
        </w:rPr>
      </w:pPr>
      <w:r>
        <w:rPr>
          <w:i/>
        </w:rPr>
        <w:t xml:space="preserve">Ez a kötelezettség összhangban van az endokrin károsító anyagokra vonatkozó második nemzeti stratégia (NSPE2) célkitűzéseivel.</w:t>
      </w:r>
      <w:r>
        <w:rPr>
          <w:i/>
        </w:rPr>
        <w:t xml:space="preserve"> </w:t>
      </w:r>
      <w:r>
        <w:rPr>
          <w:i/>
        </w:rPr>
        <w:t xml:space="preserve">Célja, hogy az anyagok, keverékek, árucikkek és élelmiszerek tekintetében átlátható tájékoztatást nyújtson a polgároknak az endokrin károsító tulajdonságokkal rendelkező anyagok jelenlétéről a termékekben.</w:t>
      </w:r>
    </w:p>
    <w:p w14:paraId="572BE02E" w14:textId="77777777" w:rsidR="00AD6125" w:rsidRPr="007636F9" w:rsidRDefault="00AD6125" w:rsidP="007636F9">
      <w:pPr>
        <w:spacing w:after="120"/>
        <w:jc w:val="both"/>
        <w:rPr>
          <w:i/>
          <w:iCs/>
          <w:color w:val="auto"/>
        </w:rPr>
      </w:pPr>
      <w:r>
        <w:rPr>
          <w:i/>
          <w:color w:val="auto"/>
        </w:rPr>
        <w:t xml:space="preserve">A rendelet a közegészségügyi törvénykönyv R. 5232-19. cikkében említett, fogyasztóknak szánt termékekre vonatkozik.</w:t>
      </w:r>
      <w:r>
        <w:rPr>
          <w:i/>
          <w:color w:val="auto"/>
        </w:rPr>
        <w:t xml:space="preserve"> </w:t>
      </w:r>
      <w:r>
        <w:rPr>
          <w:i/>
          <w:color w:val="auto"/>
        </w:rPr>
        <w:t xml:space="preserve">A csomagolóanyagok e kötelezettség hatálya alá tartoznak.</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t xml:space="preserve">E jogszabályi rendelkezés alkalmazásának részletes szabályait a közegészségügyi törvénykönyv R. 5232-19–R. 5232-22. cikke tartalmazza.</w:t>
      </w:r>
      <w:r>
        <w:rPr>
          <w:i/>
        </w:rPr>
        <w:t xml:space="preserve"> </w:t>
      </w:r>
      <w:r>
        <w:rPr>
          <w:i/>
        </w:rPr>
        <w:t xml:space="preserve">Az R. 5232-20. cikk előírja, hogy az egészségügyi és a környezetvédelmi miniszter</w:t>
      </w:r>
      <w:r>
        <w:rPr>
          <w:sz w:val="27"/>
          <w:rFonts w:ascii="Arial" w:hAnsi="Arial"/>
        </w:rPr>
        <w:t xml:space="preserve"> </w:t>
      </w:r>
      <w:r>
        <w:rPr>
          <w:i/>
        </w:rPr>
        <w:t xml:space="preserve">közös rendeletében kell meghatározni az e törvénykönyv L. 5232-5. cikkének I. és II. bekezdésében előírt információk tartalmára és megjelenítésének feltételeire vonatkozó részletes szabályokat.</w:t>
      </w:r>
      <w:r>
        <w:rPr>
          <w:i/>
        </w:rPr>
        <w:t xml:space="preserve"> </w:t>
      </w:r>
      <w:r>
        <w:rPr>
          <w:i/>
        </w:rPr>
        <w:t xml:space="preserve">Ezen információk rendelkezésre bocsátása</w:t>
      </w:r>
      <w:r>
        <w:rPr>
          <w:i/>
          <w:color w:val="auto"/>
        </w:rPr>
        <w:t xml:space="preserve"> a környezetvédelmi törvénykönyv R. 543-43. cikke értelmében a termék egészére és annak elsődleges csomagolására vagy fogyasztói csomagolására vonatkozik </w:t>
      </w:r>
      <w:r>
        <w:rPr>
          <w:i/>
        </w:rPr>
        <w:t xml:space="preserve">((például: tárolóedény, üveg vagy fiola), </w:t>
      </w:r>
      <w:r>
        <w:rPr>
          <w:i/>
          <w:color w:val="auto"/>
        </w:rPr>
        <w:t xml:space="preserve">ugyanazon a terméklapon külön meghatározva,</w:t>
      </w:r>
      <w:r>
        <w:rPr>
          <w:i/>
        </w:rPr>
        <w:t xml:space="preserve"> hogy az érintett anyag(ok) jelen van(nak)-e a termékben vagy annak fogyasztói csomagolásában.</w:t>
      </w:r>
    </w:p>
    <w:p w14:paraId="2C832AA4" w14:textId="3E0A5100" w:rsidR="00C52692" w:rsidRPr="007636F9" w:rsidRDefault="00C970B9" w:rsidP="007636F9">
      <w:pPr>
        <w:jc w:val="both"/>
        <w:rPr>
          <w:bCs/>
          <w:i/>
          <w:iCs/>
          <w:color w:val="auto"/>
        </w:rPr>
      </w:pPr>
      <w:r>
        <w:rPr>
          <w:i/>
          <w:color w:val="auto"/>
        </w:rPr>
        <w:t xml:space="preserve">Egyes anyagok, például a kolekalciferol (D3-vitamin) esetében tápanyagjellegük (vitaminok, ásványi anyagok) és bizonyos dózisig (biztonságos felső határérték) fennálló egészségügyi előnyeik miatt, ki kell igazítani az endokrin károsító tulajdonságokkal rendelkező anyagok jelenlétére vonatkozó információkat annak feltüntetése érdekében, hogy ezek az anyagok a termék betegtájékoztatójában vagy címkéjén meghatározott</w:t>
      </w:r>
      <w:r>
        <w:rPr>
          <w:i/>
        </w:rPr>
        <w:t xml:space="preserve"> alkalmazással kapcsolatos óvintézkedések és adagolás mellett egészségügyi előnyökkel járnak, és hogy kétség esetén egészségügyi szakember tanácsát kell kérni.</w:t>
      </w:r>
      <w:r>
        <w:rPr>
          <w:i/>
        </w:rPr>
        <w:t xml:space="preserve"> </w:t>
      </w:r>
      <w:r>
        <w:rPr>
          <w:i/>
          <w:color w:val="auto"/>
        </w:rPr>
        <w:t xml:space="preserve">Ez a konkrét tájékoztatás különösen a francia Nemzeti Élelmiszer-, Környezet- és Munkabiztonsági Ügynökségnek a 2020. február 10-i 2020-105. sz. törvény, az úgynevezett „AGEC-törvény” szerinti, endokrin károsító tulajdonságokkal rendelkező anyagokra vonatkozó rendelkezéseknek a kolekalciferolra (D3-vitamin) való alkalmazásáról szóló 2022. szeptember 29-i tudományos és technikai támogatást nyújtó feljegyzésén alapul.</w:t>
      </w:r>
    </w:p>
    <w:p w14:paraId="3F07B2B7" w14:textId="4BAF7F61" w:rsidR="00C970B9" w:rsidRPr="007636F9" w:rsidRDefault="0067219E" w:rsidP="007636F9">
      <w:pPr>
        <w:spacing w:after="120"/>
        <w:jc w:val="both"/>
        <w:rPr>
          <w:bCs/>
          <w:i/>
          <w:iCs/>
          <w:color w:val="auto"/>
        </w:rPr>
      </w:pPr>
      <w:r>
        <w:rPr>
          <w:i/>
          <w:color w:val="auto"/>
        </w:rPr>
        <w:t xml:space="preserve">Az e konkrét tájékoztatással érintett anyagok szerepelnek a közegészségügyi törvénykönyv L. 5232-5. cikkének I. és II. bekezdésében említett, endokrin károsító tulajdonságokkal rendelkező anyagok ugyanezen törvénykönyv R. 5232-19. cikkében említett jegyzékének megállapításáról szóló rendelet mellékletében szereplő Aa. és Ba. táblázatban.</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i/>
          <w:b/>
        </w:rPr>
        <w:t xml:space="preserve">Hivatkozások:</w:t>
      </w:r>
      <w:r>
        <w:rPr>
          <w:i/>
        </w:rPr>
        <w:t xml:space="preserve"> a szöveg megtekinthető a Légifrance honlapján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 xml:space="preserve">Az ökológiai átállásért</w:t>
      </w:r>
      <w:r>
        <w:rPr>
          <w:color w:val="auto"/>
        </w:rPr>
        <w:t xml:space="preserve"> és a területi kohézióért felelős miniszter;</w:t>
      </w:r>
      <w:r>
        <w:t xml:space="preserve"> </w:t>
      </w:r>
      <w:r>
        <w:t xml:space="preserve">és az egészségügyi</w:t>
      </w:r>
      <w:r>
        <w:rPr>
          <w:color w:val="auto"/>
        </w:rPr>
        <w:t xml:space="preserve"> és megelőzésért felelős miniszter</w:t>
      </w:r>
    </w:p>
    <w:p w14:paraId="7BB39649" w14:textId="77777777" w:rsidR="00F131BD" w:rsidRPr="007636F9" w:rsidRDefault="00F131BD" w:rsidP="007636F9">
      <w:pPr>
        <w:pStyle w:val="SNVisa"/>
        <w:ind w:firstLine="708"/>
      </w:pPr>
      <w:r>
        <w:t xml:space="preserve">Tekintettel az élelmiszerjog általános elveiről és követelményeiről, az Európai Élelmiszerbiztonsági Hatóság létrehozásáról és az élelmiszerbiztonságra vonatkozó eljárások megállapításáról szóló, 2002. január 28-i 178/2002/EK európai parlamenti és a tanácsi rendeletre;</w:t>
      </w:r>
    </w:p>
    <w:p w14:paraId="33996EF3" w14:textId="77777777" w:rsidR="007F7405" w:rsidRPr="007636F9" w:rsidRDefault="00C46B5B" w:rsidP="007636F9">
      <w:pPr>
        <w:pStyle w:val="SNVisa"/>
        <w:ind w:firstLine="708"/>
      </w:pPr>
      <w:r>
        <w:t xml:space="preserve">tekintettel a vegyi anyagok regisztrálásáról, értékeléséről, engedélyezéséről és korlátozásáról (REACH), az Európai Vegyianyag-ügynökség létrehozásáról, az 1999/45/EK irányelv módosításáról, valamint a 793/93/EGK tanácsi rendelet, az 1488/94/EK bizottsági rendelet, a 76/769/EGK tanácsi irányelv, a 91/155/EGK, a 93/67/EGK, a 93/105/EK és a 2000/21/EK bizottsági irányelv hatályon kívül helyezéséről szóló, 2006. december 18-i 1907/2006/EK európai parlamenti és tanácsi rendeletre;</w:t>
      </w:r>
    </w:p>
    <w:p w14:paraId="204220A5" w14:textId="77777777" w:rsidR="00A14477" w:rsidRPr="007636F9" w:rsidRDefault="00A14477" w:rsidP="007636F9">
      <w:pPr>
        <w:pStyle w:val="SNVisa"/>
        <w:ind w:firstLine="708"/>
      </w:pPr>
      <w:r>
        <w:t xml:space="preserve">tekintettel a növényvédő szerek forgalomba hozataláról, valamint a 79/117/EGK és a 91/414/EGK tanácsi irányelvek hatályon kívül helyezéséről szóló, 2009. október 21-i 1107/2009/EK európai parlamenti és tanácsi rendeletre;</w:t>
      </w:r>
    </w:p>
    <w:p w14:paraId="23EB0E8B" w14:textId="77777777" w:rsidR="008347CD" w:rsidRPr="007636F9" w:rsidRDefault="007F7405" w:rsidP="007636F9">
      <w:pPr>
        <w:pStyle w:val="SNVisa"/>
        <w:ind w:firstLine="708"/>
      </w:pPr>
      <w:r>
        <w:t xml:space="preserve">tekintettel a biocid termékek forgalmazásáról és felhasználásáról szóló, 2012. május 22-i 528/2012/EU európai parlamenti és tanácsi rendeletre;</w:t>
      </w:r>
    </w:p>
    <w:p w14:paraId="0B99B19B" w14:textId="394CD111" w:rsidR="00F131BD" w:rsidRPr="007636F9" w:rsidRDefault="00F131BD" w:rsidP="007636F9">
      <w:pPr>
        <w:pStyle w:val="SNVisa"/>
        <w:ind w:firstLine="708"/>
      </w:pPr>
      <w:r>
        <w:t xml:space="preserve">tekintettel az orvostechnikai eszközökről, a 2001/83/EK irányelv, a 178/2002/EK rendelet és az 1223/2009/EK rendelet módosításáról, valamint a 90/385/EGK és a 93/42/EGK tanácsi irányelv hatályon kívül helyezéséről szóló, 2017. április 5-i (EU) 2017/745 európai parlamenti és tanácsi rendeletre;</w:t>
      </w:r>
    </w:p>
    <w:p w14:paraId="1ACAA048" w14:textId="728F8935" w:rsidR="00ED26DC" w:rsidRPr="007636F9" w:rsidRDefault="00ED26DC" w:rsidP="007636F9">
      <w:pPr>
        <w:pStyle w:val="SNVisa"/>
        <w:ind w:firstLine="708"/>
      </w:pPr>
      <w:r>
        <w:t xml:space="preserve">tekintettel a műszaki szabályokkal és az információs társadalom szolgáltatásaira vonatkozó szabályokkal kapcsolatos információszolgáltatási eljárás megállapításáról szóló, </w:t>
      </w:r>
      <w:r>
        <w:rPr>
          <w:shd w:val="clear" w:color="auto" w:fill="FFFFFF"/>
        </w:rPr>
        <w:t xml:space="preserve">2015. szeptember 9-i (EU) 2015/1535 európai parlamenti és tanácsi irányelvre,</w:t>
      </w:r>
      <w:r>
        <w:t xml:space="preserve"> és különösen a 2023/XXX/F számú értesítésre</w:t>
      </w:r>
      <w:r>
        <w:rPr>
          <w:shd w:val="clear" w:color="auto" w:fill="FFFFFF"/>
        </w:rPr>
        <w:t xml:space="preserve">;</w:t>
      </w:r>
    </w:p>
    <w:p w14:paraId="223F493F" w14:textId="77777777" w:rsidR="008347CD" w:rsidRPr="007636F9" w:rsidRDefault="00C46B5B" w:rsidP="007636F9">
      <w:pPr>
        <w:pStyle w:val="SNVisa"/>
        <w:ind w:firstLine="708"/>
        <w:rPr>
          <w:bCs/>
        </w:rPr>
      </w:pPr>
      <w:r>
        <w:t xml:space="preserve">tekintettel a </w:t>
      </w:r>
      <w:bookmarkStart w:id="1" w:name="__DdeLink__11050_299813634"/>
      <w:r>
        <w:t xml:space="preserve">közegészségügyi törvénykönyvre, különösen az L. 5</w:t>
      </w:r>
      <w:bookmarkEnd w:id="1"/>
      <w:r>
        <w:t xml:space="preserve">232-5. cikkének a pazarlás elleni küzdelemről és a körforgásos gazdaságról szóló, 2020. február 10-i 2020-105. sz. törvény 13. cikkével módosított változatára és R. 5232-20. cikkére;</w:t>
      </w:r>
    </w:p>
    <w:p w14:paraId="70E9C9BB" w14:textId="77777777" w:rsidR="008347CD" w:rsidRPr="007636F9" w:rsidRDefault="00C46B5B" w:rsidP="007636F9">
      <w:pPr>
        <w:pStyle w:val="SNActe"/>
      </w:pPr>
      <w:r>
        <w:t xml:space="preserve">a következőket rendeli el:</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 xml:space="preserve">1. cikk</w:t>
      </w:r>
    </w:p>
    <w:p w14:paraId="1B8249C1" w14:textId="77777777" w:rsidR="00AB6BA8" w:rsidRPr="007636F9" w:rsidRDefault="00AB6BA8" w:rsidP="007636F9">
      <w:pPr>
        <w:jc w:val="both"/>
        <w:rPr>
          <w:color w:val="auto"/>
        </w:rPr>
      </w:pPr>
      <w:r>
        <w:rPr>
          <w:color w:val="auto"/>
        </w:rPr>
        <w:t xml:space="preserve">A közegészségügyi törvénykönyv L. 5232-5. cikkének I. és II. bekezdésében előírt, az endokrin rendszert károsító anyagok igazolt, vélelmezhető és feltételezhető jelenlétére vonatkozó információk rendelkezésre bocsátása az ugyanezen törvénykönyv R. 5232-19. cikkében említett termékekre vonatkozik, amelyeket a fogyasztók ellenérték fejében vagy ingyenesen szereznek be.</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Ezt a gyártók, az importőrök vagy a forgalmazók biztosítják a saját márkanéven forgalomba hozott termékek tekintetében oly módon, hogy mindenki számára hozzáférhető legyen.</w:t>
      </w:r>
      <w:r>
        <w:rPr>
          <w:color w:val="auto"/>
        </w:rPr>
        <w:t xml:space="preserve">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 xml:space="preserve">2. cikk</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A közegészségügyi törvénykönyv L. 5232-5. cikkének I. bekezdésében előírt információk rendelkezésre bocsátása a környezetvédelmi törvénykönyv R. 543-43. cikke értelmében </w:t>
      </w:r>
      <w:r>
        <w:rPr>
          <w:color w:val="auto"/>
        </w:rPr>
        <w:t xml:space="preserve">a termék egészére és annak elsődleges csomagolására vagy fogyasztói csomagolására vonatkozik, </w:t>
      </w:r>
      <w:r>
        <w:t xml:space="preserve">amennyiben az igazoltan vagy feltehetően endokrin károsító tulajdonságokkal rendelkező anyag koncentrációja tömegszázalékban kifejezve meghaladja a 0,1%-ot az érintett termékben vagy annak csomagolásában.</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A közegészségügyi törvénykönyv L. 5232-5. cikkének II. bekezdésében előírt információk rendelkezésre bocsátása a környezetvédelmi törvénykönyv R. 543-43. cikke értelmében </w:t>
      </w:r>
      <w:r>
        <w:rPr>
          <w:color w:val="auto"/>
        </w:rPr>
        <w:t xml:space="preserve">a különös expozíciós kockázatot jelentő termék egészére és annak elsődleges csomagolására vagy fogyasztói csomagolására vonatkozik</w:t>
      </w:r>
      <w:r>
        <w:t xml:space="preserve">, amennyiben a feltehetően endokrin károsító tulajdonságokkal rendelkező anyag koncentrációja tömegszázalékban kifejezve meghaladja a 0,1%-ot az érintett termékben vagy annak csomagolásában.</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t xml:space="preserve">3. cikk</w:t>
      </w:r>
    </w:p>
    <w:p w14:paraId="7BD2E729" w14:textId="77777777" w:rsidR="00220182" w:rsidRPr="007636F9" w:rsidRDefault="00220182" w:rsidP="007636F9">
      <w:pPr>
        <w:jc w:val="both"/>
      </w:pPr>
    </w:p>
    <w:p w14:paraId="64FB0993" w14:textId="77777777" w:rsidR="00804152" w:rsidRPr="007636F9" w:rsidRDefault="00DA3FFF" w:rsidP="007636F9">
      <w:pPr>
        <w:jc w:val="both"/>
      </w:pPr>
      <w:r>
        <w:t xml:space="preserve">A közegészségügyi törvénykönyv L. 5232-5. cikkének I. bekezdésében előírt információkat az „igazoltan vagy feltehetően endokrin károsító tulajdonságokkal rendelkező anyagot vagy anyagokat tartalmaz” felirat formájában kell feltüntetni.</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A közegészségügyi törvénykönyv L. 5232-5. cikkének II. bekezdésében előírt információkat a feltehetően endokrin károsító tulajdonságokkal rendelkező anyagot vagy anyagokat tartalmaz” felirat formájában kell megjeleníteni.</w:t>
      </w:r>
      <w:r>
        <w:t xml:space="preserve">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 xml:space="preserve">A tájékoztatást ki kell egészíteni a termékben jelen lévő releváns anyag(ok) nevével.</w:t>
      </w:r>
      <w:r>
        <w:t xml:space="preserve"> </w:t>
      </w:r>
      <w:r>
        <w:t xml:space="preserve">Ez a név az egészségügyi és a környezetvédelmi miniszter által a közegészségügyi törvénykönyv R. 5232-19. cikke alapján elfogadott közös rendelet I. mellékletének A., Aa., B. vagy Ba. táblázatában említett anyag nevének felel meg.</w:t>
      </w:r>
    </w:p>
    <w:p w14:paraId="68DC5B28" w14:textId="77777777" w:rsidR="00035EA0" w:rsidRPr="007636F9" w:rsidRDefault="00035EA0" w:rsidP="007636F9">
      <w:pPr>
        <w:jc w:val="both"/>
      </w:pPr>
    </w:p>
    <w:p w14:paraId="68A20723" w14:textId="77777777" w:rsidR="009B4F00" w:rsidRPr="007636F9" w:rsidRDefault="009B4F00" w:rsidP="007636F9">
      <w:pPr>
        <w:jc w:val="both"/>
      </w:pPr>
      <w:r>
        <w:t xml:space="preserve">A tájékoztatásnak azt is meg kell határoznia, hogy az érintett anyag(ok) jelen van(nak)-e a termékben vagy annak csomagolásában.</w:t>
      </w:r>
    </w:p>
    <w:p w14:paraId="2AF8C25A" w14:textId="77777777" w:rsidR="009B4F00" w:rsidRPr="007636F9" w:rsidRDefault="009B4F00" w:rsidP="007636F9">
      <w:pPr>
        <w:jc w:val="both"/>
      </w:pPr>
    </w:p>
    <w:p w14:paraId="2444BB1B" w14:textId="5BE036B1" w:rsidR="00611350" w:rsidRPr="007636F9" w:rsidRDefault="00035EA0" w:rsidP="007636F9">
      <w:pPr>
        <w:jc w:val="both"/>
      </w:pPr>
      <w:r>
        <w:t xml:space="preserve">Amennyiben ezen anyagok valamelyike szerepel a közegészségügyi törvénykönyv R. 5232-19. cikke alapján elfogadott közös egészségügyi és környezetvédelmi miniszteri rendelet I. mellékletének Aa. táblázatában, és az adott anyagot tartalmazó termék a fent említett 178/2002/EK rendelet 2. cikkében meghatározott élelmiszer vagy a fent említett (EU) 2017/745 rendelet 2. cikkében meghatározott orvostechnikai eszköz, a közegészségügyi törvénykönyv L. 5232-5. cikkének I. bekezdésében előírt információkat a következő felirat formájában kell megjeleníteni: „anyagot [beillesztendő az anyagnak a fent említett Aa. táblázatban megadott neve] tartalmaz: ez az anyag a betegtájékoztatóban vagy a termékcímkén meghatározott óvintézkedéseknek és adagolásnak megfelelő használat esetén egészségügyi előnyökkel jár.</w:t>
      </w:r>
      <w:r>
        <w:t xml:space="preserve"> </w:t>
      </w:r>
      <w:r>
        <w:t xml:space="preserve">Kétség esetén kérjen tanácsot egy egészségügyi szakembertől.”.</w:t>
      </w:r>
    </w:p>
    <w:p w14:paraId="7BCACE6D" w14:textId="77777777" w:rsidR="00E165BB" w:rsidRPr="007636F9" w:rsidRDefault="00E165BB" w:rsidP="007636F9">
      <w:pPr>
        <w:jc w:val="both"/>
      </w:pPr>
    </w:p>
    <w:p w14:paraId="2E5E20B6" w14:textId="28F37E84" w:rsidR="00E165BB" w:rsidRPr="007636F9" w:rsidRDefault="00764BB0" w:rsidP="007636F9">
      <w:pPr>
        <w:jc w:val="both"/>
      </w:pPr>
      <w:r>
        <w:t xml:space="preserve">Amennyiben ezen anyagok valamelyike szerepel a közegészségügyi törvénykönyv R. 5232-19. cikke alapján elfogadott közös egészségügyi és környezetvédelmi miniszteri rendelet I. mellékletének Ba. táblázatában, és az adott anyagot tartalmazó termék a fent említett 178/2002/EK rendelet 2. cikkében meghatározott élelmiszer vagy a fent említett (EU) 2017/745 rendelet 2. cikkében meghatározott orvostechnikai eszköz, a közegészségügyi törvénykönyv L. 5232-5. cikkének II. bekezdésében előírt információkat a következő felirat formájában kell megjeleníteni: „anyagot [beillesztendő az anyagnak a fent említett Ba. táblázatban megadott neve] tartalmaz: ez az anyag a betegtájékoztatóban vagy a termékcímkén meghatározott óvintézkedéseknek és adagolásnak megfelelő használat esetén egészségügyi előnyökkel jár.</w:t>
      </w:r>
      <w:r>
        <w:t xml:space="preserve"> </w:t>
      </w:r>
      <w:r>
        <w:t xml:space="preserve">Kétség esetén kérjen tanácsot egy egészségügyi szakembertől.”.</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 xml:space="preserve">4. cikk</w:t>
      </w:r>
    </w:p>
    <w:p w14:paraId="254B1965" w14:textId="22EBED57" w:rsidR="008347CD" w:rsidRPr="007636F9" w:rsidRDefault="00C46B5B" w:rsidP="007636F9">
      <w:pPr>
        <w:pStyle w:val="SNArticle"/>
        <w:jc w:val="both"/>
        <w:rPr>
          <w:b w:val="0"/>
        </w:rPr>
      </w:pPr>
      <w:r>
        <w:rPr>
          <w:b w:val="0"/>
        </w:rPr>
        <w:t xml:space="preserve">E rendelet rendelkezései a kihirdetését követő napon lépnek hatályba.</w:t>
      </w:r>
      <w:r>
        <w:rPr>
          <w:b w:val="0"/>
        </w:rPr>
        <w:t xml:space="preserve">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 xml:space="preserve">5. cikk</w:t>
      </w:r>
    </w:p>
    <w:p w14:paraId="15F47E80" w14:textId="77777777" w:rsidR="008347CD" w:rsidRPr="007636F9" w:rsidRDefault="00C46B5B" w:rsidP="007636F9">
      <w:pPr>
        <w:pStyle w:val="BodyText"/>
        <w:jc w:val="both"/>
      </w:pPr>
      <w:r>
        <w:t xml:space="preserve">E rendelet közzé kell tenni a Francia Köztársaság </w:t>
      </w:r>
      <w:r>
        <w:rPr>
          <w:i/>
        </w:rPr>
        <w:t xml:space="preserve">Hivatalos Lapjában</w:t>
      </w:r>
      <w:r>
        <w:t xml:space="preserve">.</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t xml:space="preserve">Kelt:</w:t>
      </w:r>
      <w:r>
        <w:t xml:space="preserve">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 xml:space="preserve">Az ökológiai átállásért és a területi kohézióért felelős miniszter</w:t>
      </w:r>
    </w:p>
    <w:p w14:paraId="655BCD5B" w14:textId="77777777" w:rsidR="008347CD" w:rsidRPr="007636F9" w:rsidRDefault="00C46B5B" w:rsidP="007636F9">
      <w:pPr>
        <w:pStyle w:val="SNSignatureDroite"/>
        <w:ind w:left="539" w:firstLine="0"/>
      </w:pPr>
      <w:r>
        <w:t xml:space="preserve">A miniszter nevében:</w:t>
      </w:r>
    </w:p>
    <w:p w14:paraId="0DE20629" w14:textId="77777777" w:rsidR="008347CD" w:rsidRPr="007636F9" w:rsidRDefault="00C46B5B" w:rsidP="007636F9">
      <w:pPr>
        <w:pStyle w:val="SNSignatureDroite"/>
        <w:ind w:left="539" w:firstLine="0"/>
      </w:pPr>
      <w:r>
        <w:t xml:space="preserve">A kockázatmegelőzésért felelős főigazgató,</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 xml:space="preserve">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 xml:space="preserve">Az egészségügyi és </w:t>
      </w:r>
      <w:r>
        <w:rPr>
          <w:color w:val="auto"/>
        </w:rPr>
        <w:t xml:space="preserve">megelőzésért felelős miniszter</w:t>
      </w:r>
      <w:r>
        <w:t xml:space="preserve">,</w:t>
      </w:r>
    </w:p>
    <w:p w14:paraId="008C8C0E" w14:textId="77777777" w:rsidR="008347CD" w:rsidRPr="007636F9" w:rsidRDefault="00C46B5B" w:rsidP="007636F9">
      <w:pPr>
        <w:ind w:left="539"/>
      </w:pPr>
      <w:r>
        <w:t xml:space="preserve">A miniszter nevében:</w:t>
      </w:r>
    </w:p>
    <w:p w14:paraId="2AE5AAA9" w14:textId="77777777" w:rsidR="008347CD" w:rsidRPr="007636F9" w:rsidRDefault="00C46B5B" w:rsidP="007636F9">
      <w:pPr>
        <w:ind w:left="539"/>
      </w:pPr>
      <w:r>
        <w:t xml:space="preserve">Az egészségügyi főigazgató,</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t xml:space="preserve">Jérôme 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F75AD9">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TERVEZ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F75AD9">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TERVEZ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F75AD9">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TERVEZ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dirty" w:grammar="dirty"/>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hu-H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1711</Words>
  <Characters>9753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3</cp:revision>
  <cp:lastPrinted>2021-09-08T16:41:00Z</cp:lastPrinted>
  <dcterms:created xsi:type="dcterms:W3CDTF">2023-03-17T14:23:00Z</dcterms:created>
  <dcterms:modified xsi:type="dcterms:W3CDTF">2023-03-24T09:28:00Z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