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71E35" w:rsidRPr="00A92569" w:rsidRDefault="00971E35" w:rsidP="00971E35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0791 F-- CS- ------ 20201221 --- --- PROJET</w:t>
      </w:r>
    </w:p>
    <w:tbl>
      <w:tblPr>
        <w:tblW w:w="0" w:type="auto"/>
        <w:tblInd w:w="11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bookmarkEnd w:id="0"/>
          <w:p w:rsidR="00121B80" w:rsidRPr="006C397D" w:rsidRDefault="00121B80">
            <w:pPr>
              <w:pStyle w:val="SNREPUBLIQUE"/>
              <w:snapToGrid w:val="0"/>
            </w:pPr>
            <w:r>
              <w:t xml:space="preserve">FRANCOUZSKÁ REPUBLIKA</w:t>
            </w:r>
          </w:p>
        </w:tc>
      </w:tr>
      <w:tr w:rsidR="00D85F5D" w:rsidRPr="006C397D" w:rsidTr="00A73D1D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:rsidR="00121B80" w:rsidRPr="006C397D" w:rsidRDefault="00121B80">
            <w:pPr>
              <w:snapToGrid w:val="0"/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121B80" w:rsidRPr="006C397D" w:rsidRDefault="00121B80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:rsidR="00121B80" w:rsidRPr="006C397D" w:rsidRDefault="00121B80">
            <w:pPr>
              <w:snapToGrid w:val="0"/>
            </w:pP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>
            <w:pPr>
              <w:pStyle w:val="SNTimbre"/>
            </w:pPr>
            <w:r>
              <w:t xml:space="preserve">Ministerstvo pro ekologický přechod</w:t>
            </w:r>
            <w:r>
              <w:t xml:space="preserve"> </w: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304F7E">
            <w:pPr>
              <w:pStyle w:val="SNTimbre"/>
              <w:jc w:val="left"/>
            </w:pPr>
            <w: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129540</wp:posOffset>
                      </wp:positionV>
                      <wp:extent cx="613410" cy="635"/>
                      <wp:effectExtent l="7620" t="12065" r="7620" b="6350"/>
                      <wp:wrapNone/>
                      <wp:docPr id="1" name="Connecteur droi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635"/>
                              </a:xfrm>
                              <a:prstGeom prst="line">
                                <a:avLst/>
                              </a:prstGeom>
                              <a:noFill/>
                              <a:ln w="648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D6C169" id="Connecteur droit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pt,10.2pt" to="125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" strokeweight=".18mm">
                      <v:stroke joinstyle="miter"/>
                    </v:line>
                  </w:pict>
                </mc:Fallback>
              </mc:AlternateConten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>
            <w:pPr>
              <w:pStyle w:val="SNTimbre"/>
              <w:spacing w:before="0" w:after="160"/>
            </w:pPr>
            <w:r>
              <w:t xml:space="preserve">Bydlení</w:t>
            </w:r>
          </w:p>
        </w:tc>
      </w:tr>
      <w:tr w:rsidR="00121B80" w:rsidRPr="006C397D">
        <w:trPr>
          <w:cantSplit/>
        </w:trPr>
        <w:tc>
          <w:tcPr>
            <w:tcW w:w="3982" w:type="dxa"/>
            <w:gridSpan w:val="3"/>
            <w:shd w:val="clear" w:color="auto" w:fill="auto"/>
          </w:tcPr>
          <w:p w:rsidR="00121B80" w:rsidRPr="006C397D" w:rsidRDefault="00121B80">
            <w:pPr>
              <w:pStyle w:val="SNTimbre"/>
              <w:jc w:val="left"/>
              <w:rPr>
                <w:highlight w:val="yellow"/>
              </w:rPr>
            </w:pPr>
          </w:p>
        </w:tc>
      </w:tr>
    </w:tbl>
    <w:p w:rsidR="00121B80" w:rsidRPr="006C397D" w:rsidRDefault="00121B80">
      <w:pPr>
        <w:widowControl w:val="0"/>
        <w:spacing w:after="0" w:line="240" w:lineRule="auto"/>
        <w:jc w:val="center"/>
      </w:pPr>
      <w:r>
        <w:rPr>
          <w:b/>
          <w:bCs/>
          <w:sz w:val="24"/>
          <w:szCs w:val="24"/>
          <w:rFonts w:ascii="Times New Roman" w:hAnsi="Times New Roman"/>
        </w:rPr>
        <w:t xml:space="preserve">Vyhláška ze dne,</w:t>
      </w:r>
    </w:p>
    <w:p w:rsidR="00121B80" w:rsidRPr="006C397D" w:rsidRDefault="00371CC6" w:rsidP="00D125B4">
      <w:pPr>
        <w:widowControl w:val="0"/>
        <w:spacing w:after="0" w:line="240" w:lineRule="auto"/>
        <w:jc w:val="center"/>
      </w:pPr>
      <w:r>
        <w:rPr>
          <w:b/>
          <w:bCs/>
          <w:sz w:val="24"/>
          <w:szCs w:val="24"/>
          <w:rFonts w:ascii="Times New Roman" w:hAnsi="Times New Roman"/>
        </w:rPr>
        <w:t xml:space="preserve">kterou se schvaluje metoda výpočtu podle článku R. 111-20-5 zákoníku o výstavbě a bydlení</w:t>
      </w:r>
    </w:p>
    <w:p w:rsidR="00121B80" w:rsidRPr="006C397D" w:rsidRDefault="00121B80">
      <w:pPr>
        <w:pStyle w:val="SNNORCentr"/>
      </w:pPr>
      <w:r>
        <w:t xml:space="preserve">NOR:</w:t>
      </w:r>
      <w:r>
        <w:t xml:space="preserve"> </w:t>
      </w:r>
    </w:p>
    <w:p w:rsidR="00121B80" w:rsidRPr="006C397D" w:rsidRDefault="00121B80">
      <w:pPr>
        <w:jc w:val="both"/>
        <w:rPr>
          <w:rFonts w:ascii="Times New Roman" w:eastAsia="Arial" w:hAnsi="Times New Roman" w:cs="Times New Roman"/>
          <w:bCs/>
          <w:i/>
          <w:iCs/>
          <w:sz w:val="24"/>
          <w:szCs w:val="24"/>
          <w:u w:val="single"/>
        </w:rPr>
      </w:pPr>
    </w:p>
    <w:p w:rsidR="00121B80" w:rsidRPr="006C397D" w:rsidRDefault="00121B80" w:rsidP="00371CC6">
      <w:pPr>
        <w:jc w:val="both"/>
      </w:pPr>
      <w:r>
        <w:rPr>
          <w:i/>
          <w:iCs/>
          <w:sz w:val="24"/>
          <w:szCs w:val="24"/>
          <w:bCs/>
          <w:u w:val="single"/>
          <w:rFonts w:ascii="Times New Roman" w:hAnsi="Times New Roman"/>
        </w:rPr>
        <w:t xml:space="preserve">Dotčené subjekty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:</w:t>
      </w:r>
      <w:r>
        <w:rPr>
          <w:i/>
          <w:iCs/>
          <w:sz w:val="24"/>
          <w:szCs w:val="24"/>
          <w:bCs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stavebníci, vedoucí stavby, stavitelé a developeři, architekti, projektové kanceláře pro tepelná řešení a řešení dopadu na životní prostředí, stavební ekonomové, techničtí inspektoři, stavební společnosti, výrobci stavebních materiálů a technických systémů budov, dodavatelé energie v kontinentální Francii.</w:t>
      </w:r>
    </w:p>
    <w:p w:rsidR="00121B80" w:rsidRPr="006C397D" w:rsidRDefault="00121B80">
      <w:pPr>
        <w:jc w:val="both"/>
      </w:pPr>
      <w:r>
        <w:rPr>
          <w:i/>
          <w:iCs/>
          <w:sz w:val="24"/>
          <w:szCs w:val="24"/>
          <w:u w:val="single"/>
          <w:rFonts w:ascii="Times New Roman" w:hAnsi="Times New Roman"/>
        </w:rPr>
        <w:t xml:space="preserve">Předmět</w:t>
      </w:r>
      <w:r>
        <w:rPr>
          <w:i/>
          <w:iCs/>
          <w:sz w:val="24"/>
          <w:szCs w:val="24"/>
          <w:rFonts w:ascii="Times New Roman" w:hAnsi="Times New Roman"/>
        </w:rPr>
        <w:t xml:space="preserve">: stanovení metody výpočtu energetické a ekologické náročnosti výstavby obytných a kancelářských budov nebo budov základních nebo středních škol v kontinentální Francii pro účely uplatnění vyhlášky ze dne </w:t>
      </w:r>
      <w:r>
        <w:rPr>
          <w:i/>
          <w:iCs/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i/>
          <w:iCs/>
          <w:sz w:val="24"/>
          <w:szCs w:val="24"/>
          <w:rFonts w:ascii="Times New Roman" w:hAnsi="Times New Roman"/>
        </w:rPr>
        <w:t xml:space="preserve">, kterou se stanoví požadavky na energetickou a ekologickou náročnost výstavby obytných a kancelářských budov nebo budov základních nebo středních škol v kontinentální Francii</w:t>
      </w:r>
    </w:p>
    <w:p w:rsidR="00371CC6" w:rsidRPr="006C397D" w:rsidRDefault="00121B80">
      <w:pPr>
        <w:spacing w:after="0" w:line="240" w:lineRule="auto"/>
        <w:jc w:val="both"/>
        <w:rPr>
          <w:i/>
          <w:iCs/>
          <w:kern w:val="2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iCs/>
          <w:sz w:val="24"/>
          <w:szCs w:val="24"/>
          <w:u w:val="single"/>
          <w:rFonts w:ascii="Times New Roman" w:hAnsi="Times New Roman"/>
        </w:rPr>
        <w:t xml:space="preserve">Nabytí účinnosti</w:t>
      </w:r>
      <w:r>
        <w:rPr>
          <w:i/>
          <w:iCs/>
          <w:sz w:val="24"/>
          <w:szCs w:val="24"/>
          <w:rFonts w:ascii="Times New Roman" w:hAnsi="Times New Roman"/>
        </w:rPr>
        <w:t xml:space="preserve">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Tato vyhláška se použije ode dne 1. července 2021.</w:t>
      </w:r>
    </w:p>
    <w:p w:rsidR="00371CC6" w:rsidRPr="006C397D" w:rsidRDefault="00371C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zh-CN"/>
        </w:rPr>
      </w:pPr>
    </w:p>
    <w:p w:rsidR="00371CC6" w:rsidRPr="006C397D" w:rsidRDefault="00121B80" w:rsidP="006C397D">
      <w:pPr>
        <w:keepNext/>
        <w:spacing w:after="0" w:line="240" w:lineRule="auto"/>
        <w:jc w:val="both"/>
        <w:rPr>
          <w:i/>
          <w:iCs/>
          <w:sz w:val="24"/>
          <w:szCs w:val="24"/>
          <w:rFonts w:ascii="Times New Roman" w:hAnsi="Times New Roman" w:cs="Times New Roman"/>
        </w:rPr>
      </w:pPr>
      <w:r>
        <w:rPr>
          <w:i/>
          <w:iCs/>
          <w:sz w:val="24"/>
          <w:szCs w:val="24"/>
          <w:b/>
          <w:bCs/>
          <w:rFonts w:ascii="Times New Roman" w:hAnsi="Times New Roman"/>
        </w:rPr>
        <w:t xml:space="preserve">Poznámka: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Tato vyhláška stanoví metodu výpočtu energetické a ekologické náročnosti výstavby bytových a kancelářských budov a budov základních nebo středních škol v kontinentální Francii, a to prostřednictvím tří příloh:</w:t>
      </w:r>
    </w:p>
    <w:p w:rsidR="00371CC6" w:rsidRPr="006C397D" w:rsidRDefault="00371CC6" w:rsidP="00371CC6">
      <w:pPr>
        <w:numPr>
          <w:ilvl w:val="0"/>
          <w:numId w:val="1"/>
        </w:numPr>
        <w:spacing w:after="0" w:line="240" w:lineRule="auto"/>
        <w:jc w:val="both"/>
        <w:rPr>
          <w:i/>
          <w:iCs/>
          <w:kern w:val="2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iCs/>
          <w:sz w:val="24"/>
          <w:szCs w:val="24"/>
          <w:rFonts w:ascii="Times New Roman" w:hAnsi="Times New Roman"/>
        </w:rPr>
        <w:t xml:space="preserve">Příloha I: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Obecná pravidla pro výpočet energetické a ekologické náročnosti</w:t>
      </w:r>
    </w:p>
    <w:p w:rsidR="00371CC6" w:rsidRPr="006C397D" w:rsidRDefault="00371CC6" w:rsidP="00371CC6">
      <w:pPr>
        <w:numPr>
          <w:ilvl w:val="0"/>
          <w:numId w:val="1"/>
        </w:numPr>
        <w:spacing w:after="0" w:line="240" w:lineRule="auto"/>
        <w:jc w:val="both"/>
        <w:rPr>
          <w:i/>
          <w:iCs/>
          <w:kern w:val="2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iCs/>
          <w:sz w:val="24"/>
          <w:szCs w:val="24"/>
          <w:rFonts w:ascii="Times New Roman" w:hAnsi="Times New Roman"/>
        </w:rPr>
        <w:t xml:space="preserve">Příloha II: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Způsob výpočtu „Th-BCE 2020“, který podrobně upravuje pravidla pro výpočet energetické náročnosti související s výpočetním nástrojem stanoveným v článku L.111-9-1-A zákoníku o výstavbě a bydlení</w:t>
      </w:r>
    </w:p>
    <w:p w:rsidR="00371CC6" w:rsidRPr="006C397D" w:rsidRDefault="00371CC6" w:rsidP="00371CC6">
      <w:pPr>
        <w:numPr>
          <w:ilvl w:val="0"/>
          <w:numId w:val="1"/>
        </w:numPr>
        <w:spacing w:after="0" w:line="240" w:lineRule="auto"/>
        <w:jc w:val="both"/>
        <w:rPr>
          <w:i/>
          <w:iCs/>
          <w:kern w:val="2"/>
          <w:sz w:val="24"/>
          <w:szCs w:val="24"/>
          <w:rFonts w:ascii="Times New Roman" w:eastAsia="Times New Roman" w:hAnsi="Times New Roman" w:cs="Times New Roman"/>
        </w:rPr>
      </w:pPr>
      <w:r>
        <w:rPr>
          <w:i/>
          <w:iCs/>
          <w:sz w:val="24"/>
          <w:szCs w:val="24"/>
          <w:rFonts w:ascii="Times New Roman" w:hAnsi="Times New Roman"/>
        </w:rPr>
        <w:t xml:space="preserve">Příloha III:</w:t>
      </w:r>
      <w:r>
        <w:rPr>
          <w:i/>
          <w:iCs/>
          <w:sz w:val="24"/>
          <w:szCs w:val="24"/>
          <w:rFonts w:ascii="Times New Roman" w:hAnsi="Times New Roman"/>
        </w:rPr>
        <w:t xml:space="preserve"> </w:t>
      </w:r>
      <w:r>
        <w:rPr>
          <w:i/>
          <w:iCs/>
          <w:sz w:val="24"/>
          <w:szCs w:val="24"/>
          <w:rFonts w:ascii="Times New Roman" w:hAnsi="Times New Roman"/>
        </w:rPr>
        <w:t xml:space="preserve">Pravidla „Th-Bat 2020“, která umožňují určit vstupní údaje pro výpočty energetické náročnosti budov pro účely regulačního výpočtu</w:t>
      </w:r>
    </w:p>
    <w:p w:rsidR="00121B80" w:rsidRPr="006C397D" w:rsidRDefault="00121B80" w:rsidP="00371CC6">
      <w:pPr>
        <w:spacing w:after="0" w:line="240" w:lineRule="auto"/>
        <w:jc w:val="both"/>
      </w:pPr>
    </w:p>
    <w:p w:rsidR="00121B80" w:rsidRPr="006C397D" w:rsidRDefault="00121B80">
      <w:pPr>
        <w:jc w:val="both"/>
      </w:pPr>
      <w:r>
        <w:rPr>
          <w:i/>
          <w:iCs/>
          <w:sz w:val="24"/>
          <w:szCs w:val="24"/>
          <w:u w:val="single"/>
          <w:rFonts w:ascii="Times New Roman" w:hAnsi="Times New Roman"/>
        </w:rPr>
        <w:t xml:space="preserve">Odkazy</w:t>
      </w:r>
      <w:r>
        <w:rPr>
          <w:i/>
          <w:iCs/>
          <w:sz w:val="24"/>
          <w:szCs w:val="24"/>
          <w:rFonts w:ascii="Times New Roman" w:hAnsi="Times New Roman"/>
        </w:rPr>
        <w:t xml:space="preserve"> text </w:t>
      </w:r>
      <w:r>
        <w:rPr>
          <w:i/>
          <w:iCs/>
          <w:sz w:val="24"/>
          <w:szCs w:val="24"/>
          <w:highlight w:val="yellow"/>
          <w:rFonts w:ascii="Times New Roman" w:hAnsi="Times New Roman"/>
        </w:rPr>
        <w:t xml:space="preserve">pozměněný</w:t>
      </w:r>
      <w:r>
        <w:rPr>
          <w:i/>
          <w:iCs/>
          <w:sz w:val="24"/>
          <w:szCs w:val="24"/>
          <w:rFonts w:ascii="Times New Roman" w:hAnsi="Times New Roman"/>
        </w:rPr>
        <w:t xml:space="preserve"> touto vyhláškou je k nahlédnutí v platném znění na internetových stránkách Legifrance (</w:t>
      </w:r>
      <w:hyperlink r:id="rId7" w:history="1">
        <w:r>
          <w:rPr>
            <w:rStyle w:val="Hyperlink"/>
            <w:i/>
            <w:iCs/>
            <w:sz w:val="24"/>
            <w:szCs w:val="24"/>
            <w:rFonts w:ascii="Times New Roman" w:hAnsi="Times New Roman"/>
          </w:rPr>
          <w:t xml:space="preserve">www.legifrance.gouv.fr</w:t>
        </w:r>
      </w:hyperlink>
      <w:r>
        <w:rPr>
          <w:i/>
          <w:iCs/>
          <w:sz w:val="24"/>
          <w:szCs w:val="24"/>
          <w:rFonts w:ascii="Times New Roman" w:hAnsi="Times New Roman"/>
        </w:rPr>
        <w:t xml:space="preserve">).</w:t>
      </w:r>
    </w:p>
    <w:p w:rsidR="00121B80" w:rsidRPr="006C397D" w:rsidRDefault="00121B80">
      <w:pPr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371CC6" w:rsidRPr="006C397D" w:rsidRDefault="00121B80" w:rsidP="00371CC6">
      <w:pPr>
        <w:pStyle w:val="SNAutorit"/>
        <w:pageBreakBefore/>
        <w:suppressAutoHyphens w:val="0"/>
        <w:ind w:firstLine="0"/>
        <w:jc w:val="both"/>
        <w:rPr>
          <w:b w:val="0"/>
        </w:rPr>
      </w:pPr>
      <w:r>
        <w:rPr>
          <w:b w:val="0"/>
          <w:highlight w:val="yellow"/>
        </w:rPr>
        <w:t xml:space="preserve">Ministryně pro ekologický přechod, náměstkyně ministra při ministerstvu pro ekologický přechod pověřená problematikou bydlení,</w:t>
      </w:r>
    </w:p>
    <w:p w:rsidR="000A64C4" w:rsidRPr="006C397D" w:rsidRDefault="00972FD1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 ohledem na směrnici Evropského parlamentu a Rady (EU) 2015/1535 ze dne 9. září 2015 o postupu při poskytování informací v oblasti technických předpisů a předpisů pro služby informační společnosti (kodifikované znění), a zejména na oznámení č. </w:t>
      </w:r>
      <w:r>
        <w:rPr>
          <w:sz w:val="24"/>
          <w:szCs w:val="24"/>
          <w:highlight w:val="yellow"/>
          <w:rFonts w:ascii="Times New Roman" w:hAnsi="Times New Roman"/>
        </w:rPr>
        <w:t xml:space="preserve">rok/XXX/F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směrnici Evropského parlamentu a Rady 2010/31/EU ze dne 19. května 2010 o energetické náročnosti budov, ve znění směrnice Evropského parlamentu a Rady (EU) 2018/844 ze dne 30. května 2018, a zejména na její články 3, 4 a 6;</w:t>
      </w:r>
    </w:p>
    <w:p w:rsidR="00837B47" w:rsidRPr="006C397D" w:rsidRDefault="00837B47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zákoník o výstavbě a bydlení, a zejména na jeho článek R.111-20-5;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vyhlášku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 o požadavcích na energetickou a ekologickou náročnost výstavby obytných a kancelářských budov nebo budov základních a středních škol v kontinentální Francii;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připomínky předložené během veřejného projednávání, které se uskutečnilo ve dnech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 až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 podle článku L. 120-1 zákoníku životního prostředí;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stanovisko </w:t>
      </w:r>
      <w:r>
        <w:rPr>
          <w:sz w:val="24"/>
          <w:szCs w:val="24"/>
          <w:highlight w:val="yellow"/>
          <w:rFonts w:ascii="Times New Roman" w:hAnsi="Times New Roman"/>
        </w:rPr>
        <w:t xml:space="preserve">národní rady pro hodnocení norem </w:t>
      </w:r>
      <w:r>
        <w:rPr>
          <w:sz w:val="24"/>
          <w:szCs w:val="24"/>
          <w:rFonts w:ascii="Times New Roman" w:hAnsi="Times New Roman"/>
        </w:rPr>
        <w:t xml:space="preserve">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stanovisko </w:t>
      </w:r>
      <w:r>
        <w:rPr>
          <w:sz w:val="24"/>
          <w:szCs w:val="24"/>
          <w:highlight w:val="yellow"/>
          <w:rFonts w:ascii="Times New Roman" w:hAnsi="Times New Roman"/>
        </w:rPr>
        <w:t xml:space="preserve">vrchní rady pro energetiku</w:t>
      </w:r>
      <w:r>
        <w:rPr>
          <w:sz w:val="24"/>
          <w:szCs w:val="24"/>
          <w:rFonts w:ascii="Times New Roman" w:hAnsi="Times New Roman"/>
        </w:rPr>
        <w:t xml:space="preserve">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stanovisko vrchní rady pro stavebnictví a energetickou účinnost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dopis shromáždění Francouzské Guyany s žádostí o vypracování stanoviska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dopis shromáždění Martiniku s žádostí o vypracování stanoviska ze dne 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dopis rady departementu Guadeloupe s žádostí o vypracování stanoviska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dopis rady departementu Réunion žádostí o vypracování stanoviska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dopis regionální rady Guadeloupu s žádostí o vypracování stanoviska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dopis regionální rady Réunionu s žádostí o vypracování stanoviska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121B80" w:rsidRPr="006C397D" w:rsidRDefault="00371CC6" w:rsidP="00371CC6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 ohledem na dopis rady departementu Mayotte s žádostí o vypracování stanoviska ze dne </w:t>
      </w:r>
      <w:r>
        <w:rPr>
          <w:sz w:val="24"/>
          <w:szCs w:val="24"/>
          <w:highlight w:val="yellow"/>
          <w:rFonts w:ascii="Times New Roman" w:hAnsi="Times New Roman"/>
        </w:rPr>
        <w:t xml:space="preserve">XXX</w:t>
      </w:r>
      <w:r>
        <w:rPr>
          <w:sz w:val="24"/>
          <w:szCs w:val="24"/>
          <w:rFonts w:ascii="Times New Roman" w:hAnsi="Times New Roman"/>
        </w:rPr>
        <w:t xml:space="preserve">;</w:t>
      </w:r>
    </w:p>
    <w:p w:rsidR="00371CC6" w:rsidRPr="006C397D" w:rsidRDefault="00371CC6" w:rsidP="00371C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121B8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121B80" w:rsidP="006C397D">
      <w:pPr>
        <w:keepNext/>
        <w:widowControl w:val="0"/>
        <w:spacing w:after="0" w:line="240" w:lineRule="auto"/>
        <w:jc w:val="center"/>
      </w:pPr>
      <w:r>
        <w:rPr>
          <w:b/>
          <w:sz w:val="24"/>
          <w:szCs w:val="24"/>
          <w:rFonts w:ascii="Times New Roman" w:hAnsi="Times New Roman"/>
        </w:rPr>
        <w:t xml:space="preserve">nařizují:</w:t>
      </w:r>
    </w:p>
    <w:p w:rsidR="00121B80" w:rsidRPr="006C397D" w:rsidRDefault="00121B80" w:rsidP="006C397D">
      <w:pPr>
        <w:keepNext/>
        <w:widowControl w:val="0"/>
        <w:spacing w:after="0" w:line="240" w:lineRule="auto"/>
      </w:pPr>
      <w:r>
        <w:rPr>
          <w:sz w:val="24"/>
          <w:szCs w:val="24"/>
          <w:rFonts w:ascii="Times New Roman" w:hAnsi="Times New Roman"/>
        </w:rPr>
        <w:t xml:space="preserve"> </w:t>
      </w:r>
    </w:p>
    <w:p w:rsidR="00121B80" w:rsidRPr="006C397D" w:rsidRDefault="00121B80" w:rsidP="006C397D">
      <w:pPr>
        <w:keepNext/>
        <w:widowControl w:val="0"/>
        <w:tabs>
          <w:tab w:val="left" w:pos="3030"/>
        </w:tabs>
        <w:spacing w:after="0" w:line="240" w:lineRule="auto"/>
      </w:pPr>
      <w:r>
        <w:rPr>
          <w:sz w:val="24"/>
          <w:szCs w:val="24"/>
          <w:rFonts w:ascii="Times New Roman" w:hAnsi="Times New Roman"/>
        </w:rPr>
        <w:t xml:space="preserve"> </w:t>
      </w:r>
    </w:p>
    <w:p w:rsidR="00121B80" w:rsidRPr="006C397D" w:rsidRDefault="00121B80" w:rsidP="006C397D">
      <w:pPr>
        <w:pStyle w:val="SNArticle"/>
        <w:keepNext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Článek 1</w:t>
      </w:r>
    </w:p>
    <w:p w:rsidR="00121B80" w:rsidRPr="006C397D" w:rsidRDefault="00371CC6">
      <w:pPr>
        <w:widowControl w:val="0"/>
        <w:spacing w:after="0" w:line="240" w:lineRule="auto"/>
        <w:rPr>
          <w:bCs/>
          <w:sz w:val="24"/>
          <w:szCs w:val="24"/>
          <w:rFonts w:ascii="Times New Roman" w:hAnsi="Times New Roman" w:cs="Times New Roman"/>
        </w:rPr>
      </w:pPr>
      <w:r>
        <w:rPr>
          <w:bCs/>
          <w:sz w:val="24"/>
          <w:szCs w:val="24"/>
          <w:rFonts w:ascii="Times New Roman" w:hAnsi="Times New Roman"/>
        </w:rPr>
        <w:t xml:space="preserve">Metoda výpočtu připojená k této vyhlášce a stanovená v článku R.111-20-5 zákoníku o výstavbě a bydlení se schvaluje.</w:t>
      </w:r>
    </w:p>
    <w:p w:rsidR="001776C9" w:rsidRPr="006C397D" w:rsidRDefault="001776C9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397D" w:rsidRPr="006C397D" w:rsidRDefault="006C397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21B80" w:rsidRPr="006C397D" w:rsidRDefault="00121B80" w:rsidP="006C397D">
      <w:pPr>
        <w:keepNext/>
        <w:widowControl w:val="0"/>
        <w:spacing w:after="0" w:line="240" w:lineRule="auto"/>
        <w:jc w:val="center"/>
      </w:pPr>
      <w:r>
        <w:rPr>
          <w:b/>
          <w:bCs/>
          <w:sz w:val="24"/>
          <w:szCs w:val="24"/>
          <w:rFonts w:ascii="Times New Roman" w:hAnsi="Times New Roman"/>
        </w:rPr>
        <w:t xml:space="preserve">Článek 2</w:t>
      </w:r>
    </w:p>
    <w:p w:rsidR="00121B80" w:rsidRPr="006C397D" w:rsidRDefault="00121B80" w:rsidP="006C397D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1B80" w:rsidRPr="006C397D" w:rsidRDefault="00371CC6" w:rsidP="006C397D">
      <w:pPr>
        <w:widowControl w:val="0"/>
        <w:spacing w:after="0" w:line="240" w:lineRule="auto"/>
        <w:jc w:val="both"/>
      </w:pPr>
      <w:r>
        <w:rPr>
          <w:color w:val="000000"/>
          <w:sz w:val="24"/>
          <w:szCs w:val="24"/>
          <w:rFonts w:ascii="Times New Roman" w:hAnsi="Times New Roman"/>
        </w:rPr>
        <w:t xml:space="preserve">Prováděním této vyhlášky, která bude vyhlášena v Úředním věstníku ministerstva pro ekologický a solidární přechod, jsou pověřeni, každý ve své působnosti, ředitel pro výstavbu, urbanismus a krajinu a generální ředitel pro energetiku a klima.</w:t>
      </w:r>
    </w:p>
    <w:p w:rsidR="00121B80" w:rsidRPr="006C397D" w:rsidRDefault="00121B80">
      <w:pPr>
        <w:widowControl w:val="0"/>
        <w:spacing w:after="0" w:line="240" w:lineRule="auto"/>
        <w:jc w:val="both"/>
      </w:pPr>
    </w:p>
    <w:p w:rsidR="00121B80" w:rsidRPr="006C397D" w:rsidRDefault="00121B80">
      <w:pPr>
        <w:widowControl w:val="0"/>
        <w:spacing w:after="0" w:line="240" w:lineRule="auto"/>
      </w:pPr>
    </w:p>
    <w:p w:rsidR="00121B80" w:rsidRPr="006C397D" w:rsidRDefault="00121B80">
      <w:pPr>
        <w:pStyle w:val="SNSignature"/>
        <w:ind w:firstLine="0"/>
        <w:jc w:val="right"/>
      </w:pPr>
    </w:p>
    <w:p w:rsidR="00121B80" w:rsidRPr="006C397D" w:rsidRDefault="00121B80">
      <w:pPr>
        <w:pStyle w:val="SNSignature"/>
        <w:ind w:firstLine="0"/>
        <w:jc w:val="right"/>
      </w:pPr>
    </w:p>
    <w:p w:rsidR="00121B80" w:rsidRPr="006C397D" w:rsidRDefault="00121B80">
      <w:pPr>
        <w:pStyle w:val="SNSignature"/>
        <w:ind w:firstLine="0"/>
      </w:pPr>
    </w:p>
    <w:p w:rsidR="00121B80" w:rsidRPr="006C397D" w:rsidRDefault="00121B80">
      <w:pPr>
        <w:widowControl w:val="0"/>
        <w:spacing w:after="0" w:line="240" w:lineRule="auto"/>
      </w:pPr>
    </w:p>
    <w:p w:rsidR="00121B80" w:rsidRPr="006C397D" w:rsidRDefault="00121B80">
      <w:pPr>
        <w:pStyle w:val="SNSignatureDroite"/>
        <w:jc w:val="left"/>
      </w:pPr>
      <w:r>
        <w:t xml:space="preserve">Ministryně pro ekologický přechod</w:t>
      </w:r>
      <w:r>
        <w:t xml:space="preserve"> </w:t>
      </w:r>
    </w:p>
    <w:p w:rsidR="00121B80" w:rsidRPr="006C397D" w:rsidRDefault="00121B80">
      <w:pPr>
        <w:pStyle w:val="SNSignatureDroite"/>
        <w:jc w:val="left"/>
      </w:pPr>
      <w:r>
        <w:t xml:space="preserve">Za</w:t>
      </w:r>
      <w:r>
        <w:rPr>
          <w:color w:val="000000"/>
        </w:rPr>
        <w:t xml:space="preserve"> ministryni </w:t>
      </w:r>
      <w:r>
        <w:t xml:space="preserve">a na základě pověření:</w:t>
      </w:r>
    </w:p>
    <w:p w:rsidR="00371CC6" w:rsidRPr="006C397D" w:rsidRDefault="00121B80">
      <w:pPr>
        <w:pStyle w:val="SNSignatureDroite"/>
        <w:jc w:val="left"/>
      </w:pPr>
      <w:r>
        <w:t xml:space="preserve">Ředitel pro výstavbu, urbanismus a krajinu,</w:t>
      </w:r>
    </w:p>
    <w:p w:rsidR="00121B80" w:rsidRPr="006C397D" w:rsidRDefault="00121B80">
      <w:pPr>
        <w:pStyle w:val="SNSignatureDroite"/>
        <w:jc w:val="left"/>
      </w:pPr>
    </w:p>
    <w:p w:rsidR="00121B80" w:rsidRPr="006C397D" w:rsidRDefault="00121B80">
      <w:pPr>
        <w:pStyle w:val="SNSignatureDroite"/>
        <w:jc w:val="left"/>
      </w:pPr>
    </w:p>
    <w:p w:rsidR="00121B80" w:rsidRPr="006C397D" w:rsidRDefault="00121B80">
      <w:pPr>
        <w:pStyle w:val="SNSignatureDroite"/>
        <w:jc w:val="left"/>
      </w:pPr>
    </w:p>
    <w:p w:rsidR="00121B80" w:rsidRPr="006C397D" w:rsidRDefault="00121B80">
      <w:pPr>
        <w:pStyle w:val="SNSignatureDroite"/>
        <w:jc w:val="left"/>
      </w:pPr>
    </w:p>
    <w:p w:rsidR="00121B80" w:rsidRPr="006C397D" w:rsidRDefault="00121B80">
      <w:pPr>
        <w:pStyle w:val="SNSignatureDroite"/>
        <w:jc w:val="left"/>
      </w:pPr>
    </w:p>
    <w:p w:rsidR="00121B80" w:rsidRPr="006C397D" w:rsidRDefault="00121B80">
      <w:pPr>
        <w:pStyle w:val="SNSignature"/>
        <w:ind w:firstLine="0"/>
      </w:pPr>
    </w:p>
    <w:p w:rsidR="00121B80" w:rsidRPr="006C397D" w:rsidRDefault="00121B80">
      <w:pPr>
        <w:pStyle w:val="SNSignature"/>
        <w:ind w:firstLine="0"/>
        <w:jc w:val="right"/>
      </w:pPr>
      <w:r>
        <w:t xml:space="preserve">Ministryně pro ekologický přechod,</w:t>
      </w:r>
    </w:p>
    <w:p w:rsidR="00121B80" w:rsidRPr="006C397D" w:rsidRDefault="00121B80">
      <w:pPr>
        <w:pStyle w:val="SNSignature"/>
        <w:ind w:firstLine="0"/>
        <w:jc w:val="right"/>
      </w:pPr>
      <w:r>
        <w:t xml:space="preserve">Za ministryni a na základě pověření:</w:t>
      </w:r>
    </w:p>
    <w:p w:rsidR="00121B80" w:rsidRPr="006C397D" w:rsidRDefault="00121B80">
      <w:pPr>
        <w:pStyle w:val="SNSignature"/>
        <w:ind w:firstLine="0"/>
        <w:jc w:val="right"/>
      </w:pPr>
      <w:r>
        <w:rPr>
          <w:color w:val="000000"/>
        </w:rPr>
        <w:t xml:space="preserve">Generální ředitel pro energetiku a klima</w:t>
      </w:r>
      <w:r>
        <w:t xml:space="preserve">,</w:t>
      </w:r>
    </w:p>
    <w:p w:rsidR="00121B80" w:rsidRPr="006C397D" w:rsidRDefault="00121B80">
      <w:pPr>
        <w:pStyle w:val="SNSignature"/>
        <w:ind w:firstLine="0"/>
        <w:jc w:val="right"/>
      </w:pPr>
    </w:p>
    <w:p w:rsidR="00121B80" w:rsidRPr="006C397D" w:rsidRDefault="00121B80">
      <w:pPr>
        <w:pStyle w:val="SNSignature"/>
        <w:ind w:firstLine="0"/>
        <w:jc w:val="right"/>
      </w:pPr>
    </w:p>
    <w:p w:rsidR="00121B80" w:rsidRPr="006C397D" w:rsidRDefault="00121B80">
      <w:pPr>
        <w:pStyle w:val="SNSignature"/>
        <w:ind w:firstLine="0"/>
        <w:jc w:val="right"/>
      </w:pPr>
    </w:p>
    <w:p w:rsidR="00121B80" w:rsidRPr="006C397D" w:rsidRDefault="00121B80">
      <w:pPr>
        <w:pStyle w:val="SNSignature"/>
        <w:ind w:firstLine="0"/>
      </w:pPr>
    </w:p>
    <w:p w:rsidR="00121B80" w:rsidRPr="006C397D" w:rsidRDefault="00121B80">
      <w:pPr>
        <w:pStyle w:val="SNSignature"/>
        <w:ind w:firstLine="0"/>
      </w:pPr>
    </w:p>
    <w:p w:rsidR="00121B80" w:rsidRPr="006C397D" w:rsidRDefault="00121B80">
      <w:pPr>
        <w:pStyle w:val="SNSignatureDroite"/>
        <w:jc w:val="left"/>
      </w:pPr>
      <w:r>
        <w:t xml:space="preserve">Náměstkyně ministra při ministerstvu pro ekologický přechod</w:t>
      </w:r>
      <w:r>
        <w:t xml:space="preserve"> </w:t>
      </w:r>
    </w:p>
    <w:p w:rsidR="00121B80" w:rsidRPr="006C397D" w:rsidRDefault="00121B80">
      <w:pPr>
        <w:pStyle w:val="SNSignatureDroite"/>
        <w:jc w:val="left"/>
      </w:pPr>
      <w:r>
        <w:t xml:space="preserve">pověřená problematikou bydlení</w:t>
      </w:r>
    </w:p>
    <w:p w:rsidR="00121B80" w:rsidRPr="006C397D" w:rsidRDefault="00121B80">
      <w:pPr>
        <w:pStyle w:val="SNSignatureDroite"/>
        <w:jc w:val="left"/>
      </w:pPr>
      <w:r>
        <w:t xml:space="preserve">Za ministryni a na základě pověření:</w:t>
      </w:r>
    </w:p>
    <w:p w:rsidR="00121B80" w:rsidRPr="006C397D" w:rsidRDefault="00121B80">
      <w:pPr>
        <w:pStyle w:val="SNSignatureDroite"/>
        <w:jc w:val="left"/>
      </w:pPr>
      <w:r>
        <w:t xml:space="preserve">Ředitel pro výstavbu, urbanismus a krajinu,</w:t>
      </w:r>
    </w:p>
    <w:sectPr w:rsidR="00121B80" w:rsidRPr="006C397D">
      <w:pgSz w:w="11906" w:h="16838"/>
      <w:pgMar w:top="1133" w:right="1133" w:bottom="1133" w:left="1133" w:header="720" w:footer="720" w:gutter="0"/>
      <w:cols w:space="72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9A1" w:rsidRDefault="00D269A1" w:rsidP="0079276F">
      <w:pPr>
        <w:spacing w:after="0" w:line="240" w:lineRule="auto"/>
      </w:pPr>
      <w:r>
        <w:separator/>
      </w:r>
    </w:p>
  </w:endnote>
  <w:endnote w:type="continuationSeparator" w:id="0">
    <w:p w:rsidR="00D269A1" w:rsidRDefault="00D269A1" w:rsidP="0079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43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9A1" w:rsidRDefault="00D269A1" w:rsidP="0079276F">
      <w:pPr>
        <w:spacing w:after="0" w:line="240" w:lineRule="auto"/>
      </w:pPr>
      <w:r>
        <w:separator/>
      </w:r>
    </w:p>
  </w:footnote>
  <w:footnote w:type="continuationSeparator" w:id="0">
    <w:p w:rsidR="00D269A1" w:rsidRDefault="00D269A1" w:rsidP="00792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48612A"/>
    <w:multiLevelType w:val="hybridMultilevel"/>
    <w:tmpl w:val="596E649E"/>
    <w:lvl w:ilvl="0" w:tplc="DC8EE016">
      <w:start w:val="2"/>
      <w:numFmt w:val="bullet"/>
      <w:lvlText w:val="-"/>
      <w:lvlJc w:val="left"/>
      <w:pPr>
        <w:ind w:left="720" w:hanging="360"/>
      </w:pPr>
      <w:rPr>
        <w:rFonts w:ascii="Times New Roman" w:eastAsia="font443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dirty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C7E"/>
    <w:rsid w:val="000370CB"/>
    <w:rsid w:val="000A64C4"/>
    <w:rsid w:val="00121B80"/>
    <w:rsid w:val="001776C9"/>
    <w:rsid w:val="002B5C7E"/>
    <w:rsid w:val="00304F7E"/>
    <w:rsid w:val="003305DB"/>
    <w:rsid w:val="00371CC6"/>
    <w:rsid w:val="0049409A"/>
    <w:rsid w:val="006C397D"/>
    <w:rsid w:val="0078501D"/>
    <w:rsid w:val="0079276F"/>
    <w:rsid w:val="00837B47"/>
    <w:rsid w:val="00890FE9"/>
    <w:rsid w:val="008F5F95"/>
    <w:rsid w:val="00971E35"/>
    <w:rsid w:val="00972FD1"/>
    <w:rsid w:val="00A73D1D"/>
    <w:rsid w:val="00A92569"/>
    <w:rsid w:val="00AA1C12"/>
    <w:rsid w:val="00D125B4"/>
    <w:rsid w:val="00D269A1"/>
    <w:rsid w:val="00D85F5D"/>
    <w:rsid w:val="00F4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BE0C78"/>
  <w15:chartTrackingRefBased/>
  <w15:docId w15:val="{43D3994F-6DA6-47FF-AAD0-60A77FDF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font443" w:hAnsi="Calibri" w:cs="font443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lev1">
    <w:name w:val="Élevé1"/>
    <w:rPr>
      <w:b/>
      <w:bCs/>
    </w:rPr>
  </w:style>
  <w:style w:type="character" w:customStyle="1" w:styleId="CorpsdetexteCar">
    <w:name w:val="Corps de texte Car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SNArticleCar">
    <w:name w:val="SNArticle Car"/>
    <w:rPr>
      <w:b/>
      <w:sz w:val="24"/>
      <w:szCs w:val="24"/>
    </w:rPr>
  </w:style>
  <w:style w:type="character" w:styleId="Hyperlink">
    <w:name w:val="Hyperlink"/>
    <w:rPr>
      <w:color w:val="0563C1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CommentaireCar">
    <w:name w:val="Commentaire Car"/>
    <w:rPr>
      <w:sz w:val="20"/>
      <w:szCs w:val="20"/>
    </w:rPr>
  </w:style>
  <w:style w:type="character" w:customStyle="1" w:styleId="ObjetducommentaireCar">
    <w:name w:val="Objet du commentaire Car"/>
    <w:rPr>
      <w:b/>
      <w:bCs/>
      <w:sz w:val="20"/>
      <w:szCs w:val="20"/>
    </w:rPr>
  </w:style>
  <w:style w:type="character" w:customStyle="1" w:styleId="TextedebullesCar">
    <w:name w:val="Texte de bulles Car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font443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font443" w:cs="Times New Roman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ascii="Times New Roman" w:hAnsi="Times New Roman" w:cs="Times New Roman"/>
      <w:i/>
      <w:iCs/>
      <w:sz w:val="24"/>
      <w:szCs w:val="24"/>
    </w:rPr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SNNORCentr">
    <w:name w:val="SNNOR+Centré"/>
    <w:next w:val="Normal"/>
    <w:pPr>
      <w:suppressAutoHyphens/>
      <w:jc w:val="center"/>
    </w:pPr>
    <w:rPr>
      <w:bCs/>
      <w:kern w:val="2"/>
      <w:sz w:val="24"/>
      <w:lang w:eastAsia="zh-CN"/>
    </w:rPr>
  </w:style>
  <w:style w:type="paragraph" w:customStyle="1" w:styleId="Corpsdetexte21">
    <w:name w:val="Corps de texte 21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pPr>
      <w:spacing w:before="100" w:after="119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">
    <w:name w:val="SNSignature"/>
    <w:basedOn w:val="Normal"/>
    <w:pPr>
      <w:spacing w:after="0" w:line="240" w:lineRule="auto"/>
      <w:ind w:firstLine="72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SignatureDroite">
    <w:name w:val="SNSignature Droite"/>
    <w:basedOn w:val="Normal"/>
    <w:pPr>
      <w:spacing w:after="0" w:line="240" w:lineRule="auto"/>
      <w:jc w:val="right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NAutorit">
    <w:name w:val="SNAutorité"/>
    <w:basedOn w:val="Normal"/>
    <w:pPr>
      <w:spacing w:before="720" w:after="240" w:line="240" w:lineRule="auto"/>
      <w:ind w:firstLine="720"/>
    </w:pPr>
    <w:rPr>
      <w:rFonts w:ascii="Times New Roman" w:eastAsia="Times New Roman" w:hAnsi="Times New Roman" w:cs="Times New Roman"/>
      <w:b/>
      <w:kern w:val="2"/>
      <w:sz w:val="24"/>
      <w:szCs w:val="24"/>
      <w:lang w:eastAsia="zh-CN"/>
    </w:rPr>
  </w:style>
  <w:style w:type="paragraph" w:customStyle="1" w:styleId="SNVisa">
    <w:name w:val="SNVisa"/>
    <w:basedOn w:val="Normal"/>
    <w:pPr>
      <w:spacing w:before="120" w:after="12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Article">
    <w:name w:val="SNArticle"/>
    <w:basedOn w:val="Normal"/>
    <w:next w:val="BodyText"/>
    <w:pPr>
      <w:spacing w:before="240" w:after="240" w:line="240" w:lineRule="auto"/>
      <w:jc w:val="center"/>
    </w:pPr>
    <w:rPr>
      <w:b/>
      <w:sz w:val="24"/>
      <w:szCs w:val="24"/>
    </w:rPr>
  </w:style>
  <w:style w:type="paragraph" w:customStyle="1" w:styleId="Paragraphedeliste1">
    <w:name w:val="Paragraphe de liste1"/>
    <w:basedOn w:val="Normal"/>
    <w:pPr>
      <w:ind w:left="720"/>
      <w:contextualSpacing/>
    </w:pPr>
  </w:style>
  <w:style w:type="paragraph" w:customStyle="1" w:styleId="SNREPUBLIQUE">
    <w:name w:val="SNREPUBLIQUE"/>
    <w:basedOn w:val="Normal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"/>
      <w:sz w:val="24"/>
      <w:szCs w:val="20"/>
      <w:lang w:eastAsia="zh-CN"/>
    </w:rPr>
  </w:style>
  <w:style w:type="paragraph" w:customStyle="1" w:styleId="SNTimbre">
    <w:name w:val="SNTimbre"/>
    <w:basedOn w:val="Normal"/>
    <w:pPr>
      <w:widowControl w:val="0"/>
      <w:snapToGrid w:val="0"/>
      <w:spacing w:before="120" w:after="0" w:line="240" w:lineRule="auto"/>
      <w:jc w:val="center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customStyle="1" w:styleId="Commentaire1">
    <w:name w:val="Commentaire1"/>
    <w:basedOn w:val="Normal"/>
    <w:pPr>
      <w:spacing w:line="240" w:lineRule="auto"/>
    </w:pPr>
    <w:rPr>
      <w:sz w:val="20"/>
      <w:szCs w:val="20"/>
    </w:rPr>
  </w:style>
  <w:style w:type="paragraph" w:customStyle="1" w:styleId="Objetducommentaire1">
    <w:name w:val="Objet du commentaire1"/>
    <w:basedOn w:val="Commentaire1"/>
    <w:next w:val="Commentaire1"/>
    <w:rPr>
      <w:b/>
      <w:bCs/>
    </w:rPr>
  </w:style>
  <w:style w:type="paragraph" w:customStyle="1" w:styleId="Textedebulles1">
    <w:name w:val="Texte de bulles1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Rvision1">
    <w:name w:val="Révision1"/>
    <w:pPr>
      <w:suppressAutoHyphens/>
    </w:pPr>
    <w:rPr>
      <w:rFonts w:ascii="Calibri" w:eastAsia="font443" w:hAnsi="Calibri" w:cs="font443"/>
      <w:sz w:val="22"/>
      <w:szCs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styleId="CommentReference">
    <w:name w:val="annotation reference"/>
    <w:uiPriority w:val="99"/>
    <w:semiHidden/>
    <w:unhideWhenUsed/>
    <w:rsid w:val="00371C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CC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71CC6"/>
    <w:rPr>
      <w:rFonts w:ascii="Calibri" w:eastAsia="font443" w:hAnsi="Calibri" w:cs="font443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C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1CC6"/>
    <w:rPr>
      <w:rFonts w:ascii="Calibri" w:eastAsia="font443" w:hAnsi="Calibri" w:cs="font443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71CC6"/>
    <w:rPr>
      <w:rFonts w:ascii="Segoe UI" w:eastAsia="font443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8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gifrance.gouv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4875</CharactersWithSpaces>
  <SharedDoc>false</SharedDoc>
  <HLinks>
    <vt:vector size="6" baseType="variant">
      <vt:variant>
        <vt:i4>3801195</vt:i4>
      </vt:variant>
      <vt:variant>
        <vt:i4>0</vt:i4>
      </vt:variant>
      <vt:variant>
        <vt:i4>0</vt:i4>
      </vt:variant>
      <vt:variant>
        <vt:i4>5</vt:i4>
      </vt:variant>
      <vt:variant>
        <vt:lpwstr>http://www.legifrance.gouv.fr/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THIEBAUT Alois V0.10</dc:creator>
  <cp:keywords/>
  <cp:lastModifiedBy>Liu, Lei</cp:lastModifiedBy>
  <cp:revision>5</cp:revision>
  <cp:lastPrinted>1899-12-31T23:00:00Z</cp:lastPrinted>
  <dcterms:created xsi:type="dcterms:W3CDTF">2020-12-11T13:33:00Z</dcterms:created>
  <dcterms:modified xsi:type="dcterms:W3CDTF">2020-12-14T13:00:00Z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jforCreatedThisOn">
    <vt:lpwstr>Wed Jan 15 14:01:39 CET 2020</vt:lpwstr>
  </property>
  <property fmtid="{D5CDD505-2E9C-101B-9397-08002B2CF9AE}" pid="9" name="jforVersion">
    <vt:lpwstr>jfor V0.7.2rc1 - see http://www.jfor.org</vt:lpwstr>
  </property>
</Properties>
</file>