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14" w:type="dxa"/>
        <w:tblLayout w:type="fixed"/>
        <w:tblCellMar>
          <w:top w:w="57" w:type="dxa"/>
          <w:left w:w="57" w:type="dxa"/>
          <w:bottom w:w="57" w:type="dxa"/>
          <w:right w:w="57" w:type="dxa"/>
        </w:tblCellMar>
        <w:tblLook w:val="0000" w:firstRow="0" w:lastRow="0" w:firstColumn="0" w:lastColumn="0" w:noHBand="0" w:noVBand="0"/>
      </w:tblPr>
      <w:tblGrid>
        <w:gridCol w:w="1527"/>
        <w:gridCol w:w="968"/>
        <w:gridCol w:w="1487"/>
      </w:tblGrid>
      <w:tr w:rsidR="00CA4953" w14:paraId="57A3E47C" w14:textId="77777777" w:rsidTr="004E6D76">
        <w:trPr>
          <w:cantSplit/>
        </w:trPr>
        <w:tc>
          <w:tcPr>
            <w:tcW w:w="3982" w:type="dxa"/>
            <w:gridSpan w:val="3"/>
            <w:shd w:val="clear" w:color="auto" w:fill="auto"/>
          </w:tcPr>
          <w:p w14:paraId="4FA3BD59" w14:textId="77777777" w:rsidR="00CA4953" w:rsidRPr="00371CC6" w:rsidRDefault="00CA4953" w:rsidP="004E6D76">
            <w:pPr>
              <w:pStyle w:val="SNREPUBLIQUE"/>
              <w:snapToGrid w:val="0"/>
            </w:pPr>
            <w:r w:rsidRPr="00371CC6">
              <w:t>RÉPUBLIQUE FRANÇAISE</w:t>
            </w:r>
          </w:p>
        </w:tc>
      </w:tr>
      <w:tr w:rsidR="00CA4953" w14:paraId="5DD85856" w14:textId="77777777" w:rsidTr="004E6D76">
        <w:trPr>
          <w:cantSplit/>
          <w:trHeight w:hRule="exact" w:val="113"/>
        </w:trPr>
        <w:tc>
          <w:tcPr>
            <w:tcW w:w="1527" w:type="dxa"/>
            <w:shd w:val="clear" w:color="auto" w:fill="auto"/>
          </w:tcPr>
          <w:p w14:paraId="45814B21" w14:textId="77777777" w:rsidR="00CA4953" w:rsidRPr="00371CC6" w:rsidRDefault="00CA4953" w:rsidP="004E6D76">
            <w:pPr>
              <w:snapToGrid w:val="0"/>
            </w:pPr>
          </w:p>
        </w:tc>
        <w:tc>
          <w:tcPr>
            <w:tcW w:w="968" w:type="dxa"/>
            <w:tcBorders>
              <w:bottom w:val="single" w:sz="1" w:space="0" w:color="000000"/>
            </w:tcBorders>
            <w:shd w:val="clear" w:color="auto" w:fill="auto"/>
          </w:tcPr>
          <w:p w14:paraId="0C2C01EA" w14:textId="77777777" w:rsidR="00CA4953" w:rsidRPr="00371CC6" w:rsidRDefault="00CA4953" w:rsidP="004E6D76">
            <w:pPr>
              <w:snapToGrid w:val="0"/>
            </w:pPr>
          </w:p>
        </w:tc>
        <w:tc>
          <w:tcPr>
            <w:tcW w:w="1487" w:type="dxa"/>
            <w:shd w:val="clear" w:color="auto" w:fill="auto"/>
          </w:tcPr>
          <w:p w14:paraId="0F522815" w14:textId="77777777" w:rsidR="00CA4953" w:rsidRPr="00371CC6" w:rsidRDefault="00CA4953" w:rsidP="004E6D76">
            <w:pPr>
              <w:snapToGrid w:val="0"/>
            </w:pPr>
          </w:p>
        </w:tc>
      </w:tr>
      <w:tr w:rsidR="00CA4953" w14:paraId="586054DD" w14:textId="77777777" w:rsidTr="004E6D76">
        <w:trPr>
          <w:cantSplit/>
        </w:trPr>
        <w:tc>
          <w:tcPr>
            <w:tcW w:w="3982" w:type="dxa"/>
            <w:gridSpan w:val="3"/>
            <w:shd w:val="clear" w:color="auto" w:fill="auto"/>
          </w:tcPr>
          <w:p w14:paraId="4FC1C99C" w14:textId="77777777" w:rsidR="00CA4953" w:rsidRPr="00371CC6" w:rsidRDefault="00CA4953" w:rsidP="004E6D76">
            <w:pPr>
              <w:pStyle w:val="SNTimbre"/>
            </w:pPr>
            <w:r w:rsidRPr="00371CC6">
              <w:t xml:space="preserve">Ministère de la transition écologique </w:t>
            </w:r>
          </w:p>
        </w:tc>
      </w:tr>
      <w:tr w:rsidR="00CA4953" w14:paraId="7E6B0491" w14:textId="77777777" w:rsidTr="004E6D76">
        <w:trPr>
          <w:cantSplit/>
        </w:trPr>
        <w:tc>
          <w:tcPr>
            <w:tcW w:w="3982" w:type="dxa"/>
            <w:gridSpan w:val="3"/>
            <w:shd w:val="clear" w:color="auto" w:fill="auto"/>
          </w:tcPr>
          <w:p w14:paraId="02A49168" w14:textId="3FFCF30C" w:rsidR="00CA4953" w:rsidRPr="00371CC6" w:rsidRDefault="00CA4953" w:rsidP="004E6D76">
            <w:pPr>
              <w:pStyle w:val="SNTimbre"/>
              <w:jc w:val="left"/>
            </w:pPr>
            <w:r w:rsidRPr="00371CC6">
              <w:rPr>
                <w:noProof/>
                <w:lang w:eastAsia="fr-FR"/>
              </w:rPr>
              <mc:AlternateContent>
                <mc:Choice Requires="wps">
                  <w:drawing>
                    <wp:anchor distT="0" distB="0" distL="114300" distR="114300" simplePos="0" relativeHeight="251659264" behindDoc="0" locked="0" layoutInCell="1" allowOverlap="1" wp14:anchorId="68A9A820" wp14:editId="3ABB56C7">
                      <wp:simplePos x="0" y="0"/>
                      <wp:positionH relativeFrom="column">
                        <wp:posOffset>977900</wp:posOffset>
                      </wp:positionH>
                      <wp:positionV relativeFrom="paragraph">
                        <wp:posOffset>129540</wp:posOffset>
                      </wp:positionV>
                      <wp:extent cx="613410" cy="635"/>
                      <wp:effectExtent l="7620" t="12065" r="7620" b="6350"/>
                      <wp:wrapNone/>
                      <wp:docPr id="1" name="Connecteur droit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 cy="635"/>
                              </a:xfrm>
                              <a:prstGeom prst="line">
                                <a:avLst/>
                              </a:prstGeom>
                              <a:noFill/>
                              <a:ln w="648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B94DB88" id="Connecteur droit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pt,10.2pt" to="125.3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" strokeweight=".18mm">
                      <v:stroke joinstyle="miter"/>
                    </v:line>
                  </w:pict>
                </mc:Fallback>
              </mc:AlternateContent>
            </w:r>
          </w:p>
        </w:tc>
      </w:tr>
      <w:tr w:rsidR="00CA4953" w14:paraId="5B65B8D0" w14:textId="77777777" w:rsidTr="004E6D76">
        <w:trPr>
          <w:cantSplit/>
        </w:trPr>
        <w:tc>
          <w:tcPr>
            <w:tcW w:w="3982" w:type="dxa"/>
            <w:gridSpan w:val="3"/>
            <w:shd w:val="clear" w:color="auto" w:fill="auto"/>
          </w:tcPr>
          <w:p w14:paraId="6A9B1AF2" w14:textId="77777777" w:rsidR="00CA4953" w:rsidRPr="00371CC6" w:rsidRDefault="00CA4953" w:rsidP="004E6D76">
            <w:pPr>
              <w:pStyle w:val="SNTimbre"/>
              <w:spacing w:before="0" w:after="160"/>
            </w:pPr>
            <w:r w:rsidRPr="00371CC6">
              <w:t>Logement</w:t>
            </w:r>
          </w:p>
        </w:tc>
      </w:tr>
      <w:tr w:rsidR="00CA4953" w14:paraId="286D947F" w14:textId="77777777" w:rsidTr="004E6D76">
        <w:trPr>
          <w:cantSplit/>
        </w:trPr>
        <w:tc>
          <w:tcPr>
            <w:tcW w:w="3982" w:type="dxa"/>
            <w:gridSpan w:val="3"/>
            <w:shd w:val="clear" w:color="auto" w:fill="auto"/>
          </w:tcPr>
          <w:p w14:paraId="686FE9EA" w14:textId="77777777" w:rsidR="00CA4953" w:rsidRDefault="00CA4953" w:rsidP="004E6D76">
            <w:pPr>
              <w:pStyle w:val="SNTimbre"/>
              <w:jc w:val="left"/>
              <w:rPr>
                <w:highlight w:val="yellow"/>
              </w:rPr>
            </w:pPr>
          </w:p>
        </w:tc>
      </w:tr>
    </w:tbl>
    <w:p w14:paraId="0EE6817D" w14:textId="77777777" w:rsidR="00CA4953" w:rsidRDefault="00CA4953" w:rsidP="00CA4953">
      <w:pPr>
        <w:widowControl w:val="0"/>
        <w:spacing w:after="0" w:line="240" w:lineRule="auto"/>
        <w:jc w:val="center"/>
      </w:pPr>
      <w:r>
        <w:rPr>
          <w:rFonts w:ascii="Times New Roman" w:hAnsi="Times New Roman" w:cs="Times New Roman"/>
          <w:b/>
          <w:bCs/>
          <w:sz w:val="24"/>
          <w:szCs w:val="24"/>
        </w:rPr>
        <w:t>Arrêté du</w:t>
      </w:r>
    </w:p>
    <w:p w14:paraId="3C025879" w14:textId="4787A665" w:rsidR="00CA4953" w:rsidRDefault="00CA4953" w:rsidP="00CA4953">
      <w:pPr>
        <w:widowControl w:val="0"/>
        <w:spacing w:after="0" w:line="240" w:lineRule="auto"/>
        <w:jc w:val="center"/>
      </w:pPr>
      <w:r>
        <w:rPr>
          <w:rFonts w:ascii="Times New Roman" w:hAnsi="Times New Roman" w:cs="Times New Roman"/>
          <w:b/>
          <w:bCs/>
          <w:sz w:val="24"/>
          <w:szCs w:val="24"/>
        </w:rPr>
        <w:t>r</w:t>
      </w:r>
      <w:r w:rsidRPr="00371CC6">
        <w:rPr>
          <w:rFonts w:ascii="Times New Roman" w:hAnsi="Times New Roman" w:cs="Times New Roman"/>
          <w:b/>
          <w:bCs/>
          <w:sz w:val="24"/>
          <w:szCs w:val="24"/>
        </w:rPr>
        <w:t>elatif aux exigences de performance énergétique et environnementale des constructions de bâtiments d’habitation, de bureaux ou d’enseignement primaire ou secondaire en France métropolitaine</w:t>
      </w:r>
    </w:p>
    <w:p w14:paraId="4108FF69" w14:textId="77777777" w:rsidR="00CA4953" w:rsidRDefault="00CA4953" w:rsidP="00CA4953">
      <w:pPr>
        <w:pStyle w:val="SNNORCentr"/>
      </w:pPr>
      <w:r>
        <w:rPr>
          <w:szCs w:val="24"/>
        </w:rPr>
        <w:t> </w:t>
      </w:r>
      <w:r>
        <w:rPr>
          <w:rFonts w:eastAsia="Arial"/>
          <w:szCs w:val="24"/>
        </w:rPr>
        <w:t xml:space="preserve">NOR : </w:t>
      </w:r>
    </w:p>
    <w:p w14:paraId="113B36BD" w14:textId="77777777" w:rsidR="00CA4953" w:rsidRDefault="00CA4953" w:rsidP="00CA4953">
      <w:pPr>
        <w:rPr>
          <w:rFonts w:ascii="Times New Roman" w:eastAsia="Arial" w:hAnsi="Times New Roman" w:cs="Times New Roman"/>
          <w:bCs/>
          <w:i/>
          <w:iCs/>
          <w:sz w:val="24"/>
          <w:szCs w:val="24"/>
          <w:u w:val="single"/>
        </w:rPr>
      </w:pPr>
    </w:p>
    <w:p w14:paraId="27AFB11A" w14:textId="0A05B0EC" w:rsidR="00CA4953" w:rsidRDefault="00CA4953" w:rsidP="00CA4953">
      <w:r>
        <w:rPr>
          <w:rFonts w:ascii="Times New Roman" w:hAnsi="Times New Roman" w:cs="Times New Roman"/>
          <w:bCs/>
          <w:i/>
          <w:iCs/>
          <w:sz w:val="24"/>
          <w:szCs w:val="24"/>
          <w:u w:val="single"/>
        </w:rPr>
        <w:t>Publics concernés</w:t>
      </w:r>
      <w:r>
        <w:rPr>
          <w:rFonts w:ascii="Times New Roman" w:hAnsi="Times New Roman" w:cs="Times New Roman"/>
          <w:bCs/>
          <w:i/>
          <w:iCs/>
          <w:sz w:val="24"/>
          <w:szCs w:val="24"/>
        </w:rPr>
        <w:t xml:space="preserve"> : </w:t>
      </w:r>
      <w:r w:rsidRPr="00371CC6">
        <w:rPr>
          <w:rFonts w:ascii="Times New Roman" w:hAnsi="Times New Roman" w:cs="Times New Roman"/>
          <w:i/>
          <w:iCs/>
          <w:sz w:val="24"/>
          <w:szCs w:val="24"/>
        </w:rPr>
        <w:t xml:space="preserve">maîtres d'ouvrage, maîtres d'œuvre, constructeurs et promoteurs, architectes, bureaux d'études </w:t>
      </w:r>
      <w:r>
        <w:rPr>
          <w:rFonts w:ascii="Times New Roman" w:hAnsi="Times New Roman" w:cs="Times New Roman"/>
          <w:i/>
          <w:iCs/>
          <w:sz w:val="24"/>
          <w:szCs w:val="24"/>
        </w:rPr>
        <w:t xml:space="preserve">thermique et </w:t>
      </w:r>
      <w:r w:rsidRPr="00371CC6">
        <w:rPr>
          <w:rFonts w:ascii="Times New Roman" w:hAnsi="Times New Roman" w:cs="Times New Roman"/>
          <w:i/>
          <w:iCs/>
          <w:sz w:val="24"/>
          <w:szCs w:val="24"/>
        </w:rPr>
        <w:t>environnement, économistes du bâtiment, contrôleurs techniques, entreprises du bâtiment, industriels des matériaux de construction et des systèmes techniques du bâtiment, fournisseurs d'énergie, en France métropolitaine.</w:t>
      </w:r>
    </w:p>
    <w:p w14:paraId="685CB48E" w14:textId="77777777" w:rsidR="00CA4953" w:rsidRPr="00CA4953" w:rsidRDefault="00CA4953" w:rsidP="00CA4953">
      <w:pPr>
        <w:rPr>
          <w:rFonts w:ascii="Times New Roman" w:hAnsi="Times New Roman" w:cs="Times New Roman"/>
          <w:i/>
          <w:iCs/>
          <w:sz w:val="24"/>
          <w:szCs w:val="24"/>
        </w:rPr>
      </w:pPr>
      <w:r>
        <w:rPr>
          <w:rFonts w:ascii="Times New Roman" w:hAnsi="Times New Roman" w:cs="Times New Roman"/>
          <w:i/>
          <w:iCs/>
          <w:sz w:val="24"/>
          <w:szCs w:val="24"/>
          <w:u w:val="single"/>
        </w:rPr>
        <w:t>Objet</w:t>
      </w:r>
      <w:r>
        <w:rPr>
          <w:rFonts w:ascii="Times New Roman" w:hAnsi="Times New Roman" w:cs="Times New Roman"/>
          <w:i/>
          <w:iCs/>
          <w:sz w:val="24"/>
          <w:szCs w:val="24"/>
        </w:rPr>
        <w:t xml:space="preserve"> : </w:t>
      </w:r>
      <w:r w:rsidRPr="00CA4953">
        <w:rPr>
          <w:rFonts w:ascii="Times New Roman" w:hAnsi="Times New Roman" w:cs="Times New Roman"/>
          <w:i/>
          <w:iCs/>
          <w:sz w:val="24"/>
          <w:szCs w:val="24"/>
        </w:rPr>
        <w:t>fixation d'exigences sur les caractéristiques énergétiques et environnementales et la performance énergétique et environnementale des bâtiments neufs et extensions de bâtiments en France métropolitaine.</w:t>
      </w:r>
    </w:p>
    <w:p w14:paraId="7C41FB5C" w14:textId="07875AC7" w:rsidR="00CA4953" w:rsidRDefault="00CA4953" w:rsidP="00CA4953">
      <w:pPr>
        <w:spacing w:after="0" w:line="240" w:lineRule="auto"/>
        <w:rPr>
          <w:rFonts w:ascii="Times New Roman" w:eastAsia="Times New Roman" w:hAnsi="Times New Roman" w:cs="Times New Roman"/>
          <w:i/>
          <w:iCs/>
          <w:kern w:val="2"/>
          <w:sz w:val="24"/>
          <w:szCs w:val="24"/>
        </w:rPr>
      </w:pPr>
      <w:r>
        <w:rPr>
          <w:rFonts w:ascii="Times New Roman" w:eastAsia="Times New Roman" w:hAnsi="Times New Roman" w:cs="Times New Roman"/>
          <w:i/>
          <w:iCs/>
          <w:kern w:val="2"/>
          <w:sz w:val="24"/>
          <w:szCs w:val="24"/>
          <w:u w:val="single"/>
        </w:rPr>
        <w:t>Entrée en vigueur</w:t>
      </w:r>
      <w:r>
        <w:rPr>
          <w:rFonts w:ascii="Times New Roman" w:eastAsia="Times New Roman" w:hAnsi="Times New Roman" w:cs="Times New Roman"/>
          <w:i/>
          <w:iCs/>
          <w:kern w:val="2"/>
          <w:sz w:val="24"/>
          <w:szCs w:val="24"/>
        </w:rPr>
        <w:t xml:space="preserve"> : </w:t>
      </w:r>
      <w:r w:rsidRPr="00CA4953">
        <w:rPr>
          <w:rFonts w:ascii="Times New Roman" w:eastAsia="Times New Roman" w:hAnsi="Times New Roman" w:cs="Times New Roman"/>
          <w:i/>
          <w:iCs/>
          <w:kern w:val="2"/>
          <w:sz w:val="24"/>
          <w:szCs w:val="24"/>
        </w:rPr>
        <w:t>ces exigences s'appliquent à compter du 1er juillet 2021 à la construction de bâtiments ou parties de bâtiments à usage d’habitation, de bureaux, ou d’enseignement primaire ou secondaire</w:t>
      </w:r>
      <w:r>
        <w:rPr>
          <w:rFonts w:ascii="Times New Roman" w:eastAsia="Times New Roman" w:hAnsi="Times New Roman" w:cs="Times New Roman"/>
          <w:i/>
          <w:iCs/>
          <w:kern w:val="2"/>
          <w:sz w:val="24"/>
          <w:szCs w:val="24"/>
        </w:rPr>
        <w:t>,</w:t>
      </w:r>
      <w:r w:rsidRPr="00CA4953">
        <w:rPr>
          <w:rFonts w:ascii="Times New Roman" w:eastAsia="Times New Roman" w:hAnsi="Times New Roman" w:cs="Times New Roman"/>
          <w:i/>
          <w:iCs/>
          <w:kern w:val="2"/>
          <w:sz w:val="24"/>
          <w:szCs w:val="24"/>
        </w:rPr>
        <w:t xml:space="preserve"> ainsi qu’aux constructions provisoires et extensions en fonction de leur surface répondant aux mêmes usages</w:t>
      </w:r>
      <w:r w:rsidR="00F11BAA">
        <w:rPr>
          <w:rFonts w:ascii="Times New Roman" w:eastAsia="Times New Roman" w:hAnsi="Times New Roman" w:cs="Times New Roman"/>
          <w:i/>
          <w:iCs/>
          <w:kern w:val="2"/>
          <w:sz w:val="24"/>
          <w:szCs w:val="24"/>
        </w:rPr>
        <w:t xml:space="preserve"> </w:t>
      </w:r>
      <w:r w:rsidR="00F11BAA" w:rsidRPr="00F11BAA">
        <w:rPr>
          <w:rFonts w:ascii="Times New Roman" w:eastAsia="Times New Roman" w:hAnsi="Times New Roman" w:cs="Times New Roman"/>
          <w:i/>
          <w:iCs/>
          <w:kern w:val="2"/>
          <w:sz w:val="24"/>
          <w:szCs w:val="24"/>
        </w:rPr>
        <w:t xml:space="preserve">; elles s’appliquent y compris à </w:t>
      </w:r>
      <w:r>
        <w:rPr>
          <w:rFonts w:ascii="Times New Roman" w:eastAsia="Times New Roman" w:hAnsi="Times New Roman" w:cs="Times New Roman"/>
          <w:i/>
          <w:iCs/>
          <w:kern w:val="2"/>
          <w:sz w:val="24"/>
          <w:szCs w:val="24"/>
        </w:rPr>
        <w:t>celles</w:t>
      </w:r>
      <w:r w:rsidRPr="00CA4953">
        <w:rPr>
          <w:rFonts w:ascii="Times New Roman" w:eastAsia="Times New Roman" w:hAnsi="Times New Roman" w:cs="Times New Roman"/>
          <w:i/>
          <w:iCs/>
          <w:kern w:val="2"/>
          <w:sz w:val="24"/>
          <w:szCs w:val="24"/>
        </w:rPr>
        <w:t xml:space="preserve"> ne requérant pas de permis de construire ou de déclaration préalable. </w:t>
      </w:r>
    </w:p>
    <w:p w14:paraId="676DB8A5" w14:textId="77777777" w:rsidR="00CA4953" w:rsidRDefault="00CA4953" w:rsidP="00CA4953">
      <w:pPr>
        <w:spacing w:after="0" w:line="240" w:lineRule="auto"/>
        <w:rPr>
          <w:rFonts w:ascii="Times New Roman" w:eastAsia="Times New Roman" w:hAnsi="Times New Roman" w:cs="Times New Roman"/>
          <w:i/>
          <w:iCs/>
          <w:kern w:val="2"/>
          <w:sz w:val="24"/>
          <w:szCs w:val="24"/>
        </w:rPr>
      </w:pPr>
    </w:p>
    <w:p w14:paraId="4FB170F9" w14:textId="6475D0C5" w:rsidR="00CA4953" w:rsidRPr="00CA4953" w:rsidRDefault="00CA4953" w:rsidP="00CA4953">
      <w:pPr>
        <w:spacing w:after="0" w:line="240" w:lineRule="auto"/>
        <w:rPr>
          <w:rFonts w:ascii="Times New Roman" w:eastAsia="Times New Roman" w:hAnsi="Times New Roman" w:cs="Times New Roman"/>
          <w:i/>
          <w:iCs/>
          <w:kern w:val="2"/>
          <w:sz w:val="24"/>
          <w:szCs w:val="24"/>
        </w:rPr>
      </w:pPr>
      <w:r>
        <w:rPr>
          <w:rFonts w:ascii="Times New Roman" w:eastAsia="Times New Roman" w:hAnsi="Times New Roman" w:cs="Times New Roman"/>
          <w:i/>
          <w:iCs/>
          <w:kern w:val="2"/>
          <w:sz w:val="24"/>
          <w:szCs w:val="24"/>
          <w:u w:val="single"/>
        </w:rPr>
        <w:t>Notice</w:t>
      </w:r>
      <w:r>
        <w:rPr>
          <w:rFonts w:ascii="Times New Roman" w:eastAsia="Times New Roman" w:hAnsi="Times New Roman" w:cs="Times New Roman"/>
          <w:i/>
          <w:iCs/>
          <w:kern w:val="2"/>
          <w:sz w:val="24"/>
          <w:szCs w:val="24"/>
        </w:rPr>
        <w:t xml:space="preserve"> : </w:t>
      </w:r>
      <w:r w:rsidRPr="00CA4953">
        <w:rPr>
          <w:rFonts w:ascii="Times New Roman" w:eastAsia="Times New Roman" w:hAnsi="Times New Roman" w:cs="Times New Roman"/>
          <w:i/>
          <w:iCs/>
          <w:kern w:val="2"/>
          <w:sz w:val="24"/>
          <w:szCs w:val="24"/>
        </w:rPr>
        <w:t>l’arrêté fixe les exigences de performance énergétique et environnementale que doivent respecter les bâtiments mentionnés ci-avant et situés en France métropolitaine, notamment les cinq exigences de résultat suivantes : (1) l'optimisation de la conception énergétique du bâti indépendamment des systèmes énergétiques mis en œuvre ; (2) la limitation de la consommation d'énergie primaire, (3) la limitation de l’impact sur le changement climatique associé à ces consommations ; (4) la limitation de l’impact des comp</w:t>
      </w:r>
      <w:r w:rsidR="00003F58">
        <w:rPr>
          <w:rFonts w:ascii="Times New Roman" w:eastAsia="Times New Roman" w:hAnsi="Times New Roman" w:cs="Times New Roman"/>
          <w:i/>
          <w:iCs/>
          <w:kern w:val="2"/>
          <w:sz w:val="24"/>
          <w:szCs w:val="24"/>
        </w:rPr>
        <w:t>osants du bâtiment</w:t>
      </w:r>
      <w:r w:rsidRPr="00CA4953">
        <w:rPr>
          <w:rFonts w:ascii="Times New Roman" w:eastAsia="Times New Roman" w:hAnsi="Times New Roman" w:cs="Times New Roman"/>
          <w:i/>
          <w:iCs/>
          <w:kern w:val="2"/>
          <w:sz w:val="24"/>
          <w:szCs w:val="24"/>
        </w:rPr>
        <w:t xml:space="preserve"> sur le changement climatique; (5) la limitation des situations d’inconfort dans le bâtiment en période estivale. Il fixe également les exigences de moyens applicables à ces bâtiments.</w:t>
      </w:r>
    </w:p>
    <w:p w14:paraId="5A8E9CA9" w14:textId="0C8B1BAD" w:rsidR="00CA4953" w:rsidRDefault="00CA4953" w:rsidP="00CA4953">
      <w:pPr>
        <w:pStyle w:val="western"/>
        <w:spacing w:before="0" w:after="0"/>
      </w:pPr>
      <w:r>
        <w:t xml:space="preserve"> </w:t>
      </w:r>
    </w:p>
    <w:p w14:paraId="2C1CD809" w14:textId="4DBA7B24" w:rsidR="00CA4953" w:rsidRDefault="00CA4953" w:rsidP="00CA4953">
      <w:pPr>
        <w:rPr>
          <w:rFonts w:ascii="Times New Roman" w:hAnsi="Times New Roman" w:cs="Times New Roman"/>
          <w:i/>
          <w:iCs/>
          <w:sz w:val="24"/>
          <w:szCs w:val="24"/>
        </w:rPr>
      </w:pPr>
      <w:r>
        <w:rPr>
          <w:rFonts w:ascii="Times New Roman" w:hAnsi="Times New Roman" w:cs="Times New Roman"/>
          <w:i/>
          <w:iCs/>
          <w:sz w:val="24"/>
          <w:szCs w:val="24"/>
          <w:u w:val="single"/>
        </w:rPr>
        <w:t>Références </w:t>
      </w:r>
      <w:r>
        <w:rPr>
          <w:rFonts w:ascii="Times New Roman" w:hAnsi="Times New Roman" w:cs="Times New Roman"/>
          <w:i/>
          <w:iCs/>
          <w:sz w:val="24"/>
          <w:szCs w:val="24"/>
        </w:rPr>
        <w:t>le texte modifié par le présent arrêté peut être consulté, dans sa rédaction, sur le site Legifrance (</w:t>
      </w:r>
      <w:hyperlink r:id="rId8" w:history="1">
        <w:r>
          <w:rPr>
            <w:rStyle w:val="Lienhypertexte"/>
            <w:rFonts w:ascii="Times New Roman" w:hAnsi="Times New Roman" w:cs="Times New Roman"/>
            <w:i/>
            <w:iCs/>
            <w:sz w:val="24"/>
          </w:rPr>
          <w:t>www.legifrance.gouv.fr</w:t>
        </w:r>
      </w:hyperlink>
      <w:r>
        <w:rPr>
          <w:rFonts w:ascii="Times New Roman" w:hAnsi="Times New Roman" w:cs="Times New Roman"/>
          <w:i/>
          <w:iCs/>
          <w:sz w:val="24"/>
          <w:szCs w:val="24"/>
        </w:rPr>
        <w:t>).</w:t>
      </w:r>
    </w:p>
    <w:p w14:paraId="249E5DFE" w14:textId="77777777" w:rsidR="00E00EF2" w:rsidRDefault="00E00EF2">
      <w:pPr>
        <w:jc w:val="left"/>
      </w:pPr>
      <w:r>
        <w:br w:type="page"/>
      </w:r>
    </w:p>
    <w:p w14:paraId="657E9342" w14:textId="43E433A7" w:rsidR="00E00EF2" w:rsidRDefault="00E00EF2" w:rsidP="00E00EF2">
      <w:r w:rsidRPr="00E00EF2">
        <w:lastRenderedPageBreak/>
        <w:t>La ministre de la transition écologique, la ministre déléguée auprès de la ministre de la transition écologique, chargée du logement,</w:t>
      </w:r>
    </w:p>
    <w:p w14:paraId="77431C95" w14:textId="51EE0E3B" w:rsidR="004600F9" w:rsidRDefault="004600F9" w:rsidP="00E00EF2">
      <w:r w:rsidRPr="004600F9">
        <w:t xml:space="preserve">Vu la directive (UE) 2015/1535 du Parlement européen et du Conseil du 9 septembre 2015, prévoyant une procédure d’information dans le domaine des réglementations techniques et des règles relatives aux services de la société de l’information (texte codifié), et notamment la notification n° </w:t>
      </w:r>
      <w:r w:rsidRPr="00866253">
        <w:rPr>
          <w:highlight w:val="yellow"/>
        </w:rPr>
        <w:t>année/XXX/F</w:t>
      </w:r>
      <w:r w:rsidR="00866253">
        <w:t> ;</w:t>
      </w:r>
    </w:p>
    <w:p w14:paraId="282EBB1D" w14:textId="7CC9E281" w:rsidR="00CA4953" w:rsidRDefault="00E00EF2" w:rsidP="00E00EF2">
      <w:r>
        <w:t>Vu la directive 2010/31/UE du Parlement européen et du Conseil du 19 mai 2010 sur la performance énergétique des bâtiments modifiée par la directive 2018/844 du Parlement européen et du Conseil du 30 mai 2018, notamment ses articles 3, 4 et 6 ;</w:t>
      </w:r>
    </w:p>
    <w:p w14:paraId="680374AF" w14:textId="6F141D5E" w:rsidR="00AA38CA" w:rsidRDefault="00AA38CA" w:rsidP="00866253">
      <w:bookmarkStart w:id="0" w:name="_GoBack"/>
      <w:r w:rsidRPr="00AA38CA">
        <w:t xml:space="preserve">Vu la </w:t>
      </w:r>
      <w:r w:rsidR="00866253">
        <w:t xml:space="preserve">directive 2018/2001/UE du Parlement européen et du Conseil </w:t>
      </w:r>
      <w:r w:rsidR="00866253">
        <w:t>du 11 décembre 2018</w:t>
      </w:r>
      <w:r w:rsidR="00866253">
        <w:t xml:space="preserve"> </w:t>
      </w:r>
      <w:r w:rsidR="00866253">
        <w:t>relative à la promotion de l'utilisation de l'énergie produite à partir de sources renouvelables</w:t>
      </w:r>
      <w:r w:rsidRPr="00AA38CA">
        <w:t>, et notamment son article 15</w:t>
      </w:r>
      <w:r w:rsidR="00866253">
        <w:t> </w:t>
      </w:r>
      <w:bookmarkEnd w:id="0"/>
      <w:r w:rsidR="00866253">
        <w:t>;</w:t>
      </w:r>
    </w:p>
    <w:p w14:paraId="25D897AB" w14:textId="15BED86F" w:rsidR="001A2855" w:rsidRDefault="004C0331" w:rsidP="00DF0DDD">
      <w:r>
        <w:t xml:space="preserve">Vu le CCH, et notamment </w:t>
      </w:r>
      <w:r w:rsidR="00E00EF2">
        <w:t xml:space="preserve">sa section 4 du Titre Ier du Livre Ier, et </w:t>
      </w:r>
      <w:r>
        <w:t xml:space="preserve">ses articles </w:t>
      </w:r>
      <w:r w:rsidR="00E00EF2">
        <w:rPr>
          <w:highlight w:val="yellow"/>
        </w:rPr>
        <w:t>L.134-2 et L.151-1</w:t>
      </w:r>
      <w:r w:rsidR="00866253">
        <w:t> ;</w:t>
      </w:r>
    </w:p>
    <w:p w14:paraId="1878753A" w14:textId="7BB24F8E" w:rsidR="00324401" w:rsidRDefault="00324401" w:rsidP="00DF0DDD">
      <w:r>
        <w:t>Vu le</w:t>
      </w:r>
      <w:r w:rsidR="00E00EF2">
        <w:t xml:space="preserve">s articles </w:t>
      </w:r>
      <w:r w:rsidR="00E00EF2" w:rsidRPr="00A40263">
        <w:t>R</w:t>
      </w:r>
      <w:r w:rsidR="00E00EF2">
        <w:t>.</w:t>
      </w:r>
      <w:r w:rsidR="00E00EF2" w:rsidRPr="00A40263">
        <w:t xml:space="preserve">241-26 </w:t>
      </w:r>
      <w:r w:rsidR="00E00EF2">
        <w:t>et R.241-30 du</w:t>
      </w:r>
      <w:r>
        <w:t xml:space="preserve"> code de l’énergie</w:t>
      </w:r>
      <w:r w:rsidR="00866253">
        <w:t xml:space="preserve"> ; </w:t>
      </w:r>
    </w:p>
    <w:p w14:paraId="15C70290" w14:textId="7EF756C8" w:rsidR="00324401" w:rsidRDefault="00324401" w:rsidP="00DF0DDD">
      <w:r>
        <w:t>Vu l</w:t>
      </w:r>
      <w:r w:rsidR="00E00EF2">
        <w:t xml:space="preserve">’article </w:t>
      </w:r>
      <w:r w:rsidR="00E00EF2" w:rsidRPr="009F2A30">
        <w:t xml:space="preserve">R. 571-38 </w:t>
      </w:r>
      <w:r w:rsidR="00E00EF2">
        <w:t xml:space="preserve">du </w:t>
      </w:r>
      <w:r>
        <w:t>code de l’environnement</w:t>
      </w:r>
      <w:r w:rsidR="00866253">
        <w:t> ;</w:t>
      </w:r>
    </w:p>
    <w:p w14:paraId="2B55FF5F" w14:textId="4C8FE705" w:rsidR="00E00EF2" w:rsidRDefault="00E00EF2" w:rsidP="00DF0DDD">
      <w:r>
        <w:t>Vu le code de l’urbanisme, et notamment ses articles L. 123-1-5</w:t>
      </w:r>
      <w:r w:rsidR="00E2045D">
        <w:t>,</w:t>
      </w:r>
      <w:r>
        <w:t xml:space="preserve"> R.112-4 à 112-17</w:t>
      </w:r>
      <w:r w:rsidR="00E2045D">
        <w:t xml:space="preserve">, </w:t>
      </w:r>
      <w:r w:rsidR="00E2045D" w:rsidRPr="00F737B1">
        <w:t>R*. 421-2, R*. 421-5</w:t>
      </w:r>
      <w:r w:rsidR="00866253">
        <w:t> ;</w:t>
      </w:r>
    </w:p>
    <w:p w14:paraId="5623FEF9" w14:textId="27DDEC7F" w:rsidR="00635E35" w:rsidRDefault="00635E35" w:rsidP="00DF0DDD">
      <w:r>
        <w:t>vu l’arrêté du 26 octobre 2010</w:t>
      </w:r>
      <w:r w:rsidR="00E00EF2" w:rsidRPr="00E00EF2">
        <w:t xml:space="preserve"> relatif aux caractéristiques thermiques et aux exigences de performance énergétique des bâtiments nouveaux et des parties nouvelles de bâtiments</w:t>
      </w:r>
      <w:r w:rsidR="00866253">
        <w:t> ;</w:t>
      </w:r>
    </w:p>
    <w:p w14:paraId="6726BD01" w14:textId="68B01C9D" w:rsidR="00635E35" w:rsidRDefault="00635E35" w:rsidP="00DF0DDD">
      <w:r>
        <w:t>vu l’arrêté du 28 décembre 2012</w:t>
      </w:r>
      <w:r w:rsidR="00E00EF2">
        <w:t xml:space="preserve"> r</w:t>
      </w:r>
      <w:r w:rsidR="00E00EF2" w:rsidRPr="00E00EF2">
        <w:t>elatif aux caractéristiques thermiques et aux exigences de performance énergétique des bâtiments nouveaux et des parties nouvelles de bâtiments autres que ceux concernés par l’article 2 du décret du 26 octobre 2010 relatif aux caractéristiques thermiques et à la performance énergétique des constructions</w:t>
      </w:r>
      <w:r w:rsidR="00866253">
        <w:t> ;</w:t>
      </w:r>
    </w:p>
    <w:p w14:paraId="4E02C492" w14:textId="79E4B00B" w:rsidR="001D2511" w:rsidRDefault="001D2511" w:rsidP="00DF0DDD">
      <w:r>
        <w:t xml:space="preserve">vu l’arrêté </w:t>
      </w:r>
      <w:r w:rsidRPr="001D2511">
        <w:t>du 3 mai 2007</w:t>
      </w:r>
      <w:r>
        <w:t xml:space="preserve"> </w:t>
      </w:r>
      <w:r w:rsidR="0019138C">
        <w:t>relatif aux caractéristiques thermiques et à la performance énergétique des bâtiments existants liste l’ensemble des travaux visés et donne les exigences associées, modifié par l’arrêté du 22 mars 2017</w:t>
      </w:r>
      <w:r w:rsidR="00866253">
        <w:t> ;</w:t>
      </w:r>
    </w:p>
    <w:p w14:paraId="57FC0EE5" w14:textId="73D15391" w:rsidR="001D2511" w:rsidRDefault="001D2511" w:rsidP="00DF0DDD">
      <w:r>
        <w:t>vu l’</w:t>
      </w:r>
      <w:r w:rsidRPr="00A3740F">
        <w:t>arrêté</w:t>
      </w:r>
      <w:r>
        <w:t xml:space="preserve"> </w:t>
      </w:r>
      <w:r w:rsidRPr="001D2511">
        <w:t>du 13 juin 2008</w:t>
      </w:r>
      <w:r>
        <w:t xml:space="preserve"> </w:t>
      </w:r>
      <w:r w:rsidR="00E00EF2">
        <w:t>relatif à la performance énergétique des bâtiments existants de surface supérieure à 1000 m², lorsqu’ils font l’objet de travaux de rénovation importants</w:t>
      </w:r>
      <w:r w:rsidR="00866253">
        <w:t> ;</w:t>
      </w:r>
    </w:p>
    <w:p w14:paraId="6CD3354C" w14:textId="05FD9B6C" w:rsidR="00E00EF2" w:rsidRDefault="00E00EF2" w:rsidP="00E00EF2">
      <w:r>
        <w:t xml:space="preserve">Vu les observations formulées lors de la consultation du public réalisée du </w:t>
      </w:r>
      <w:r w:rsidRPr="00E00EF2">
        <w:rPr>
          <w:highlight w:val="yellow"/>
        </w:rPr>
        <w:t>XXX au XXX</w:t>
      </w:r>
      <w:r>
        <w:t>, en application de l'article L. 120-1 du code de l'environnement</w:t>
      </w:r>
      <w:r w:rsidR="00866253">
        <w:t> ;</w:t>
      </w:r>
    </w:p>
    <w:p w14:paraId="7DB09BE4" w14:textId="77777777" w:rsidR="00E00EF2" w:rsidRDefault="00E00EF2" w:rsidP="00E00EF2">
      <w:r>
        <w:t xml:space="preserve">Vu l'avis du conseil national d’évaluation des normes en date du </w:t>
      </w:r>
      <w:r w:rsidRPr="00E00EF2">
        <w:rPr>
          <w:highlight w:val="yellow"/>
        </w:rPr>
        <w:t xml:space="preserve">XXX </w:t>
      </w:r>
      <w:r>
        <w:t>;</w:t>
      </w:r>
    </w:p>
    <w:p w14:paraId="7B59809F" w14:textId="77777777" w:rsidR="00E00EF2" w:rsidRDefault="00E00EF2" w:rsidP="00E00EF2">
      <w:r>
        <w:t xml:space="preserve">Vu l’avis du conseil supérieur de l’énergie en date du </w:t>
      </w:r>
      <w:r w:rsidRPr="00E00EF2">
        <w:rPr>
          <w:highlight w:val="yellow"/>
        </w:rPr>
        <w:t xml:space="preserve">XXX </w:t>
      </w:r>
      <w:r>
        <w:t>;</w:t>
      </w:r>
    </w:p>
    <w:p w14:paraId="33A84B46" w14:textId="77777777" w:rsidR="00E00EF2" w:rsidRDefault="00E00EF2" w:rsidP="00E00EF2">
      <w:r>
        <w:t xml:space="preserve">Vu l’avis du conseil supérieur de la construction et de l’efficacité énergétique en date du </w:t>
      </w:r>
      <w:r w:rsidRPr="00E00EF2">
        <w:rPr>
          <w:highlight w:val="yellow"/>
        </w:rPr>
        <w:t xml:space="preserve">XXX </w:t>
      </w:r>
      <w:r>
        <w:t>;</w:t>
      </w:r>
    </w:p>
    <w:p w14:paraId="5A5C8B7A" w14:textId="77777777" w:rsidR="00E00EF2" w:rsidRDefault="00E00EF2" w:rsidP="00E00EF2">
      <w:r>
        <w:t xml:space="preserve">Vu la lettre de saisine de l’assemblée de Guyane en date du </w:t>
      </w:r>
      <w:r w:rsidRPr="00E00EF2">
        <w:rPr>
          <w:highlight w:val="yellow"/>
        </w:rPr>
        <w:t xml:space="preserve">XXX </w:t>
      </w:r>
      <w:r>
        <w:t>;</w:t>
      </w:r>
    </w:p>
    <w:p w14:paraId="2B5FB95D" w14:textId="77777777" w:rsidR="00E00EF2" w:rsidRDefault="00E00EF2" w:rsidP="00E00EF2">
      <w:r>
        <w:t xml:space="preserve">Vu la lettre de saisine de l’assemblée de Martinique en date du </w:t>
      </w:r>
      <w:r w:rsidRPr="00E00EF2">
        <w:rPr>
          <w:highlight w:val="yellow"/>
        </w:rPr>
        <w:t xml:space="preserve">XXX </w:t>
      </w:r>
      <w:r>
        <w:t>;</w:t>
      </w:r>
    </w:p>
    <w:p w14:paraId="1256E9CC" w14:textId="77777777" w:rsidR="00E00EF2" w:rsidRDefault="00E00EF2" w:rsidP="00E00EF2">
      <w:r>
        <w:t xml:space="preserve">Vu la lettre de saisine du conseil départemental de Guadeloupe en date du </w:t>
      </w:r>
      <w:r w:rsidRPr="00E00EF2">
        <w:rPr>
          <w:highlight w:val="yellow"/>
        </w:rPr>
        <w:t xml:space="preserve">XXX </w:t>
      </w:r>
      <w:r>
        <w:t>;</w:t>
      </w:r>
    </w:p>
    <w:p w14:paraId="2B53F5C0" w14:textId="77777777" w:rsidR="00E00EF2" w:rsidRDefault="00E00EF2" w:rsidP="00E00EF2">
      <w:r>
        <w:t xml:space="preserve">Vu la lettre de saisine du conseil départemental de La Réunion en date du </w:t>
      </w:r>
      <w:r w:rsidRPr="00E00EF2">
        <w:rPr>
          <w:highlight w:val="yellow"/>
        </w:rPr>
        <w:t xml:space="preserve">XXX </w:t>
      </w:r>
      <w:r>
        <w:t>;</w:t>
      </w:r>
    </w:p>
    <w:p w14:paraId="4F079AE5" w14:textId="77777777" w:rsidR="00E00EF2" w:rsidRDefault="00E00EF2" w:rsidP="00E00EF2">
      <w:r>
        <w:lastRenderedPageBreak/>
        <w:t xml:space="preserve">Vu la lettre de saisine du conseil régional de Guadeloupe en date du </w:t>
      </w:r>
      <w:r w:rsidRPr="00E00EF2">
        <w:rPr>
          <w:highlight w:val="yellow"/>
        </w:rPr>
        <w:t xml:space="preserve">XXX </w:t>
      </w:r>
      <w:r>
        <w:t>;</w:t>
      </w:r>
    </w:p>
    <w:p w14:paraId="71CE1C5A" w14:textId="77777777" w:rsidR="00E00EF2" w:rsidRDefault="00E00EF2" w:rsidP="00E00EF2">
      <w:r>
        <w:t xml:space="preserve">Vu la lettre de saisine du conseil régional de La Réunion en date du </w:t>
      </w:r>
      <w:r w:rsidRPr="00E00EF2">
        <w:rPr>
          <w:highlight w:val="yellow"/>
        </w:rPr>
        <w:t xml:space="preserve">XXX </w:t>
      </w:r>
      <w:r>
        <w:t>;</w:t>
      </w:r>
    </w:p>
    <w:p w14:paraId="73A16BB1" w14:textId="4CF5F194" w:rsidR="00E00EF2" w:rsidRDefault="00E00EF2" w:rsidP="00E00EF2">
      <w:r>
        <w:t xml:space="preserve">Vu la lettre de saisine du conseil départemental de Mayotte en date du </w:t>
      </w:r>
      <w:r w:rsidRPr="00E00EF2">
        <w:rPr>
          <w:highlight w:val="yellow"/>
        </w:rPr>
        <w:t xml:space="preserve">XXX </w:t>
      </w:r>
      <w:r w:rsidR="00003F58">
        <w:t>;</w:t>
      </w:r>
    </w:p>
    <w:p w14:paraId="60EA6399" w14:textId="77777777" w:rsidR="00FE7A29" w:rsidRDefault="00FE7A29" w:rsidP="00E00EF2"/>
    <w:p w14:paraId="5DD7051E" w14:textId="1AFBC2C5" w:rsidR="00E00EF2" w:rsidRPr="00FE7A29" w:rsidRDefault="00FE7A29" w:rsidP="00FE7A29">
      <w:pPr>
        <w:jc w:val="center"/>
        <w:rPr>
          <w:b/>
          <w:sz w:val="28"/>
        </w:rPr>
      </w:pPr>
      <w:r w:rsidRPr="00FE7A29">
        <w:rPr>
          <w:b/>
          <w:sz w:val="28"/>
        </w:rPr>
        <w:t>Arrêtent :</w:t>
      </w:r>
    </w:p>
    <w:p w14:paraId="476BBF68" w14:textId="77777777" w:rsidR="00FE7A29" w:rsidRDefault="00FE7A29" w:rsidP="00DF0DDD"/>
    <w:p w14:paraId="013F42E8" w14:textId="7EDDC4DC" w:rsidR="001A2855" w:rsidRPr="007D30F8" w:rsidRDefault="001A2855" w:rsidP="00DF0DDD">
      <w:pPr>
        <w:pStyle w:val="Titre1"/>
      </w:pPr>
      <w:bookmarkStart w:id="1" w:name="_Ref57726526"/>
      <w:r w:rsidRPr="007D30F8">
        <w:t>généralités</w:t>
      </w:r>
      <w:bookmarkEnd w:id="1"/>
    </w:p>
    <w:p w14:paraId="72F67234" w14:textId="31F20D0D" w:rsidR="001A2855" w:rsidRDefault="001A2855" w:rsidP="0019138C">
      <w:pPr>
        <w:pStyle w:val="Titre2"/>
      </w:pPr>
      <w:r w:rsidRPr="001A2855">
        <w:t>DOMAINE D’APPLICATION</w:t>
      </w:r>
    </w:p>
    <w:p w14:paraId="7388305F" w14:textId="48067BBC" w:rsidR="007D30F8" w:rsidRPr="00BA671E" w:rsidRDefault="008E291D" w:rsidP="00DF0DDD">
      <w:pPr>
        <w:pStyle w:val="Titre3"/>
      </w:pPr>
      <w:r>
        <w:t xml:space="preserve"> </w:t>
      </w:r>
      <w:bookmarkStart w:id="2" w:name="_Ref57383158"/>
      <w:r>
        <w:t>(</w:t>
      </w:r>
      <w:r w:rsidR="005F4565" w:rsidRPr="00BA671E">
        <w:t>Typologies de bâtiments soumises à l’arrêté</w:t>
      </w:r>
      <w:r>
        <w:t>)</w:t>
      </w:r>
      <w:bookmarkEnd w:id="2"/>
    </w:p>
    <w:p w14:paraId="399782BE" w14:textId="61EC142F" w:rsidR="005F4565" w:rsidRPr="00B0058C" w:rsidRDefault="005F4565" w:rsidP="00DF0DDD">
      <w:r w:rsidRPr="00B0058C">
        <w:t>Les dispositions du présent arrêté sont applicables</w:t>
      </w:r>
      <w:r w:rsidR="00224648" w:rsidRPr="001C0957">
        <w:t>, à compter du 1</w:t>
      </w:r>
      <w:r w:rsidR="00224648" w:rsidRPr="001C0957">
        <w:rPr>
          <w:vertAlign w:val="superscript"/>
        </w:rPr>
        <w:t>er</w:t>
      </w:r>
      <w:r w:rsidR="00224648" w:rsidRPr="001C0957">
        <w:t xml:space="preserve"> juillet 2021</w:t>
      </w:r>
      <w:r w:rsidR="00224648">
        <w:t>,</w:t>
      </w:r>
      <w:r w:rsidR="00D11249" w:rsidRPr="00B0058C">
        <w:t xml:space="preserve"> </w:t>
      </w:r>
      <w:r w:rsidR="005C1BB6">
        <w:t>à la construction de</w:t>
      </w:r>
      <w:r w:rsidR="00D11249" w:rsidRPr="00B0058C">
        <w:t xml:space="preserve"> </w:t>
      </w:r>
      <w:r w:rsidR="00324401">
        <w:t xml:space="preserve">bâtiments et </w:t>
      </w:r>
      <w:r w:rsidR="00D11249" w:rsidRPr="00B0058C">
        <w:t xml:space="preserve">parties </w:t>
      </w:r>
      <w:r w:rsidR="00324401">
        <w:t xml:space="preserve">de </w:t>
      </w:r>
      <w:r w:rsidR="00D11249" w:rsidRPr="00B0058C">
        <w:t xml:space="preserve">bâtiments à usage d’habitation, de bureaux et d’enseignement </w:t>
      </w:r>
      <w:r w:rsidR="005302B8" w:rsidRPr="00B0058C">
        <w:t xml:space="preserve">primaire ou secondaire </w:t>
      </w:r>
      <w:r w:rsidR="00D11249" w:rsidRPr="00B0058C">
        <w:t xml:space="preserve">soumis à l’article </w:t>
      </w:r>
      <w:r w:rsidR="00FC0B23" w:rsidRPr="00E9780A">
        <w:rPr>
          <w:highlight w:val="yellow"/>
        </w:rPr>
        <w:t>R. 111-20</w:t>
      </w:r>
      <w:r w:rsidR="00FC0B23">
        <w:t xml:space="preserve"> du code de la construction et de l’habitation</w:t>
      </w:r>
      <w:r w:rsidR="0019138C">
        <w:t>,</w:t>
      </w:r>
      <w:r w:rsidR="001D2511" w:rsidRPr="001D2511">
        <w:t xml:space="preserve"> </w:t>
      </w:r>
      <w:r w:rsidR="001D2511">
        <w:t xml:space="preserve">et </w:t>
      </w:r>
      <w:r w:rsidR="005C1BB6">
        <w:t xml:space="preserve">à la construction de </w:t>
      </w:r>
      <w:r w:rsidR="001D2511">
        <w:t>parcs de stationnement associés à ces constructions</w:t>
      </w:r>
      <w:r w:rsidR="00D11249" w:rsidRPr="00B0058C">
        <w:t>.</w:t>
      </w:r>
    </w:p>
    <w:p w14:paraId="33225367" w14:textId="7F06E582" w:rsidR="00D11249" w:rsidRDefault="00004ADD" w:rsidP="00DF0DDD">
      <w:r w:rsidRPr="00B0058C">
        <w:t>Elles ne s'appliquent pas aux bâtiments situés</w:t>
      </w:r>
      <w:r>
        <w:t xml:space="preserve"> dans les départements d’outre-mer.</w:t>
      </w:r>
    </w:p>
    <w:p w14:paraId="3CDF1565" w14:textId="38CF4024" w:rsidR="00AD5C28" w:rsidRDefault="00AD5C28" w:rsidP="00AD5C28">
      <w:pPr>
        <w:pStyle w:val="Titre3"/>
      </w:pPr>
      <w:r>
        <w:t xml:space="preserve"> </w:t>
      </w:r>
      <w:bookmarkStart w:id="3" w:name="_Ref57631061"/>
      <w:r>
        <w:t>(usage minoritaire assimilé à l’usage principal)</w:t>
      </w:r>
      <w:bookmarkEnd w:id="3"/>
    </w:p>
    <w:p w14:paraId="19F8C31B" w14:textId="4B45FD49" w:rsidR="00457924" w:rsidRDefault="00457924" w:rsidP="00DF0DDD">
      <w:r>
        <w:t xml:space="preserve">Une partie de bâtiment peut être assimilée à l’usage principal du bâtiment, </w:t>
      </w:r>
      <w:r w:rsidR="0067282A">
        <w:t>avec application des</w:t>
      </w:r>
      <w:r>
        <w:t xml:space="preserve"> exigences associées, lorsque les conditions cumulatives suivantes sont remplies :</w:t>
      </w:r>
    </w:p>
    <w:p w14:paraId="2478CE86" w14:textId="7D078E1C" w:rsidR="00457924" w:rsidRPr="00E9780A" w:rsidRDefault="00457924" w:rsidP="00E8319A">
      <w:pPr>
        <w:pStyle w:val="Paragraphedeliste"/>
        <w:numPr>
          <w:ilvl w:val="0"/>
          <w:numId w:val="8"/>
        </w:numPr>
      </w:pPr>
      <w:r>
        <w:t xml:space="preserve">la surface de référence de la partie de </w:t>
      </w:r>
      <w:r w:rsidRPr="00457924">
        <w:t>bâtiment</w:t>
      </w:r>
      <w:r w:rsidR="002118CB">
        <w:t xml:space="preserve"> considérée</w:t>
      </w:r>
      <w:r w:rsidRPr="00457924">
        <w:t xml:space="preserve"> est inférieure </w:t>
      </w:r>
      <w:r w:rsidRPr="00E9780A">
        <w:t>à 150 m² et inférieure à 10 % de la surface de référence de l’usage principal du bâtiment ;</w:t>
      </w:r>
    </w:p>
    <w:p w14:paraId="0E61F7B8" w14:textId="71CFC1A8" w:rsidR="00457924" w:rsidRDefault="00457924" w:rsidP="00E8319A">
      <w:pPr>
        <w:pStyle w:val="Paragraphedeliste"/>
        <w:numPr>
          <w:ilvl w:val="0"/>
          <w:numId w:val="8"/>
        </w:numPr>
      </w:pPr>
      <w:r>
        <w:t>la partie de bâtiment correspondant à l’usage principal est soumise au présent arrêté, ou à l’arrêté du 26 octobre 2010 susvisé, ou à l’arrêté du 28 décembre 2012 susvisé.</w:t>
      </w:r>
    </w:p>
    <w:p w14:paraId="4A453D45" w14:textId="3C5581B7" w:rsidR="0019138C" w:rsidRDefault="00F86151" w:rsidP="0019138C">
      <w:r>
        <w:t>Une</w:t>
      </w:r>
      <w:r w:rsidR="0019138C">
        <w:t xml:space="preserve"> partie de bâtiment à usage de maison individuelle</w:t>
      </w:r>
      <w:r>
        <w:t xml:space="preserve"> ne peut être assimilée à un autre usage</w:t>
      </w:r>
      <w:r w:rsidR="0019138C">
        <w:t>.</w:t>
      </w:r>
    </w:p>
    <w:p w14:paraId="4A69C00A" w14:textId="1DF0B10C" w:rsidR="005671F2" w:rsidRDefault="005671F2" w:rsidP="0019138C">
      <w:r w:rsidRPr="007F6B79">
        <w:t xml:space="preserve">La surface </w:t>
      </w:r>
      <w:r>
        <w:t>de référence du bâtiment</w:t>
      </w:r>
      <w:r w:rsidRPr="007F6B79">
        <w:t xml:space="preserve">, </w:t>
      </w:r>
      <w:r>
        <w:t>notée Sref</w:t>
      </w:r>
      <w:r w:rsidRPr="007F6B79">
        <w:t xml:space="preserve">, </w:t>
      </w:r>
      <w:r>
        <w:t xml:space="preserve">est </w:t>
      </w:r>
      <w:r w:rsidRPr="007F6B79">
        <w:t>définie en</w:t>
      </w:r>
      <w:r>
        <w:t xml:space="preserve"> </w:t>
      </w:r>
      <w:r w:rsidR="00866253">
        <w:fldChar w:fldCharType="begin"/>
      </w:r>
      <w:r w:rsidR="00866253">
        <w:instrText xml:space="preserve"> REF _Ref49444345 \r </w:instrText>
      </w:r>
      <w:r w:rsidR="00866253">
        <w:fldChar w:fldCharType="separate"/>
      </w:r>
      <w:r w:rsidR="00E9780A">
        <w:t>ANNEXE I</w:t>
      </w:r>
      <w:r w:rsidR="00866253">
        <w:fldChar w:fldCharType="end"/>
      </w:r>
      <w:r w:rsidR="00324401">
        <w:t xml:space="preserve">. </w:t>
      </w:r>
      <w:r>
        <w:t>Sauf mention contraire, il s’agit de la surface utilisée dans l’ensemble du présent arrêté</w:t>
      </w:r>
      <w:r w:rsidR="00FC0B23">
        <w:t>.</w:t>
      </w:r>
    </w:p>
    <w:p w14:paraId="129EADE9" w14:textId="709582BA" w:rsidR="00004ADD" w:rsidRDefault="00AD5C28" w:rsidP="0019138C">
      <w:pPr>
        <w:pStyle w:val="Titre2"/>
      </w:pPr>
      <w:r>
        <w:t> </w:t>
      </w:r>
      <w:bookmarkStart w:id="4" w:name="_Ref49526297"/>
      <w:bookmarkStart w:id="5" w:name="_Ref57396460"/>
      <w:r>
        <w:t>APPLICATION PARTIELLE</w:t>
      </w:r>
      <w:bookmarkEnd w:id="4"/>
      <w:bookmarkEnd w:id="5"/>
    </w:p>
    <w:p w14:paraId="555878FF" w14:textId="1A9058B2" w:rsidR="00F11BAA" w:rsidRDefault="008E291D" w:rsidP="00F11BAA">
      <w:pPr>
        <w:pStyle w:val="Titre3"/>
      </w:pPr>
      <w:bookmarkStart w:id="6" w:name="_Ref49444929"/>
      <w:r>
        <w:t xml:space="preserve"> </w:t>
      </w:r>
      <w:bookmarkStart w:id="7" w:name="_Ref57969929"/>
      <w:bookmarkStart w:id="8" w:name="_Ref57736025"/>
      <w:r w:rsidR="00F11BAA">
        <w:t>(Possibilités d’application partielle pour les constructions provisoires et de petite surface)</w:t>
      </w:r>
      <w:bookmarkEnd w:id="7"/>
    </w:p>
    <w:p w14:paraId="3E26B18B" w14:textId="44639941" w:rsidR="00F11BAA" w:rsidRDefault="00F11BAA" w:rsidP="00F11BAA">
      <w:r>
        <w:t xml:space="preserve">Certaines constructions de bâtiments ou parties de bâtiments peuvent appliquer les seules exigences spécifiées au </w:t>
      </w:r>
      <w:r>
        <w:fldChar w:fldCharType="begin"/>
      </w:r>
      <w:r>
        <w:instrText xml:space="preserve"> REF _Ref49526579 \r \h </w:instrText>
      </w:r>
      <w:r>
        <w:fldChar w:fldCharType="separate"/>
      </w:r>
      <w:r w:rsidR="00E9780A">
        <w:t>CHAPITRE VIII</w:t>
      </w:r>
      <w:r>
        <w:fldChar w:fldCharType="end"/>
      </w:r>
      <w:r>
        <w:t>.</w:t>
      </w:r>
    </w:p>
    <w:p w14:paraId="6D75F257" w14:textId="77777777" w:rsidR="00F11BAA" w:rsidRDefault="00F11BAA" w:rsidP="00F11BAA">
      <w:r>
        <w:t>Cette disposition concerne, conformément aux dispositions des articles R. 111-20-1 et R. 111-20-2 du code de la construction et de l’habitation :</w:t>
      </w:r>
    </w:p>
    <w:p w14:paraId="60DEF36E" w14:textId="2EA77776" w:rsidR="00F11BAA" w:rsidRDefault="00F11BAA" w:rsidP="00F11BAA">
      <w:pPr>
        <w:pStyle w:val="Paragraphedeliste"/>
        <w:numPr>
          <w:ilvl w:val="0"/>
          <w:numId w:val="8"/>
        </w:numPr>
      </w:pPr>
      <w:r w:rsidRPr="001F465F">
        <w:rPr>
          <w:color w:val="000000" w:themeColor="text1"/>
        </w:rPr>
        <w:t xml:space="preserve">les constructions provisoires au sens de l’article </w:t>
      </w:r>
      <w:r w:rsidRPr="001F465F">
        <w:rPr>
          <w:color w:val="000000" w:themeColor="text1"/>
          <w:highlight w:val="yellow"/>
        </w:rPr>
        <w:t>R*. 421-5</w:t>
      </w:r>
      <w:r w:rsidRPr="001F465F">
        <w:rPr>
          <w:color w:val="000000" w:themeColor="text1"/>
        </w:rPr>
        <w:t xml:space="preserve"> du code de l’urbanisme prévues pour une durée d’utilisation de moins de 2 ans</w:t>
      </w:r>
      <w:r>
        <w:rPr>
          <w:color w:val="000000" w:themeColor="text1"/>
        </w:rPr>
        <w:t> ;</w:t>
      </w:r>
    </w:p>
    <w:p w14:paraId="642DBEAA" w14:textId="34950910" w:rsidR="00F11BAA" w:rsidRDefault="00F11BAA" w:rsidP="00F11BAA">
      <w:pPr>
        <w:pStyle w:val="Paragraphedeliste"/>
        <w:numPr>
          <w:ilvl w:val="0"/>
          <w:numId w:val="8"/>
        </w:numPr>
      </w:pPr>
      <w:r w:rsidRPr="00F86151">
        <w:t>les</w:t>
      </w:r>
      <w:r>
        <w:t xml:space="preserve"> bâtiments et les extensions de bâtiments ayant une surface de référence inférieure à 50m² ;</w:t>
      </w:r>
    </w:p>
    <w:p w14:paraId="49F87BB0" w14:textId="7F83CF11" w:rsidR="00F11BAA" w:rsidRDefault="00511F7F" w:rsidP="00F11BAA">
      <w:pPr>
        <w:pStyle w:val="Paragraphedeliste"/>
        <w:numPr>
          <w:ilvl w:val="0"/>
          <w:numId w:val="8"/>
        </w:numPr>
      </w:pPr>
      <w:r>
        <w:lastRenderedPageBreak/>
        <w:t>l</w:t>
      </w:r>
      <w:r w:rsidR="00F11BAA">
        <w:t>es extensions de maisons individuelles ou accolées de surface de référence inférieure à 100m², dès lors que le système de chauffage du bâtiment existant est utilisé pour le fonctionnement de l’extension, ou qu’un local est situé à la fois dans le bâtiment existant et dans l’extension ;</w:t>
      </w:r>
    </w:p>
    <w:p w14:paraId="5CADF969" w14:textId="7EABB1F6" w:rsidR="00F11BAA" w:rsidRPr="00145690" w:rsidRDefault="00511F7F" w:rsidP="00F11BAA">
      <w:pPr>
        <w:pStyle w:val="Paragraphedeliste"/>
        <w:numPr>
          <w:ilvl w:val="0"/>
          <w:numId w:val="8"/>
        </w:numPr>
      </w:pPr>
      <w:r>
        <w:t>l</w:t>
      </w:r>
      <w:r w:rsidR="00F11BAA">
        <w:t>es extensions d’autres usages de bâtiments de surface de référence inférieure à 150m² et à 30 % de la surface de référence des locaux existants, dès lors que le système de chauffage du bâtiment existant est utilisé pour le fonctionnement de l’extension, ou qu’un local est situé à la fois dans le bâtiment existant et dans l’extension.</w:t>
      </w:r>
    </w:p>
    <w:p w14:paraId="6659984F" w14:textId="32C9074C" w:rsidR="00FB442F" w:rsidRDefault="00F11BAA" w:rsidP="00DF0DDD">
      <w:r w:rsidDel="00F11BAA">
        <w:t xml:space="preserve"> </w:t>
      </w:r>
      <w:bookmarkEnd w:id="6"/>
      <w:bookmarkEnd w:id="8"/>
      <w:r w:rsidR="00AD5C28">
        <w:t xml:space="preserve"> </w:t>
      </w:r>
    </w:p>
    <w:p w14:paraId="36A62426" w14:textId="513980E1" w:rsidR="00821DEC" w:rsidRDefault="00821DEC" w:rsidP="0019138C">
      <w:pPr>
        <w:pStyle w:val="Titre2"/>
      </w:pPr>
      <w:r>
        <w:t>DÉFINITIONS</w:t>
      </w:r>
    </w:p>
    <w:p w14:paraId="1EC584F9" w14:textId="2CC3A0B1" w:rsidR="000518D1" w:rsidRDefault="008E291D" w:rsidP="00DF0DDD">
      <w:pPr>
        <w:pStyle w:val="Titre3"/>
      </w:pPr>
      <w:r>
        <w:t xml:space="preserve"> (</w:t>
      </w:r>
      <w:r w:rsidR="00003F58">
        <w:t>Définitions en</w:t>
      </w:r>
      <w:r w:rsidR="007F6B79" w:rsidRPr="007F6B79">
        <w:t xml:space="preserve"> annexes</w:t>
      </w:r>
      <w:r>
        <w:t xml:space="preserve">) </w:t>
      </w:r>
    </w:p>
    <w:p w14:paraId="6A472169" w14:textId="2C332358" w:rsidR="00B64DDB" w:rsidRDefault="00B64DDB" w:rsidP="00DF0DDD">
      <w:r>
        <w:t>Les termes nécessaires à la compréhension du présent arrêté sont définis en</w:t>
      </w:r>
      <w:r w:rsidR="004B3E2E">
        <w:t xml:space="preserve"> </w:t>
      </w:r>
      <w:r w:rsidR="00866253">
        <w:fldChar w:fldCharType="begin"/>
      </w:r>
      <w:r w:rsidR="00866253">
        <w:instrText xml:space="preserve"> REF _Ref49444345 \r </w:instrText>
      </w:r>
      <w:r w:rsidR="00866253">
        <w:fldChar w:fldCharType="separate"/>
      </w:r>
      <w:r w:rsidR="00E9780A">
        <w:t>ANNEXE I</w:t>
      </w:r>
      <w:r w:rsidR="00866253">
        <w:fldChar w:fldCharType="end"/>
      </w:r>
      <w:r w:rsidR="00E9780A">
        <w:t>.</w:t>
      </w:r>
    </w:p>
    <w:p w14:paraId="45D9A185" w14:textId="5E686B3F" w:rsidR="00B64DDB" w:rsidRDefault="00B64DDB" w:rsidP="00DF0DDD">
      <w:r>
        <w:t xml:space="preserve">Huit zones climatiques </w:t>
      </w:r>
      <w:r w:rsidR="00664655">
        <w:t>(</w:t>
      </w:r>
      <w:r>
        <w:t>H1a, H1b, H1c, H2a, H2b, H2c, H2d et H3</w:t>
      </w:r>
      <w:r w:rsidR="00664655">
        <w:t>)</w:t>
      </w:r>
      <w:r>
        <w:t xml:space="preserve"> sont définies en </w:t>
      </w:r>
      <w:r w:rsidR="00866253">
        <w:fldChar w:fldCharType="begin"/>
      </w:r>
      <w:r w:rsidR="00866253">
        <w:instrText xml:space="preserve"> REF _Ref49444555 \r </w:instrText>
      </w:r>
      <w:r w:rsidR="00866253">
        <w:fldChar w:fldCharType="separate"/>
      </w:r>
      <w:r w:rsidR="00E9780A">
        <w:t>ANNEXE II</w:t>
      </w:r>
      <w:r w:rsidR="00866253">
        <w:fldChar w:fldCharType="end"/>
      </w:r>
      <w:r w:rsidR="004B3E2E">
        <w:t xml:space="preserve"> </w:t>
      </w:r>
      <w:r>
        <w:t>du présent arrêté.</w:t>
      </w:r>
    </w:p>
    <w:p w14:paraId="23CAC1DC" w14:textId="500FD586" w:rsidR="00B64DDB" w:rsidRDefault="00B64DDB" w:rsidP="00DF0DDD">
      <w:r>
        <w:t xml:space="preserve">Trois classes d'exposition des bâtiments au bruit des infrastructures de transport </w:t>
      </w:r>
      <w:r w:rsidR="00664655">
        <w:t>(</w:t>
      </w:r>
      <w:r>
        <w:t>BR1, BR2 et BR3</w:t>
      </w:r>
      <w:r w:rsidR="00664655">
        <w:t>)</w:t>
      </w:r>
      <w:r>
        <w:t xml:space="preserve"> sont définies et déterminées se</w:t>
      </w:r>
      <w:r w:rsidR="004B3E2E">
        <w:t>lon les modalités de l'</w:t>
      </w:r>
      <w:r w:rsidR="00E9780A">
        <w:fldChar w:fldCharType="begin"/>
      </w:r>
      <w:r w:rsidR="00E9780A">
        <w:instrText xml:space="preserve"> REF _Ref57990317 \r \h </w:instrText>
      </w:r>
      <w:r w:rsidR="00E9780A">
        <w:fldChar w:fldCharType="separate"/>
      </w:r>
      <w:r w:rsidR="00E9780A">
        <w:t>ANNEXE III</w:t>
      </w:r>
      <w:r w:rsidR="00E9780A">
        <w:fldChar w:fldCharType="end"/>
      </w:r>
      <w:r w:rsidR="00E9780A">
        <w:t xml:space="preserve"> </w:t>
      </w:r>
      <w:r>
        <w:t xml:space="preserve">du présent arrêté. </w:t>
      </w:r>
    </w:p>
    <w:p w14:paraId="347BE805" w14:textId="77777777" w:rsidR="00B64DDB" w:rsidRDefault="00B64DDB" w:rsidP="00DF0DDD"/>
    <w:p w14:paraId="3A1DB851" w14:textId="5C3A723B" w:rsidR="000E74D7" w:rsidRDefault="008E291D" w:rsidP="00DF0DDD">
      <w:pPr>
        <w:pStyle w:val="Titre3"/>
      </w:pPr>
      <w:r>
        <w:t xml:space="preserve"> (</w:t>
      </w:r>
      <w:r w:rsidR="007F6B79" w:rsidRPr="007F6B79">
        <w:t>présentation générale des indicateur</w:t>
      </w:r>
      <w:r>
        <w:t xml:space="preserve">s) </w:t>
      </w:r>
    </w:p>
    <w:p w14:paraId="0295FE01" w14:textId="077E4D89" w:rsidR="000E74D7" w:rsidRDefault="007F6B79" w:rsidP="00DF0DDD">
      <w:r>
        <w:t>Des indicateurs</w:t>
      </w:r>
      <w:r w:rsidR="00955122">
        <w:t xml:space="preserve">, définis dans les </w:t>
      </w:r>
      <w:r w:rsidR="00866253">
        <w:fldChar w:fldCharType="begin"/>
      </w:r>
      <w:r w:rsidR="00866253">
        <w:instrText xml:space="preserve"> REF _Ref49444596 \r </w:instrText>
      </w:r>
      <w:r w:rsidR="00866253">
        <w:fldChar w:fldCharType="separate"/>
      </w:r>
      <w:r w:rsidR="00E9780A">
        <w:t>Article 6</w:t>
      </w:r>
      <w:r w:rsidR="00866253">
        <w:fldChar w:fldCharType="end"/>
      </w:r>
      <w:r w:rsidR="004B3E2E">
        <w:t xml:space="preserve"> </w:t>
      </w:r>
      <w:r w:rsidR="00955122">
        <w:t xml:space="preserve">à </w:t>
      </w:r>
      <w:r w:rsidR="00866253">
        <w:fldChar w:fldCharType="begin"/>
      </w:r>
      <w:r w:rsidR="00866253">
        <w:instrText xml:space="preserve"> REF _Ref49444607 \r </w:instrText>
      </w:r>
      <w:r w:rsidR="00866253">
        <w:fldChar w:fldCharType="separate"/>
      </w:r>
      <w:r w:rsidR="00E9780A">
        <w:t>Article 8</w:t>
      </w:r>
      <w:r w:rsidR="00866253">
        <w:fldChar w:fldCharType="end"/>
      </w:r>
      <w:r w:rsidR="004B3E2E">
        <w:t xml:space="preserve"> </w:t>
      </w:r>
      <w:r>
        <w:t>permettent d’exprimer les performances des bâtiments</w:t>
      </w:r>
      <w:r w:rsidR="005671F2">
        <w:t xml:space="preserve"> ou parties de bâtiments</w:t>
      </w:r>
      <w:r>
        <w:t xml:space="preserve"> neufs concernant trois aspects :</w:t>
      </w:r>
    </w:p>
    <w:p w14:paraId="43FD0797" w14:textId="180840D0" w:rsidR="007E0B47" w:rsidRDefault="007F6B79" w:rsidP="00E8319A">
      <w:pPr>
        <w:pStyle w:val="Paragraphedeliste"/>
        <w:numPr>
          <w:ilvl w:val="0"/>
          <w:numId w:val="8"/>
        </w:numPr>
      </w:pPr>
      <w:r>
        <w:t xml:space="preserve">les performances énergétiques </w:t>
      </w:r>
      <w:r w:rsidR="00C24832">
        <w:t xml:space="preserve">et l’impact sur le changement climatique des consommations d’énergie </w:t>
      </w:r>
      <w:r>
        <w:t>du bâtiment</w:t>
      </w:r>
      <w:r w:rsidR="00D96D9A">
        <w:t xml:space="preserve"> ou de la partie de bâtiment</w:t>
      </w:r>
      <w:r>
        <w:t> ;</w:t>
      </w:r>
    </w:p>
    <w:p w14:paraId="3D4691D9" w14:textId="351CF9EC" w:rsidR="007E0B47" w:rsidRDefault="007644DB" w:rsidP="00E8319A">
      <w:pPr>
        <w:pStyle w:val="Paragraphedeliste"/>
        <w:numPr>
          <w:ilvl w:val="0"/>
          <w:numId w:val="8"/>
        </w:numPr>
      </w:pPr>
      <w:r>
        <w:t>l</w:t>
      </w:r>
      <w:r w:rsidR="003D77A4">
        <w:t xml:space="preserve">es </w:t>
      </w:r>
      <w:r>
        <w:t>impact</w:t>
      </w:r>
      <w:r w:rsidR="003D77A4">
        <w:t>s</w:t>
      </w:r>
      <w:r w:rsidR="007F6B79">
        <w:t xml:space="preserve"> du bâtiment </w:t>
      </w:r>
      <w:r w:rsidR="00D96D9A">
        <w:t>ou de la partie de bâtiment</w:t>
      </w:r>
      <w:r w:rsidR="003D77A4">
        <w:t>, et de ses composants</w:t>
      </w:r>
      <w:r w:rsidR="00D96D9A" w:rsidDel="007644DB">
        <w:t xml:space="preserve"> </w:t>
      </w:r>
      <w:r>
        <w:t>sur le changement climatique</w:t>
      </w:r>
      <w:r w:rsidR="00955122">
        <w:t> ;</w:t>
      </w:r>
    </w:p>
    <w:p w14:paraId="2E23A5F1" w14:textId="5C56AC3E" w:rsidR="007F6B79" w:rsidRDefault="00955122" w:rsidP="00E8319A">
      <w:pPr>
        <w:pStyle w:val="Paragraphedeliste"/>
        <w:numPr>
          <w:ilvl w:val="0"/>
          <w:numId w:val="8"/>
        </w:numPr>
      </w:pPr>
      <w:r>
        <w:t>le confort estival dans le bâtiment</w:t>
      </w:r>
      <w:r w:rsidR="00D96D9A" w:rsidRPr="00D96D9A">
        <w:t xml:space="preserve"> </w:t>
      </w:r>
      <w:r w:rsidR="00D96D9A">
        <w:t>ou la partie de bâtiment </w:t>
      </w:r>
      <w:r w:rsidR="007F6B79">
        <w:t>.</w:t>
      </w:r>
    </w:p>
    <w:p w14:paraId="20DA138E" w14:textId="77777777" w:rsidR="00DE6463" w:rsidRDefault="00DE6463" w:rsidP="00DF0DDD"/>
    <w:p w14:paraId="63B17E22" w14:textId="0857FB08" w:rsidR="000E74D7" w:rsidRDefault="008E291D" w:rsidP="008E291D">
      <w:pPr>
        <w:pStyle w:val="Titre3"/>
      </w:pPr>
      <w:bookmarkStart w:id="9" w:name="_Ref49444596"/>
      <w:bookmarkStart w:id="10" w:name="_Ref49445153"/>
      <w:r>
        <w:t xml:space="preserve"> </w:t>
      </w:r>
      <w:bookmarkStart w:id="11" w:name="_Ref49445983"/>
      <w:r>
        <w:t>(</w:t>
      </w:r>
      <w:r w:rsidR="00955122">
        <w:t xml:space="preserve">indicateurs Bbio ; </w:t>
      </w:r>
      <w:r w:rsidR="007A5D47">
        <w:t xml:space="preserve">Cep,nr ; </w:t>
      </w:r>
      <w:r w:rsidR="00955122">
        <w:t>Cep</w:t>
      </w:r>
      <w:bookmarkEnd w:id="9"/>
      <w:r w:rsidR="004B3E2E">
        <w:t xml:space="preserve"> ; </w:t>
      </w:r>
      <w:r w:rsidR="00F7078D">
        <w:t>Ic</w:t>
      </w:r>
      <w:r w:rsidR="00F7078D" w:rsidRPr="00C24832">
        <w:rPr>
          <w:vertAlign w:val="subscript"/>
        </w:rPr>
        <w:t>énergie</w:t>
      </w:r>
      <w:r>
        <w:t>)</w:t>
      </w:r>
      <w:bookmarkEnd w:id="10"/>
      <w:bookmarkEnd w:id="11"/>
      <w:r>
        <w:t xml:space="preserve"> </w:t>
      </w:r>
    </w:p>
    <w:p w14:paraId="3146004B" w14:textId="3F7E3463" w:rsidR="00403395" w:rsidRDefault="00955122" w:rsidP="007F40E5">
      <w:pPr>
        <w:pStyle w:val="Paragraphedeliste"/>
        <w:ind w:left="697" w:hanging="340"/>
      </w:pPr>
      <w:r w:rsidRPr="00B0058C">
        <w:t>Le besoin bioclimatique conventionnel en énergie d'un bâtiment pour le chauffage, le refroidissement et l'éclairage artificiel, est défini par un coefficient noté Bbio. Il est sans dimension et exprimé en nombre de points.</w:t>
      </w:r>
    </w:p>
    <w:p w14:paraId="3FB46BE1" w14:textId="370BED7D" w:rsidR="00AF71B5" w:rsidRDefault="0054020D" w:rsidP="007F40E5">
      <w:pPr>
        <w:pStyle w:val="Paragraphedeliste"/>
        <w:ind w:left="697" w:hanging="340"/>
      </w:pPr>
      <w:r w:rsidRPr="00AF71B5">
        <w:t>La consommation d'énergie primaire</w:t>
      </w:r>
      <w:r>
        <w:t xml:space="preserve"> non renouvelable</w:t>
      </w:r>
      <w:r w:rsidRPr="00AF71B5">
        <w:t xml:space="preserve"> du bâtiment, calculée pour des conditions de fonctionnement définies, pour le chauffage, le refroidissement, la production d'eau chaude sanitaire, l'éclairage, la mobilité des occupants interne au bâtiment, les auxiliaires de chauffage, de refroidissement, d'eau chaude sanitaire et de ventilation, </w:t>
      </w:r>
      <w:r>
        <w:t>est définie par un indicateur exprimé en kWh/(m².an) d'énergie primaire, noté Cep</w:t>
      </w:r>
      <w:r w:rsidR="00D96D9A">
        <w:t>,nr</w:t>
      </w:r>
      <w:r>
        <w:t xml:space="preserve">. </w:t>
      </w:r>
    </w:p>
    <w:p w14:paraId="27145566" w14:textId="6E755DED" w:rsidR="00B0058C" w:rsidRDefault="00AF71B5" w:rsidP="007F40E5">
      <w:pPr>
        <w:pStyle w:val="Paragraphedeliste"/>
        <w:ind w:left="697" w:hanging="340"/>
      </w:pPr>
      <w:r w:rsidRPr="00AF71B5">
        <w:t xml:space="preserve">La consommation d'énergie primaire du bâtiment, calculée pour des conditions de fonctionnement définies, pour le chauffage, le refroidissement, la production d'eau chaude </w:t>
      </w:r>
      <w:r w:rsidRPr="00AF71B5">
        <w:lastRenderedPageBreak/>
        <w:t xml:space="preserve">sanitaire, l'éclairage, la mobilité des occupants interne au bâtiment, les auxiliaires de chauffage, de refroidissement, d'eau chaude sanitaire et de ventilation, </w:t>
      </w:r>
      <w:r>
        <w:t xml:space="preserve">est définie par un </w:t>
      </w:r>
      <w:r w:rsidR="0034685B">
        <w:t>indicateur</w:t>
      </w:r>
      <w:r>
        <w:t xml:space="preserve"> exprimé en kWh/(m².an) d'énergie primaire, noté Cep.</w:t>
      </w:r>
      <w:r w:rsidR="0034685B">
        <w:t xml:space="preserve"> Cet indicateur ne comptabilise pas</w:t>
      </w:r>
      <w:r w:rsidR="0054020D">
        <w:t>, en tant que consommations d’énergie primaire,</w:t>
      </w:r>
      <w:r w:rsidR="0034685B">
        <w:t xml:space="preserve"> les énergies renouvelables captées sur la parcelle du bâtiment, pour l’usage du bâtiment.</w:t>
      </w:r>
    </w:p>
    <w:p w14:paraId="30D9FF78" w14:textId="22FA2D21" w:rsidR="00C24832" w:rsidRDefault="004B3E2E" w:rsidP="007F40E5">
      <w:pPr>
        <w:pStyle w:val="Paragraphedeliste"/>
        <w:ind w:left="697" w:hanging="340"/>
      </w:pPr>
      <w:r w:rsidRPr="0034685B">
        <w:t>L’impact sur le changement climatique associé aux consommations d’énergie primaire</w:t>
      </w:r>
      <w:r>
        <w:t>,</w:t>
      </w:r>
      <w:r w:rsidRPr="0034685B">
        <w:t xml:space="preserve"> </w:t>
      </w:r>
      <w:r>
        <w:t>traduites par l’indicateur Cep</w:t>
      </w:r>
      <w:r w:rsidR="00D96D9A">
        <w:t xml:space="preserve"> défini à </w:t>
      </w:r>
      <w:r w:rsidR="00D96D9A" w:rsidRPr="00C24832">
        <w:rPr>
          <w:highlight w:val="yellow"/>
        </w:rPr>
        <w:t>l’alinéa précédent</w:t>
      </w:r>
      <w:r>
        <w:t xml:space="preserve">, est défini par un indicateur exprimé </w:t>
      </w:r>
      <w:r w:rsidR="00C24832">
        <w:t>en kg équivalent CO2/m², noté Ic</w:t>
      </w:r>
      <w:r w:rsidR="00C24832" w:rsidRPr="00C24832">
        <w:rPr>
          <w:vertAlign w:val="subscript"/>
        </w:rPr>
        <w:t>énergie</w:t>
      </w:r>
      <w:r w:rsidR="00C24832">
        <w:t xml:space="preserve">. </w:t>
      </w:r>
    </w:p>
    <w:p w14:paraId="016BBB5C" w14:textId="7644E535" w:rsidR="0034685B" w:rsidRPr="00224648" w:rsidRDefault="00224648" w:rsidP="00224648">
      <w:r>
        <w:t xml:space="preserve">Les indicateurs Bbio, Cep,nr, Cep et </w:t>
      </w:r>
      <w:r>
        <w:rPr>
          <w:rFonts w:cstheme="minorHAnsi"/>
        </w:rPr>
        <w:t>Ic</w:t>
      </w:r>
      <w:r>
        <w:rPr>
          <w:rFonts w:cstheme="minorHAnsi"/>
          <w:vertAlign w:val="subscript"/>
        </w:rPr>
        <w:t>énergie</w:t>
      </w:r>
      <w:r w:rsidRPr="00224648">
        <w:t xml:space="preserve"> </w:t>
      </w:r>
      <w:r>
        <w:t xml:space="preserve">sont calculés </w:t>
      </w:r>
      <w:r w:rsidRPr="0010408E">
        <w:t xml:space="preserve">selon les modalités définies à </w:t>
      </w:r>
      <w:r>
        <w:t>l’</w:t>
      </w:r>
      <w:r w:rsidR="00866253">
        <w:fldChar w:fldCharType="begin"/>
      </w:r>
      <w:r w:rsidR="00866253">
        <w:instrText xml:space="preserve"> REF _Ref49444761 \r </w:instrText>
      </w:r>
      <w:r w:rsidR="00866253">
        <w:fldChar w:fldCharType="separate"/>
      </w:r>
      <w:r w:rsidR="00E9780A">
        <w:t>Article 17</w:t>
      </w:r>
      <w:r w:rsidR="00866253">
        <w:fldChar w:fldCharType="end"/>
      </w:r>
      <w:r w:rsidR="00E9780A">
        <w:t>.</w:t>
      </w:r>
    </w:p>
    <w:p w14:paraId="12395633" w14:textId="38927ED4" w:rsidR="00CD66A8" w:rsidRDefault="008E291D" w:rsidP="00DF0DDD">
      <w:pPr>
        <w:pStyle w:val="Titre3"/>
      </w:pPr>
      <w:bookmarkStart w:id="12" w:name="_Ref49444647"/>
      <w:r>
        <w:t xml:space="preserve"> </w:t>
      </w:r>
      <w:bookmarkStart w:id="13" w:name="_Ref51004279"/>
      <w:r>
        <w:t>(</w:t>
      </w:r>
      <w:r w:rsidR="00955122">
        <w:t xml:space="preserve">indicateurs </w:t>
      </w:r>
      <w:r w:rsidR="00741017" w:rsidRPr="00AA57C7">
        <w:t>Ic</w:t>
      </w:r>
      <w:r w:rsidR="00741017" w:rsidRPr="00AA57C7">
        <w:rPr>
          <w:vertAlign w:val="subscript"/>
        </w:rPr>
        <w:t>composants</w:t>
      </w:r>
      <w:r w:rsidR="00955122" w:rsidRPr="00AA57C7">
        <w:t xml:space="preserve">, </w:t>
      </w:r>
      <w:r w:rsidR="00741017" w:rsidRPr="00AA57C7">
        <w:t>Ic</w:t>
      </w:r>
      <w:r w:rsidR="00741017" w:rsidRPr="00AA57C7">
        <w:rPr>
          <w:vertAlign w:val="subscript"/>
        </w:rPr>
        <w:t>bâtiment</w:t>
      </w:r>
      <w:r>
        <w:t>)</w:t>
      </w:r>
      <w:bookmarkEnd w:id="12"/>
      <w:bookmarkEnd w:id="13"/>
      <w:r>
        <w:t xml:space="preserve"> </w:t>
      </w:r>
    </w:p>
    <w:p w14:paraId="46E4CF67" w14:textId="462FE9DE" w:rsidR="00CD66A8" w:rsidRDefault="00CD66A8" w:rsidP="00E8319A">
      <w:pPr>
        <w:pStyle w:val="Paragraphedeliste"/>
        <w:numPr>
          <w:ilvl w:val="0"/>
          <w:numId w:val="22"/>
        </w:numPr>
        <w:ind w:left="697" w:hanging="340"/>
      </w:pPr>
      <w:r>
        <w:t>L’impact sur le changement climatique associé aux composants du bâtiment, évalué sur l’ensemble de son cycle de vie, tenant compte du stockage</w:t>
      </w:r>
      <w:r w:rsidR="0052651E">
        <w:t>, pendant la vie du bâtiment,</w:t>
      </w:r>
      <w:r>
        <w:t xml:space="preserve"> de carbone issu de l'atmosphère, </w:t>
      </w:r>
      <w:r w:rsidRPr="00CD66A8">
        <w:t>est défini par un indicateur exprimé en kg</w:t>
      </w:r>
      <w:r w:rsidR="0078435F">
        <w:t xml:space="preserve"> </w:t>
      </w:r>
      <w:r w:rsidR="0052651E">
        <w:t xml:space="preserve">équivalent </w:t>
      </w:r>
      <w:r w:rsidRPr="00CD66A8">
        <w:t>CO2 /</w:t>
      </w:r>
      <w:r>
        <w:t>m² et</w:t>
      </w:r>
      <w:r w:rsidRPr="00CD66A8">
        <w:t xml:space="preserve"> noté </w:t>
      </w:r>
      <w:r w:rsidR="0078435F">
        <w:t>Ic</w:t>
      </w:r>
      <w:r w:rsidR="0078435F" w:rsidRPr="00224648">
        <w:rPr>
          <w:vertAlign w:val="subscript"/>
        </w:rPr>
        <w:t>composants</w:t>
      </w:r>
      <w:r>
        <w:t>.</w:t>
      </w:r>
    </w:p>
    <w:p w14:paraId="7039236E" w14:textId="6AFC9B3F" w:rsidR="00CD66A8" w:rsidRDefault="00CD66A8" w:rsidP="007F40E5">
      <w:pPr>
        <w:pStyle w:val="Paragraphedeliste"/>
        <w:numPr>
          <w:ilvl w:val="0"/>
          <w:numId w:val="0"/>
        </w:numPr>
        <w:ind w:left="697"/>
      </w:pPr>
      <w:r>
        <w:t xml:space="preserve">Il correspond </w:t>
      </w:r>
      <w:r w:rsidR="00C24832" w:rsidRPr="00C24832">
        <w:t>à l’impact sur le changement climatique lié à la production des composants du bâtiment, leur transport, leur installation, leur utilisation à l’exclusion des besoins en énergie et en eau de la phase d’exploitation du bâtiment, leur maintenance, leur réparation, leurs remplacements et leur fin de vie. L’évaluation de cet impact prend en compte les charges et bénéfices liés à la valorisation des composants en fin de vie.</w:t>
      </w:r>
    </w:p>
    <w:p w14:paraId="12E58285" w14:textId="1E7B38C7" w:rsidR="0007134F" w:rsidRDefault="00C24832" w:rsidP="007F40E5">
      <w:pPr>
        <w:pStyle w:val="Paragraphedeliste"/>
        <w:ind w:left="697" w:hanging="340"/>
      </w:pPr>
      <w:r w:rsidRPr="00C24832">
        <w:t>L’impact sur le changement climatique associé au bâtiment, évalué sur l’ensemble de son cycle de vie, tenant compte du stockage, pendant la vie du bâtiment, de carbone issu de l'atmosphère, est défini par un indicateur exprimé en</w:t>
      </w:r>
      <w:r w:rsidR="00702F49">
        <w:t xml:space="preserve"> kg équivalent CO2 /m², et noté</w:t>
      </w:r>
      <w:r w:rsidRPr="00C24832">
        <w:t xml:space="preserve"> Ic</w:t>
      </w:r>
      <w:r w:rsidRPr="00166544">
        <w:rPr>
          <w:vertAlign w:val="subscript"/>
        </w:rPr>
        <w:t>bâtiment</w:t>
      </w:r>
      <w:r w:rsidRPr="00C24832">
        <w:t>.</w:t>
      </w:r>
      <w:r w:rsidR="00224648">
        <w:t xml:space="preserve"> </w:t>
      </w:r>
      <w:r w:rsidRPr="00C24832">
        <w:t>Il correspond à la somme de l’impact sur le changement climatique des composants Ic</w:t>
      </w:r>
      <w:r w:rsidRPr="00C24832">
        <w:rPr>
          <w:vertAlign w:val="subscript"/>
        </w:rPr>
        <w:t>composants</w:t>
      </w:r>
      <w:r w:rsidRPr="00C24832">
        <w:t xml:space="preserve"> et des consommations d’énergies Ic</w:t>
      </w:r>
      <w:r w:rsidRPr="00C24832">
        <w:rPr>
          <w:vertAlign w:val="subscript"/>
        </w:rPr>
        <w:t>énergie</w:t>
      </w:r>
      <w:r w:rsidRPr="00C24832">
        <w:t xml:space="preserve"> </w:t>
      </w:r>
      <w:r>
        <w:t xml:space="preserve">, </w:t>
      </w:r>
      <w:r w:rsidRPr="00C24832">
        <w:t xml:space="preserve">mentionnés </w:t>
      </w:r>
      <w:r>
        <w:t xml:space="preserve">respectivement au I. </w:t>
      </w:r>
      <w:r w:rsidRPr="00AA57C7">
        <w:t>du présent</w:t>
      </w:r>
      <w:r>
        <w:t xml:space="preserve"> article, et au IV. </w:t>
      </w:r>
      <w:r w:rsidR="00465511">
        <w:t>d</w:t>
      </w:r>
      <w:r>
        <w:t>e l’</w:t>
      </w:r>
      <w:r>
        <w:fldChar w:fldCharType="begin"/>
      </w:r>
      <w:r>
        <w:instrText xml:space="preserve"> REF _Ref49445983 \r \h </w:instrText>
      </w:r>
      <w:r>
        <w:fldChar w:fldCharType="separate"/>
      </w:r>
      <w:r w:rsidR="00E9780A">
        <w:t>Article 6</w:t>
      </w:r>
      <w:r>
        <w:fldChar w:fldCharType="end"/>
      </w:r>
      <w:r>
        <w:t>,</w:t>
      </w:r>
      <w:r w:rsidRPr="00C24832">
        <w:t xml:space="preserve"> </w:t>
      </w:r>
      <w:r>
        <w:t>a</w:t>
      </w:r>
      <w:r w:rsidRPr="00C24832">
        <w:t>insi que de l’impact sur le changement climatique du chantier de construction et des consommations et rejets d’eau pendant l’exploitation du bâtiment.</w:t>
      </w:r>
    </w:p>
    <w:p w14:paraId="7C6A4805" w14:textId="39467505" w:rsidR="00224648" w:rsidRPr="00224648" w:rsidRDefault="00224648" w:rsidP="007F40E5">
      <w:pPr>
        <w:pStyle w:val="Paragraphedeliste"/>
        <w:ind w:left="697" w:hanging="340"/>
      </w:pPr>
      <w:r w:rsidRPr="00224648">
        <w:t>Le stockag</w:t>
      </w:r>
      <w:r>
        <w:t xml:space="preserve">e, pendant la vie du bâtiment, </w:t>
      </w:r>
      <w:r w:rsidRPr="00224648">
        <w:t>de carbone biogénique</w:t>
      </w:r>
      <w:r>
        <w:t>,</w:t>
      </w:r>
      <w:r w:rsidRPr="00224648">
        <w:t xml:space="preserve"> est défini par un indicateu</w:t>
      </w:r>
      <w:r w:rsidR="00702F49">
        <w:t xml:space="preserve">r exprimé en kg C /m², et noté </w:t>
      </w:r>
      <w:r w:rsidRPr="00224648">
        <w:t xml:space="preserve">StockC. </w:t>
      </w:r>
    </w:p>
    <w:p w14:paraId="1459D4C4" w14:textId="459928E2" w:rsidR="00224648" w:rsidRPr="00224648" w:rsidRDefault="00224648" w:rsidP="007F40E5">
      <w:pPr>
        <w:pStyle w:val="Paragraphedeliste"/>
        <w:spacing w:line="256" w:lineRule="auto"/>
        <w:ind w:left="697" w:hanging="340"/>
      </w:pPr>
      <w:r w:rsidRPr="00224648">
        <w:t xml:space="preserve">La part de données environnementales par défaut utilisées dans l’évaluation du bâtiment est </w:t>
      </w:r>
      <w:r w:rsidRPr="00AA57C7">
        <w:t>défini</w:t>
      </w:r>
      <w:r w:rsidR="0047562F" w:rsidRPr="00AA57C7">
        <w:t>e</w:t>
      </w:r>
      <w:r w:rsidRPr="00AA57C7">
        <w:t xml:space="preserve"> par un indicateur exprimé en %, et noté UDD.</w:t>
      </w:r>
      <w:r w:rsidRPr="00224648">
        <w:t xml:space="preserve"> Il correspond à la part de l’impact sur le changement climatique associé à ces données dans le calcul de l’indicateur Ic</w:t>
      </w:r>
      <w:r w:rsidRPr="00224648">
        <w:rPr>
          <w:vertAlign w:val="subscript"/>
        </w:rPr>
        <w:t>composants</w:t>
      </w:r>
      <w:r w:rsidR="009C3EEB">
        <w:t>.</w:t>
      </w:r>
    </w:p>
    <w:p w14:paraId="1682678C" w14:textId="77777777" w:rsidR="00224648" w:rsidRPr="00B0058C" w:rsidRDefault="00224648" w:rsidP="00F26D54">
      <w:pPr>
        <w:pStyle w:val="Paragraphedeliste"/>
        <w:numPr>
          <w:ilvl w:val="0"/>
          <w:numId w:val="0"/>
        </w:numPr>
        <w:ind w:left="1077"/>
      </w:pPr>
    </w:p>
    <w:p w14:paraId="5B869AF8" w14:textId="47339BEF" w:rsidR="00906764" w:rsidRDefault="0010408E" w:rsidP="00DF0DDD">
      <w:r>
        <w:t xml:space="preserve">Ces </w:t>
      </w:r>
      <w:r w:rsidRPr="00224648">
        <w:t>indicateurs</w:t>
      </w:r>
      <w:r w:rsidR="00224648" w:rsidRPr="00224648">
        <w:t xml:space="preserve"> Ic</w:t>
      </w:r>
      <w:r w:rsidR="00224648" w:rsidRPr="00224648">
        <w:rPr>
          <w:vertAlign w:val="subscript"/>
        </w:rPr>
        <w:t>composants</w:t>
      </w:r>
      <w:r w:rsidR="00224648" w:rsidRPr="00224648">
        <w:t>, Ic</w:t>
      </w:r>
      <w:r w:rsidR="00224648" w:rsidRPr="00224648">
        <w:rPr>
          <w:vertAlign w:val="subscript"/>
        </w:rPr>
        <w:t>bâtiment</w:t>
      </w:r>
      <w:r w:rsidR="00224648">
        <w:t xml:space="preserve">, StockC </w:t>
      </w:r>
      <w:r w:rsidR="00224648" w:rsidRPr="00224648">
        <w:t>et UDD</w:t>
      </w:r>
      <w:r w:rsidRPr="00224648">
        <w:t xml:space="preserve"> </w:t>
      </w:r>
      <w:r>
        <w:t xml:space="preserve">sont calculés </w:t>
      </w:r>
      <w:r w:rsidRPr="0010408E">
        <w:t xml:space="preserve">selon les modalités définies à </w:t>
      </w:r>
      <w:r w:rsidR="004B3E2E">
        <w:t>l’</w:t>
      </w:r>
      <w:r w:rsidR="00866253">
        <w:fldChar w:fldCharType="begin"/>
      </w:r>
      <w:r w:rsidR="00866253">
        <w:instrText xml:space="preserve"> REF _Ref49444761 \r </w:instrText>
      </w:r>
      <w:r w:rsidR="00866253">
        <w:fldChar w:fldCharType="separate"/>
      </w:r>
      <w:r w:rsidR="00003F58">
        <w:t>Article 17</w:t>
      </w:r>
      <w:r w:rsidR="00866253">
        <w:fldChar w:fldCharType="end"/>
      </w:r>
      <w:r w:rsidR="004B3E2E">
        <w:t>.</w:t>
      </w:r>
    </w:p>
    <w:p w14:paraId="1EC63338" w14:textId="085853FA" w:rsidR="00955122" w:rsidRDefault="008E291D" w:rsidP="00324401">
      <w:pPr>
        <w:pStyle w:val="Titre3"/>
      </w:pPr>
      <w:bookmarkStart w:id="14" w:name="_Ref49444607"/>
      <w:bookmarkStart w:id="15" w:name="_Ref49445995"/>
      <w:r>
        <w:t>(</w:t>
      </w:r>
      <w:r w:rsidR="00BA671E">
        <w:t>indicateur D</w:t>
      </w:r>
      <w:r>
        <w:t>H)</w:t>
      </w:r>
      <w:bookmarkEnd w:id="14"/>
      <w:bookmarkEnd w:id="15"/>
      <w:r>
        <w:t xml:space="preserve"> </w:t>
      </w:r>
    </w:p>
    <w:p w14:paraId="115FC7AE" w14:textId="1385287C" w:rsidR="00B22DB9" w:rsidRPr="00B0058C" w:rsidRDefault="00F96E3E" w:rsidP="00DF0DDD">
      <w:r w:rsidRPr="00B0058C">
        <w:t xml:space="preserve">Le nombre de degrés-heures d’inconfort estival, </w:t>
      </w:r>
      <w:r w:rsidR="00DE6463" w:rsidRPr="00B0058C">
        <w:t xml:space="preserve">évalué pour chaque partie de bâtiment thermiquement homogène, </w:t>
      </w:r>
      <w:r w:rsidR="00635867" w:rsidRPr="00B0058C">
        <w:t xml:space="preserve">est </w:t>
      </w:r>
      <w:r w:rsidRPr="00B0058C">
        <w:t xml:space="preserve">exprimé en °C.h, </w:t>
      </w:r>
      <w:r w:rsidR="00635867" w:rsidRPr="00B0058C">
        <w:t>et</w:t>
      </w:r>
      <w:r w:rsidRPr="00B0058C">
        <w:t xml:space="preserve"> noté DH. Il exprime la durée et l’intensité des périodes d’inconfort dans le bâtiment</w:t>
      </w:r>
      <w:r w:rsidR="00465511">
        <w:t xml:space="preserve"> sur une année</w:t>
      </w:r>
      <w:r w:rsidRPr="00B0058C">
        <w:t xml:space="preserve">, lorsque la température intérieure est </w:t>
      </w:r>
      <w:r w:rsidR="00BC21DF">
        <w:t>supposée engendrer de l’inconfort</w:t>
      </w:r>
      <w:r w:rsidRPr="00B0058C">
        <w:t>.</w:t>
      </w:r>
      <w:r w:rsidR="00603E6B" w:rsidRPr="00B0058C">
        <w:t xml:space="preserve"> </w:t>
      </w:r>
    </w:p>
    <w:p w14:paraId="3B9E6651" w14:textId="3D4060A8" w:rsidR="00A47592" w:rsidRPr="00B0058C" w:rsidRDefault="00A47592" w:rsidP="00DF0DDD">
      <w:r w:rsidRPr="00B0058C">
        <w:t xml:space="preserve">Cet indicateur DH est calculé selon les modalités définies à </w:t>
      </w:r>
      <w:r w:rsidR="004B3E2E">
        <w:t>l’</w:t>
      </w:r>
      <w:r w:rsidR="00866253">
        <w:fldChar w:fldCharType="begin"/>
      </w:r>
      <w:r w:rsidR="00866253">
        <w:instrText xml:space="preserve"> REF _Ref49444761 \r </w:instrText>
      </w:r>
      <w:r w:rsidR="00866253">
        <w:fldChar w:fldCharType="separate"/>
      </w:r>
      <w:r w:rsidR="00E9780A">
        <w:t>Article 17</w:t>
      </w:r>
      <w:r w:rsidR="00866253">
        <w:fldChar w:fldCharType="end"/>
      </w:r>
      <w:r w:rsidR="00E9780A">
        <w:t>.</w:t>
      </w:r>
    </w:p>
    <w:p w14:paraId="38E075E1" w14:textId="77777777" w:rsidR="00F96E3E" w:rsidRDefault="00F96E3E" w:rsidP="00DF0DDD"/>
    <w:p w14:paraId="227C0986" w14:textId="66EA8635" w:rsidR="00B22DB9" w:rsidRDefault="00B22DB9" w:rsidP="0019138C">
      <w:pPr>
        <w:pStyle w:val="Titre2"/>
      </w:pPr>
      <w:bookmarkStart w:id="16" w:name="_Ref49520504"/>
      <w:bookmarkStart w:id="17" w:name="_Ref57823331"/>
      <w:r w:rsidRPr="00B22DB9">
        <w:t>EXIGENCES DE PERFORMANCE ENERGETIQUE</w:t>
      </w:r>
      <w:r w:rsidR="00C968FB">
        <w:t xml:space="preserve"> ET ENVIRONNEMENTALES</w:t>
      </w:r>
      <w:r w:rsidRPr="00B22DB9">
        <w:t xml:space="preserve"> ET CARACTERISTIQUES </w:t>
      </w:r>
      <w:bookmarkEnd w:id="16"/>
      <w:r w:rsidR="00166544">
        <w:t>TECHNIQUES MINIMALES</w:t>
      </w:r>
      <w:bookmarkEnd w:id="17"/>
    </w:p>
    <w:p w14:paraId="0B860CB6" w14:textId="38415541" w:rsidR="00B273A1" w:rsidRDefault="008E291D" w:rsidP="00DF0DDD">
      <w:pPr>
        <w:pStyle w:val="Titre3"/>
      </w:pPr>
      <w:r>
        <w:t xml:space="preserve"> </w:t>
      </w:r>
      <w:bookmarkStart w:id="18" w:name="_Ref49445573"/>
      <w:r>
        <w:t>(</w:t>
      </w:r>
      <w:r w:rsidR="0021289E">
        <w:t>exigences de résultat</w:t>
      </w:r>
      <w:r>
        <w:t>s)</w:t>
      </w:r>
      <w:bookmarkEnd w:id="18"/>
      <w:r>
        <w:t xml:space="preserve"> </w:t>
      </w:r>
    </w:p>
    <w:p w14:paraId="7351A12A" w14:textId="67F87413" w:rsidR="00473601" w:rsidRDefault="00473601" w:rsidP="000259A1">
      <w:r>
        <w:t>Les bâtiments</w:t>
      </w:r>
      <w:r w:rsidR="00A2293F">
        <w:t xml:space="preserve"> ou parties de bâtiments</w:t>
      </w:r>
      <w:r>
        <w:t xml:space="preserve"> soumis au présent arrêté doivent</w:t>
      </w:r>
      <w:r w:rsidR="008C561B">
        <w:t xml:space="preserve"> respecter les exigences suivantes</w:t>
      </w:r>
      <w:r>
        <w:t xml:space="preserve">, </w:t>
      </w:r>
      <w:r w:rsidR="00450DDA">
        <w:t>à l’exception des</w:t>
      </w:r>
      <w:r>
        <w:t xml:space="preserve"> cas spécifiés </w:t>
      </w:r>
      <w:r w:rsidR="003D77A4">
        <w:t xml:space="preserve">au </w:t>
      </w:r>
      <w:r w:rsidR="003D77A4">
        <w:fldChar w:fldCharType="begin"/>
      </w:r>
      <w:r w:rsidR="003D77A4">
        <w:instrText xml:space="preserve"> REF _Ref49526297 \r \h </w:instrText>
      </w:r>
      <w:r w:rsidR="003D77A4">
        <w:fldChar w:fldCharType="separate"/>
      </w:r>
      <w:r w:rsidR="00E9780A">
        <w:t>CHAPITRE II</w:t>
      </w:r>
      <w:r w:rsidR="003D77A4">
        <w:fldChar w:fldCharType="end"/>
      </w:r>
      <w:r w:rsidR="003D77A4">
        <w:t xml:space="preserve"> qui peuvent, de manière alternative, respecter les </w:t>
      </w:r>
      <w:r w:rsidR="00324401">
        <w:t>exigences</w:t>
      </w:r>
      <w:r w:rsidR="0047562F">
        <w:t xml:space="preserve"> </w:t>
      </w:r>
      <w:r w:rsidR="00034078">
        <w:t xml:space="preserve">spécifiées </w:t>
      </w:r>
      <w:r w:rsidR="00F11BAA">
        <w:t xml:space="preserve">au </w:t>
      </w:r>
      <w:r w:rsidR="00F11BAA">
        <w:rPr>
          <w:highlight w:val="yellow"/>
        </w:rPr>
        <w:fldChar w:fldCharType="begin"/>
      </w:r>
      <w:r w:rsidR="00F11BAA">
        <w:instrText xml:space="preserve"> REF _Ref49526579 \r \h </w:instrText>
      </w:r>
      <w:r w:rsidR="00F11BAA">
        <w:rPr>
          <w:highlight w:val="yellow"/>
        </w:rPr>
      </w:r>
      <w:r w:rsidR="00F11BAA">
        <w:rPr>
          <w:highlight w:val="yellow"/>
        </w:rPr>
        <w:fldChar w:fldCharType="separate"/>
      </w:r>
      <w:r w:rsidR="00E9780A">
        <w:t>CHAPITRE VIII</w:t>
      </w:r>
      <w:r w:rsidR="00F11BAA">
        <w:rPr>
          <w:highlight w:val="yellow"/>
        </w:rPr>
        <w:fldChar w:fldCharType="end"/>
      </w:r>
      <w:r w:rsidR="008E291D">
        <w:t xml:space="preserve"> </w:t>
      </w:r>
      <w:r>
        <w:t xml:space="preserve">: </w:t>
      </w:r>
    </w:p>
    <w:p w14:paraId="44FE9882" w14:textId="137F4639" w:rsidR="00AA57C7" w:rsidRDefault="00AA57C7" w:rsidP="00AA57C7">
      <w:pPr>
        <w:pStyle w:val="Paragraphedeliste"/>
        <w:numPr>
          <w:ilvl w:val="0"/>
          <w:numId w:val="26"/>
        </w:numPr>
        <w:ind w:left="697" w:hanging="340"/>
      </w:pPr>
      <w:r>
        <w:t>La valeur de l’indicateurs Bbio</w:t>
      </w:r>
      <w:r w:rsidRPr="00AA57C7">
        <w:t xml:space="preserve"> du bâtiment </w:t>
      </w:r>
      <w:r>
        <w:t>est</w:t>
      </w:r>
      <w:r w:rsidRPr="00AA57C7">
        <w:t xml:space="preserve"> inférieure ou égale</w:t>
      </w:r>
      <w:r>
        <w:t xml:space="preserve"> </w:t>
      </w:r>
      <w:r w:rsidRPr="00AA57C7">
        <w:t xml:space="preserve">respectivement </w:t>
      </w:r>
      <w:r>
        <w:t>à la</w:t>
      </w:r>
      <w:r w:rsidRPr="00AA57C7">
        <w:t xml:space="preserve"> valeur maximale Bbio_m</w:t>
      </w:r>
      <w:r>
        <w:t>ax, déterminée selon les modalités précisées à l’</w:t>
      </w:r>
      <w:r>
        <w:fldChar w:fldCharType="begin"/>
      </w:r>
      <w:r>
        <w:instrText xml:space="preserve"> REF _Ref57311083 \r \h </w:instrText>
      </w:r>
      <w:r>
        <w:fldChar w:fldCharType="separate"/>
      </w:r>
      <w:r w:rsidR="00E9780A">
        <w:t>Article 12</w:t>
      </w:r>
      <w:r>
        <w:fldChar w:fldCharType="end"/>
      </w:r>
      <w:r>
        <w:t xml:space="preserve"> ;</w:t>
      </w:r>
    </w:p>
    <w:p w14:paraId="25EEF9E0" w14:textId="61ADFD67" w:rsidR="00BA671E" w:rsidRDefault="00473601" w:rsidP="00E8319A">
      <w:pPr>
        <w:pStyle w:val="Paragraphedeliste"/>
        <w:numPr>
          <w:ilvl w:val="0"/>
          <w:numId w:val="26"/>
        </w:numPr>
        <w:ind w:left="697" w:hanging="340"/>
      </w:pPr>
      <w:r>
        <w:t>L</w:t>
      </w:r>
      <w:r w:rsidR="008C561B">
        <w:t>es</w:t>
      </w:r>
      <w:r>
        <w:t xml:space="preserve"> valeur</w:t>
      </w:r>
      <w:r w:rsidR="008C561B">
        <w:t>s</w:t>
      </w:r>
      <w:r>
        <w:t xml:space="preserve"> de</w:t>
      </w:r>
      <w:r w:rsidR="008C561B">
        <w:t>s</w:t>
      </w:r>
      <w:r w:rsidR="00450DDA">
        <w:t xml:space="preserve"> </w:t>
      </w:r>
      <w:r>
        <w:t>indicateur</w:t>
      </w:r>
      <w:r w:rsidR="008C561B">
        <w:t>s</w:t>
      </w:r>
      <w:r w:rsidR="00BA671E">
        <w:t xml:space="preserve"> </w:t>
      </w:r>
      <w:r w:rsidR="0054020D">
        <w:t xml:space="preserve">Cep,nr, </w:t>
      </w:r>
      <w:r w:rsidR="00BA671E">
        <w:t>Cep</w:t>
      </w:r>
      <w:r w:rsidR="008C561B">
        <w:t xml:space="preserve">, </w:t>
      </w:r>
      <w:r w:rsidR="0054020D">
        <w:t xml:space="preserve">et </w:t>
      </w:r>
      <w:r w:rsidR="00C968FB" w:rsidRPr="00AA57C7">
        <w:t>Ic</w:t>
      </w:r>
      <w:r w:rsidR="00040407">
        <w:rPr>
          <w:vertAlign w:val="subscript"/>
        </w:rPr>
        <w:t>énergie</w:t>
      </w:r>
      <w:r w:rsidR="00BA671E" w:rsidRPr="00AA57C7">
        <w:t xml:space="preserve"> du bâtiment </w:t>
      </w:r>
      <w:r w:rsidR="008C561B" w:rsidRPr="00AA57C7">
        <w:t>sont</w:t>
      </w:r>
      <w:r w:rsidR="00BA671E" w:rsidRPr="00AA57C7">
        <w:t xml:space="preserve"> inférieur</w:t>
      </w:r>
      <w:r w:rsidRPr="00AA57C7">
        <w:t>e</w:t>
      </w:r>
      <w:r w:rsidR="008C561B" w:rsidRPr="00AA57C7">
        <w:t>s</w:t>
      </w:r>
      <w:r w:rsidR="00BA671E" w:rsidRPr="00AA57C7">
        <w:t xml:space="preserve"> ou égal</w:t>
      </w:r>
      <w:r w:rsidRPr="00AA57C7">
        <w:t>e</w:t>
      </w:r>
      <w:r w:rsidR="008C561B" w:rsidRPr="00AA57C7">
        <w:t>s respectivement</w:t>
      </w:r>
      <w:r w:rsidR="00BA671E" w:rsidRPr="00AA57C7">
        <w:t xml:space="preserve"> </w:t>
      </w:r>
      <w:r w:rsidR="008C561B" w:rsidRPr="00AA57C7">
        <w:t>aux</w:t>
      </w:r>
      <w:r w:rsidRPr="00AA57C7">
        <w:t xml:space="preserve"> valeur</w:t>
      </w:r>
      <w:r w:rsidR="008C561B" w:rsidRPr="00AA57C7">
        <w:t>s</w:t>
      </w:r>
      <w:r w:rsidR="00BA671E" w:rsidRPr="00AA57C7">
        <w:t xml:space="preserve"> maximal</w:t>
      </w:r>
      <w:r w:rsidRPr="00AA57C7">
        <w:t>e</w:t>
      </w:r>
      <w:r w:rsidR="0047562F" w:rsidRPr="00AA57C7">
        <w:t>s</w:t>
      </w:r>
      <w:r w:rsidR="00BA671E" w:rsidRPr="00AA57C7">
        <w:t xml:space="preserve"> </w:t>
      </w:r>
      <w:r w:rsidR="0054020D">
        <w:t xml:space="preserve">Cep,nr_max, </w:t>
      </w:r>
      <w:r w:rsidR="00BA671E">
        <w:t>Cep</w:t>
      </w:r>
      <w:r w:rsidR="00B832C0">
        <w:t>_</w:t>
      </w:r>
      <w:r w:rsidR="00BA671E">
        <w:t>max,</w:t>
      </w:r>
      <w:r w:rsidR="008C561B" w:rsidRPr="008C561B">
        <w:t xml:space="preserve"> </w:t>
      </w:r>
      <w:r w:rsidR="00AA57C7">
        <w:t xml:space="preserve">et </w:t>
      </w:r>
      <w:r w:rsidR="0054020D">
        <w:t>Ic</w:t>
      </w:r>
      <w:r w:rsidR="0054020D" w:rsidRPr="000259A1">
        <w:rPr>
          <w:vertAlign w:val="subscript"/>
        </w:rPr>
        <w:t>énergie</w:t>
      </w:r>
      <w:r w:rsidR="00B832C0">
        <w:t>_</w:t>
      </w:r>
      <w:r w:rsidR="008C561B">
        <w:t>max</w:t>
      </w:r>
      <w:r w:rsidR="008C561B" w:rsidRPr="008C561B">
        <w:t>,</w:t>
      </w:r>
      <w:r w:rsidR="008C561B">
        <w:t xml:space="preserve"> </w:t>
      </w:r>
      <w:r w:rsidR="00BA671E">
        <w:t>déterminé</w:t>
      </w:r>
      <w:r>
        <w:t>e</w:t>
      </w:r>
      <w:r w:rsidR="008C561B">
        <w:t>s</w:t>
      </w:r>
      <w:r w:rsidR="00BA671E">
        <w:t xml:space="preserve"> selon les modalités précisées </w:t>
      </w:r>
      <w:r w:rsidR="00AA57C7">
        <w:t>à l’</w:t>
      </w:r>
      <w:r w:rsidR="00AA57C7">
        <w:fldChar w:fldCharType="begin"/>
      </w:r>
      <w:r w:rsidR="00AA57C7">
        <w:instrText xml:space="preserve"> REF _Ref57387808 \r \h </w:instrText>
      </w:r>
      <w:r w:rsidR="00AA57C7">
        <w:fldChar w:fldCharType="separate"/>
      </w:r>
      <w:r w:rsidR="00E9780A">
        <w:t>Article 13</w:t>
      </w:r>
      <w:r w:rsidR="00AA57C7">
        <w:fldChar w:fldCharType="end"/>
      </w:r>
      <w:r w:rsidR="00BA671E">
        <w:t xml:space="preserve"> ;</w:t>
      </w:r>
    </w:p>
    <w:p w14:paraId="0044CA09" w14:textId="46E38FBE" w:rsidR="00AA57C7" w:rsidRDefault="00AA57C7" w:rsidP="00AA57C7">
      <w:pPr>
        <w:pStyle w:val="Paragraphedeliste"/>
        <w:numPr>
          <w:ilvl w:val="0"/>
          <w:numId w:val="26"/>
        </w:numPr>
        <w:ind w:left="697" w:hanging="340"/>
      </w:pPr>
      <w:r>
        <w:t>La valeur de l’indicateurs Ic</w:t>
      </w:r>
      <w:r w:rsidRPr="000259A1">
        <w:rPr>
          <w:vertAlign w:val="subscript"/>
        </w:rPr>
        <w:t>composants</w:t>
      </w:r>
      <w:r w:rsidRPr="00AA57C7">
        <w:t xml:space="preserve"> du bâtiment </w:t>
      </w:r>
      <w:r>
        <w:t>est</w:t>
      </w:r>
      <w:r w:rsidRPr="00AA57C7">
        <w:t xml:space="preserve"> inférieure ou égale</w:t>
      </w:r>
      <w:r>
        <w:t xml:space="preserve"> </w:t>
      </w:r>
      <w:r w:rsidRPr="00AA57C7">
        <w:t xml:space="preserve">respectivement </w:t>
      </w:r>
      <w:r>
        <w:t>à la</w:t>
      </w:r>
      <w:r w:rsidRPr="00AA57C7">
        <w:t xml:space="preserve"> valeur maximale </w:t>
      </w:r>
      <w:r>
        <w:t>Ic</w:t>
      </w:r>
      <w:r w:rsidRPr="000259A1">
        <w:rPr>
          <w:vertAlign w:val="subscript"/>
        </w:rPr>
        <w:t>composants</w:t>
      </w:r>
      <w:r w:rsidRPr="00AA57C7">
        <w:t xml:space="preserve"> _m</w:t>
      </w:r>
      <w:r>
        <w:t>ax, déterminée selon les modalités précisées à l’</w:t>
      </w:r>
      <w:r>
        <w:fldChar w:fldCharType="begin"/>
      </w:r>
      <w:r>
        <w:instrText xml:space="preserve"> REF _Ref57398791 \r \h </w:instrText>
      </w:r>
      <w:r>
        <w:fldChar w:fldCharType="separate"/>
      </w:r>
      <w:r w:rsidR="00E9780A">
        <w:t>Article 14</w:t>
      </w:r>
      <w:r>
        <w:fldChar w:fldCharType="end"/>
      </w:r>
      <w:r>
        <w:t xml:space="preserve"> ;</w:t>
      </w:r>
    </w:p>
    <w:p w14:paraId="185D2BCB" w14:textId="787ADFD9" w:rsidR="008C561B" w:rsidRDefault="00473601" w:rsidP="00E8319A">
      <w:pPr>
        <w:pStyle w:val="Paragraphedeliste"/>
        <w:numPr>
          <w:ilvl w:val="0"/>
          <w:numId w:val="26"/>
        </w:numPr>
        <w:ind w:left="697" w:hanging="340"/>
      </w:pPr>
      <w:r>
        <w:t xml:space="preserve">Pour </w:t>
      </w:r>
      <w:r w:rsidRPr="00473601">
        <w:t>chaque partie de bâtiment thermiquement homogène</w:t>
      </w:r>
      <w:r>
        <w:t xml:space="preserve">, la </w:t>
      </w:r>
      <w:r w:rsidRPr="00473601">
        <w:t xml:space="preserve">valeur de l’indicateur </w:t>
      </w:r>
      <w:r>
        <w:t>DH</w:t>
      </w:r>
      <w:r w:rsidRPr="00473601">
        <w:t xml:space="preserve"> du bâtiment est inférieure ou égale à la valeur maximale </w:t>
      </w:r>
      <w:r>
        <w:t>DHmax</w:t>
      </w:r>
      <w:r w:rsidRPr="00473601">
        <w:t xml:space="preserve">, déterminée selon les modalités précisées </w:t>
      </w:r>
      <w:r w:rsidR="00AA57C7">
        <w:t>à l’</w:t>
      </w:r>
      <w:r w:rsidR="00AA57C7">
        <w:fldChar w:fldCharType="begin"/>
      </w:r>
      <w:r w:rsidR="00AA57C7">
        <w:instrText xml:space="preserve"> REF _Ref57823895 \r \h </w:instrText>
      </w:r>
      <w:r w:rsidR="00AA57C7">
        <w:fldChar w:fldCharType="separate"/>
      </w:r>
      <w:r w:rsidR="00E9780A">
        <w:t>Article 15</w:t>
      </w:r>
      <w:r w:rsidR="00AA57C7">
        <w:fldChar w:fldCharType="end"/>
      </w:r>
      <w:r>
        <w:t>.</w:t>
      </w:r>
    </w:p>
    <w:p w14:paraId="18BC641E" w14:textId="698074E6" w:rsidR="00F86151" w:rsidRDefault="000259A1" w:rsidP="00E8319A">
      <w:pPr>
        <w:pStyle w:val="Paragraphedeliste"/>
        <w:numPr>
          <w:ilvl w:val="0"/>
          <w:numId w:val="26"/>
        </w:numPr>
        <w:ind w:left="697" w:hanging="340"/>
      </w:pPr>
      <w:r>
        <w:t>Les</w:t>
      </w:r>
      <w:r w:rsidR="00F86151">
        <w:t xml:space="preserve"> performances concernant les indicateurs Ic</w:t>
      </w:r>
      <w:r w:rsidR="00F86151" w:rsidRPr="00F86151">
        <w:rPr>
          <w:vertAlign w:val="subscript"/>
        </w:rPr>
        <w:t>bâtiment</w:t>
      </w:r>
      <w:r w:rsidR="00AA57C7">
        <w:t>,</w:t>
      </w:r>
      <w:r w:rsidR="00F86151">
        <w:t xml:space="preserve"> StockC</w:t>
      </w:r>
      <w:r w:rsidR="00AA57C7">
        <w:t xml:space="preserve"> et UDD</w:t>
      </w:r>
      <w:r>
        <w:t xml:space="preserve"> sont évaluées</w:t>
      </w:r>
      <w:r w:rsidR="00AA57C7">
        <w:t xml:space="preserve"> conformément à l’</w:t>
      </w:r>
      <w:r w:rsidR="00AA57C7">
        <w:fldChar w:fldCharType="begin"/>
      </w:r>
      <w:r w:rsidR="00AA57C7">
        <w:instrText xml:space="preserve"> REF _Ref49446041 \r \h </w:instrText>
      </w:r>
      <w:r w:rsidR="00AA57C7">
        <w:fldChar w:fldCharType="separate"/>
      </w:r>
      <w:r w:rsidR="00E9780A">
        <w:t>Article 17</w:t>
      </w:r>
      <w:r w:rsidR="00AA57C7">
        <w:fldChar w:fldCharType="end"/>
      </w:r>
      <w:r w:rsidR="00F86151">
        <w:t>.</w:t>
      </w:r>
    </w:p>
    <w:p w14:paraId="5CAF6CDF" w14:textId="3AA0408B" w:rsidR="00AA57C7" w:rsidRDefault="00AA57C7" w:rsidP="00E8319A">
      <w:pPr>
        <w:pStyle w:val="Paragraphedeliste"/>
        <w:numPr>
          <w:ilvl w:val="0"/>
          <w:numId w:val="26"/>
        </w:numPr>
        <w:ind w:left="697" w:hanging="340"/>
      </w:pPr>
      <w:r>
        <w:t>Les performances des indicateurs définis dans l’arrêté visé à l’</w:t>
      </w:r>
      <w:r>
        <w:fldChar w:fldCharType="begin"/>
      </w:r>
      <w:r>
        <w:instrText xml:space="preserve"> REF _Ref49446041 \r \h </w:instrText>
      </w:r>
      <w:r>
        <w:fldChar w:fldCharType="separate"/>
      </w:r>
      <w:r w:rsidR="00E9780A">
        <w:t>Article 17</w:t>
      </w:r>
      <w:r>
        <w:fldChar w:fldCharType="end"/>
      </w:r>
      <w:r>
        <w:t xml:space="preserve"> peuvent être calculées.</w:t>
      </w:r>
    </w:p>
    <w:p w14:paraId="6C25076C" w14:textId="0754AA32" w:rsidR="001D2511" w:rsidRDefault="001D2511" w:rsidP="00DF0DDD">
      <w:r>
        <w:t xml:space="preserve">Les dispositions du présent article, excepté </w:t>
      </w:r>
      <w:r w:rsidR="007F40E5">
        <w:t xml:space="preserve">les </w:t>
      </w:r>
      <w:r>
        <w:t>disposition</w:t>
      </w:r>
      <w:r w:rsidR="007F40E5">
        <w:t>s</w:t>
      </w:r>
      <w:r>
        <w:t xml:space="preserve"> relative</w:t>
      </w:r>
      <w:r w:rsidR="007F40E5">
        <w:t>s</w:t>
      </w:r>
      <w:r>
        <w:t xml:space="preserve"> à la valeur de l’indicateur </w:t>
      </w:r>
      <w:r w:rsidR="0054020D">
        <w:t>Ic</w:t>
      </w:r>
      <w:r w:rsidR="0054020D">
        <w:rPr>
          <w:vertAlign w:val="subscript"/>
        </w:rPr>
        <w:t>composants</w:t>
      </w:r>
      <w:r w:rsidR="00F86151">
        <w:t xml:space="preserve"> et à l’évaluation de l’indicateur StockC</w:t>
      </w:r>
      <w:r>
        <w:t xml:space="preserve">, s’appliquent uniquement </w:t>
      </w:r>
      <w:r w:rsidRPr="00B0058C">
        <w:t>aux</w:t>
      </w:r>
      <w:r>
        <w:t xml:space="preserve"> parties de</w:t>
      </w:r>
      <w:r w:rsidRPr="00B0058C">
        <w:t xml:space="preserve"> bâtiments comportant des locaux qui, en utilisation normale, sont destinés à être chauffés à une température supérieure à 12°C, ou refroidis à une température inférieure à </w:t>
      </w:r>
      <w:r w:rsidR="00F86151">
        <w:t>28</w:t>
      </w:r>
      <w:r w:rsidR="00F86151" w:rsidRPr="00B0058C">
        <w:t xml:space="preserve"> </w:t>
      </w:r>
      <w:r w:rsidRPr="00B0058C">
        <w:t>°C</w:t>
      </w:r>
      <w:r w:rsidR="00F86151" w:rsidRPr="00AE19AF">
        <w:t xml:space="preserve">, et aux parcs de stationnement </w:t>
      </w:r>
      <w:r w:rsidR="00F86151" w:rsidRPr="007B731A">
        <w:t>associés</w:t>
      </w:r>
      <w:r>
        <w:t xml:space="preserve">. Elles s’appliquent </w:t>
      </w:r>
      <w:r w:rsidR="003B2EB2">
        <w:t xml:space="preserve">notamment </w:t>
      </w:r>
      <w:r>
        <w:t>à toutes les parties de bâtiments à usage d’habitation.</w:t>
      </w:r>
    </w:p>
    <w:p w14:paraId="61838041" w14:textId="6A881C1D" w:rsidR="0021289E" w:rsidRDefault="008E291D" w:rsidP="00DF0DDD">
      <w:pPr>
        <w:pStyle w:val="Titre3"/>
      </w:pPr>
      <w:r>
        <w:t xml:space="preserve"> (</w:t>
      </w:r>
      <w:r w:rsidR="0021289E">
        <w:t>exigences de moyen</w:t>
      </w:r>
      <w:r>
        <w:t xml:space="preserve">s) </w:t>
      </w:r>
    </w:p>
    <w:p w14:paraId="42001029" w14:textId="4189EB92" w:rsidR="0021289E" w:rsidRDefault="008E291D" w:rsidP="00DF0DDD">
      <w:r>
        <w:t>Les</w:t>
      </w:r>
      <w:r w:rsidR="0021289E">
        <w:t xml:space="preserve"> </w:t>
      </w:r>
      <w:r w:rsidR="0021289E" w:rsidRPr="006E2899">
        <w:t xml:space="preserve">caractéristiques </w:t>
      </w:r>
      <w:r w:rsidR="00166544">
        <w:t>techniques minimales</w:t>
      </w:r>
      <w:r w:rsidR="00166544" w:rsidRPr="006E2899">
        <w:t xml:space="preserve"> </w:t>
      </w:r>
      <w:r w:rsidR="00166544">
        <w:t xml:space="preserve">de certains composants ou ensembles de composants </w:t>
      </w:r>
      <w:r>
        <w:t>des</w:t>
      </w:r>
      <w:r w:rsidR="0021289E">
        <w:t xml:space="preserve"> bâtiments</w:t>
      </w:r>
      <w:r>
        <w:t xml:space="preserve"> soumis au présent arrêté</w:t>
      </w:r>
      <w:r w:rsidR="0021289E">
        <w:t xml:space="preserve"> doivent</w:t>
      </w:r>
      <w:r>
        <w:t xml:space="preserve">, </w:t>
      </w:r>
      <w:r w:rsidR="0021289E">
        <w:t xml:space="preserve">respecter les exigences définies au </w:t>
      </w:r>
      <w:r w:rsidR="00866253">
        <w:fldChar w:fldCharType="begin"/>
      </w:r>
      <w:r w:rsidR="00866253">
        <w:instrText xml:space="preserve"> REF _Ref49445041 \r </w:instrText>
      </w:r>
      <w:r w:rsidR="00866253">
        <w:fldChar w:fldCharType="separate"/>
      </w:r>
      <w:r w:rsidR="00E9780A">
        <w:t>TITRE III</w:t>
      </w:r>
      <w:r w:rsidR="00866253">
        <w:fldChar w:fldCharType="end"/>
      </w:r>
      <w:r>
        <w:t xml:space="preserve"> </w:t>
      </w:r>
      <w:r w:rsidR="0021289E">
        <w:t>du présent arrêté</w:t>
      </w:r>
      <w:r w:rsidR="00F7078D">
        <w:t xml:space="preserve">, à l’exception des cas spécifiés au </w:t>
      </w:r>
      <w:r w:rsidR="00F7078D">
        <w:fldChar w:fldCharType="begin"/>
      </w:r>
      <w:r w:rsidR="00F7078D">
        <w:instrText xml:space="preserve"> REF _Ref57396460 \r \h </w:instrText>
      </w:r>
      <w:r w:rsidR="00F7078D">
        <w:fldChar w:fldCharType="separate"/>
      </w:r>
      <w:r w:rsidR="00E9780A">
        <w:t>CHAPITRE II</w:t>
      </w:r>
      <w:r w:rsidR="00F7078D">
        <w:fldChar w:fldCharType="end"/>
      </w:r>
      <w:r w:rsidR="00F7078D">
        <w:t xml:space="preserve"> qui peuvent, de manière alternative, respecter </w:t>
      </w:r>
      <w:r w:rsidR="00F7078D" w:rsidRPr="00AA57C7">
        <w:t xml:space="preserve">les </w:t>
      </w:r>
      <w:r w:rsidR="00324401">
        <w:t>exigences</w:t>
      </w:r>
      <w:r w:rsidR="0047562F">
        <w:t xml:space="preserve"> </w:t>
      </w:r>
      <w:r w:rsidR="00034078">
        <w:t xml:space="preserve">spécifiées </w:t>
      </w:r>
      <w:r w:rsidR="00F11BAA">
        <w:t xml:space="preserve">au </w:t>
      </w:r>
      <w:r w:rsidR="00F11BAA">
        <w:rPr>
          <w:highlight w:val="yellow"/>
        </w:rPr>
        <w:fldChar w:fldCharType="begin"/>
      </w:r>
      <w:r w:rsidR="00F11BAA">
        <w:instrText xml:space="preserve"> REF _Ref49526579 \r \h </w:instrText>
      </w:r>
      <w:r w:rsidR="00F11BAA">
        <w:rPr>
          <w:highlight w:val="yellow"/>
        </w:rPr>
      </w:r>
      <w:r w:rsidR="00F11BAA">
        <w:rPr>
          <w:highlight w:val="yellow"/>
        </w:rPr>
        <w:fldChar w:fldCharType="separate"/>
      </w:r>
      <w:r w:rsidR="00E9780A">
        <w:t>CHAPITRE VIII</w:t>
      </w:r>
      <w:r w:rsidR="00F11BAA">
        <w:rPr>
          <w:highlight w:val="yellow"/>
        </w:rPr>
        <w:fldChar w:fldCharType="end"/>
      </w:r>
      <w:r w:rsidR="0021289E" w:rsidRPr="00F11BAA">
        <w:t>.</w:t>
      </w:r>
    </w:p>
    <w:p w14:paraId="2B9CA3C4" w14:textId="3CD16BA9" w:rsidR="008C561B" w:rsidRDefault="008E291D" w:rsidP="00DF0DDD">
      <w:pPr>
        <w:pStyle w:val="Titre3"/>
      </w:pPr>
      <w:r>
        <w:t xml:space="preserve"> </w:t>
      </w:r>
      <w:bookmarkStart w:id="19" w:name="_Ref57881695"/>
      <w:r>
        <w:t>(</w:t>
      </w:r>
      <w:r w:rsidR="008C561B">
        <w:t>cas particulier – titre IV</w:t>
      </w:r>
      <w:r>
        <w:t>)</w:t>
      </w:r>
      <w:bookmarkEnd w:id="19"/>
      <w:r>
        <w:t xml:space="preserve"> </w:t>
      </w:r>
    </w:p>
    <w:p w14:paraId="2991DAD7" w14:textId="33A2C721" w:rsidR="000E737C" w:rsidRDefault="008C561B" w:rsidP="00DF0DDD">
      <w:r>
        <w:t>Les bâtiments dont les caractéristiques sont conformes aux modes d'application simplifiés, approuvés dans les conditions décrites au titre IV du présent arrêté</w:t>
      </w:r>
      <w:r w:rsidR="000E737C">
        <w:t xml:space="preserve">, sont réputés respecter les </w:t>
      </w:r>
      <w:r w:rsidR="005671F2">
        <w:t xml:space="preserve">exigences du présent </w:t>
      </w:r>
      <w:r w:rsidR="00F7078D">
        <w:t>arrêté</w:t>
      </w:r>
      <w:r w:rsidR="005671F2">
        <w:t>.</w:t>
      </w:r>
    </w:p>
    <w:p w14:paraId="128AAB12" w14:textId="77777777" w:rsidR="00B273A1" w:rsidRDefault="00B273A1" w:rsidP="00DF0DDD"/>
    <w:p w14:paraId="6CD1805E" w14:textId="221DF014" w:rsidR="00B273A1" w:rsidRDefault="00B273A1" w:rsidP="00DF0DDD">
      <w:pPr>
        <w:pStyle w:val="Titre1"/>
      </w:pPr>
      <w:bookmarkStart w:id="20" w:name="_Ref57881978"/>
      <w:r>
        <w:t xml:space="preserve">EXPRESSION DES EXIGENCES DE PERFORMANCE ENERGETIQUE </w:t>
      </w:r>
      <w:r w:rsidR="00166544">
        <w:t>ET ENVIRONNEMENTALE</w:t>
      </w:r>
      <w:bookmarkEnd w:id="20"/>
    </w:p>
    <w:p w14:paraId="605B8883" w14:textId="465B85D3" w:rsidR="00403395" w:rsidRPr="00403395" w:rsidRDefault="00E05843" w:rsidP="0019138C">
      <w:pPr>
        <w:pStyle w:val="Titre2"/>
      </w:pPr>
      <w:r>
        <w:lastRenderedPageBreak/>
        <w:t> </w:t>
      </w:r>
      <w:bookmarkStart w:id="21" w:name="_Ref49509178"/>
      <w:r>
        <w:t>EXIGENCES DE PERFORMANCE ÉNERGÉTIQUE ET ENVIRONNEMENTALE</w:t>
      </w:r>
      <w:bookmarkEnd w:id="21"/>
    </w:p>
    <w:p w14:paraId="3C368425" w14:textId="4114A088" w:rsidR="00B273A1" w:rsidRDefault="008E291D" w:rsidP="00DF0DDD">
      <w:pPr>
        <w:pStyle w:val="Titre3"/>
      </w:pPr>
      <w:r>
        <w:t xml:space="preserve"> </w:t>
      </w:r>
      <w:bookmarkStart w:id="22" w:name="_Ref57311083"/>
      <w:r>
        <w:t>(</w:t>
      </w:r>
      <w:r w:rsidR="00517FFB">
        <w:t>Bbio ma</w:t>
      </w:r>
      <w:r>
        <w:t>x)</w:t>
      </w:r>
      <w:bookmarkEnd w:id="22"/>
      <w:r>
        <w:t xml:space="preserve"> </w:t>
      </w:r>
    </w:p>
    <w:p w14:paraId="362A03FC" w14:textId="366BD3A5" w:rsidR="00517FFB" w:rsidRDefault="00517FFB" w:rsidP="00517FFB">
      <w:r>
        <w:t>L</w:t>
      </w:r>
      <w:r w:rsidR="003C1E49">
        <w:t>a</w:t>
      </w:r>
      <w:r>
        <w:t xml:space="preserve"> </w:t>
      </w:r>
      <w:r w:rsidRPr="00517FFB">
        <w:rPr>
          <w:rFonts w:cstheme="minorHAnsi"/>
        </w:rPr>
        <w:t>valeur maximale Bbio</w:t>
      </w:r>
      <w:r w:rsidR="0054020D">
        <w:rPr>
          <w:rFonts w:cstheme="minorHAnsi"/>
        </w:rPr>
        <w:t>_</w:t>
      </w:r>
      <w:r w:rsidRPr="00517FFB">
        <w:rPr>
          <w:rFonts w:cstheme="minorHAnsi"/>
        </w:rPr>
        <w:t xml:space="preserve">max du bâtiment, mentionnée à </w:t>
      </w:r>
      <w:r w:rsidR="003C1E49">
        <w:rPr>
          <w:rFonts w:cstheme="minorHAnsi"/>
        </w:rPr>
        <w:t>l’</w:t>
      </w:r>
      <w:r w:rsidR="003C1E49">
        <w:rPr>
          <w:rFonts w:cstheme="minorHAnsi"/>
        </w:rPr>
        <w:fldChar w:fldCharType="begin"/>
      </w:r>
      <w:r w:rsidR="003C1E49">
        <w:rPr>
          <w:rFonts w:cstheme="minorHAnsi"/>
        </w:rPr>
        <w:instrText xml:space="preserve"> REF _Ref49445573 \r </w:instrText>
      </w:r>
      <w:r w:rsidR="003C1E49">
        <w:rPr>
          <w:rFonts w:cstheme="minorHAnsi"/>
        </w:rPr>
        <w:fldChar w:fldCharType="separate"/>
      </w:r>
      <w:r w:rsidR="00E9780A">
        <w:rPr>
          <w:rFonts w:cstheme="minorHAnsi"/>
        </w:rPr>
        <w:t>Article 9</w:t>
      </w:r>
      <w:r w:rsidR="003C1E49">
        <w:rPr>
          <w:rFonts w:cstheme="minorHAnsi"/>
        </w:rPr>
        <w:fldChar w:fldCharType="end"/>
      </w:r>
      <w:r w:rsidR="003C1E49">
        <w:rPr>
          <w:rFonts w:cstheme="minorHAnsi"/>
        </w:rPr>
        <w:t>,</w:t>
      </w:r>
      <w:r w:rsidRPr="00517FFB">
        <w:rPr>
          <w:rFonts w:cstheme="minorHAnsi"/>
        </w:rPr>
        <w:t xml:space="preserve"> est détermi</w:t>
      </w:r>
      <w:r>
        <w:t>né</w:t>
      </w:r>
      <w:r w:rsidR="001E3DC2">
        <w:t>e</w:t>
      </w:r>
      <w:r>
        <w:t xml:space="preserve"> comme suit : </w:t>
      </w:r>
    </w:p>
    <w:p w14:paraId="04E7A45B" w14:textId="000653B2" w:rsidR="00517FFB" w:rsidRDefault="00517FFB" w:rsidP="00517FFB">
      <w:r>
        <w:t>Bbiomax = Bbio</w:t>
      </w:r>
      <w:r w:rsidR="0054020D">
        <w:t>_</w:t>
      </w:r>
      <w:r>
        <w:t xml:space="preserve">maxmoyen </w:t>
      </w:r>
      <w:r w:rsidRPr="00AA57C7">
        <w:t>× (</w:t>
      </w:r>
      <w:r w:rsidR="00E30E9F">
        <w:t xml:space="preserve">1 + </w:t>
      </w:r>
      <w:r w:rsidRPr="00AA57C7">
        <w:t xml:space="preserve">Mbgéo + </w:t>
      </w:r>
      <w:r w:rsidR="00785284" w:rsidRPr="00AA57C7">
        <w:t xml:space="preserve">Mbcombles + </w:t>
      </w:r>
      <w:r w:rsidRPr="00AA57C7">
        <w:t>Mbsurf</w:t>
      </w:r>
      <w:r w:rsidR="003A6E3E" w:rsidRPr="00AA57C7">
        <w:t xml:space="preserve"> </w:t>
      </w:r>
      <w:r w:rsidR="00A22FA7" w:rsidRPr="00AA57C7">
        <w:t xml:space="preserve">+ </w:t>
      </w:r>
      <w:r w:rsidRPr="00AA57C7">
        <w:t>Mbbruit)</w:t>
      </w:r>
      <w:r>
        <w:t xml:space="preserve"> </w:t>
      </w:r>
    </w:p>
    <w:p w14:paraId="1644CE0F" w14:textId="77777777" w:rsidR="000259A1" w:rsidRDefault="00517FFB" w:rsidP="00517FFB">
      <w:r>
        <w:br/>
        <w:t xml:space="preserve">Avec : </w:t>
      </w:r>
    </w:p>
    <w:p w14:paraId="41AD907A" w14:textId="36951144" w:rsidR="00517FFB" w:rsidRDefault="00517FFB" w:rsidP="00517FFB">
      <w:r>
        <w:t>Bbio</w:t>
      </w:r>
      <w:r w:rsidR="0054020D">
        <w:t>_</w:t>
      </w:r>
      <w:r>
        <w:t xml:space="preserve">maxmoyen : valeur </w:t>
      </w:r>
      <w:r w:rsidR="0054020D">
        <w:t>de l’exigence Bbio_max</w:t>
      </w:r>
      <w:r w:rsidR="00F7078D" w:rsidRPr="00F7078D">
        <w:rPr>
          <w:rFonts w:cstheme="minorHAnsi"/>
        </w:rPr>
        <w:t xml:space="preserve"> </w:t>
      </w:r>
      <w:r w:rsidR="00F7078D" w:rsidRPr="00166544">
        <w:rPr>
          <w:rFonts w:cstheme="minorHAnsi"/>
        </w:rPr>
        <w:t>pour un bâtiment moyen</w:t>
      </w:r>
      <w:r w:rsidR="0054020D">
        <w:t>,</w:t>
      </w:r>
      <w:r>
        <w:t xml:space="preserve"> </w:t>
      </w:r>
      <w:r w:rsidR="0054020D">
        <w:t xml:space="preserve">dépendant </w:t>
      </w:r>
      <w:r w:rsidR="00E85F4B">
        <w:t>de l’usage</w:t>
      </w:r>
      <w:r>
        <w:t xml:space="preserve"> du bâtiment ou de la partie de bâtiment ; </w:t>
      </w:r>
    </w:p>
    <w:p w14:paraId="0E548A13" w14:textId="60C196EF" w:rsidR="00517FFB" w:rsidRDefault="00517FFB" w:rsidP="00517FFB">
      <w:r>
        <w:t>Mbgéo : coefficient de modulation selon la localisation géographique</w:t>
      </w:r>
      <w:r w:rsidR="0054020D">
        <w:t xml:space="preserve"> (zone géographique et altitude) du bâtiment</w:t>
      </w:r>
      <w:r>
        <w:t xml:space="preserve"> ; </w:t>
      </w:r>
    </w:p>
    <w:p w14:paraId="7DC840A3" w14:textId="5089B9E6" w:rsidR="00A22FA7" w:rsidRDefault="00A22FA7" w:rsidP="00517FFB">
      <w:r>
        <w:t>Mb</w:t>
      </w:r>
      <w:r w:rsidRPr="00166544">
        <w:t>com</w:t>
      </w:r>
      <w:r>
        <w:t>bles</w:t>
      </w:r>
      <w:r w:rsidRPr="00166544">
        <w:t xml:space="preserve"> : coefficient de modulation selon la </w:t>
      </w:r>
      <w:r w:rsidR="00AA57C7">
        <w:t>surface</w:t>
      </w:r>
      <w:r w:rsidR="00AA57C7" w:rsidRPr="00166544">
        <w:t xml:space="preserve"> </w:t>
      </w:r>
      <w:r w:rsidR="00AA57C7">
        <w:t xml:space="preserve">de plancher </w:t>
      </w:r>
      <w:r w:rsidRPr="00166544">
        <w:t>de combles aménagés dans le bâtiment ;</w:t>
      </w:r>
    </w:p>
    <w:p w14:paraId="4349C55D" w14:textId="30D10B16" w:rsidR="003A6E3E" w:rsidRDefault="003A6E3E" w:rsidP="00517FFB">
      <w:r>
        <w:t xml:space="preserve">Mbsurf : </w:t>
      </w:r>
      <w:r w:rsidR="00A22FA7" w:rsidRPr="00166544">
        <w:t>coefficient de modulation selon la surface moyenne des logements du bâtiment ou de la partie de bâtiment</w:t>
      </w:r>
      <w:r w:rsidR="00A22FA7">
        <w:t>, ou</w:t>
      </w:r>
      <w:r w:rsidR="00A22FA7" w:rsidRPr="00166544">
        <w:t xml:space="preserve"> selon la surface du bâtiment ou de la partie de bâtiment</w:t>
      </w:r>
      <w:r w:rsidR="00A22FA7">
        <w:t xml:space="preserve"> </w:t>
      </w:r>
      <w:r w:rsidR="00A22FA7" w:rsidRPr="00166544">
        <w:t>;</w:t>
      </w:r>
    </w:p>
    <w:p w14:paraId="32498348" w14:textId="567D3D19" w:rsidR="00517FFB" w:rsidRDefault="00517FFB" w:rsidP="00517FFB">
      <w:r>
        <w:t xml:space="preserve">Mbbruit : coefficient de modulation selon </w:t>
      </w:r>
      <w:r w:rsidR="006C7734">
        <w:t>l’exposition au</w:t>
      </w:r>
      <w:r>
        <w:t xml:space="preserve"> bruit des infrastructures de transport à proximité du bâtiment</w:t>
      </w:r>
      <w:r w:rsidR="003A6E3E">
        <w:t>.</w:t>
      </w:r>
    </w:p>
    <w:p w14:paraId="4598E750" w14:textId="6897B37C" w:rsidR="00517FFB" w:rsidRDefault="00517FFB" w:rsidP="00517FFB">
      <w:r>
        <w:br/>
        <w:t>Les valeurs de Bbio</w:t>
      </w:r>
      <w:r w:rsidR="0054020D">
        <w:t>_</w:t>
      </w:r>
      <w:r>
        <w:t xml:space="preserve">maxmoyen et des coefficients de modulation sont définies à </w:t>
      </w:r>
      <w:r w:rsidR="003C1E49">
        <w:t>l’</w:t>
      </w:r>
      <w:r w:rsidR="00866253">
        <w:fldChar w:fldCharType="begin"/>
      </w:r>
      <w:r w:rsidR="00866253">
        <w:instrText xml:space="preserve"> REF _Ref49445701 \r </w:instrText>
      </w:r>
      <w:r w:rsidR="00866253">
        <w:fldChar w:fldCharType="separate"/>
      </w:r>
      <w:r w:rsidR="00E9780A">
        <w:t>ANNEXE IV</w:t>
      </w:r>
      <w:r w:rsidR="00866253">
        <w:fldChar w:fldCharType="end"/>
      </w:r>
      <w:r w:rsidR="00E9780A">
        <w:t>.</w:t>
      </w:r>
    </w:p>
    <w:p w14:paraId="2B725A16" w14:textId="5DDC5A2D" w:rsidR="00B273A1" w:rsidRDefault="00003F58" w:rsidP="00166544">
      <w:pPr>
        <w:pStyle w:val="Titre3"/>
      </w:pPr>
      <w:bookmarkStart w:id="23" w:name="_Ref57387808"/>
      <w:r>
        <w:t xml:space="preserve"> </w:t>
      </w:r>
      <w:r w:rsidR="003C1E49">
        <w:t>(</w:t>
      </w:r>
      <w:r w:rsidR="00517FFB">
        <w:t>Cepmax</w:t>
      </w:r>
      <w:r w:rsidR="0054020D">
        <w:t>, Cep,nr</w:t>
      </w:r>
      <w:r w:rsidR="00B73E45">
        <w:t>_max</w:t>
      </w:r>
      <w:r w:rsidR="00517FFB">
        <w:t xml:space="preserve"> et </w:t>
      </w:r>
      <w:r w:rsidR="00166544" w:rsidRPr="00166544">
        <w:t>Ic</w:t>
      </w:r>
      <w:r w:rsidR="00166544" w:rsidRPr="00166544">
        <w:rPr>
          <w:vertAlign w:val="subscript"/>
        </w:rPr>
        <w:t>énergie</w:t>
      </w:r>
      <w:r w:rsidR="00166544" w:rsidRPr="00166544">
        <w:t>_max</w:t>
      </w:r>
      <w:r w:rsidR="003C1E49">
        <w:t>)</w:t>
      </w:r>
      <w:bookmarkEnd w:id="23"/>
      <w:r w:rsidR="003C1E49">
        <w:t xml:space="preserve"> </w:t>
      </w:r>
    </w:p>
    <w:p w14:paraId="79011437" w14:textId="000B7017" w:rsidR="00517FFB" w:rsidRDefault="00EE4A1A" w:rsidP="00517FFB">
      <w:r>
        <w:t xml:space="preserve">Les </w:t>
      </w:r>
      <w:r w:rsidRPr="00517FFB">
        <w:rPr>
          <w:rFonts w:cstheme="minorHAnsi"/>
        </w:rPr>
        <w:t>valeur</w:t>
      </w:r>
      <w:r>
        <w:rPr>
          <w:rFonts w:cstheme="minorHAnsi"/>
        </w:rPr>
        <w:t>s</w:t>
      </w:r>
      <w:r w:rsidRPr="00517FFB">
        <w:rPr>
          <w:rFonts w:cstheme="minorHAnsi"/>
        </w:rPr>
        <w:t xml:space="preserve"> maximale</w:t>
      </w:r>
      <w:r>
        <w:rPr>
          <w:rFonts w:cstheme="minorHAnsi"/>
        </w:rPr>
        <w:t>s</w:t>
      </w:r>
      <w:r w:rsidRPr="00517FFB">
        <w:rPr>
          <w:rFonts w:cstheme="minorHAnsi"/>
        </w:rPr>
        <w:t xml:space="preserve"> </w:t>
      </w:r>
      <w:r w:rsidR="0054020D">
        <w:rPr>
          <w:rFonts w:cstheme="minorHAnsi"/>
        </w:rPr>
        <w:t xml:space="preserve">Cep,nr_max, </w:t>
      </w:r>
      <w:r>
        <w:rPr>
          <w:rFonts w:cstheme="minorHAnsi"/>
        </w:rPr>
        <w:t>Cep</w:t>
      </w:r>
      <w:r w:rsidR="0054020D">
        <w:rPr>
          <w:rFonts w:cstheme="minorHAnsi"/>
        </w:rPr>
        <w:t>_</w:t>
      </w:r>
      <w:r w:rsidRPr="00517FFB">
        <w:rPr>
          <w:rFonts w:cstheme="minorHAnsi"/>
        </w:rPr>
        <w:t xml:space="preserve">max </w:t>
      </w:r>
      <w:r>
        <w:rPr>
          <w:rFonts w:cstheme="minorHAnsi"/>
        </w:rPr>
        <w:t xml:space="preserve">et </w:t>
      </w:r>
      <w:r w:rsidR="001E3DC2" w:rsidRPr="00166544">
        <w:t>Ic</w:t>
      </w:r>
      <w:r w:rsidR="001E3DC2" w:rsidRPr="00166544">
        <w:rPr>
          <w:vertAlign w:val="subscript"/>
        </w:rPr>
        <w:t>énergie</w:t>
      </w:r>
      <w:r w:rsidR="0054020D" w:rsidRPr="00166544">
        <w:rPr>
          <w:rFonts w:cstheme="minorHAnsi"/>
        </w:rPr>
        <w:t>_</w:t>
      </w:r>
      <w:r w:rsidRPr="00166544">
        <w:rPr>
          <w:rFonts w:cstheme="minorHAnsi"/>
        </w:rPr>
        <w:t>max</w:t>
      </w:r>
      <w:r>
        <w:rPr>
          <w:rFonts w:cstheme="minorHAnsi"/>
        </w:rPr>
        <w:t xml:space="preserve"> </w:t>
      </w:r>
      <w:r w:rsidRPr="00517FFB">
        <w:rPr>
          <w:rFonts w:cstheme="minorHAnsi"/>
        </w:rPr>
        <w:t>du bâtiment, mentionnée</w:t>
      </w:r>
      <w:r>
        <w:rPr>
          <w:rFonts w:cstheme="minorHAnsi"/>
        </w:rPr>
        <w:t>s</w:t>
      </w:r>
      <w:r w:rsidRPr="00517FFB">
        <w:rPr>
          <w:rFonts w:cstheme="minorHAnsi"/>
        </w:rPr>
        <w:t xml:space="preserve"> à l’</w:t>
      </w:r>
      <w:r w:rsidR="003C1E49">
        <w:rPr>
          <w:rFonts w:cstheme="minorHAnsi"/>
        </w:rPr>
        <w:fldChar w:fldCharType="begin"/>
      </w:r>
      <w:r w:rsidR="003C1E49">
        <w:rPr>
          <w:rFonts w:cstheme="minorHAnsi"/>
        </w:rPr>
        <w:instrText xml:space="preserve"> REF _Ref49445573 \r </w:instrText>
      </w:r>
      <w:r w:rsidR="003C1E49">
        <w:rPr>
          <w:rFonts w:cstheme="minorHAnsi"/>
        </w:rPr>
        <w:fldChar w:fldCharType="separate"/>
      </w:r>
      <w:r w:rsidR="00E9780A">
        <w:rPr>
          <w:rFonts w:cstheme="minorHAnsi"/>
        </w:rPr>
        <w:t>Article 9</w:t>
      </w:r>
      <w:r w:rsidR="003C1E49">
        <w:rPr>
          <w:rFonts w:cstheme="minorHAnsi"/>
        </w:rPr>
        <w:fldChar w:fldCharType="end"/>
      </w:r>
      <w:r w:rsidRPr="00517FFB">
        <w:rPr>
          <w:rFonts w:cstheme="minorHAnsi"/>
        </w:rPr>
        <w:t xml:space="preserve">, </w:t>
      </w:r>
      <w:r>
        <w:rPr>
          <w:rFonts w:cstheme="minorHAnsi"/>
        </w:rPr>
        <w:t>sont</w:t>
      </w:r>
      <w:r w:rsidRPr="00517FFB">
        <w:rPr>
          <w:rFonts w:cstheme="minorHAnsi"/>
        </w:rPr>
        <w:t xml:space="preserve"> détermi</w:t>
      </w:r>
      <w:r>
        <w:t xml:space="preserve">nées comme suit : </w:t>
      </w:r>
    </w:p>
    <w:p w14:paraId="37FC6FFF" w14:textId="04F79BFC" w:rsidR="0054020D" w:rsidRDefault="0054020D" w:rsidP="0054020D">
      <w:r>
        <w:t xml:space="preserve">Cep,nr_max = Cep,nr_maxmoyen </w:t>
      </w:r>
      <w:r w:rsidRPr="0054020D">
        <w:t>× (</w:t>
      </w:r>
      <w:r w:rsidR="00E30E9F">
        <w:t xml:space="preserve">1 + </w:t>
      </w:r>
      <w:r w:rsidRPr="0054020D">
        <w:t xml:space="preserve">Mcgéo </w:t>
      </w:r>
      <w:r w:rsidR="00A22FA7">
        <w:t xml:space="preserve">+ Mccombles </w:t>
      </w:r>
      <w:r w:rsidRPr="0054020D">
        <w:t xml:space="preserve">+ Mcsurf + </w:t>
      </w:r>
      <w:r w:rsidR="008B5EC4" w:rsidRPr="0054020D">
        <w:t>Mc</w:t>
      </w:r>
      <w:r w:rsidR="008B5EC4">
        <w:t>cat</w:t>
      </w:r>
      <w:r w:rsidRPr="0054020D">
        <w:t>)</w:t>
      </w:r>
    </w:p>
    <w:p w14:paraId="39717C7D" w14:textId="6ADF5087" w:rsidR="00517FFB" w:rsidRPr="00166544" w:rsidRDefault="00517FFB" w:rsidP="00517FFB">
      <w:r>
        <w:t>Cep</w:t>
      </w:r>
      <w:r w:rsidR="0054020D">
        <w:t>_</w:t>
      </w:r>
      <w:r>
        <w:t xml:space="preserve">max = </w:t>
      </w:r>
      <w:r w:rsidR="00EE4A1A">
        <w:t>Cep</w:t>
      </w:r>
      <w:r w:rsidR="0054020D">
        <w:t>_</w:t>
      </w:r>
      <w:r w:rsidR="00EE4A1A">
        <w:t>maxmoyen</w:t>
      </w:r>
      <w:r>
        <w:t xml:space="preserve"> </w:t>
      </w:r>
      <w:r w:rsidRPr="00166544">
        <w:t>× (</w:t>
      </w:r>
      <w:r w:rsidR="00E30E9F">
        <w:t xml:space="preserve">1 + </w:t>
      </w:r>
      <w:r w:rsidRPr="00AA57C7">
        <w:t>Mcgéo</w:t>
      </w:r>
      <w:r w:rsidR="00785284" w:rsidRPr="00AA57C7">
        <w:t xml:space="preserve"> + Mccombles</w:t>
      </w:r>
      <w:r w:rsidRPr="00AA57C7">
        <w:t xml:space="preserve"> + Mcsurf </w:t>
      </w:r>
      <w:r w:rsidR="00EE4A1A" w:rsidRPr="00AA57C7">
        <w:t xml:space="preserve">+ </w:t>
      </w:r>
      <w:r w:rsidR="00B777F9" w:rsidRPr="00AA57C7">
        <w:t>Mc</w:t>
      </w:r>
      <w:r w:rsidR="00B777F9">
        <w:t>cat</w:t>
      </w:r>
      <w:r w:rsidRPr="00166544">
        <w:t>)</w:t>
      </w:r>
    </w:p>
    <w:p w14:paraId="51C1A0A6" w14:textId="14212B67" w:rsidR="00517FFB" w:rsidRPr="00166544" w:rsidRDefault="001E3DC2" w:rsidP="00517FFB">
      <w:r w:rsidRPr="00166544">
        <w:t>Ic</w:t>
      </w:r>
      <w:r w:rsidRPr="00166544">
        <w:rPr>
          <w:vertAlign w:val="subscript"/>
        </w:rPr>
        <w:t>énergie</w:t>
      </w:r>
      <w:r w:rsidRPr="00166544">
        <w:t>_</w:t>
      </w:r>
      <w:r w:rsidR="00EE4A1A" w:rsidRPr="00166544">
        <w:t xml:space="preserve">max = </w:t>
      </w:r>
      <w:r w:rsidRPr="00166544">
        <w:t>Ic</w:t>
      </w:r>
      <w:r w:rsidRPr="00166544">
        <w:rPr>
          <w:vertAlign w:val="subscript"/>
        </w:rPr>
        <w:t>énergie</w:t>
      </w:r>
      <w:r w:rsidR="0054020D" w:rsidRPr="00166544">
        <w:t>_</w:t>
      </w:r>
      <w:r w:rsidR="00EE4A1A" w:rsidRPr="00166544">
        <w:t>maxmoyen× (</w:t>
      </w:r>
      <w:r w:rsidR="00E30E9F">
        <w:t xml:space="preserve">1 + </w:t>
      </w:r>
      <w:r w:rsidR="00EE4A1A" w:rsidRPr="00AA57C7">
        <w:t xml:space="preserve">Mcgéo </w:t>
      </w:r>
      <w:r w:rsidR="00785284" w:rsidRPr="00AA57C7">
        <w:t xml:space="preserve">+ Mccombles </w:t>
      </w:r>
      <w:r w:rsidR="00EE4A1A" w:rsidRPr="00AA57C7">
        <w:t xml:space="preserve">+ Mcsurf + </w:t>
      </w:r>
      <w:r w:rsidR="00B777F9" w:rsidRPr="00AA57C7">
        <w:t>Mc</w:t>
      </w:r>
      <w:r w:rsidR="00B777F9">
        <w:t>cat</w:t>
      </w:r>
      <w:r w:rsidR="00EE4A1A" w:rsidRPr="00166544">
        <w:t>)</w:t>
      </w:r>
    </w:p>
    <w:p w14:paraId="17751900" w14:textId="7E8DDAD0" w:rsidR="00517FFB" w:rsidRPr="00166544" w:rsidRDefault="00EE4A1A" w:rsidP="00517FFB">
      <w:r w:rsidRPr="00166544">
        <w:t xml:space="preserve">Avec </w:t>
      </w:r>
    </w:p>
    <w:p w14:paraId="096CCFE6" w14:textId="138908BC" w:rsidR="0054020D" w:rsidRDefault="0054020D" w:rsidP="00517FFB">
      <w:r w:rsidRPr="00166544">
        <w:t xml:space="preserve">Cep,nr_maxmoyen, Cep_maxmoyen, </w:t>
      </w:r>
      <w:r w:rsidR="001E3DC2" w:rsidRPr="00166544">
        <w:t>Ic</w:t>
      </w:r>
      <w:r w:rsidR="001E3DC2" w:rsidRPr="00166544">
        <w:rPr>
          <w:vertAlign w:val="subscript"/>
        </w:rPr>
        <w:t>énergie</w:t>
      </w:r>
      <w:r w:rsidRPr="00166544">
        <w:t>_maxmoyen : valeur</w:t>
      </w:r>
      <w:r w:rsidR="003A6E3E">
        <w:t>s</w:t>
      </w:r>
      <w:r>
        <w:t xml:space="preserve"> respective</w:t>
      </w:r>
      <w:r w:rsidR="003A6E3E">
        <w:t>s</w:t>
      </w:r>
      <w:r>
        <w:t xml:space="preserve"> de l’exigence Cep,nr_max, Cep_max et </w:t>
      </w:r>
      <w:r w:rsidR="001E3DC2">
        <w:t>Ic</w:t>
      </w:r>
      <w:r w:rsidR="001E3DC2">
        <w:rPr>
          <w:vertAlign w:val="subscript"/>
        </w:rPr>
        <w:t>énergie</w:t>
      </w:r>
      <w:r>
        <w:t>_max</w:t>
      </w:r>
      <w:r w:rsidR="00F7078D" w:rsidRPr="00F7078D">
        <w:rPr>
          <w:rFonts w:cstheme="minorHAnsi"/>
        </w:rPr>
        <w:t xml:space="preserve"> </w:t>
      </w:r>
      <w:r w:rsidR="00F7078D" w:rsidRPr="00166544">
        <w:rPr>
          <w:rFonts w:cstheme="minorHAnsi"/>
        </w:rPr>
        <w:t>pour un bâtiment moyen</w:t>
      </w:r>
      <w:r>
        <w:t xml:space="preserve">, dépendant </w:t>
      </w:r>
      <w:r w:rsidR="00E85F4B">
        <w:t>de l’usage</w:t>
      </w:r>
      <w:r>
        <w:t xml:space="preserve"> du bâtiment ou de la partie de bâtiment ; </w:t>
      </w:r>
    </w:p>
    <w:p w14:paraId="6859DD43" w14:textId="252C666C" w:rsidR="00517FFB" w:rsidRDefault="00517FFB" w:rsidP="00517FFB">
      <w:r>
        <w:t>Mcgéo : coefficient de modulation selon</w:t>
      </w:r>
      <w:r w:rsidR="00EE4A1A">
        <w:t xml:space="preserve"> la localisation géographique </w:t>
      </w:r>
      <w:r w:rsidR="0054020D">
        <w:t xml:space="preserve">(zone géographique et altitude) du bâtiment </w:t>
      </w:r>
      <w:r w:rsidR="00EE4A1A">
        <w:t>;</w:t>
      </w:r>
    </w:p>
    <w:p w14:paraId="33620F5B" w14:textId="4EAD7C34" w:rsidR="00A22FA7" w:rsidRDefault="00A22FA7" w:rsidP="00517FFB">
      <w:r>
        <w:t>Mc</w:t>
      </w:r>
      <w:r w:rsidRPr="00166544">
        <w:t>com</w:t>
      </w:r>
      <w:r>
        <w:t>bles</w:t>
      </w:r>
      <w:r w:rsidRPr="00166544">
        <w:t xml:space="preserve"> : coefficient de modulation selon la </w:t>
      </w:r>
      <w:r w:rsidR="00AA57C7">
        <w:t>surface</w:t>
      </w:r>
      <w:r w:rsidR="00AA57C7" w:rsidRPr="00166544">
        <w:t xml:space="preserve"> </w:t>
      </w:r>
      <w:r w:rsidR="00AA57C7">
        <w:t>de plancher</w:t>
      </w:r>
      <w:r w:rsidR="00324401">
        <w:t xml:space="preserve"> </w:t>
      </w:r>
      <w:r w:rsidRPr="00166544">
        <w:t>de combles aménagés dans le bâtiment ;</w:t>
      </w:r>
    </w:p>
    <w:p w14:paraId="6865AC51" w14:textId="7C31E54A" w:rsidR="00517FFB" w:rsidRDefault="00517FFB" w:rsidP="00517FFB">
      <w:r>
        <w:t xml:space="preserve">Mcsurf : </w:t>
      </w:r>
      <w:r w:rsidR="00A22FA7" w:rsidRPr="00166544">
        <w:t>coefficient de modulation selon la surface moyenne des logements du bâtiment ou de la partie de bâtiment</w:t>
      </w:r>
      <w:r w:rsidR="00A22FA7">
        <w:t>, ou</w:t>
      </w:r>
      <w:r w:rsidR="00A22FA7" w:rsidRPr="00166544">
        <w:t xml:space="preserve"> selon la surface du bâtiment ou de la partie de bâtiment</w:t>
      </w:r>
      <w:r w:rsidR="00A22FA7">
        <w:t xml:space="preserve"> </w:t>
      </w:r>
      <w:r w:rsidR="00A22FA7" w:rsidRPr="00166544">
        <w:t>;</w:t>
      </w:r>
    </w:p>
    <w:p w14:paraId="1F909358" w14:textId="711D8EAA" w:rsidR="00517FFB" w:rsidRDefault="008B5EC4" w:rsidP="00517FFB">
      <w:r>
        <w:t>Mccat</w:t>
      </w:r>
      <w:r w:rsidRPr="00EE4A1A">
        <w:t xml:space="preserve"> </w:t>
      </w:r>
      <w:r w:rsidR="00EE4A1A" w:rsidRPr="00EE4A1A">
        <w:t xml:space="preserve">: coefficient de modulation selon </w:t>
      </w:r>
      <w:r>
        <w:t>la catégorie</w:t>
      </w:r>
      <w:r w:rsidRPr="008B5EC4">
        <w:t xml:space="preserve"> de contraintes extérieures</w:t>
      </w:r>
      <w:r>
        <w:t xml:space="preserve"> </w:t>
      </w:r>
      <w:r w:rsidR="00EE4A1A" w:rsidRPr="00EE4A1A">
        <w:t>du bâtiment</w:t>
      </w:r>
      <w:r w:rsidR="00517FFB">
        <w:t>.</w:t>
      </w:r>
    </w:p>
    <w:p w14:paraId="7185C07D" w14:textId="4C8F075C" w:rsidR="00517FFB" w:rsidRDefault="00517FFB" w:rsidP="00517FFB">
      <w:r>
        <w:lastRenderedPageBreak/>
        <w:t xml:space="preserve">Les valeurs </w:t>
      </w:r>
      <w:r w:rsidR="0054020D">
        <w:t xml:space="preserve">de Cep,nr_maxmoyen, Cep_maxmoyen, </w:t>
      </w:r>
      <w:r w:rsidR="001E3DC2" w:rsidRPr="00166544">
        <w:t>Ic</w:t>
      </w:r>
      <w:r w:rsidR="001E3DC2" w:rsidRPr="00166544">
        <w:rPr>
          <w:vertAlign w:val="subscript"/>
        </w:rPr>
        <w:t>énergie</w:t>
      </w:r>
      <w:r w:rsidR="0054020D" w:rsidRPr="00166544">
        <w:t>_maxmoyen</w:t>
      </w:r>
      <w:r w:rsidR="0054020D">
        <w:t xml:space="preserve"> et </w:t>
      </w:r>
      <w:r>
        <w:t xml:space="preserve">des coefficients de modulation sont définies à </w:t>
      </w:r>
      <w:r w:rsidR="003C1E49">
        <w:t>l’</w:t>
      </w:r>
      <w:r w:rsidR="00866253">
        <w:fldChar w:fldCharType="begin"/>
      </w:r>
      <w:r w:rsidR="00866253">
        <w:instrText xml:space="preserve"> REF _Ref49445701 \r </w:instrText>
      </w:r>
      <w:r w:rsidR="00866253">
        <w:fldChar w:fldCharType="separate"/>
      </w:r>
      <w:r w:rsidR="00E9780A">
        <w:t>ANNEXE IV</w:t>
      </w:r>
      <w:r w:rsidR="00866253">
        <w:fldChar w:fldCharType="end"/>
      </w:r>
      <w:r w:rsidR="00E9780A">
        <w:t>.</w:t>
      </w:r>
    </w:p>
    <w:p w14:paraId="5CF6D582" w14:textId="50882C93" w:rsidR="00B273A1" w:rsidRDefault="003C1E49" w:rsidP="00DF0DDD">
      <w:pPr>
        <w:pStyle w:val="Titre3"/>
      </w:pPr>
      <w:r>
        <w:t xml:space="preserve"> </w:t>
      </w:r>
      <w:bookmarkStart w:id="24" w:name="_Ref57398791"/>
      <w:r>
        <w:t>(</w:t>
      </w:r>
      <w:r w:rsidR="00166544" w:rsidRPr="00166544">
        <w:rPr>
          <w:rFonts w:cstheme="minorHAnsi"/>
        </w:rPr>
        <w:t>Ic</w:t>
      </w:r>
      <w:r w:rsidR="00166544" w:rsidRPr="00166544">
        <w:rPr>
          <w:rFonts w:cstheme="minorHAnsi"/>
          <w:vertAlign w:val="subscript"/>
        </w:rPr>
        <w:t>composants</w:t>
      </w:r>
      <w:r w:rsidR="00166544" w:rsidRPr="00166544">
        <w:rPr>
          <w:rFonts w:cstheme="minorHAnsi"/>
        </w:rPr>
        <w:t>_max</w:t>
      </w:r>
      <w:r>
        <w:t>)</w:t>
      </w:r>
      <w:bookmarkEnd w:id="24"/>
      <w:r>
        <w:t xml:space="preserve"> </w:t>
      </w:r>
    </w:p>
    <w:p w14:paraId="23340A97" w14:textId="0F06850B" w:rsidR="00166544" w:rsidRPr="00166544" w:rsidRDefault="00166544" w:rsidP="00166544">
      <w:r w:rsidRPr="00166544">
        <w:t xml:space="preserve">La </w:t>
      </w:r>
      <w:r w:rsidRPr="00166544">
        <w:rPr>
          <w:rFonts w:cstheme="minorHAnsi"/>
        </w:rPr>
        <w:t>valeur maximale Ic</w:t>
      </w:r>
      <w:r w:rsidRPr="00166544">
        <w:rPr>
          <w:rFonts w:cstheme="minorHAnsi"/>
          <w:vertAlign w:val="subscript"/>
        </w:rPr>
        <w:t>composants</w:t>
      </w:r>
      <w:r w:rsidRPr="00166544">
        <w:rPr>
          <w:rFonts w:cstheme="minorHAnsi"/>
        </w:rPr>
        <w:t>_max du bâtiment, mentionnée à l’</w:t>
      </w:r>
      <w:r w:rsidRPr="00166544">
        <w:rPr>
          <w:rFonts w:cstheme="minorHAnsi"/>
        </w:rPr>
        <w:fldChar w:fldCharType="begin"/>
      </w:r>
      <w:r w:rsidRPr="00166544">
        <w:rPr>
          <w:rFonts w:cstheme="minorHAnsi"/>
        </w:rPr>
        <w:instrText xml:space="preserve"> REF _Ref49445573 \r  \* MERGEFORMAT </w:instrText>
      </w:r>
      <w:r w:rsidRPr="00166544">
        <w:rPr>
          <w:rFonts w:cstheme="minorHAnsi"/>
        </w:rPr>
        <w:fldChar w:fldCharType="separate"/>
      </w:r>
      <w:r w:rsidR="00E9780A">
        <w:rPr>
          <w:rFonts w:cstheme="minorHAnsi"/>
        </w:rPr>
        <w:t>Article 9</w:t>
      </w:r>
      <w:r w:rsidRPr="00166544">
        <w:rPr>
          <w:rFonts w:cstheme="minorHAnsi"/>
        </w:rPr>
        <w:fldChar w:fldCharType="end"/>
      </w:r>
      <w:r w:rsidRPr="00166544">
        <w:rPr>
          <w:rFonts w:cstheme="minorHAnsi"/>
        </w:rPr>
        <w:t>, est détermi</w:t>
      </w:r>
      <w:r w:rsidRPr="00166544">
        <w:t xml:space="preserve">née comme suit : </w:t>
      </w:r>
    </w:p>
    <w:p w14:paraId="1E86F882" w14:textId="578AD8AC" w:rsidR="00166544" w:rsidRPr="00166544" w:rsidRDefault="00166544" w:rsidP="00166544">
      <w:r w:rsidRPr="00166544">
        <w:rPr>
          <w:rFonts w:cstheme="minorHAnsi"/>
        </w:rPr>
        <w:t>Ic</w:t>
      </w:r>
      <w:r w:rsidRPr="00166544">
        <w:rPr>
          <w:rFonts w:cstheme="minorHAnsi"/>
          <w:vertAlign w:val="subscript"/>
        </w:rPr>
        <w:t>composants</w:t>
      </w:r>
      <w:r w:rsidRPr="00166544">
        <w:rPr>
          <w:rFonts w:cstheme="minorHAnsi"/>
        </w:rPr>
        <w:t xml:space="preserve">_max </w:t>
      </w:r>
      <w:r w:rsidRPr="00166544">
        <w:t xml:space="preserve">= </w:t>
      </w:r>
      <w:r w:rsidRPr="00166544">
        <w:rPr>
          <w:rFonts w:cstheme="minorHAnsi"/>
        </w:rPr>
        <w:t>Ic</w:t>
      </w:r>
      <w:r w:rsidRPr="00166544">
        <w:rPr>
          <w:rFonts w:cstheme="minorHAnsi"/>
          <w:vertAlign w:val="subscript"/>
        </w:rPr>
        <w:t>composants</w:t>
      </w:r>
      <w:r w:rsidRPr="00166544">
        <w:rPr>
          <w:rFonts w:cstheme="minorHAnsi"/>
        </w:rPr>
        <w:t>_max</w:t>
      </w:r>
      <w:r w:rsidRPr="00166544">
        <w:t>moyen × (</w:t>
      </w:r>
      <w:r w:rsidR="00E30E9F">
        <w:t xml:space="preserve">1 + </w:t>
      </w:r>
      <w:r w:rsidRPr="00166544">
        <w:t>Micom</w:t>
      </w:r>
      <w:r w:rsidR="00AB5367">
        <w:t>bles</w:t>
      </w:r>
      <w:r w:rsidRPr="00166544">
        <w:t xml:space="preserve"> + Misurf)</w:t>
      </w:r>
      <w:r w:rsidR="00E30E9F">
        <w:t xml:space="preserve"> + Miinfra</w:t>
      </w:r>
    </w:p>
    <w:p w14:paraId="3AF848CD" w14:textId="77777777" w:rsidR="00166544" w:rsidRPr="00166544" w:rsidRDefault="00166544" w:rsidP="00166544">
      <w:r w:rsidRPr="00166544">
        <w:t xml:space="preserve">Avec </w:t>
      </w:r>
    </w:p>
    <w:p w14:paraId="620DB571" w14:textId="6315F971" w:rsidR="00166544" w:rsidRPr="00166544" w:rsidRDefault="00166544" w:rsidP="00166544">
      <w:r w:rsidRPr="00166544">
        <w:rPr>
          <w:rFonts w:cstheme="minorHAnsi"/>
        </w:rPr>
        <w:t>Ic</w:t>
      </w:r>
      <w:r w:rsidRPr="00166544">
        <w:rPr>
          <w:rFonts w:cstheme="minorHAnsi"/>
          <w:vertAlign w:val="subscript"/>
        </w:rPr>
        <w:t>composants</w:t>
      </w:r>
      <w:r w:rsidRPr="00166544">
        <w:rPr>
          <w:rFonts w:cstheme="minorHAnsi"/>
        </w:rPr>
        <w:t>_max</w:t>
      </w:r>
      <w:r w:rsidRPr="00166544">
        <w:t xml:space="preserve">moyen : valeur de l’exigence </w:t>
      </w:r>
      <w:r w:rsidRPr="00166544">
        <w:rPr>
          <w:rFonts w:cstheme="minorHAnsi"/>
        </w:rPr>
        <w:t>Ic</w:t>
      </w:r>
      <w:r w:rsidRPr="00166544">
        <w:rPr>
          <w:rFonts w:cstheme="minorHAnsi"/>
          <w:vertAlign w:val="subscript"/>
        </w:rPr>
        <w:t>composants</w:t>
      </w:r>
      <w:r w:rsidRPr="00166544">
        <w:rPr>
          <w:rFonts w:cstheme="minorHAnsi"/>
        </w:rPr>
        <w:t>_max pour un bâtiment moyen</w:t>
      </w:r>
      <w:r w:rsidRPr="00166544">
        <w:t xml:space="preserve">, dépendant </w:t>
      </w:r>
      <w:r w:rsidR="00E85F4B">
        <w:t xml:space="preserve">de l’usage </w:t>
      </w:r>
      <w:r w:rsidRPr="00166544">
        <w:t xml:space="preserve">du bâtiment ou de la partie de bâtiment ; </w:t>
      </w:r>
    </w:p>
    <w:p w14:paraId="42F68924" w14:textId="7082B3F3" w:rsidR="00166544" w:rsidRPr="00166544" w:rsidRDefault="00166544" w:rsidP="00166544">
      <w:r w:rsidRPr="00166544">
        <w:t>Micom</w:t>
      </w:r>
      <w:r w:rsidR="00AB5367">
        <w:t>bles</w:t>
      </w:r>
      <w:r w:rsidRPr="00166544">
        <w:t xml:space="preserve"> : coefficient de modulation selon la </w:t>
      </w:r>
      <w:r w:rsidR="00AA57C7">
        <w:t>surface</w:t>
      </w:r>
      <w:r w:rsidR="00AA57C7" w:rsidRPr="00166544">
        <w:t xml:space="preserve"> </w:t>
      </w:r>
      <w:r w:rsidR="00AA57C7">
        <w:t>de plancher</w:t>
      </w:r>
      <w:r w:rsidR="00324401">
        <w:t xml:space="preserve"> </w:t>
      </w:r>
      <w:r w:rsidRPr="00166544">
        <w:t>de combles aménagés dans le bâtiment ;</w:t>
      </w:r>
    </w:p>
    <w:p w14:paraId="06F802CC" w14:textId="5C6AE008" w:rsidR="00166544" w:rsidRPr="00166544" w:rsidRDefault="00166544" w:rsidP="00166544">
      <w:r w:rsidRPr="00166544">
        <w:t xml:space="preserve">Misurf : coefficient de modulation </w:t>
      </w:r>
      <w:r w:rsidR="00A22FA7" w:rsidRPr="00166544">
        <w:t>selon la surface moyenne des logements du bâtiment ou de la partie de bâtiment</w:t>
      </w:r>
      <w:r w:rsidR="00A22FA7">
        <w:t>, ou</w:t>
      </w:r>
      <w:r w:rsidR="00A22FA7" w:rsidRPr="00166544">
        <w:t xml:space="preserve"> </w:t>
      </w:r>
      <w:r w:rsidRPr="00166544">
        <w:t>selon la surface du bâtiment ou de la partie de bâtiment ;</w:t>
      </w:r>
    </w:p>
    <w:p w14:paraId="739001FB" w14:textId="77777777" w:rsidR="00166544" w:rsidRPr="00166544" w:rsidRDefault="00166544" w:rsidP="00166544">
      <w:r w:rsidRPr="00166544">
        <w:t>Miinfra : coefficient de modulation selon l’impact des fondations et des espaces en sous-sol du bâtiment.</w:t>
      </w:r>
    </w:p>
    <w:p w14:paraId="76A8EB06" w14:textId="7C2696F2" w:rsidR="00166544" w:rsidRPr="00EE4A1A" w:rsidRDefault="00166544" w:rsidP="00166544">
      <w:r w:rsidRPr="00166544">
        <w:t xml:space="preserve">Les valeurs de </w:t>
      </w:r>
      <w:r w:rsidRPr="00166544">
        <w:rPr>
          <w:rFonts w:cstheme="minorHAnsi"/>
        </w:rPr>
        <w:t>Ic</w:t>
      </w:r>
      <w:r w:rsidRPr="00166544">
        <w:rPr>
          <w:rFonts w:cstheme="minorHAnsi"/>
          <w:vertAlign w:val="subscript"/>
        </w:rPr>
        <w:t>composants</w:t>
      </w:r>
      <w:r w:rsidRPr="00166544">
        <w:rPr>
          <w:rFonts w:cstheme="minorHAnsi"/>
        </w:rPr>
        <w:t xml:space="preserve">_maxmoyen et </w:t>
      </w:r>
      <w:r w:rsidRPr="00166544">
        <w:t>des coefficients de modulation sont définies à l’</w:t>
      </w:r>
      <w:r w:rsidR="00866253">
        <w:fldChar w:fldCharType="begin"/>
      </w:r>
      <w:r w:rsidR="00866253">
        <w:instrText xml:space="preserve"> REF _Ref49445701 \r  \* MERGEFORMAT </w:instrText>
      </w:r>
      <w:r w:rsidR="00866253">
        <w:fldChar w:fldCharType="separate"/>
      </w:r>
      <w:r w:rsidR="00E9780A">
        <w:t>ANNEXE IV</w:t>
      </w:r>
      <w:r w:rsidR="00866253">
        <w:fldChar w:fldCharType="end"/>
      </w:r>
      <w:r w:rsidRPr="00166544">
        <w:t>.</w:t>
      </w:r>
    </w:p>
    <w:p w14:paraId="4565341B" w14:textId="77777777" w:rsidR="00166544" w:rsidRDefault="00166544" w:rsidP="00EE4A1A">
      <w:pPr>
        <w:rPr>
          <w:rFonts w:cstheme="minorHAnsi"/>
        </w:rPr>
      </w:pPr>
    </w:p>
    <w:p w14:paraId="79EF2479" w14:textId="2F22DF3D" w:rsidR="00B273A1" w:rsidRDefault="003C1E49" w:rsidP="003E02A1">
      <w:pPr>
        <w:pStyle w:val="Titre3"/>
      </w:pPr>
      <w:bookmarkStart w:id="25" w:name="_Ref57823895"/>
      <w:r>
        <w:t>(</w:t>
      </w:r>
      <w:r w:rsidR="003E02A1">
        <w:t>DH</w:t>
      </w:r>
      <w:r w:rsidR="008B5EC4">
        <w:t>_</w:t>
      </w:r>
      <w:r w:rsidR="003E02A1">
        <w:t>ma</w:t>
      </w:r>
      <w:r>
        <w:t>x)</w:t>
      </w:r>
      <w:bookmarkEnd w:id="25"/>
      <w:r>
        <w:t xml:space="preserve"> </w:t>
      </w:r>
    </w:p>
    <w:p w14:paraId="128B262D" w14:textId="5400A50B" w:rsidR="003E02A1" w:rsidRDefault="003E02A1" w:rsidP="003E02A1">
      <w:r>
        <w:t xml:space="preserve">La </w:t>
      </w:r>
      <w:r w:rsidRPr="00517FFB">
        <w:rPr>
          <w:rFonts w:cstheme="minorHAnsi"/>
        </w:rPr>
        <w:t>valeur maximale</w:t>
      </w:r>
      <w:r>
        <w:rPr>
          <w:rFonts w:cstheme="minorHAnsi"/>
        </w:rPr>
        <w:t xml:space="preserve"> DH</w:t>
      </w:r>
      <w:r w:rsidR="008B5EC4">
        <w:rPr>
          <w:rFonts w:cstheme="minorHAnsi"/>
        </w:rPr>
        <w:t>_</w:t>
      </w:r>
      <w:r>
        <w:rPr>
          <w:rFonts w:cstheme="minorHAnsi"/>
        </w:rPr>
        <w:t xml:space="preserve">max </w:t>
      </w:r>
      <w:r w:rsidRPr="00517FFB">
        <w:rPr>
          <w:rFonts w:cstheme="minorHAnsi"/>
        </w:rPr>
        <w:t xml:space="preserve">du bâtiment, mentionnée à </w:t>
      </w:r>
      <w:r w:rsidR="003C1E49" w:rsidRPr="00517FFB">
        <w:rPr>
          <w:rFonts w:cstheme="minorHAnsi"/>
        </w:rPr>
        <w:t>l’</w:t>
      </w:r>
      <w:r w:rsidR="003C1E49">
        <w:rPr>
          <w:rFonts w:cstheme="minorHAnsi"/>
        </w:rPr>
        <w:fldChar w:fldCharType="begin"/>
      </w:r>
      <w:r w:rsidR="003C1E49">
        <w:rPr>
          <w:rFonts w:cstheme="minorHAnsi"/>
        </w:rPr>
        <w:instrText xml:space="preserve"> REF _Ref49445573 \r </w:instrText>
      </w:r>
      <w:r w:rsidR="003C1E49">
        <w:rPr>
          <w:rFonts w:cstheme="minorHAnsi"/>
        </w:rPr>
        <w:fldChar w:fldCharType="separate"/>
      </w:r>
      <w:r w:rsidR="00E9780A">
        <w:rPr>
          <w:rFonts w:cstheme="minorHAnsi"/>
        </w:rPr>
        <w:t>Article 9</w:t>
      </w:r>
      <w:r w:rsidR="003C1E49">
        <w:rPr>
          <w:rFonts w:cstheme="minorHAnsi"/>
        </w:rPr>
        <w:fldChar w:fldCharType="end"/>
      </w:r>
      <w:r w:rsidRPr="00517FFB">
        <w:rPr>
          <w:rFonts w:cstheme="minorHAnsi"/>
        </w:rPr>
        <w:t xml:space="preserve">, </w:t>
      </w:r>
      <w:r>
        <w:rPr>
          <w:rFonts w:cstheme="minorHAnsi"/>
        </w:rPr>
        <w:t>est</w:t>
      </w:r>
      <w:r w:rsidRPr="00517FFB">
        <w:rPr>
          <w:rFonts w:cstheme="minorHAnsi"/>
        </w:rPr>
        <w:t xml:space="preserve"> détermi</w:t>
      </w:r>
      <w:r>
        <w:t xml:space="preserve">née comme suit : </w:t>
      </w:r>
    </w:p>
    <w:p w14:paraId="1B2214A5" w14:textId="7B54E436" w:rsidR="003E02A1" w:rsidRDefault="003E02A1" w:rsidP="003E02A1">
      <w:r>
        <w:t>DH</w:t>
      </w:r>
      <w:r w:rsidR="008B5EC4">
        <w:t>_</w:t>
      </w:r>
      <w:r>
        <w:t>max = DH</w:t>
      </w:r>
      <w:r w:rsidR="007B643E">
        <w:t>_</w:t>
      </w:r>
      <w:r>
        <w:t>max</w:t>
      </w:r>
      <w:r w:rsidR="009265F3">
        <w:t>cat</w:t>
      </w:r>
      <w:r>
        <w:t xml:space="preserve"> </w:t>
      </w:r>
    </w:p>
    <w:p w14:paraId="6B196358" w14:textId="4BE0B2E6" w:rsidR="00773CDF" w:rsidRDefault="00773CDF" w:rsidP="003E02A1">
      <w:r>
        <w:t xml:space="preserve">avec </w:t>
      </w:r>
    </w:p>
    <w:p w14:paraId="063C0E81" w14:textId="726FF17D" w:rsidR="00713976" w:rsidRDefault="009265F3" w:rsidP="003E02A1">
      <w:r>
        <w:t>DH</w:t>
      </w:r>
      <w:r w:rsidR="008B5EC4">
        <w:t>_</w:t>
      </w:r>
      <w:r>
        <w:t xml:space="preserve">maxcat : valeur </w:t>
      </w:r>
      <w:r w:rsidR="008B5EC4" w:rsidRPr="008B5EC4">
        <w:t xml:space="preserve">de l’exigence </w:t>
      </w:r>
      <w:r>
        <w:t>DH</w:t>
      </w:r>
      <w:r w:rsidR="008B5EC4">
        <w:t>_</w:t>
      </w:r>
      <w:r>
        <w:t>max définie par catégories de contraintes extérieures</w:t>
      </w:r>
    </w:p>
    <w:p w14:paraId="64037D57" w14:textId="6A698A89" w:rsidR="00773CDF" w:rsidRDefault="00773CDF" w:rsidP="00773CDF">
      <w:r>
        <w:t xml:space="preserve">Les valeurs </w:t>
      </w:r>
      <w:r w:rsidR="00630419">
        <w:t>de DH</w:t>
      </w:r>
      <w:r w:rsidR="008B5EC4">
        <w:t>_</w:t>
      </w:r>
      <w:r w:rsidR="00630419">
        <w:t>maxcat</w:t>
      </w:r>
      <w:r>
        <w:t xml:space="preserve"> sont définies à </w:t>
      </w:r>
      <w:r w:rsidR="003C1E49">
        <w:t>l’</w:t>
      </w:r>
      <w:r w:rsidR="00866253">
        <w:fldChar w:fldCharType="begin"/>
      </w:r>
      <w:r w:rsidR="00866253">
        <w:instrText xml:space="preserve"> REF _Ref49445701 \r </w:instrText>
      </w:r>
      <w:r w:rsidR="00866253">
        <w:fldChar w:fldCharType="separate"/>
      </w:r>
      <w:r w:rsidR="00E9780A">
        <w:t>ANNEXE IV</w:t>
      </w:r>
      <w:r w:rsidR="00866253">
        <w:fldChar w:fldCharType="end"/>
      </w:r>
      <w:r w:rsidR="00E9780A">
        <w:t>.</w:t>
      </w:r>
    </w:p>
    <w:p w14:paraId="5E6EE221" w14:textId="4270C7C5" w:rsidR="00773CDF" w:rsidRDefault="003C1E49" w:rsidP="00773CDF">
      <w:pPr>
        <w:pStyle w:val="Titre3"/>
      </w:pPr>
      <w:r>
        <w:t>(</w:t>
      </w:r>
      <w:r w:rsidR="00773CDF">
        <w:t xml:space="preserve">exigences pour les bâtiments </w:t>
      </w:r>
      <w:r w:rsidR="00316C2F">
        <w:t>multiusage</w:t>
      </w:r>
      <w:r>
        <w:t xml:space="preserve">) </w:t>
      </w:r>
    </w:p>
    <w:p w14:paraId="63AD6314" w14:textId="7DF7B08C" w:rsidR="00A54D22" w:rsidRDefault="00773CDF" w:rsidP="00773CDF">
      <w:r w:rsidRPr="00773CDF">
        <w:t>Pour les bâtiments comportant plusieurs zones, définies par leur usage, le</w:t>
      </w:r>
      <w:r>
        <w:t>s valeurs</w:t>
      </w:r>
      <w:r w:rsidRPr="00773CDF">
        <w:t xml:space="preserve"> Bbio</w:t>
      </w:r>
      <w:r w:rsidR="00324401">
        <w:t>_</w:t>
      </w:r>
      <w:r w:rsidRPr="00773CDF">
        <w:t xml:space="preserve">max, </w:t>
      </w:r>
      <w:r w:rsidR="00324401">
        <w:t xml:space="preserve">Cep,nr_max, </w:t>
      </w:r>
      <w:r w:rsidRPr="00773CDF">
        <w:t>Cep</w:t>
      </w:r>
      <w:r w:rsidR="00324401">
        <w:t>_</w:t>
      </w:r>
      <w:r w:rsidRPr="00773CDF">
        <w:t xml:space="preserve">max, </w:t>
      </w:r>
      <w:r w:rsidR="001E3DC2">
        <w:rPr>
          <w:rFonts w:cstheme="minorHAnsi"/>
        </w:rPr>
        <w:t>Ic</w:t>
      </w:r>
      <w:r w:rsidR="001E3DC2">
        <w:rPr>
          <w:rFonts w:cstheme="minorHAnsi"/>
          <w:vertAlign w:val="subscript"/>
        </w:rPr>
        <w:t>énergie</w:t>
      </w:r>
      <w:r w:rsidR="001E3DC2">
        <w:t>_</w:t>
      </w:r>
      <w:r w:rsidRPr="00773CDF">
        <w:t>max</w:t>
      </w:r>
      <w:r w:rsidR="001E3DC2">
        <w:t xml:space="preserve"> et</w:t>
      </w:r>
      <w:r w:rsidR="001E3DC2" w:rsidRPr="00773CDF">
        <w:t xml:space="preserve"> </w:t>
      </w:r>
      <w:r w:rsidR="001E3DC2">
        <w:rPr>
          <w:rFonts w:cstheme="minorHAnsi"/>
        </w:rPr>
        <w:t>Ic</w:t>
      </w:r>
      <w:r w:rsidR="001E3DC2" w:rsidRPr="00BB5984">
        <w:rPr>
          <w:rFonts w:cstheme="minorHAnsi"/>
          <w:vertAlign w:val="subscript"/>
        </w:rPr>
        <w:t>composants</w:t>
      </w:r>
      <w:r w:rsidR="001E3DC2">
        <w:t xml:space="preserve">_max </w:t>
      </w:r>
      <w:r w:rsidRPr="00773CDF">
        <w:t xml:space="preserve">du bâtiment </w:t>
      </w:r>
      <w:r>
        <w:t>sont</w:t>
      </w:r>
      <w:r w:rsidRPr="00773CDF">
        <w:t xml:space="preserve"> calculé</w:t>
      </w:r>
      <w:r>
        <w:t>es</w:t>
      </w:r>
      <w:r w:rsidRPr="00773CDF">
        <w:t xml:space="preserve"> au prorata des </w:t>
      </w:r>
      <w:r>
        <w:t xml:space="preserve">surfaces de référence </w:t>
      </w:r>
      <w:r w:rsidRPr="00773CDF">
        <w:t xml:space="preserve">de chaque zone, </w:t>
      </w:r>
      <w:r>
        <w:t xml:space="preserve">respectivement </w:t>
      </w:r>
      <w:r w:rsidRPr="00773CDF">
        <w:t>à partir des</w:t>
      </w:r>
      <w:r>
        <w:t xml:space="preserve"> valeurs </w:t>
      </w:r>
      <w:r w:rsidRPr="00773CDF">
        <w:t>Bbio</w:t>
      </w:r>
      <w:r w:rsidR="00324401">
        <w:t>_</w:t>
      </w:r>
      <w:r w:rsidRPr="00773CDF">
        <w:t xml:space="preserve">max, </w:t>
      </w:r>
      <w:r w:rsidR="00324401">
        <w:t>Cep,nr_max,</w:t>
      </w:r>
      <w:r w:rsidR="00324401" w:rsidRPr="00773CDF">
        <w:t xml:space="preserve"> </w:t>
      </w:r>
      <w:r w:rsidRPr="00773CDF">
        <w:t>Cep</w:t>
      </w:r>
      <w:r w:rsidR="00324401">
        <w:t>_</w:t>
      </w:r>
      <w:r w:rsidRPr="00773CDF">
        <w:t xml:space="preserve">max, </w:t>
      </w:r>
      <w:r w:rsidR="001E3DC2">
        <w:rPr>
          <w:rFonts w:cstheme="minorHAnsi"/>
        </w:rPr>
        <w:t>Ic</w:t>
      </w:r>
      <w:r w:rsidR="001E3DC2" w:rsidRPr="00BB5984">
        <w:rPr>
          <w:rFonts w:cstheme="minorHAnsi"/>
          <w:vertAlign w:val="subscript"/>
        </w:rPr>
        <w:t>c</w:t>
      </w:r>
      <w:r w:rsidR="001E3DC2">
        <w:rPr>
          <w:rFonts w:cstheme="minorHAnsi"/>
          <w:vertAlign w:val="subscript"/>
        </w:rPr>
        <w:t>énergie</w:t>
      </w:r>
      <w:r w:rsidR="001E3DC2">
        <w:t>_</w:t>
      </w:r>
      <w:r w:rsidRPr="00773CDF">
        <w:t xml:space="preserve">max </w:t>
      </w:r>
      <w:r w:rsidR="001E3DC2">
        <w:t xml:space="preserve">et </w:t>
      </w:r>
      <w:r w:rsidR="001E3DC2">
        <w:rPr>
          <w:rFonts w:cstheme="minorHAnsi"/>
        </w:rPr>
        <w:t>Ic</w:t>
      </w:r>
      <w:r w:rsidR="001E3DC2" w:rsidRPr="00BB5984">
        <w:rPr>
          <w:rFonts w:cstheme="minorHAnsi"/>
          <w:vertAlign w:val="subscript"/>
        </w:rPr>
        <w:t>composants</w:t>
      </w:r>
      <w:r w:rsidR="001E3DC2">
        <w:t>_max</w:t>
      </w:r>
      <w:r w:rsidR="00E52D22">
        <w:t xml:space="preserve"> </w:t>
      </w:r>
      <w:r w:rsidRPr="00773CDF">
        <w:t>des différentes zones.</w:t>
      </w:r>
    </w:p>
    <w:p w14:paraId="5A7B5BA2" w14:textId="2EEA62CF" w:rsidR="00773CDF" w:rsidRDefault="00A54D22" w:rsidP="00773CDF">
      <w:r>
        <w:t>Dans le cas où une partie de bâtiment représente une surface minoritaire du bâtiment, l’</w:t>
      </w:r>
      <w:r w:rsidR="00A22FA7">
        <w:fldChar w:fldCharType="begin"/>
      </w:r>
      <w:r w:rsidR="00A22FA7">
        <w:instrText xml:space="preserve"> REF _Ref57631061 \r \h </w:instrText>
      </w:r>
      <w:r w:rsidR="00A22FA7">
        <w:fldChar w:fldCharType="separate"/>
      </w:r>
      <w:r w:rsidR="00E9780A">
        <w:t>Article 2</w:t>
      </w:r>
      <w:r w:rsidR="00A22FA7">
        <w:fldChar w:fldCharType="end"/>
      </w:r>
      <w:r w:rsidR="00A22FA7">
        <w:t xml:space="preserve"> </w:t>
      </w:r>
      <w:r>
        <w:t>fixe les conditions dans lesquelles cette partie de bâtiment peut être assimilée à l’usage principal du bâtiment.</w:t>
      </w:r>
    </w:p>
    <w:p w14:paraId="5D033CE7" w14:textId="77777777" w:rsidR="000C6F3A" w:rsidRDefault="000C6F3A" w:rsidP="00773CDF"/>
    <w:p w14:paraId="0B93D8B4" w14:textId="6AD67163" w:rsidR="00032417" w:rsidRDefault="00E05843" w:rsidP="0019138C">
      <w:pPr>
        <w:pStyle w:val="Titre2"/>
      </w:pPr>
      <w:r>
        <w:t> ÉVALUATION DU RESPECT DES EXIGENCES</w:t>
      </w:r>
    </w:p>
    <w:p w14:paraId="232B15DE" w14:textId="77777777" w:rsidR="00166544" w:rsidRPr="00F86151" w:rsidRDefault="00166544" w:rsidP="00166544">
      <w:pPr>
        <w:pStyle w:val="Titre3"/>
      </w:pPr>
      <w:bookmarkStart w:id="26" w:name="_Ref49446041"/>
      <w:bookmarkStart w:id="27" w:name="_Ref49444761"/>
      <w:bookmarkStart w:id="28" w:name="_Ref57397390"/>
      <w:r w:rsidRPr="00F86151">
        <w:t>(méthode de calcul)</w:t>
      </w:r>
      <w:bookmarkEnd w:id="26"/>
      <w:r w:rsidRPr="00F86151">
        <w:t xml:space="preserve"> </w:t>
      </w:r>
      <w:bookmarkEnd w:id="27"/>
      <w:bookmarkEnd w:id="28"/>
    </w:p>
    <w:p w14:paraId="7C54BD97" w14:textId="49D348FB" w:rsidR="00F55AE3" w:rsidRDefault="00766CC2" w:rsidP="00F55AE3">
      <w:r>
        <w:lastRenderedPageBreak/>
        <w:t>Conformément à l’alinéa I. de l’article R.111-20-5 du code la construction et de l’habitation, u</w:t>
      </w:r>
      <w:r w:rsidR="00AB20B8">
        <w:t>ne</w:t>
      </w:r>
      <w:r w:rsidR="00F55AE3">
        <w:t xml:space="preserve"> méthode de calcul, </w:t>
      </w:r>
      <w:r w:rsidR="00AB20B8">
        <w:t>détermine</w:t>
      </w:r>
      <w:r w:rsidR="00F55AE3">
        <w:t xml:space="preserve"> la performance </w:t>
      </w:r>
      <w:r w:rsidR="00AB20B8">
        <w:t xml:space="preserve">énergétique et environnementale </w:t>
      </w:r>
      <w:r w:rsidR="00F55AE3">
        <w:t>du bâtiment</w:t>
      </w:r>
      <w:r w:rsidR="00EE3156">
        <w:t>,</w:t>
      </w:r>
      <w:r w:rsidR="00F55AE3">
        <w:t xml:space="preserve"> notamment relative aux indicateurs décrits aux </w:t>
      </w:r>
      <w:r w:rsidR="00866253">
        <w:fldChar w:fldCharType="begin"/>
      </w:r>
      <w:r w:rsidR="00866253">
        <w:instrText xml:space="preserve"> REF _Ref49445983 \r </w:instrText>
      </w:r>
      <w:r w:rsidR="00866253">
        <w:fldChar w:fldCharType="separate"/>
      </w:r>
      <w:r w:rsidR="00E9780A">
        <w:t>Article 6</w:t>
      </w:r>
      <w:r w:rsidR="00866253">
        <w:fldChar w:fldCharType="end"/>
      </w:r>
      <w:r w:rsidR="003C1E49">
        <w:t xml:space="preserve"> à </w:t>
      </w:r>
      <w:r w:rsidR="00866253">
        <w:fldChar w:fldCharType="begin"/>
      </w:r>
      <w:r w:rsidR="00866253">
        <w:instrText xml:space="preserve"> REF _Ref49445995 \r </w:instrText>
      </w:r>
      <w:r w:rsidR="00866253">
        <w:fldChar w:fldCharType="separate"/>
      </w:r>
      <w:r w:rsidR="00E9780A">
        <w:t>Article 8</w:t>
      </w:r>
      <w:r w:rsidR="00866253">
        <w:fldChar w:fldCharType="end"/>
      </w:r>
      <w:r w:rsidR="00A22FA7">
        <w:t>, à partir des caractéristiques du bâtiment et de ses composants</w:t>
      </w:r>
      <w:r w:rsidR="00F55AE3">
        <w:t>.</w:t>
      </w:r>
    </w:p>
    <w:p w14:paraId="066D3695" w14:textId="3E441141" w:rsidR="00224648" w:rsidRDefault="00224648" w:rsidP="00F55AE3">
      <w:r>
        <w:t>En particulier :</w:t>
      </w:r>
    </w:p>
    <w:p w14:paraId="1242DECA" w14:textId="3D5BE215" w:rsidR="00224648" w:rsidRDefault="00224648" w:rsidP="00E8319A">
      <w:pPr>
        <w:pStyle w:val="Paragraphedeliste"/>
        <w:numPr>
          <w:ilvl w:val="0"/>
          <w:numId w:val="11"/>
        </w:numPr>
      </w:pPr>
      <w:r>
        <w:t xml:space="preserve">Le calcul des indicateurs décrits aux </w:t>
      </w:r>
      <w:r>
        <w:fldChar w:fldCharType="begin"/>
      </w:r>
      <w:r>
        <w:instrText xml:space="preserve"> REF _Ref49445983 \r \h </w:instrText>
      </w:r>
      <w:r>
        <w:fldChar w:fldCharType="separate"/>
      </w:r>
      <w:r w:rsidR="00E9780A">
        <w:t>Article 6</w:t>
      </w:r>
      <w:r>
        <w:fldChar w:fldCharType="end"/>
      </w:r>
      <w:r w:rsidR="00E9780A">
        <w:t xml:space="preserve"> </w:t>
      </w:r>
      <w:r>
        <w:t xml:space="preserve">et </w:t>
      </w:r>
      <w:r>
        <w:fldChar w:fldCharType="begin"/>
      </w:r>
      <w:r>
        <w:instrText xml:space="preserve"> REF _Ref49445995 \r \h </w:instrText>
      </w:r>
      <w:r>
        <w:fldChar w:fldCharType="separate"/>
      </w:r>
      <w:r w:rsidR="00E9780A">
        <w:t>Article 8</w:t>
      </w:r>
      <w:r>
        <w:fldChar w:fldCharType="end"/>
      </w:r>
      <w:r>
        <w:t xml:space="preserve"> est réalisé en utilisant notamment des données climatiques et d’intensité d’usage conventionnelles ;</w:t>
      </w:r>
    </w:p>
    <w:p w14:paraId="5D143BB5" w14:textId="76FF800D" w:rsidR="00224648" w:rsidRDefault="00224648" w:rsidP="00E8319A">
      <w:pPr>
        <w:pStyle w:val="Paragraphedeliste"/>
        <w:numPr>
          <w:ilvl w:val="0"/>
          <w:numId w:val="11"/>
        </w:numPr>
      </w:pPr>
      <w:r>
        <w:t>Le calcul des indicateurs Bbio, Cep,nr et Cep est réalisé sur une année ;</w:t>
      </w:r>
    </w:p>
    <w:p w14:paraId="39F54C67" w14:textId="4FA3ED2C" w:rsidR="00257E0C" w:rsidRPr="00257E0C" w:rsidRDefault="00257E0C" w:rsidP="00E8319A">
      <w:pPr>
        <w:pStyle w:val="Paragraphedeliste"/>
        <w:numPr>
          <w:ilvl w:val="0"/>
          <w:numId w:val="11"/>
        </w:numPr>
      </w:pPr>
      <w:r w:rsidRPr="00257E0C">
        <w:t xml:space="preserve">Les indicateurs d’impact sur le changement climatique </w:t>
      </w:r>
      <w:r w:rsidRPr="00257E0C">
        <w:rPr>
          <w:rFonts w:cstheme="minorHAnsi"/>
        </w:rPr>
        <w:t>Ic</w:t>
      </w:r>
      <w:r w:rsidRPr="00257E0C">
        <w:rPr>
          <w:rFonts w:cstheme="minorHAnsi"/>
          <w:vertAlign w:val="subscript"/>
        </w:rPr>
        <w:t>énergie</w:t>
      </w:r>
      <w:r w:rsidRPr="00257E0C">
        <w:rPr>
          <w:rFonts w:cstheme="minorHAnsi"/>
        </w:rPr>
        <w:t xml:space="preserve">, </w:t>
      </w:r>
      <w:r w:rsidRPr="00AA57C7">
        <w:rPr>
          <w:rFonts w:cstheme="minorHAnsi"/>
        </w:rPr>
        <w:t>Ic</w:t>
      </w:r>
      <w:r w:rsidR="00505DA9" w:rsidRPr="00AA57C7">
        <w:rPr>
          <w:rFonts w:cstheme="minorHAnsi"/>
          <w:vertAlign w:val="subscript"/>
        </w:rPr>
        <w:t>c</w:t>
      </w:r>
      <w:r w:rsidRPr="00AA57C7">
        <w:rPr>
          <w:rFonts w:cstheme="minorHAnsi"/>
          <w:vertAlign w:val="subscript"/>
        </w:rPr>
        <w:t>omposants</w:t>
      </w:r>
      <w:r w:rsidRPr="00257E0C">
        <w:rPr>
          <w:rFonts w:cstheme="minorHAnsi"/>
        </w:rPr>
        <w:t xml:space="preserve"> et </w:t>
      </w:r>
      <w:r w:rsidRPr="00AA57C7">
        <w:rPr>
          <w:rFonts w:cstheme="minorHAnsi"/>
        </w:rPr>
        <w:t>Ic</w:t>
      </w:r>
      <w:r w:rsidR="00505DA9" w:rsidRPr="00AA57C7">
        <w:rPr>
          <w:rFonts w:cstheme="minorHAnsi"/>
          <w:vertAlign w:val="subscript"/>
        </w:rPr>
        <w:t>b</w:t>
      </w:r>
      <w:r w:rsidRPr="00AA57C7">
        <w:rPr>
          <w:rFonts w:cstheme="minorHAnsi"/>
          <w:vertAlign w:val="subscript"/>
        </w:rPr>
        <w:t>âtiment</w:t>
      </w:r>
      <w:r w:rsidRPr="00257E0C">
        <w:rPr>
          <w:rFonts w:cstheme="minorHAnsi"/>
        </w:rPr>
        <w:t xml:space="preserve"> sont calculés </w:t>
      </w:r>
      <w:r w:rsidR="00E9780A">
        <w:rPr>
          <w:rFonts w:cstheme="minorHAnsi"/>
        </w:rPr>
        <w:t>en utilisant notamment</w:t>
      </w:r>
      <w:r w:rsidRPr="00257E0C">
        <w:rPr>
          <w:rFonts w:cstheme="minorHAnsi"/>
        </w:rPr>
        <w:t xml:space="preserve"> </w:t>
      </w:r>
      <w:r w:rsidR="00E9780A">
        <w:rPr>
          <w:rFonts w:cstheme="minorHAnsi"/>
        </w:rPr>
        <w:t>les</w:t>
      </w:r>
      <w:r w:rsidR="00E9780A" w:rsidRPr="00257E0C">
        <w:rPr>
          <w:rFonts w:cstheme="minorHAnsi"/>
        </w:rPr>
        <w:t xml:space="preserve"> </w:t>
      </w:r>
      <w:r w:rsidRPr="00257E0C">
        <w:rPr>
          <w:rFonts w:cstheme="minorHAnsi"/>
        </w:rPr>
        <w:t>coefficients spécifiés à l’</w:t>
      </w:r>
      <w:r w:rsidR="00003F58">
        <w:rPr>
          <w:rFonts w:cstheme="minorHAnsi"/>
        </w:rPr>
        <w:fldChar w:fldCharType="begin"/>
      </w:r>
      <w:r w:rsidR="00003F58">
        <w:rPr>
          <w:rFonts w:cstheme="minorHAnsi"/>
        </w:rPr>
        <w:instrText xml:space="preserve"> REF _Ref57374512 \r \h </w:instrText>
      </w:r>
      <w:r w:rsidR="00003F58">
        <w:rPr>
          <w:rFonts w:cstheme="minorHAnsi"/>
        </w:rPr>
      </w:r>
      <w:r w:rsidR="00003F58">
        <w:rPr>
          <w:rFonts w:cstheme="minorHAnsi"/>
        </w:rPr>
        <w:fldChar w:fldCharType="separate"/>
      </w:r>
      <w:r w:rsidR="00003F58">
        <w:rPr>
          <w:rFonts w:cstheme="minorHAnsi"/>
        </w:rPr>
        <w:t>Article 20</w:t>
      </w:r>
      <w:r w:rsidR="00003F58">
        <w:rPr>
          <w:rFonts w:cstheme="minorHAnsi"/>
        </w:rPr>
        <w:fldChar w:fldCharType="end"/>
      </w:r>
      <w:r w:rsidRPr="00257E0C">
        <w:rPr>
          <w:rFonts w:cstheme="minorHAnsi"/>
        </w:rPr>
        <w:t xml:space="preserve"> et </w:t>
      </w:r>
      <w:r w:rsidR="00E9780A">
        <w:rPr>
          <w:rFonts w:cstheme="minorHAnsi"/>
        </w:rPr>
        <w:t>en</w:t>
      </w:r>
      <w:r w:rsidR="00E9780A" w:rsidRPr="00257E0C">
        <w:rPr>
          <w:rFonts w:cstheme="minorHAnsi"/>
        </w:rPr>
        <w:t xml:space="preserve"> </w:t>
      </w:r>
      <w:r w:rsidR="00511F7F" w:rsidRPr="00257E0C">
        <w:rPr>
          <w:rFonts w:cstheme="minorHAnsi"/>
        </w:rPr>
        <w:t>considér</w:t>
      </w:r>
      <w:r w:rsidR="00511F7F">
        <w:rPr>
          <w:rFonts w:cstheme="minorHAnsi"/>
        </w:rPr>
        <w:t>ant</w:t>
      </w:r>
      <w:r w:rsidR="00E9780A" w:rsidRPr="00257E0C">
        <w:rPr>
          <w:rFonts w:cstheme="minorHAnsi"/>
        </w:rPr>
        <w:t xml:space="preserve"> </w:t>
      </w:r>
      <w:r w:rsidRPr="00257E0C">
        <w:rPr>
          <w:rFonts w:cstheme="minorHAnsi"/>
        </w:rPr>
        <w:t>par convention que le bâtiment a une durée de vie de 50 ans</w:t>
      </w:r>
      <w:r w:rsidR="00324401">
        <w:rPr>
          <w:rFonts w:cstheme="minorHAnsi"/>
        </w:rPr>
        <w:t>, à l’exception du cas spécifié à l’</w:t>
      </w:r>
      <w:r w:rsidR="00324401">
        <w:rPr>
          <w:rFonts w:cstheme="minorHAnsi"/>
        </w:rPr>
        <w:fldChar w:fldCharType="begin"/>
      </w:r>
      <w:r w:rsidR="00324401">
        <w:rPr>
          <w:rFonts w:cstheme="minorHAnsi"/>
        </w:rPr>
        <w:instrText xml:space="preserve"> REF _Ref57730918 \r \h </w:instrText>
      </w:r>
      <w:r w:rsidR="00324401">
        <w:rPr>
          <w:rFonts w:cstheme="minorHAnsi"/>
        </w:rPr>
      </w:r>
      <w:r w:rsidR="00324401">
        <w:rPr>
          <w:rFonts w:cstheme="minorHAnsi"/>
        </w:rPr>
        <w:fldChar w:fldCharType="separate"/>
      </w:r>
      <w:r w:rsidR="00E9780A">
        <w:rPr>
          <w:rFonts w:cstheme="minorHAnsi"/>
        </w:rPr>
        <w:t>Article 31</w:t>
      </w:r>
      <w:r w:rsidR="00324401">
        <w:rPr>
          <w:rFonts w:cstheme="minorHAnsi"/>
        </w:rPr>
        <w:fldChar w:fldCharType="end"/>
      </w:r>
      <w:r w:rsidR="00324401">
        <w:rPr>
          <w:rFonts w:cstheme="minorHAnsi"/>
        </w:rPr>
        <w:t xml:space="preserve"> </w:t>
      </w:r>
      <w:r w:rsidRPr="00257E0C">
        <w:rPr>
          <w:rFonts w:cstheme="minorHAnsi"/>
        </w:rPr>
        <w:t>;</w:t>
      </w:r>
    </w:p>
    <w:p w14:paraId="6170B015" w14:textId="7E3E4AD0" w:rsidR="00224648" w:rsidRDefault="00224648" w:rsidP="00E8319A">
      <w:pPr>
        <w:pStyle w:val="Paragraphedeliste"/>
        <w:numPr>
          <w:ilvl w:val="0"/>
          <w:numId w:val="11"/>
        </w:numPr>
      </w:pPr>
      <w:r>
        <w:t>Le calcul de l’indicateur Cep,nr</w:t>
      </w:r>
      <w:r w:rsidRPr="00224648">
        <w:t xml:space="preserve"> </w:t>
      </w:r>
      <w:r w:rsidRPr="00A22FA7">
        <w:t xml:space="preserve">tient compte </w:t>
      </w:r>
      <w:r>
        <w:t xml:space="preserve">des coefficients définis </w:t>
      </w:r>
      <w:r>
        <w:rPr>
          <w:highlight w:val="yellow"/>
        </w:rPr>
        <w:t>au I</w:t>
      </w:r>
      <w:r w:rsidRPr="00D96D9A">
        <w:rPr>
          <w:highlight w:val="yellow"/>
        </w:rPr>
        <w:t>.</w:t>
      </w:r>
      <w:r>
        <w:t xml:space="preserve"> de l’</w:t>
      </w:r>
      <w:r>
        <w:fldChar w:fldCharType="begin"/>
      </w:r>
      <w:r>
        <w:instrText xml:space="preserve"> REF _Ref57374332 \r \h </w:instrText>
      </w:r>
      <w:r>
        <w:fldChar w:fldCharType="separate"/>
      </w:r>
      <w:r w:rsidR="00E9780A">
        <w:t>Article 18</w:t>
      </w:r>
      <w:r>
        <w:fldChar w:fldCharType="end"/>
      </w:r>
      <w:r>
        <w:t> ;</w:t>
      </w:r>
    </w:p>
    <w:p w14:paraId="2BD87012" w14:textId="044F26BD" w:rsidR="00224648" w:rsidRDefault="00224648" w:rsidP="00E8319A">
      <w:pPr>
        <w:pStyle w:val="Paragraphedeliste"/>
        <w:numPr>
          <w:ilvl w:val="0"/>
          <w:numId w:val="11"/>
        </w:numPr>
      </w:pPr>
      <w:r>
        <w:t>Le calcul de l’indicateur Cep</w:t>
      </w:r>
      <w:r w:rsidRPr="00224648">
        <w:t xml:space="preserve"> </w:t>
      </w:r>
      <w:r w:rsidRPr="00A22FA7">
        <w:t xml:space="preserve">tient compte </w:t>
      </w:r>
      <w:r>
        <w:t xml:space="preserve">des coefficients définis </w:t>
      </w:r>
      <w:r w:rsidRPr="00D96D9A">
        <w:rPr>
          <w:highlight w:val="yellow"/>
        </w:rPr>
        <w:t>au II.</w:t>
      </w:r>
      <w:r>
        <w:t xml:space="preserve"> de l’</w:t>
      </w:r>
      <w:r>
        <w:fldChar w:fldCharType="begin"/>
      </w:r>
      <w:r>
        <w:instrText xml:space="preserve"> REF _Ref57374332 \r \h </w:instrText>
      </w:r>
      <w:r>
        <w:fldChar w:fldCharType="separate"/>
      </w:r>
      <w:r w:rsidR="00E9780A">
        <w:t>Article 18</w:t>
      </w:r>
      <w:r>
        <w:fldChar w:fldCharType="end"/>
      </w:r>
      <w:r w:rsidR="00E9780A">
        <w:t> </w:t>
      </w:r>
      <w:r>
        <w:t>;</w:t>
      </w:r>
    </w:p>
    <w:p w14:paraId="3664898D" w14:textId="1DB24EC7" w:rsidR="00031402" w:rsidRDefault="00224648" w:rsidP="00031402">
      <w:pPr>
        <w:pStyle w:val="Paragraphedeliste"/>
        <w:numPr>
          <w:ilvl w:val="0"/>
          <w:numId w:val="11"/>
        </w:numPr>
      </w:pPr>
      <w:r w:rsidRPr="00AA57C7">
        <w:t xml:space="preserve">Le calcul de l’indicateur </w:t>
      </w:r>
      <w:r w:rsidRPr="00AA57C7">
        <w:rPr>
          <w:rFonts w:cstheme="minorHAnsi"/>
        </w:rPr>
        <w:t>Ic</w:t>
      </w:r>
      <w:r w:rsidRPr="00AA57C7">
        <w:rPr>
          <w:rFonts w:cstheme="minorHAnsi"/>
          <w:vertAlign w:val="subscript"/>
        </w:rPr>
        <w:t>énergie</w:t>
      </w:r>
      <w:r w:rsidRPr="00AA57C7">
        <w:t xml:space="preserve"> tient compte des coefficients définis </w:t>
      </w:r>
      <w:r w:rsidR="00AA57C7">
        <w:t xml:space="preserve">à </w:t>
      </w:r>
      <w:r w:rsidR="00E9780A">
        <w:t>l’</w:t>
      </w:r>
      <w:r w:rsidR="00E9780A">
        <w:fldChar w:fldCharType="begin"/>
      </w:r>
      <w:r w:rsidR="00E9780A">
        <w:instrText xml:space="preserve"> REF _Ref57374512 \r \h </w:instrText>
      </w:r>
      <w:r w:rsidR="00E9780A">
        <w:fldChar w:fldCharType="separate"/>
      </w:r>
      <w:r w:rsidR="00E9780A">
        <w:t>Article 20</w:t>
      </w:r>
      <w:r w:rsidR="00E9780A">
        <w:fldChar w:fldCharType="end"/>
      </w:r>
      <w:r w:rsidR="00E9780A">
        <w:t>.</w:t>
      </w:r>
    </w:p>
    <w:p w14:paraId="4F568CEB" w14:textId="354E884A" w:rsidR="00933F50" w:rsidRDefault="00224648" w:rsidP="00031402">
      <w:r>
        <w:t xml:space="preserve">Le contenu de cette méthode de calcul est décrit dans </w:t>
      </w:r>
      <w:r w:rsidRPr="00031402">
        <w:t xml:space="preserve">l’arrêté </w:t>
      </w:r>
      <w:r w:rsidR="00031402" w:rsidRPr="00031402">
        <w:t xml:space="preserve">du </w:t>
      </w:r>
      <w:r w:rsidRPr="00031402">
        <w:rPr>
          <w:highlight w:val="yellow"/>
        </w:rPr>
        <w:t>XXX</w:t>
      </w:r>
      <w:r w:rsidR="00031402" w:rsidRPr="00031402">
        <w:t xml:space="preserve"> portant approbation de la méthode de calcul prévue </w:t>
      </w:r>
      <w:r w:rsidR="00E30F98" w:rsidRPr="00E30F98">
        <w:t>à l’article R. 111-20-5 du code de la construction et de l’habitation</w:t>
      </w:r>
      <w:r w:rsidRPr="00031402">
        <w:t>.</w:t>
      </w:r>
    </w:p>
    <w:p w14:paraId="20CF48B0" w14:textId="77777777" w:rsidR="00766CC2" w:rsidRDefault="00766CC2" w:rsidP="00031402"/>
    <w:p w14:paraId="59D67835" w14:textId="49D0C6FD" w:rsidR="00933F50" w:rsidRDefault="003C1E49" w:rsidP="00933F50">
      <w:pPr>
        <w:pStyle w:val="Titre3"/>
      </w:pPr>
      <w:bookmarkStart w:id="29" w:name="_Ref49444870"/>
      <w:r>
        <w:t xml:space="preserve"> </w:t>
      </w:r>
      <w:bookmarkStart w:id="30" w:name="_Ref57897368"/>
      <w:bookmarkStart w:id="31" w:name="_Ref57374332"/>
      <w:r>
        <w:t>(</w:t>
      </w:r>
      <w:r w:rsidR="00933F50">
        <w:t>PEF</w:t>
      </w:r>
      <w:r>
        <w:t>)</w:t>
      </w:r>
      <w:bookmarkEnd w:id="30"/>
      <w:r>
        <w:t xml:space="preserve"> </w:t>
      </w:r>
      <w:bookmarkEnd w:id="29"/>
      <w:bookmarkEnd w:id="31"/>
    </w:p>
    <w:p w14:paraId="0591754B" w14:textId="68D99EF3" w:rsidR="00D96D9A" w:rsidRDefault="00D96D9A" w:rsidP="00AA57C7">
      <w:pPr>
        <w:pStyle w:val="Paragraphedeliste"/>
        <w:numPr>
          <w:ilvl w:val="0"/>
          <w:numId w:val="21"/>
        </w:numPr>
        <w:spacing w:after="0"/>
        <w:ind w:left="697" w:hanging="340"/>
      </w:pPr>
      <w:r w:rsidRPr="007A5D47">
        <w:t>Les coefficients de transformation de l'énergie entrant dans le bâtiment en énergie primaire non renouvelable sont utilisés dans l</w:t>
      </w:r>
      <w:r>
        <w:t>a détermination de l’indicateur</w:t>
      </w:r>
      <w:r w:rsidRPr="007A5D47">
        <w:t xml:space="preserve"> Cep</w:t>
      </w:r>
      <w:r w:rsidR="00F00823">
        <w:t>,</w:t>
      </w:r>
      <w:r w:rsidRPr="007A5D47">
        <w:t xml:space="preserve">nr décrit </w:t>
      </w:r>
      <w:r>
        <w:t xml:space="preserve">au </w:t>
      </w:r>
      <w:r w:rsidRPr="00D96D9A">
        <w:rPr>
          <w:highlight w:val="yellow"/>
        </w:rPr>
        <w:t>II.</w:t>
      </w:r>
      <w:r w:rsidRPr="007A5D47">
        <w:t xml:space="preserve"> </w:t>
      </w:r>
      <w:r>
        <w:t>de l’</w:t>
      </w:r>
      <w:r>
        <w:fldChar w:fldCharType="begin"/>
      </w:r>
      <w:r>
        <w:instrText xml:space="preserve"> REF _Ref49445983 \r \h </w:instrText>
      </w:r>
      <w:r>
        <w:fldChar w:fldCharType="separate"/>
      </w:r>
      <w:r w:rsidR="00003F58">
        <w:t>Article 6</w:t>
      </w:r>
      <w:r>
        <w:fldChar w:fldCharType="end"/>
      </w:r>
      <w:r w:rsidR="00003F58">
        <w:t xml:space="preserve"> </w:t>
      </w:r>
      <w:r w:rsidRPr="007A5D47">
        <w:t>du présent arrêté</w:t>
      </w:r>
      <w:r>
        <w:t>,</w:t>
      </w:r>
      <w:r w:rsidRPr="007A5D47">
        <w:t xml:space="preserve"> et pris par convention égaux à :</w:t>
      </w:r>
    </w:p>
    <w:p w14:paraId="384D82F5" w14:textId="77777777" w:rsidR="00D96D9A" w:rsidRDefault="00D96D9A" w:rsidP="007F40E5">
      <w:pPr>
        <w:keepNext/>
        <w:spacing w:after="0"/>
        <w:ind w:left="697" w:hanging="340"/>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5394"/>
      </w:tblGrid>
      <w:tr w:rsidR="00D96D9A" w:rsidRPr="007A5D47" w14:paraId="4E940AD9" w14:textId="77777777" w:rsidTr="00AA57C7">
        <w:trPr>
          <w:trHeight w:val="242"/>
          <w:jc w:val="right"/>
        </w:trPr>
        <w:tc>
          <w:tcPr>
            <w:tcW w:w="3114" w:type="dxa"/>
            <w:tcBorders>
              <w:top w:val="single" w:sz="4" w:space="0" w:color="auto"/>
              <w:left w:val="single" w:sz="4" w:space="0" w:color="auto"/>
              <w:bottom w:val="single" w:sz="4" w:space="0" w:color="auto"/>
              <w:right w:val="single" w:sz="4" w:space="0" w:color="auto"/>
            </w:tcBorders>
            <w:vAlign w:val="center"/>
          </w:tcPr>
          <w:p w14:paraId="10A5BA23" w14:textId="77777777" w:rsidR="00D96D9A" w:rsidRPr="007A5D47" w:rsidRDefault="00D96D9A" w:rsidP="00AA57C7">
            <w:pPr>
              <w:pStyle w:val="pa"/>
              <w:keepNext/>
              <w:spacing w:after="0"/>
              <w:jc w:val="center"/>
              <w:rPr>
                <w:rFonts w:asciiTheme="minorHAnsi" w:hAnsiTheme="minorHAnsi"/>
                <w:b/>
              </w:rPr>
            </w:pPr>
            <w:r w:rsidRPr="007A5D47">
              <w:rPr>
                <w:rFonts w:asciiTheme="minorHAnsi" w:hAnsiTheme="minorHAnsi"/>
                <w:b/>
              </w:rPr>
              <w:t>Type d’énergie importée par le bâtiment</w:t>
            </w:r>
          </w:p>
        </w:tc>
        <w:tc>
          <w:tcPr>
            <w:tcW w:w="5394" w:type="dxa"/>
            <w:tcBorders>
              <w:top w:val="single" w:sz="4" w:space="0" w:color="auto"/>
              <w:left w:val="single" w:sz="4" w:space="0" w:color="auto"/>
              <w:bottom w:val="single" w:sz="4" w:space="0" w:color="auto"/>
              <w:right w:val="single" w:sz="4" w:space="0" w:color="auto"/>
            </w:tcBorders>
            <w:vAlign w:val="center"/>
          </w:tcPr>
          <w:p w14:paraId="40E28EFB" w14:textId="77777777" w:rsidR="00D96D9A" w:rsidRPr="007A5D47" w:rsidRDefault="00D96D9A" w:rsidP="00AA57C7">
            <w:pPr>
              <w:pStyle w:val="pa"/>
              <w:keepNext/>
              <w:spacing w:after="0"/>
              <w:jc w:val="center"/>
              <w:rPr>
                <w:rFonts w:asciiTheme="minorHAnsi" w:hAnsiTheme="minorHAnsi"/>
                <w:b/>
              </w:rPr>
            </w:pPr>
            <w:r w:rsidRPr="007A5D47">
              <w:rPr>
                <w:rFonts w:asciiTheme="minorHAnsi" w:hAnsiTheme="minorHAnsi"/>
                <w:b/>
              </w:rPr>
              <w:t>Coefficients de transformation de l'énergie entrant dans le bâtiment en énergie primaire non renouvelable</w:t>
            </w:r>
          </w:p>
        </w:tc>
      </w:tr>
      <w:tr w:rsidR="00D96D9A" w:rsidRPr="007A5D47" w14:paraId="2D8B16D7" w14:textId="77777777" w:rsidTr="00AA57C7">
        <w:trPr>
          <w:trHeight w:val="317"/>
          <w:jc w:val="right"/>
        </w:trPr>
        <w:tc>
          <w:tcPr>
            <w:tcW w:w="3114" w:type="dxa"/>
            <w:tcBorders>
              <w:top w:val="single" w:sz="4" w:space="0" w:color="auto"/>
              <w:left w:val="single" w:sz="4" w:space="0" w:color="auto"/>
              <w:bottom w:val="single" w:sz="4" w:space="0" w:color="auto"/>
              <w:right w:val="single" w:sz="4" w:space="0" w:color="auto"/>
            </w:tcBorders>
            <w:vAlign w:val="center"/>
            <w:hideMark/>
          </w:tcPr>
          <w:p w14:paraId="2071149B" w14:textId="77777777" w:rsidR="00D96D9A" w:rsidRPr="007A5D47" w:rsidRDefault="00D96D9A" w:rsidP="00AA57C7">
            <w:pPr>
              <w:pStyle w:val="pa"/>
              <w:keepNext/>
              <w:spacing w:after="0"/>
              <w:ind w:left="57"/>
              <w:jc w:val="left"/>
              <w:rPr>
                <w:rFonts w:asciiTheme="minorHAnsi" w:hAnsiTheme="minorHAnsi"/>
              </w:rPr>
            </w:pPr>
            <w:r w:rsidRPr="007A5D47">
              <w:rPr>
                <w:rFonts w:asciiTheme="minorHAnsi" w:hAnsiTheme="minorHAnsi"/>
              </w:rPr>
              <w:t>Bois</w:t>
            </w:r>
          </w:p>
        </w:tc>
        <w:tc>
          <w:tcPr>
            <w:tcW w:w="5394" w:type="dxa"/>
            <w:tcBorders>
              <w:top w:val="single" w:sz="4" w:space="0" w:color="auto"/>
              <w:left w:val="single" w:sz="4" w:space="0" w:color="auto"/>
              <w:bottom w:val="single" w:sz="4" w:space="0" w:color="auto"/>
              <w:right w:val="single" w:sz="4" w:space="0" w:color="auto"/>
            </w:tcBorders>
            <w:vAlign w:val="center"/>
          </w:tcPr>
          <w:p w14:paraId="2D3035C2" w14:textId="77777777" w:rsidR="00D96D9A" w:rsidRPr="007A5D47" w:rsidRDefault="00D96D9A" w:rsidP="00AA57C7">
            <w:pPr>
              <w:pStyle w:val="pa"/>
              <w:keepNext/>
              <w:spacing w:after="0"/>
              <w:jc w:val="center"/>
              <w:rPr>
                <w:rFonts w:asciiTheme="minorHAnsi" w:hAnsiTheme="minorHAnsi"/>
              </w:rPr>
            </w:pPr>
            <w:r w:rsidRPr="007A5D47">
              <w:rPr>
                <w:rFonts w:asciiTheme="minorHAnsi" w:hAnsiTheme="minorHAnsi"/>
              </w:rPr>
              <w:t>0</w:t>
            </w:r>
          </w:p>
        </w:tc>
      </w:tr>
      <w:tr w:rsidR="00D96D9A" w:rsidRPr="007A5D47" w14:paraId="3DA1695A" w14:textId="77777777" w:rsidTr="00AA57C7">
        <w:trPr>
          <w:trHeight w:val="317"/>
          <w:jc w:val="right"/>
        </w:trPr>
        <w:tc>
          <w:tcPr>
            <w:tcW w:w="3114" w:type="dxa"/>
            <w:tcBorders>
              <w:top w:val="single" w:sz="4" w:space="0" w:color="auto"/>
              <w:left w:val="single" w:sz="4" w:space="0" w:color="auto"/>
              <w:bottom w:val="single" w:sz="4" w:space="0" w:color="auto"/>
              <w:right w:val="single" w:sz="4" w:space="0" w:color="auto"/>
            </w:tcBorders>
            <w:vAlign w:val="center"/>
            <w:hideMark/>
          </w:tcPr>
          <w:p w14:paraId="4BF7F4E5" w14:textId="77777777" w:rsidR="00D96D9A" w:rsidRPr="007A5D47" w:rsidRDefault="00D96D9A" w:rsidP="00AA57C7">
            <w:pPr>
              <w:pStyle w:val="pa"/>
              <w:keepNext/>
              <w:spacing w:after="0"/>
              <w:ind w:left="57"/>
              <w:jc w:val="left"/>
              <w:rPr>
                <w:rFonts w:asciiTheme="minorHAnsi" w:hAnsiTheme="minorHAnsi"/>
              </w:rPr>
            </w:pPr>
            <w:r w:rsidRPr="007A5D47">
              <w:rPr>
                <w:rFonts w:asciiTheme="minorHAnsi" w:hAnsiTheme="minorHAnsi"/>
              </w:rPr>
              <w:t>Electricité</w:t>
            </w:r>
          </w:p>
        </w:tc>
        <w:tc>
          <w:tcPr>
            <w:tcW w:w="5394" w:type="dxa"/>
            <w:tcBorders>
              <w:top w:val="single" w:sz="4" w:space="0" w:color="auto"/>
              <w:left w:val="single" w:sz="4" w:space="0" w:color="auto"/>
              <w:bottom w:val="single" w:sz="4" w:space="0" w:color="auto"/>
              <w:right w:val="single" w:sz="4" w:space="0" w:color="auto"/>
            </w:tcBorders>
            <w:vAlign w:val="center"/>
          </w:tcPr>
          <w:p w14:paraId="027AD747" w14:textId="77777777" w:rsidR="00D96D9A" w:rsidRPr="007A5D47" w:rsidRDefault="00D96D9A" w:rsidP="00AA57C7">
            <w:pPr>
              <w:pStyle w:val="pa"/>
              <w:keepNext/>
              <w:spacing w:after="0"/>
              <w:jc w:val="center"/>
              <w:rPr>
                <w:rFonts w:asciiTheme="minorHAnsi" w:hAnsiTheme="minorHAnsi"/>
              </w:rPr>
            </w:pPr>
            <w:r w:rsidRPr="007A5D47">
              <w:rPr>
                <w:rFonts w:asciiTheme="minorHAnsi" w:hAnsiTheme="minorHAnsi"/>
              </w:rPr>
              <w:t>2,3</w:t>
            </w:r>
          </w:p>
        </w:tc>
      </w:tr>
      <w:tr w:rsidR="00D96D9A" w:rsidRPr="007A5D47" w14:paraId="11728F32" w14:textId="77777777" w:rsidTr="00AA57C7">
        <w:trPr>
          <w:trHeight w:val="317"/>
          <w:jc w:val="right"/>
        </w:trPr>
        <w:tc>
          <w:tcPr>
            <w:tcW w:w="3114" w:type="dxa"/>
            <w:tcBorders>
              <w:top w:val="single" w:sz="4" w:space="0" w:color="auto"/>
              <w:left w:val="single" w:sz="4" w:space="0" w:color="auto"/>
              <w:bottom w:val="single" w:sz="4" w:space="0" w:color="auto"/>
              <w:right w:val="single" w:sz="4" w:space="0" w:color="auto"/>
            </w:tcBorders>
            <w:vAlign w:val="center"/>
            <w:hideMark/>
          </w:tcPr>
          <w:p w14:paraId="74538221" w14:textId="4489C0EF" w:rsidR="00D96D9A" w:rsidRPr="007A5D47" w:rsidRDefault="00D96D9A" w:rsidP="00CE43A6">
            <w:pPr>
              <w:pStyle w:val="pa"/>
              <w:keepNext/>
              <w:spacing w:after="0"/>
              <w:ind w:left="57"/>
              <w:jc w:val="left"/>
              <w:rPr>
                <w:rFonts w:asciiTheme="minorHAnsi" w:hAnsiTheme="minorHAnsi"/>
              </w:rPr>
            </w:pPr>
            <w:r w:rsidRPr="007A5D47">
              <w:rPr>
                <w:rFonts w:asciiTheme="minorHAnsi" w:hAnsiTheme="minorHAnsi"/>
              </w:rPr>
              <w:t xml:space="preserve">Réseau </w:t>
            </w:r>
            <w:r>
              <w:rPr>
                <w:rFonts w:asciiTheme="minorHAnsi" w:hAnsiTheme="minorHAnsi"/>
              </w:rPr>
              <w:t xml:space="preserve">de chaleur </w:t>
            </w:r>
            <w:r w:rsidRPr="007A5D47">
              <w:rPr>
                <w:rFonts w:asciiTheme="minorHAnsi" w:hAnsiTheme="minorHAnsi"/>
              </w:rPr>
              <w:t>urbain (</w:t>
            </w:r>
            <w:r w:rsidR="00CE43A6" w:rsidRPr="007A5D47">
              <w:rPr>
                <w:rFonts w:asciiTheme="minorHAnsi" w:hAnsiTheme="minorHAnsi"/>
              </w:rPr>
              <w:t>cha</w:t>
            </w:r>
            <w:r w:rsidR="00CE43A6">
              <w:rPr>
                <w:rFonts w:asciiTheme="minorHAnsi" w:hAnsiTheme="minorHAnsi"/>
              </w:rPr>
              <w:t>leur</w:t>
            </w:r>
            <w:r w:rsidRPr="007A5D47">
              <w:rPr>
                <w:rFonts w:asciiTheme="minorHAnsi" w:hAnsiTheme="minorHAnsi"/>
              </w:rPr>
              <w:t>)</w:t>
            </w:r>
          </w:p>
        </w:tc>
        <w:tc>
          <w:tcPr>
            <w:tcW w:w="5394" w:type="dxa"/>
            <w:tcBorders>
              <w:top w:val="single" w:sz="4" w:space="0" w:color="auto"/>
              <w:left w:val="single" w:sz="4" w:space="0" w:color="auto"/>
              <w:bottom w:val="single" w:sz="4" w:space="0" w:color="auto"/>
              <w:right w:val="single" w:sz="4" w:space="0" w:color="auto"/>
            </w:tcBorders>
            <w:vAlign w:val="center"/>
          </w:tcPr>
          <w:p w14:paraId="42B41410" w14:textId="73BB59E0" w:rsidR="00D96D9A" w:rsidRPr="007A5D47" w:rsidRDefault="00D96D9A" w:rsidP="00CE43A6">
            <w:pPr>
              <w:pStyle w:val="Tableau"/>
              <w:keepNext/>
              <w:jc w:val="center"/>
              <w:rPr>
                <w:rFonts w:asciiTheme="minorHAnsi" w:hAnsiTheme="minorHAnsi"/>
                <w:sz w:val="22"/>
                <w:szCs w:val="22"/>
              </w:rPr>
            </w:pPr>
            <w:r w:rsidRPr="007A5D47">
              <w:rPr>
                <w:rFonts w:asciiTheme="minorHAnsi" w:hAnsiTheme="minorHAnsi"/>
                <w:sz w:val="22"/>
                <w:szCs w:val="22"/>
              </w:rPr>
              <w:t xml:space="preserve">1 – </w:t>
            </w:r>
            <w:r w:rsidRPr="00A22FA7">
              <w:rPr>
                <w:rFonts w:asciiTheme="minorHAnsi" w:hAnsiTheme="minorHAnsi"/>
                <w:sz w:val="22"/>
                <w:szCs w:val="22"/>
              </w:rPr>
              <w:t>Ratio d’énergie renouvelable ou de récupération du réseau (</w:t>
            </w:r>
            <w:r w:rsidR="00CE43A6" w:rsidRPr="00A22FA7">
              <w:rPr>
                <w:rFonts w:asciiTheme="minorHAnsi" w:hAnsiTheme="minorHAnsi"/>
                <w:sz w:val="22"/>
                <w:szCs w:val="22"/>
              </w:rPr>
              <w:t>cha</w:t>
            </w:r>
            <w:r w:rsidR="00CE43A6">
              <w:rPr>
                <w:rFonts w:asciiTheme="minorHAnsi" w:hAnsiTheme="minorHAnsi"/>
                <w:sz w:val="22"/>
                <w:szCs w:val="22"/>
              </w:rPr>
              <w:t>leur</w:t>
            </w:r>
            <w:r w:rsidRPr="00A22FA7">
              <w:rPr>
                <w:rFonts w:asciiTheme="minorHAnsi" w:hAnsiTheme="minorHAnsi"/>
                <w:sz w:val="22"/>
                <w:szCs w:val="22"/>
              </w:rPr>
              <w:t>)</w:t>
            </w:r>
          </w:p>
        </w:tc>
      </w:tr>
      <w:tr w:rsidR="00D96D9A" w:rsidRPr="007A5D47" w14:paraId="76D18529" w14:textId="77777777" w:rsidTr="00AA57C7">
        <w:trPr>
          <w:trHeight w:val="317"/>
          <w:jc w:val="right"/>
        </w:trPr>
        <w:tc>
          <w:tcPr>
            <w:tcW w:w="3114" w:type="dxa"/>
            <w:tcBorders>
              <w:top w:val="single" w:sz="4" w:space="0" w:color="auto"/>
              <w:left w:val="single" w:sz="4" w:space="0" w:color="auto"/>
              <w:bottom w:val="single" w:sz="4" w:space="0" w:color="auto"/>
              <w:right w:val="single" w:sz="4" w:space="0" w:color="auto"/>
            </w:tcBorders>
            <w:vAlign w:val="center"/>
          </w:tcPr>
          <w:p w14:paraId="72EC1B6C" w14:textId="77777777" w:rsidR="00D96D9A" w:rsidRPr="007A5D47" w:rsidRDefault="00D96D9A" w:rsidP="00AA57C7">
            <w:pPr>
              <w:pStyle w:val="pa"/>
              <w:keepNext/>
              <w:spacing w:after="0"/>
              <w:ind w:left="57"/>
              <w:jc w:val="left"/>
              <w:rPr>
                <w:rFonts w:asciiTheme="minorHAnsi" w:hAnsiTheme="minorHAnsi"/>
              </w:rPr>
            </w:pPr>
            <w:r w:rsidRPr="007A5D47">
              <w:rPr>
                <w:rFonts w:asciiTheme="minorHAnsi" w:hAnsiTheme="minorHAnsi"/>
              </w:rPr>
              <w:t xml:space="preserve">Réseau </w:t>
            </w:r>
            <w:r>
              <w:rPr>
                <w:rFonts w:asciiTheme="minorHAnsi" w:hAnsiTheme="minorHAnsi"/>
              </w:rPr>
              <w:t xml:space="preserve">de chaleur </w:t>
            </w:r>
            <w:r w:rsidRPr="007A5D47">
              <w:rPr>
                <w:rFonts w:asciiTheme="minorHAnsi" w:hAnsiTheme="minorHAnsi"/>
              </w:rPr>
              <w:t>urbain (froid)</w:t>
            </w:r>
          </w:p>
        </w:tc>
        <w:tc>
          <w:tcPr>
            <w:tcW w:w="5394" w:type="dxa"/>
            <w:tcBorders>
              <w:top w:val="single" w:sz="4" w:space="0" w:color="auto"/>
              <w:left w:val="single" w:sz="4" w:space="0" w:color="auto"/>
              <w:bottom w:val="single" w:sz="4" w:space="0" w:color="auto"/>
              <w:right w:val="single" w:sz="4" w:space="0" w:color="auto"/>
            </w:tcBorders>
            <w:vAlign w:val="center"/>
          </w:tcPr>
          <w:p w14:paraId="66E4E928" w14:textId="4E13C347" w:rsidR="00D96D9A" w:rsidRPr="007A5D47" w:rsidRDefault="00D96D9A" w:rsidP="00AA57C7">
            <w:pPr>
              <w:pStyle w:val="Tableau"/>
              <w:keepNext/>
              <w:jc w:val="center"/>
              <w:rPr>
                <w:rFonts w:asciiTheme="minorHAnsi" w:hAnsiTheme="minorHAnsi"/>
                <w:sz w:val="22"/>
                <w:szCs w:val="22"/>
              </w:rPr>
            </w:pPr>
            <w:r w:rsidRPr="007A5D47">
              <w:rPr>
                <w:rFonts w:asciiTheme="minorHAnsi" w:hAnsiTheme="minorHAnsi"/>
                <w:sz w:val="22"/>
                <w:szCs w:val="22"/>
              </w:rPr>
              <w:t>1</w:t>
            </w:r>
          </w:p>
        </w:tc>
      </w:tr>
      <w:tr w:rsidR="00D96D9A" w:rsidRPr="007A5D47" w14:paraId="728A3B48" w14:textId="77777777" w:rsidTr="00AA57C7">
        <w:trPr>
          <w:trHeight w:val="317"/>
          <w:jc w:val="right"/>
        </w:trPr>
        <w:tc>
          <w:tcPr>
            <w:tcW w:w="3114" w:type="dxa"/>
            <w:tcBorders>
              <w:top w:val="single" w:sz="4" w:space="0" w:color="auto"/>
              <w:left w:val="single" w:sz="4" w:space="0" w:color="auto"/>
              <w:bottom w:val="single" w:sz="4" w:space="0" w:color="auto"/>
              <w:right w:val="single" w:sz="4" w:space="0" w:color="auto"/>
            </w:tcBorders>
            <w:vAlign w:val="center"/>
          </w:tcPr>
          <w:p w14:paraId="5EEE69BB" w14:textId="77777777" w:rsidR="00D96D9A" w:rsidRPr="007A5D47" w:rsidRDefault="00D96D9A" w:rsidP="00AA57C7">
            <w:pPr>
              <w:pStyle w:val="pa"/>
              <w:keepNext/>
              <w:spacing w:after="0"/>
              <w:ind w:left="57"/>
              <w:jc w:val="left"/>
              <w:rPr>
                <w:rFonts w:asciiTheme="minorHAnsi" w:hAnsiTheme="minorHAnsi"/>
              </w:rPr>
            </w:pPr>
            <w:r w:rsidRPr="007A5D47">
              <w:rPr>
                <w:rFonts w:asciiTheme="minorHAnsi" w:hAnsiTheme="minorHAnsi"/>
              </w:rPr>
              <w:t>Autres énergies non renouvelables</w:t>
            </w:r>
          </w:p>
        </w:tc>
        <w:tc>
          <w:tcPr>
            <w:tcW w:w="5394" w:type="dxa"/>
            <w:tcBorders>
              <w:top w:val="single" w:sz="4" w:space="0" w:color="auto"/>
              <w:left w:val="single" w:sz="4" w:space="0" w:color="auto"/>
              <w:bottom w:val="single" w:sz="4" w:space="0" w:color="auto"/>
              <w:right w:val="single" w:sz="4" w:space="0" w:color="auto"/>
            </w:tcBorders>
            <w:vAlign w:val="center"/>
          </w:tcPr>
          <w:p w14:paraId="7B5B243D" w14:textId="77777777" w:rsidR="00D96D9A" w:rsidRPr="007A5D47" w:rsidRDefault="00D96D9A" w:rsidP="00AA57C7">
            <w:pPr>
              <w:pStyle w:val="Tableau"/>
              <w:keepNext/>
              <w:jc w:val="center"/>
              <w:rPr>
                <w:rFonts w:asciiTheme="minorHAnsi" w:hAnsiTheme="minorHAnsi"/>
                <w:sz w:val="22"/>
                <w:szCs w:val="22"/>
              </w:rPr>
            </w:pPr>
            <w:r w:rsidRPr="007A5D47">
              <w:rPr>
                <w:rFonts w:asciiTheme="minorHAnsi" w:hAnsiTheme="minorHAnsi"/>
                <w:sz w:val="22"/>
                <w:szCs w:val="22"/>
              </w:rPr>
              <w:t>1</w:t>
            </w:r>
          </w:p>
        </w:tc>
      </w:tr>
      <w:tr w:rsidR="00D96D9A" w:rsidRPr="007A5D47" w14:paraId="3CBFE8FA" w14:textId="77777777" w:rsidTr="00AA57C7">
        <w:trPr>
          <w:trHeight w:val="317"/>
          <w:jc w:val="right"/>
        </w:trPr>
        <w:tc>
          <w:tcPr>
            <w:tcW w:w="3114" w:type="dxa"/>
            <w:tcBorders>
              <w:top w:val="single" w:sz="4" w:space="0" w:color="auto"/>
              <w:left w:val="single" w:sz="4" w:space="0" w:color="auto"/>
              <w:bottom w:val="single" w:sz="4" w:space="0" w:color="auto"/>
              <w:right w:val="single" w:sz="4" w:space="0" w:color="auto"/>
            </w:tcBorders>
            <w:vAlign w:val="center"/>
          </w:tcPr>
          <w:p w14:paraId="3C113490" w14:textId="77777777" w:rsidR="00D96D9A" w:rsidRPr="007A5D47" w:rsidRDefault="00D96D9A" w:rsidP="00AA57C7">
            <w:pPr>
              <w:pStyle w:val="pa"/>
              <w:keepNext/>
              <w:spacing w:after="0"/>
              <w:ind w:left="57"/>
              <w:jc w:val="left"/>
              <w:rPr>
                <w:rFonts w:asciiTheme="minorHAnsi" w:hAnsiTheme="minorHAnsi"/>
              </w:rPr>
            </w:pPr>
            <w:r w:rsidRPr="007A5D47">
              <w:rPr>
                <w:rFonts w:asciiTheme="minorHAnsi" w:hAnsiTheme="minorHAnsi"/>
              </w:rPr>
              <w:t>Energie renouvelable captée sur le bâtiment ou la parcelle</w:t>
            </w:r>
          </w:p>
        </w:tc>
        <w:tc>
          <w:tcPr>
            <w:tcW w:w="5394" w:type="dxa"/>
            <w:tcBorders>
              <w:top w:val="single" w:sz="4" w:space="0" w:color="auto"/>
              <w:left w:val="single" w:sz="4" w:space="0" w:color="auto"/>
              <w:bottom w:val="single" w:sz="4" w:space="0" w:color="auto"/>
              <w:right w:val="single" w:sz="4" w:space="0" w:color="auto"/>
            </w:tcBorders>
            <w:vAlign w:val="center"/>
          </w:tcPr>
          <w:p w14:paraId="7B1A5871" w14:textId="77777777" w:rsidR="00D96D9A" w:rsidRPr="007A5D47" w:rsidRDefault="00D96D9A" w:rsidP="00AA57C7">
            <w:pPr>
              <w:pStyle w:val="Tableau"/>
              <w:keepNext/>
              <w:jc w:val="center"/>
              <w:rPr>
                <w:rFonts w:asciiTheme="minorHAnsi" w:hAnsiTheme="minorHAnsi"/>
                <w:sz w:val="22"/>
                <w:szCs w:val="22"/>
              </w:rPr>
            </w:pPr>
            <w:r w:rsidRPr="007A5D47">
              <w:rPr>
                <w:rFonts w:asciiTheme="minorHAnsi" w:hAnsiTheme="minorHAnsi"/>
                <w:sz w:val="22"/>
                <w:szCs w:val="22"/>
              </w:rPr>
              <w:t>0</w:t>
            </w:r>
          </w:p>
        </w:tc>
      </w:tr>
    </w:tbl>
    <w:p w14:paraId="29599776" w14:textId="77777777" w:rsidR="00D96D9A" w:rsidRDefault="00D96D9A" w:rsidP="007F40E5">
      <w:pPr>
        <w:spacing w:after="0"/>
        <w:ind w:left="697" w:hanging="340"/>
      </w:pPr>
    </w:p>
    <w:p w14:paraId="3443BB7B" w14:textId="7573EA65" w:rsidR="00E52D22" w:rsidRDefault="00E52D22" w:rsidP="00AA57C7">
      <w:pPr>
        <w:keepNext/>
        <w:spacing w:after="0"/>
        <w:ind w:left="737"/>
      </w:pPr>
      <w:r w:rsidRPr="004F2D43">
        <w:lastRenderedPageBreak/>
        <w:t>Le ratio d’énergie renouvelable ou de récupération des réseaux de chaleur urbain (</w:t>
      </w:r>
      <w:r w:rsidR="00324401" w:rsidRPr="004F2D43">
        <w:t>c</w:t>
      </w:r>
      <w:r w:rsidR="00324401">
        <w:t>haleur</w:t>
      </w:r>
      <w:r w:rsidRPr="004F2D43">
        <w:t>) est défini par arrêté pour chaque infrastructure existante.</w:t>
      </w:r>
    </w:p>
    <w:p w14:paraId="5CABDF55" w14:textId="74E3CE39" w:rsidR="00933F50" w:rsidRDefault="00933F50" w:rsidP="00E8319A">
      <w:pPr>
        <w:pStyle w:val="Paragraphedeliste"/>
        <w:keepNext/>
        <w:numPr>
          <w:ilvl w:val="0"/>
          <w:numId w:val="21"/>
        </w:numPr>
        <w:spacing w:after="0"/>
        <w:ind w:left="697" w:hanging="340"/>
      </w:pPr>
      <w:r>
        <w:t xml:space="preserve">Les coefficients de transformation de l'énergie entrant dans le bâtiment en énergie primaire sont </w:t>
      </w:r>
      <w:r w:rsidR="007A5D47" w:rsidRPr="007A5D47">
        <w:t xml:space="preserve">utilisés dans la détermination l’indicateur Cep décrit </w:t>
      </w:r>
      <w:r w:rsidR="007A5D47" w:rsidRPr="00D96D9A">
        <w:rPr>
          <w:highlight w:val="yellow"/>
        </w:rPr>
        <w:t>au I</w:t>
      </w:r>
      <w:r w:rsidR="00EE3156">
        <w:rPr>
          <w:highlight w:val="yellow"/>
        </w:rPr>
        <w:t>II</w:t>
      </w:r>
      <w:r w:rsidR="007A5D47" w:rsidRPr="00D96D9A">
        <w:rPr>
          <w:highlight w:val="yellow"/>
        </w:rPr>
        <w:t>.</w:t>
      </w:r>
      <w:r w:rsidR="007A5D47">
        <w:t xml:space="preserve"> de</w:t>
      </w:r>
      <w:r w:rsidR="007A5D47" w:rsidRPr="007A5D47">
        <w:t xml:space="preserve"> l’</w:t>
      </w:r>
      <w:r w:rsidR="007A5D47">
        <w:fldChar w:fldCharType="begin"/>
      </w:r>
      <w:r w:rsidR="007A5D47">
        <w:instrText xml:space="preserve"> REF _Ref49445983 \r \h </w:instrText>
      </w:r>
      <w:r w:rsidR="007A5D47">
        <w:fldChar w:fldCharType="separate"/>
      </w:r>
      <w:r w:rsidR="00003F58">
        <w:t>Article 6</w:t>
      </w:r>
      <w:r w:rsidR="007A5D47">
        <w:fldChar w:fldCharType="end"/>
      </w:r>
      <w:r w:rsidR="00003F58">
        <w:t>,</w:t>
      </w:r>
      <w:r w:rsidR="007A5D47">
        <w:t xml:space="preserve"> et </w:t>
      </w:r>
      <w:r>
        <w:t>pris par convention égaux à :</w:t>
      </w:r>
    </w:p>
    <w:p w14:paraId="11BF961E" w14:textId="77777777" w:rsidR="00603D80" w:rsidRDefault="00603D80" w:rsidP="007F40E5">
      <w:pPr>
        <w:keepNext/>
        <w:spacing w:after="0"/>
        <w:ind w:left="697" w:hanging="340"/>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5394"/>
      </w:tblGrid>
      <w:tr w:rsidR="007A5D47" w:rsidRPr="00181C58" w14:paraId="1EEC4541" w14:textId="77777777" w:rsidTr="00D96D9A">
        <w:trPr>
          <w:trHeight w:val="242"/>
          <w:jc w:val="right"/>
        </w:trPr>
        <w:tc>
          <w:tcPr>
            <w:tcW w:w="3119" w:type="dxa"/>
            <w:tcBorders>
              <w:top w:val="single" w:sz="4" w:space="0" w:color="auto"/>
              <w:left w:val="single" w:sz="4" w:space="0" w:color="auto"/>
              <w:bottom w:val="single" w:sz="4" w:space="0" w:color="auto"/>
              <w:right w:val="single" w:sz="4" w:space="0" w:color="auto"/>
            </w:tcBorders>
            <w:vAlign w:val="center"/>
          </w:tcPr>
          <w:p w14:paraId="01276F15" w14:textId="77777777" w:rsidR="007A5D47" w:rsidRPr="007A5D47" w:rsidRDefault="007A5D47" w:rsidP="00D96D9A">
            <w:pPr>
              <w:pStyle w:val="pa"/>
              <w:keepNext/>
              <w:spacing w:after="0"/>
              <w:jc w:val="center"/>
              <w:rPr>
                <w:rFonts w:asciiTheme="minorHAnsi" w:hAnsiTheme="minorHAnsi"/>
                <w:b/>
              </w:rPr>
            </w:pPr>
            <w:r w:rsidRPr="007A5D47">
              <w:rPr>
                <w:rFonts w:asciiTheme="minorHAnsi" w:hAnsiTheme="minorHAnsi"/>
                <w:b/>
              </w:rPr>
              <w:t>Type d’énergie importée par le bâtiment</w:t>
            </w:r>
          </w:p>
        </w:tc>
        <w:tc>
          <w:tcPr>
            <w:tcW w:w="5394" w:type="dxa"/>
            <w:tcBorders>
              <w:top w:val="single" w:sz="4" w:space="0" w:color="auto"/>
              <w:left w:val="single" w:sz="4" w:space="0" w:color="auto"/>
              <w:bottom w:val="single" w:sz="4" w:space="0" w:color="auto"/>
              <w:right w:val="single" w:sz="4" w:space="0" w:color="auto"/>
            </w:tcBorders>
          </w:tcPr>
          <w:p w14:paraId="60DD2549" w14:textId="77777777" w:rsidR="007A5D47" w:rsidRPr="007A5D47" w:rsidRDefault="007A5D47" w:rsidP="00D96D9A">
            <w:pPr>
              <w:pStyle w:val="pa"/>
              <w:keepNext/>
              <w:spacing w:after="0"/>
              <w:jc w:val="center"/>
              <w:rPr>
                <w:rFonts w:asciiTheme="minorHAnsi" w:hAnsiTheme="minorHAnsi"/>
                <w:b/>
              </w:rPr>
            </w:pPr>
            <w:r w:rsidRPr="007A5D47">
              <w:rPr>
                <w:rFonts w:asciiTheme="minorHAnsi" w:hAnsiTheme="minorHAnsi"/>
                <w:b/>
              </w:rPr>
              <w:t>Coefficients de transformation de l'énergie entrant dans le bâtiment en énergie primaire</w:t>
            </w:r>
          </w:p>
        </w:tc>
      </w:tr>
      <w:tr w:rsidR="007A5D47" w:rsidRPr="00181C58" w14:paraId="576CE86F" w14:textId="77777777" w:rsidTr="00D96D9A">
        <w:trPr>
          <w:trHeight w:val="317"/>
          <w:jc w:val="right"/>
        </w:trPr>
        <w:tc>
          <w:tcPr>
            <w:tcW w:w="3119" w:type="dxa"/>
            <w:tcBorders>
              <w:top w:val="single" w:sz="4" w:space="0" w:color="auto"/>
              <w:left w:val="single" w:sz="4" w:space="0" w:color="auto"/>
              <w:bottom w:val="single" w:sz="4" w:space="0" w:color="auto"/>
              <w:right w:val="single" w:sz="4" w:space="0" w:color="auto"/>
            </w:tcBorders>
            <w:vAlign w:val="center"/>
            <w:hideMark/>
          </w:tcPr>
          <w:p w14:paraId="6929847C" w14:textId="77777777" w:rsidR="007A5D47" w:rsidRPr="007A5D47" w:rsidRDefault="007A5D47" w:rsidP="00D96D9A">
            <w:pPr>
              <w:pStyle w:val="pa"/>
              <w:keepNext/>
              <w:spacing w:after="0"/>
              <w:jc w:val="left"/>
              <w:rPr>
                <w:rFonts w:asciiTheme="minorHAnsi" w:hAnsiTheme="minorHAnsi"/>
              </w:rPr>
            </w:pPr>
            <w:r w:rsidRPr="007A5D47">
              <w:rPr>
                <w:rFonts w:asciiTheme="minorHAnsi" w:hAnsiTheme="minorHAnsi"/>
              </w:rPr>
              <w:t>Bois</w:t>
            </w:r>
          </w:p>
        </w:tc>
        <w:tc>
          <w:tcPr>
            <w:tcW w:w="5394" w:type="dxa"/>
            <w:tcBorders>
              <w:top w:val="single" w:sz="4" w:space="0" w:color="auto"/>
              <w:left w:val="single" w:sz="4" w:space="0" w:color="auto"/>
              <w:bottom w:val="single" w:sz="4" w:space="0" w:color="auto"/>
              <w:right w:val="single" w:sz="4" w:space="0" w:color="auto"/>
            </w:tcBorders>
            <w:vAlign w:val="center"/>
          </w:tcPr>
          <w:p w14:paraId="78CC79E3" w14:textId="77777777" w:rsidR="007A5D47" w:rsidRPr="007A5D47" w:rsidRDefault="007A5D47" w:rsidP="00D96D9A">
            <w:pPr>
              <w:pStyle w:val="pa"/>
              <w:keepNext/>
              <w:spacing w:after="0"/>
              <w:jc w:val="center"/>
              <w:rPr>
                <w:rFonts w:asciiTheme="minorHAnsi" w:hAnsiTheme="minorHAnsi"/>
              </w:rPr>
            </w:pPr>
            <w:r w:rsidRPr="007A5D47">
              <w:rPr>
                <w:rFonts w:asciiTheme="minorHAnsi" w:hAnsiTheme="minorHAnsi"/>
              </w:rPr>
              <w:t>1</w:t>
            </w:r>
          </w:p>
        </w:tc>
      </w:tr>
      <w:tr w:rsidR="007A5D47" w:rsidRPr="00181C58" w14:paraId="72030F31" w14:textId="77777777" w:rsidTr="00D96D9A">
        <w:trPr>
          <w:trHeight w:val="317"/>
          <w:jc w:val="right"/>
        </w:trPr>
        <w:tc>
          <w:tcPr>
            <w:tcW w:w="3119" w:type="dxa"/>
            <w:tcBorders>
              <w:top w:val="single" w:sz="4" w:space="0" w:color="auto"/>
              <w:left w:val="single" w:sz="4" w:space="0" w:color="auto"/>
              <w:bottom w:val="single" w:sz="4" w:space="0" w:color="auto"/>
              <w:right w:val="single" w:sz="4" w:space="0" w:color="auto"/>
            </w:tcBorders>
            <w:vAlign w:val="center"/>
            <w:hideMark/>
          </w:tcPr>
          <w:p w14:paraId="081DC49E" w14:textId="77777777" w:rsidR="007A5D47" w:rsidRPr="007A5D47" w:rsidRDefault="007A5D47" w:rsidP="00D96D9A">
            <w:pPr>
              <w:pStyle w:val="pa"/>
              <w:keepNext/>
              <w:spacing w:after="0"/>
              <w:jc w:val="left"/>
              <w:rPr>
                <w:rFonts w:asciiTheme="minorHAnsi" w:hAnsiTheme="minorHAnsi"/>
              </w:rPr>
            </w:pPr>
            <w:r w:rsidRPr="007A5D47">
              <w:rPr>
                <w:rFonts w:asciiTheme="minorHAnsi" w:hAnsiTheme="minorHAnsi"/>
              </w:rPr>
              <w:t>Electricité</w:t>
            </w:r>
          </w:p>
        </w:tc>
        <w:tc>
          <w:tcPr>
            <w:tcW w:w="5394" w:type="dxa"/>
            <w:tcBorders>
              <w:top w:val="single" w:sz="4" w:space="0" w:color="auto"/>
              <w:left w:val="single" w:sz="4" w:space="0" w:color="auto"/>
              <w:bottom w:val="single" w:sz="4" w:space="0" w:color="auto"/>
              <w:right w:val="single" w:sz="4" w:space="0" w:color="auto"/>
            </w:tcBorders>
            <w:vAlign w:val="center"/>
          </w:tcPr>
          <w:p w14:paraId="790C9027" w14:textId="77777777" w:rsidR="007A5D47" w:rsidRPr="007A5D47" w:rsidRDefault="007A5D47" w:rsidP="00D96D9A">
            <w:pPr>
              <w:pStyle w:val="pa"/>
              <w:keepNext/>
              <w:spacing w:after="0"/>
              <w:jc w:val="center"/>
              <w:rPr>
                <w:rFonts w:asciiTheme="minorHAnsi" w:hAnsiTheme="minorHAnsi"/>
              </w:rPr>
            </w:pPr>
            <w:r w:rsidRPr="007A5D47">
              <w:rPr>
                <w:rFonts w:asciiTheme="minorHAnsi" w:hAnsiTheme="minorHAnsi"/>
              </w:rPr>
              <w:t>2,3</w:t>
            </w:r>
          </w:p>
        </w:tc>
      </w:tr>
      <w:tr w:rsidR="007A5D47" w:rsidRPr="00181C58" w14:paraId="5C344329" w14:textId="77777777" w:rsidTr="00D96D9A">
        <w:trPr>
          <w:trHeight w:val="317"/>
          <w:jc w:val="right"/>
        </w:trPr>
        <w:tc>
          <w:tcPr>
            <w:tcW w:w="3119" w:type="dxa"/>
            <w:tcBorders>
              <w:top w:val="single" w:sz="4" w:space="0" w:color="auto"/>
              <w:left w:val="single" w:sz="4" w:space="0" w:color="auto"/>
              <w:bottom w:val="single" w:sz="4" w:space="0" w:color="auto"/>
              <w:right w:val="single" w:sz="4" w:space="0" w:color="auto"/>
            </w:tcBorders>
            <w:vAlign w:val="center"/>
            <w:hideMark/>
          </w:tcPr>
          <w:p w14:paraId="7A6AC1B5" w14:textId="77777777" w:rsidR="007A5D47" w:rsidRPr="007A5D47" w:rsidRDefault="007A5D47" w:rsidP="00D96D9A">
            <w:pPr>
              <w:pStyle w:val="pa"/>
              <w:keepNext/>
              <w:spacing w:after="0"/>
              <w:jc w:val="left"/>
              <w:rPr>
                <w:rFonts w:asciiTheme="minorHAnsi" w:hAnsiTheme="minorHAnsi"/>
              </w:rPr>
            </w:pPr>
            <w:r w:rsidRPr="007A5D47">
              <w:rPr>
                <w:rFonts w:asciiTheme="minorHAnsi" w:hAnsiTheme="minorHAnsi"/>
              </w:rPr>
              <w:t>Réseau urbain (chauffage)</w:t>
            </w:r>
          </w:p>
        </w:tc>
        <w:tc>
          <w:tcPr>
            <w:tcW w:w="5394" w:type="dxa"/>
            <w:tcBorders>
              <w:top w:val="single" w:sz="4" w:space="0" w:color="auto"/>
              <w:left w:val="single" w:sz="4" w:space="0" w:color="auto"/>
              <w:bottom w:val="single" w:sz="4" w:space="0" w:color="auto"/>
              <w:right w:val="single" w:sz="4" w:space="0" w:color="auto"/>
            </w:tcBorders>
            <w:vAlign w:val="center"/>
          </w:tcPr>
          <w:p w14:paraId="6C964725" w14:textId="77777777" w:rsidR="007A5D47" w:rsidRPr="007A5D47" w:rsidRDefault="007A5D47" w:rsidP="00D96D9A">
            <w:pPr>
              <w:pStyle w:val="pa"/>
              <w:keepNext/>
              <w:spacing w:after="0"/>
              <w:jc w:val="center"/>
              <w:rPr>
                <w:rFonts w:asciiTheme="minorHAnsi" w:hAnsiTheme="minorHAnsi"/>
              </w:rPr>
            </w:pPr>
            <w:r w:rsidRPr="007A5D47">
              <w:rPr>
                <w:rFonts w:asciiTheme="minorHAnsi" w:hAnsiTheme="minorHAnsi"/>
              </w:rPr>
              <w:t>1</w:t>
            </w:r>
          </w:p>
        </w:tc>
      </w:tr>
      <w:tr w:rsidR="007A5D47" w:rsidRPr="00181C58" w14:paraId="41A7C9FF" w14:textId="77777777" w:rsidTr="00D96D9A">
        <w:trPr>
          <w:trHeight w:val="317"/>
          <w:jc w:val="right"/>
        </w:trPr>
        <w:tc>
          <w:tcPr>
            <w:tcW w:w="3119" w:type="dxa"/>
            <w:tcBorders>
              <w:top w:val="single" w:sz="4" w:space="0" w:color="auto"/>
              <w:left w:val="single" w:sz="4" w:space="0" w:color="auto"/>
              <w:bottom w:val="single" w:sz="4" w:space="0" w:color="auto"/>
              <w:right w:val="single" w:sz="4" w:space="0" w:color="auto"/>
            </w:tcBorders>
            <w:vAlign w:val="center"/>
          </w:tcPr>
          <w:p w14:paraId="5C016B50" w14:textId="77777777" w:rsidR="007A5D47" w:rsidRPr="007A5D47" w:rsidRDefault="007A5D47" w:rsidP="00D96D9A">
            <w:pPr>
              <w:pStyle w:val="pa"/>
              <w:keepNext/>
              <w:spacing w:after="0"/>
              <w:jc w:val="left"/>
              <w:rPr>
                <w:rFonts w:asciiTheme="minorHAnsi" w:hAnsiTheme="minorHAnsi"/>
              </w:rPr>
            </w:pPr>
            <w:r w:rsidRPr="007A5D47">
              <w:rPr>
                <w:rFonts w:asciiTheme="minorHAnsi" w:hAnsiTheme="minorHAnsi"/>
              </w:rPr>
              <w:t>Réseau urbain (froid)</w:t>
            </w:r>
          </w:p>
        </w:tc>
        <w:tc>
          <w:tcPr>
            <w:tcW w:w="5394" w:type="dxa"/>
            <w:tcBorders>
              <w:top w:val="single" w:sz="4" w:space="0" w:color="auto"/>
              <w:left w:val="single" w:sz="4" w:space="0" w:color="auto"/>
              <w:bottom w:val="single" w:sz="4" w:space="0" w:color="auto"/>
              <w:right w:val="single" w:sz="4" w:space="0" w:color="auto"/>
            </w:tcBorders>
            <w:vAlign w:val="center"/>
          </w:tcPr>
          <w:p w14:paraId="3D7EB9B9" w14:textId="77777777" w:rsidR="007A5D47" w:rsidRPr="007A5D47" w:rsidRDefault="007A5D47" w:rsidP="00D96D9A">
            <w:pPr>
              <w:pStyle w:val="pa"/>
              <w:keepNext/>
              <w:spacing w:after="0"/>
              <w:jc w:val="center"/>
              <w:rPr>
                <w:rFonts w:asciiTheme="minorHAnsi" w:hAnsiTheme="minorHAnsi"/>
              </w:rPr>
            </w:pPr>
            <w:r w:rsidRPr="007A5D47">
              <w:rPr>
                <w:rFonts w:asciiTheme="minorHAnsi" w:hAnsiTheme="minorHAnsi"/>
              </w:rPr>
              <w:t>1</w:t>
            </w:r>
          </w:p>
        </w:tc>
      </w:tr>
      <w:tr w:rsidR="007A5D47" w:rsidRPr="00181C58" w14:paraId="7A61A91A" w14:textId="77777777" w:rsidTr="00D96D9A">
        <w:trPr>
          <w:trHeight w:val="317"/>
          <w:jc w:val="right"/>
        </w:trPr>
        <w:tc>
          <w:tcPr>
            <w:tcW w:w="3119" w:type="dxa"/>
            <w:tcBorders>
              <w:top w:val="single" w:sz="4" w:space="0" w:color="auto"/>
              <w:left w:val="single" w:sz="4" w:space="0" w:color="auto"/>
              <w:bottom w:val="single" w:sz="4" w:space="0" w:color="auto"/>
              <w:right w:val="single" w:sz="4" w:space="0" w:color="auto"/>
            </w:tcBorders>
            <w:vAlign w:val="center"/>
          </w:tcPr>
          <w:p w14:paraId="5CFD02AB" w14:textId="77777777" w:rsidR="007A5D47" w:rsidRPr="007A5D47" w:rsidRDefault="007A5D47" w:rsidP="00D96D9A">
            <w:pPr>
              <w:pStyle w:val="pa"/>
              <w:keepNext/>
              <w:spacing w:after="0"/>
              <w:jc w:val="left"/>
              <w:rPr>
                <w:rFonts w:asciiTheme="minorHAnsi" w:hAnsiTheme="minorHAnsi"/>
              </w:rPr>
            </w:pPr>
            <w:r w:rsidRPr="007A5D47">
              <w:rPr>
                <w:rFonts w:asciiTheme="minorHAnsi" w:hAnsiTheme="minorHAnsi"/>
              </w:rPr>
              <w:t>Autres énergies non renouvelables</w:t>
            </w:r>
          </w:p>
        </w:tc>
        <w:tc>
          <w:tcPr>
            <w:tcW w:w="5394" w:type="dxa"/>
            <w:tcBorders>
              <w:top w:val="single" w:sz="4" w:space="0" w:color="auto"/>
              <w:left w:val="single" w:sz="4" w:space="0" w:color="auto"/>
              <w:bottom w:val="single" w:sz="4" w:space="0" w:color="auto"/>
              <w:right w:val="single" w:sz="4" w:space="0" w:color="auto"/>
            </w:tcBorders>
            <w:vAlign w:val="center"/>
          </w:tcPr>
          <w:p w14:paraId="715C3B73" w14:textId="77777777" w:rsidR="007A5D47" w:rsidRPr="007A5D47" w:rsidRDefault="007A5D47" w:rsidP="00D96D9A">
            <w:pPr>
              <w:pStyle w:val="pa"/>
              <w:keepNext/>
              <w:spacing w:after="0"/>
              <w:jc w:val="center"/>
              <w:rPr>
                <w:rFonts w:asciiTheme="minorHAnsi" w:hAnsiTheme="minorHAnsi"/>
              </w:rPr>
            </w:pPr>
            <w:r w:rsidRPr="007A5D47">
              <w:rPr>
                <w:rFonts w:asciiTheme="minorHAnsi" w:hAnsiTheme="minorHAnsi"/>
              </w:rPr>
              <w:t>1</w:t>
            </w:r>
          </w:p>
        </w:tc>
      </w:tr>
      <w:tr w:rsidR="007A5D47" w:rsidRPr="00181C58" w14:paraId="42A68916" w14:textId="77777777" w:rsidTr="00D96D9A">
        <w:trPr>
          <w:trHeight w:val="317"/>
          <w:jc w:val="right"/>
        </w:trPr>
        <w:tc>
          <w:tcPr>
            <w:tcW w:w="3119" w:type="dxa"/>
            <w:tcBorders>
              <w:top w:val="single" w:sz="4" w:space="0" w:color="auto"/>
              <w:left w:val="single" w:sz="4" w:space="0" w:color="auto"/>
              <w:bottom w:val="single" w:sz="4" w:space="0" w:color="auto"/>
              <w:right w:val="single" w:sz="4" w:space="0" w:color="auto"/>
            </w:tcBorders>
            <w:vAlign w:val="center"/>
          </w:tcPr>
          <w:p w14:paraId="0FA1543E" w14:textId="77777777" w:rsidR="007A5D47" w:rsidRPr="007A5D47" w:rsidRDefault="007A5D47" w:rsidP="00D96D9A">
            <w:pPr>
              <w:pStyle w:val="pa"/>
              <w:keepNext/>
              <w:spacing w:after="0"/>
              <w:jc w:val="left"/>
              <w:rPr>
                <w:rFonts w:asciiTheme="minorHAnsi" w:hAnsiTheme="minorHAnsi"/>
              </w:rPr>
            </w:pPr>
            <w:r w:rsidRPr="007A5D47">
              <w:rPr>
                <w:rFonts w:asciiTheme="minorHAnsi" w:hAnsiTheme="minorHAnsi"/>
              </w:rPr>
              <w:t>Energie renouvelable captée sur le bâtiment ou la parcelle</w:t>
            </w:r>
          </w:p>
        </w:tc>
        <w:tc>
          <w:tcPr>
            <w:tcW w:w="5394" w:type="dxa"/>
            <w:tcBorders>
              <w:top w:val="single" w:sz="4" w:space="0" w:color="auto"/>
              <w:left w:val="single" w:sz="4" w:space="0" w:color="auto"/>
              <w:bottom w:val="single" w:sz="4" w:space="0" w:color="auto"/>
              <w:right w:val="single" w:sz="4" w:space="0" w:color="auto"/>
            </w:tcBorders>
            <w:vAlign w:val="center"/>
          </w:tcPr>
          <w:p w14:paraId="3B298380" w14:textId="77777777" w:rsidR="007A5D47" w:rsidRPr="007A5D47" w:rsidRDefault="007A5D47" w:rsidP="00D96D9A">
            <w:pPr>
              <w:pStyle w:val="pa"/>
              <w:keepNext/>
              <w:spacing w:after="0"/>
              <w:jc w:val="center"/>
              <w:rPr>
                <w:rFonts w:asciiTheme="minorHAnsi" w:hAnsiTheme="minorHAnsi"/>
              </w:rPr>
            </w:pPr>
            <w:r w:rsidRPr="007A5D47">
              <w:rPr>
                <w:rFonts w:asciiTheme="minorHAnsi" w:hAnsiTheme="minorHAnsi"/>
              </w:rPr>
              <w:t>0</w:t>
            </w:r>
          </w:p>
        </w:tc>
      </w:tr>
    </w:tbl>
    <w:p w14:paraId="223A9D9E" w14:textId="4E0C2358" w:rsidR="00603D80" w:rsidRDefault="00603D80" w:rsidP="00933F50">
      <w:pPr>
        <w:spacing w:after="0"/>
      </w:pPr>
    </w:p>
    <w:p w14:paraId="09D83911" w14:textId="216B86F5" w:rsidR="007A5D47" w:rsidRDefault="00933F50" w:rsidP="007F40E5">
      <w:pPr>
        <w:ind w:left="699"/>
      </w:pPr>
      <w:r>
        <w:t xml:space="preserve">Par convention, l’énergie produite </w:t>
      </w:r>
      <w:r w:rsidR="00B80206">
        <w:t xml:space="preserve">par le bâtiment pour le compte d’un réseau, ainsi que l’éventuelle quantité d’énergie importée par le bâtiment pour produire cette énergie, n’affectent pas </w:t>
      </w:r>
      <w:r w:rsidR="00E85F4B">
        <w:t>les indicateurs Cep,nr, Cep et Ic</w:t>
      </w:r>
      <w:r w:rsidR="00E85F4B">
        <w:rPr>
          <w:vertAlign w:val="subscript"/>
        </w:rPr>
        <w:t>énergie</w:t>
      </w:r>
      <w:r w:rsidR="00B80206">
        <w:t xml:space="preserve"> du bâtiment.</w:t>
      </w:r>
      <w:bookmarkStart w:id="32" w:name="_Ref57374505"/>
    </w:p>
    <w:p w14:paraId="17C971FF" w14:textId="77777777" w:rsidR="007A5D47" w:rsidRDefault="007A5D47" w:rsidP="00933F50"/>
    <w:p w14:paraId="3FDB09D5" w14:textId="5E28776F" w:rsidR="00933F50" w:rsidRPr="007A5D47" w:rsidRDefault="007A5D47" w:rsidP="00933F50">
      <w:pPr>
        <w:pStyle w:val="Titre3"/>
      </w:pPr>
      <w:r w:rsidRPr="007A5D47" w:rsidDel="002957AC">
        <w:t xml:space="preserve"> </w:t>
      </w:r>
      <w:bookmarkStart w:id="33" w:name="_Ref57989590"/>
      <w:r w:rsidRPr="007A5D47">
        <w:t>(Facteurs d’émission)</w:t>
      </w:r>
      <w:bookmarkEnd w:id="32"/>
      <w:bookmarkEnd w:id="33"/>
      <w:r w:rsidRPr="007A5D47">
        <w:t xml:space="preserve"> </w:t>
      </w:r>
    </w:p>
    <w:p w14:paraId="3DE24397" w14:textId="76C7F645" w:rsidR="007A5D47" w:rsidRPr="007A5D47" w:rsidRDefault="007A5D47" w:rsidP="007A5D47">
      <w:r w:rsidRPr="007A5D47">
        <w:t xml:space="preserve">Les coefficients de transformation de l’énergie entrant dans le bâtiment </w:t>
      </w:r>
      <w:r w:rsidRPr="00AA57C7">
        <w:t xml:space="preserve">en </w:t>
      </w:r>
      <w:r w:rsidR="001C7BB5" w:rsidRPr="00AA57C7">
        <w:t>quantité de gaz à effet de serre émis</w:t>
      </w:r>
      <w:r w:rsidRPr="007A5D47">
        <w:t xml:space="preserve"> sont utilisés dans la détermination de l’indicateur </w:t>
      </w:r>
      <w:r w:rsidR="00F7078D">
        <w:t>Ic</w:t>
      </w:r>
      <w:r w:rsidR="00F7078D" w:rsidRPr="00C24832">
        <w:rPr>
          <w:vertAlign w:val="subscript"/>
        </w:rPr>
        <w:t>énergie</w:t>
      </w:r>
      <w:r w:rsidR="00F7078D" w:rsidRPr="007A5D47">
        <w:t xml:space="preserve"> </w:t>
      </w:r>
      <w:r w:rsidRPr="007A5D47">
        <w:t>décrit à l’</w:t>
      </w:r>
      <w:r w:rsidRPr="007A5D47">
        <w:fldChar w:fldCharType="begin"/>
      </w:r>
      <w:r w:rsidRPr="007A5D47">
        <w:instrText xml:space="preserve"> REF _Ref49445983 \r \h </w:instrText>
      </w:r>
      <w:r>
        <w:instrText xml:space="preserve"> \* MERGEFORMAT </w:instrText>
      </w:r>
      <w:r w:rsidRPr="007A5D47">
        <w:fldChar w:fldCharType="separate"/>
      </w:r>
      <w:r w:rsidR="00003F58">
        <w:t>Article 6</w:t>
      </w:r>
      <w:r w:rsidRPr="007A5D47">
        <w:fldChar w:fldCharType="end"/>
      </w:r>
      <w:r w:rsidR="00003F58">
        <w:t xml:space="preserve"> </w:t>
      </w:r>
      <w:r w:rsidRPr="007A5D47">
        <w:t>et pris par convention égaux à :</w:t>
      </w:r>
    </w:p>
    <w:tbl>
      <w:tblPr>
        <w:tblStyle w:val="Grilledutableau"/>
        <w:tblW w:w="0" w:type="auto"/>
        <w:tblLook w:val="04A0" w:firstRow="1" w:lastRow="0" w:firstColumn="1" w:lastColumn="0" w:noHBand="0" w:noVBand="1"/>
      </w:tblPr>
      <w:tblGrid>
        <w:gridCol w:w="4531"/>
        <w:gridCol w:w="4531"/>
      </w:tblGrid>
      <w:tr w:rsidR="00200F87" w:rsidRPr="007A5D47" w14:paraId="119B6472" w14:textId="77777777" w:rsidTr="007A5D47">
        <w:tc>
          <w:tcPr>
            <w:tcW w:w="4531" w:type="dxa"/>
            <w:vAlign w:val="center"/>
          </w:tcPr>
          <w:p w14:paraId="509A012C" w14:textId="1BAA6C2A" w:rsidR="00200F87" w:rsidRPr="00A22FA7" w:rsidRDefault="00200F87" w:rsidP="007A5D47">
            <w:pPr>
              <w:jc w:val="center"/>
            </w:pPr>
            <w:r w:rsidRPr="00A22FA7">
              <w:t>Type d’énergie par kWh EF PCI</w:t>
            </w:r>
          </w:p>
        </w:tc>
        <w:tc>
          <w:tcPr>
            <w:tcW w:w="4531" w:type="dxa"/>
          </w:tcPr>
          <w:p w14:paraId="3F2BE274" w14:textId="3F220C3D" w:rsidR="00200F87" w:rsidRPr="00A22FA7" w:rsidRDefault="002C37B0" w:rsidP="002C37B0">
            <w:r w:rsidRPr="00A22FA7">
              <w:t>Kg é</w:t>
            </w:r>
            <w:r w:rsidR="00200F87" w:rsidRPr="00A22FA7">
              <w:t>quivalent CO2 par kilowattheure d’énergie finale en PCI</w:t>
            </w:r>
          </w:p>
        </w:tc>
      </w:tr>
      <w:tr w:rsidR="00630419" w:rsidRPr="007A5D47" w14:paraId="17B4FA6A" w14:textId="77777777" w:rsidTr="00200F87">
        <w:tc>
          <w:tcPr>
            <w:tcW w:w="4531" w:type="dxa"/>
          </w:tcPr>
          <w:p w14:paraId="5BBDAD74" w14:textId="1FF0DF31" w:rsidR="00630419" w:rsidRPr="007A5D47" w:rsidRDefault="00630419" w:rsidP="00630419">
            <w:r w:rsidRPr="007A5D47">
              <w:t xml:space="preserve">Bois, biomasse – plaquettes forestière </w:t>
            </w:r>
          </w:p>
        </w:tc>
        <w:tc>
          <w:tcPr>
            <w:tcW w:w="4531" w:type="dxa"/>
          </w:tcPr>
          <w:p w14:paraId="16B42325" w14:textId="4B547490" w:rsidR="00630419" w:rsidRPr="007A5D47" w:rsidRDefault="00630419" w:rsidP="00630419">
            <w:pPr>
              <w:jc w:val="center"/>
            </w:pPr>
            <w:r w:rsidRPr="007A5D47">
              <w:t>0,024</w:t>
            </w:r>
          </w:p>
        </w:tc>
      </w:tr>
      <w:tr w:rsidR="00630419" w:rsidRPr="007A5D47" w14:paraId="3FDE80FB" w14:textId="77777777" w:rsidTr="00200F87">
        <w:tc>
          <w:tcPr>
            <w:tcW w:w="4531" w:type="dxa"/>
          </w:tcPr>
          <w:p w14:paraId="62DEC489" w14:textId="76AF0D4D" w:rsidR="00630419" w:rsidRPr="007A5D47" w:rsidRDefault="00630419" w:rsidP="00630419">
            <w:r w:rsidRPr="007A5D47">
              <w:t xml:space="preserve">Bois, biomasse – Granulés (pellets) ou briquettes </w:t>
            </w:r>
          </w:p>
        </w:tc>
        <w:tc>
          <w:tcPr>
            <w:tcW w:w="4531" w:type="dxa"/>
          </w:tcPr>
          <w:p w14:paraId="1726A040" w14:textId="1BF5E9B3" w:rsidR="00630419" w:rsidRPr="007A5D47" w:rsidRDefault="00630419" w:rsidP="00630419">
            <w:pPr>
              <w:jc w:val="center"/>
            </w:pPr>
            <w:r w:rsidRPr="007A5D47">
              <w:t>0,03</w:t>
            </w:r>
          </w:p>
        </w:tc>
      </w:tr>
      <w:tr w:rsidR="00630419" w:rsidRPr="007A5D47" w14:paraId="14A7073C" w14:textId="77777777" w:rsidTr="00200F87">
        <w:tc>
          <w:tcPr>
            <w:tcW w:w="4531" w:type="dxa"/>
          </w:tcPr>
          <w:p w14:paraId="10139CBE" w14:textId="349E2D26" w:rsidR="00630419" w:rsidRPr="007A5D47" w:rsidRDefault="00630419" w:rsidP="00630419">
            <w:r w:rsidRPr="007A5D47">
              <w:t xml:space="preserve">Bois, biomasse – Buche </w:t>
            </w:r>
          </w:p>
        </w:tc>
        <w:tc>
          <w:tcPr>
            <w:tcW w:w="4531" w:type="dxa"/>
          </w:tcPr>
          <w:p w14:paraId="5B70E250" w14:textId="2F4AB319" w:rsidR="00630419" w:rsidRPr="007A5D47" w:rsidRDefault="00630419" w:rsidP="00630419">
            <w:pPr>
              <w:jc w:val="center"/>
            </w:pPr>
            <w:r w:rsidRPr="007A5D47">
              <w:t>0,03</w:t>
            </w:r>
          </w:p>
        </w:tc>
      </w:tr>
      <w:tr w:rsidR="00630419" w:rsidRPr="007A5D47" w14:paraId="27CB78A3" w14:textId="77777777" w:rsidTr="00200F87">
        <w:tc>
          <w:tcPr>
            <w:tcW w:w="4531" w:type="dxa"/>
          </w:tcPr>
          <w:p w14:paraId="116916E6" w14:textId="6D1E7528" w:rsidR="00630419" w:rsidRPr="007A5D47" w:rsidRDefault="00630419" w:rsidP="00630419">
            <w:r w:rsidRPr="007A5D47">
              <w:t>Électricité chauffage</w:t>
            </w:r>
          </w:p>
        </w:tc>
        <w:tc>
          <w:tcPr>
            <w:tcW w:w="4531" w:type="dxa"/>
          </w:tcPr>
          <w:p w14:paraId="07A032DA" w14:textId="2AB219E1" w:rsidR="00630419" w:rsidRPr="007A5D47" w:rsidRDefault="00630419" w:rsidP="007A5D47">
            <w:pPr>
              <w:jc w:val="center"/>
            </w:pPr>
            <w:r w:rsidRPr="007A5D47">
              <w:t>0,079</w:t>
            </w:r>
          </w:p>
        </w:tc>
      </w:tr>
      <w:tr w:rsidR="00630419" w:rsidRPr="007A5D47" w14:paraId="6CC037C8" w14:textId="77777777" w:rsidTr="00200F87">
        <w:tc>
          <w:tcPr>
            <w:tcW w:w="4531" w:type="dxa"/>
          </w:tcPr>
          <w:p w14:paraId="6D4727FB" w14:textId="32E970D7" w:rsidR="00630419" w:rsidRPr="007A5D47" w:rsidRDefault="00630419" w:rsidP="00630419">
            <w:r w:rsidRPr="007A5D47">
              <w:t>Électricité climatisation</w:t>
            </w:r>
          </w:p>
        </w:tc>
        <w:tc>
          <w:tcPr>
            <w:tcW w:w="4531" w:type="dxa"/>
          </w:tcPr>
          <w:p w14:paraId="5DD5C3AA" w14:textId="0D2F04EA" w:rsidR="00630419" w:rsidRPr="007A5D47" w:rsidRDefault="00630419" w:rsidP="007A5D47">
            <w:pPr>
              <w:jc w:val="center"/>
            </w:pPr>
            <w:r w:rsidRPr="007A5D47">
              <w:t>0,064</w:t>
            </w:r>
          </w:p>
        </w:tc>
      </w:tr>
      <w:tr w:rsidR="00630419" w:rsidRPr="007A5D47" w14:paraId="44706097" w14:textId="77777777" w:rsidTr="00200F87">
        <w:tc>
          <w:tcPr>
            <w:tcW w:w="4531" w:type="dxa"/>
          </w:tcPr>
          <w:p w14:paraId="23CD7C05" w14:textId="021489FB" w:rsidR="00630419" w:rsidRPr="007A5D47" w:rsidRDefault="00630419" w:rsidP="00630419">
            <w:r w:rsidRPr="007A5D47">
              <w:t>Électricité ECS</w:t>
            </w:r>
          </w:p>
        </w:tc>
        <w:tc>
          <w:tcPr>
            <w:tcW w:w="4531" w:type="dxa"/>
          </w:tcPr>
          <w:p w14:paraId="1D1B8956" w14:textId="7ACDF7AD" w:rsidR="00630419" w:rsidRPr="007A5D47" w:rsidRDefault="00630419" w:rsidP="007A5D47">
            <w:pPr>
              <w:jc w:val="center"/>
            </w:pPr>
            <w:r w:rsidRPr="007A5D47">
              <w:t>0,065</w:t>
            </w:r>
          </w:p>
        </w:tc>
      </w:tr>
      <w:tr w:rsidR="00630419" w:rsidRPr="007A5D47" w14:paraId="2DC2FB45" w14:textId="77777777" w:rsidTr="00200F87">
        <w:tc>
          <w:tcPr>
            <w:tcW w:w="4531" w:type="dxa"/>
          </w:tcPr>
          <w:p w14:paraId="030F2361" w14:textId="791B6257" w:rsidR="00630419" w:rsidRPr="007A5D47" w:rsidRDefault="00630419" w:rsidP="00630419">
            <w:r w:rsidRPr="007A5D47">
              <w:t>Électricité éclairage tertiaire</w:t>
            </w:r>
          </w:p>
        </w:tc>
        <w:tc>
          <w:tcPr>
            <w:tcW w:w="4531" w:type="dxa"/>
          </w:tcPr>
          <w:p w14:paraId="76CCE6E6" w14:textId="11D17B74" w:rsidR="00630419" w:rsidRPr="007A5D47" w:rsidRDefault="00630419" w:rsidP="007A5D47">
            <w:pPr>
              <w:jc w:val="center"/>
            </w:pPr>
            <w:r w:rsidRPr="007A5D47">
              <w:t>0,064</w:t>
            </w:r>
          </w:p>
        </w:tc>
      </w:tr>
      <w:tr w:rsidR="00630419" w:rsidRPr="007A5D47" w14:paraId="4F5331F8" w14:textId="77777777" w:rsidTr="00200F87">
        <w:tc>
          <w:tcPr>
            <w:tcW w:w="4531" w:type="dxa"/>
          </w:tcPr>
          <w:p w14:paraId="13EFBBC1" w14:textId="5F01463E" w:rsidR="00630419" w:rsidRPr="007A5D47" w:rsidRDefault="00630419" w:rsidP="00BC21DF">
            <w:r w:rsidRPr="007A5D47">
              <w:t xml:space="preserve">Électricité éclairage </w:t>
            </w:r>
            <w:r w:rsidR="00BC21DF">
              <w:t>habitation</w:t>
            </w:r>
          </w:p>
        </w:tc>
        <w:tc>
          <w:tcPr>
            <w:tcW w:w="4531" w:type="dxa"/>
          </w:tcPr>
          <w:p w14:paraId="6F02891E" w14:textId="4BFE3802" w:rsidR="00630419" w:rsidRPr="007A5D47" w:rsidRDefault="00630419" w:rsidP="007A5D47">
            <w:pPr>
              <w:jc w:val="center"/>
            </w:pPr>
            <w:r w:rsidRPr="007A5D47">
              <w:t>0,069</w:t>
            </w:r>
          </w:p>
        </w:tc>
      </w:tr>
      <w:tr w:rsidR="00630419" w:rsidRPr="007A5D47" w14:paraId="6D16B115" w14:textId="77777777" w:rsidTr="00200F87">
        <w:tc>
          <w:tcPr>
            <w:tcW w:w="4531" w:type="dxa"/>
          </w:tcPr>
          <w:p w14:paraId="199278EF" w14:textId="0F0D10E8" w:rsidR="00630419" w:rsidRPr="007A5D47" w:rsidRDefault="00630419" w:rsidP="00630419">
            <w:r w:rsidRPr="007A5D47">
              <w:t>Électricité autres usages</w:t>
            </w:r>
          </w:p>
        </w:tc>
        <w:tc>
          <w:tcPr>
            <w:tcW w:w="4531" w:type="dxa"/>
          </w:tcPr>
          <w:p w14:paraId="233616D5" w14:textId="43CF0B73" w:rsidR="00630419" w:rsidRPr="007A5D47" w:rsidRDefault="00630419" w:rsidP="007A5D47">
            <w:pPr>
              <w:jc w:val="center"/>
            </w:pPr>
            <w:r w:rsidRPr="007A5D47">
              <w:t>0,064</w:t>
            </w:r>
          </w:p>
        </w:tc>
      </w:tr>
      <w:tr w:rsidR="00630419" w:rsidRPr="007A5D47" w14:paraId="13E63B92" w14:textId="77777777" w:rsidTr="00200F87">
        <w:tc>
          <w:tcPr>
            <w:tcW w:w="4531" w:type="dxa"/>
          </w:tcPr>
          <w:p w14:paraId="43DFDBD5" w14:textId="3DE39F97" w:rsidR="00630419" w:rsidRPr="007A5D47" w:rsidRDefault="00630419" w:rsidP="00630419">
            <w:r w:rsidRPr="007A5D47">
              <w:t>Gaz méthane (naturel) issu des réseaux</w:t>
            </w:r>
          </w:p>
        </w:tc>
        <w:tc>
          <w:tcPr>
            <w:tcW w:w="4531" w:type="dxa"/>
          </w:tcPr>
          <w:p w14:paraId="7E015351" w14:textId="6E86F54D" w:rsidR="00630419" w:rsidRPr="007A5D47" w:rsidRDefault="00630419" w:rsidP="007A5D47">
            <w:pPr>
              <w:jc w:val="center"/>
            </w:pPr>
            <w:r w:rsidRPr="007A5D47">
              <w:t>0,227</w:t>
            </w:r>
          </w:p>
        </w:tc>
      </w:tr>
      <w:tr w:rsidR="00630419" w:rsidRPr="007A5D47" w14:paraId="784F53C5" w14:textId="77777777" w:rsidTr="00200F87">
        <w:tc>
          <w:tcPr>
            <w:tcW w:w="4531" w:type="dxa"/>
          </w:tcPr>
          <w:p w14:paraId="02880E4F" w14:textId="06FE5691" w:rsidR="00630419" w:rsidRPr="007A5D47" w:rsidRDefault="00630419" w:rsidP="00630419">
            <w:r w:rsidRPr="007A5D47">
              <w:t>Gaz butane</w:t>
            </w:r>
          </w:p>
        </w:tc>
        <w:tc>
          <w:tcPr>
            <w:tcW w:w="4531" w:type="dxa"/>
          </w:tcPr>
          <w:p w14:paraId="38999E01" w14:textId="24E1A809" w:rsidR="00630419" w:rsidRPr="007A5D47" w:rsidRDefault="00630419" w:rsidP="007A5D47">
            <w:pPr>
              <w:jc w:val="center"/>
            </w:pPr>
            <w:r w:rsidRPr="007A5D47">
              <w:t>0,272</w:t>
            </w:r>
          </w:p>
        </w:tc>
      </w:tr>
      <w:tr w:rsidR="00630419" w:rsidRPr="007A5D47" w14:paraId="778DA509" w14:textId="77777777" w:rsidTr="00200F87">
        <w:tc>
          <w:tcPr>
            <w:tcW w:w="4531" w:type="dxa"/>
          </w:tcPr>
          <w:p w14:paraId="164DA162" w14:textId="601780D0" w:rsidR="00630419" w:rsidRPr="007A5D47" w:rsidRDefault="00630419" w:rsidP="00630419">
            <w:r w:rsidRPr="007A5D47">
              <w:t>Gaz propane</w:t>
            </w:r>
          </w:p>
        </w:tc>
        <w:tc>
          <w:tcPr>
            <w:tcW w:w="4531" w:type="dxa"/>
          </w:tcPr>
          <w:p w14:paraId="3B34E6F9" w14:textId="3787F6DF" w:rsidR="00630419" w:rsidRPr="007A5D47" w:rsidRDefault="00630419" w:rsidP="007A5D47">
            <w:pPr>
              <w:jc w:val="center"/>
            </w:pPr>
            <w:r w:rsidRPr="007A5D47">
              <w:t>0,272</w:t>
            </w:r>
          </w:p>
        </w:tc>
      </w:tr>
      <w:tr w:rsidR="00630419" w:rsidRPr="007A5D47" w14:paraId="438E19E9" w14:textId="77777777" w:rsidTr="00200F87">
        <w:tc>
          <w:tcPr>
            <w:tcW w:w="4531" w:type="dxa"/>
          </w:tcPr>
          <w:p w14:paraId="6EE9C0C8" w14:textId="3B8C7CA7" w:rsidR="00630419" w:rsidRPr="007A5D47" w:rsidRDefault="00630419" w:rsidP="00630419">
            <w:r w:rsidRPr="007A5D47">
              <w:t>Autres combustibles fossiles</w:t>
            </w:r>
          </w:p>
        </w:tc>
        <w:tc>
          <w:tcPr>
            <w:tcW w:w="4531" w:type="dxa"/>
          </w:tcPr>
          <w:p w14:paraId="1895BD5B" w14:textId="1B547A52" w:rsidR="00630419" w:rsidRPr="007A5D47" w:rsidRDefault="00630419" w:rsidP="007A5D47">
            <w:pPr>
              <w:jc w:val="center"/>
            </w:pPr>
            <w:r w:rsidRPr="007A5D47">
              <w:t>0,324</w:t>
            </w:r>
          </w:p>
        </w:tc>
      </w:tr>
    </w:tbl>
    <w:p w14:paraId="39658F06" w14:textId="7C3D0FEC" w:rsidR="00933F50" w:rsidRDefault="00933F50" w:rsidP="00933F50"/>
    <w:p w14:paraId="7AE4D54F" w14:textId="0388B352" w:rsidR="00E52D22" w:rsidRDefault="00E52D22" w:rsidP="00A22FA7">
      <w:pPr>
        <w:keepNext/>
        <w:spacing w:after="0"/>
      </w:pPr>
      <w:r w:rsidRPr="004F2D43">
        <w:t>Le facteur d’émission des réseaux de chaleur urbain (</w:t>
      </w:r>
      <w:r w:rsidR="00324401">
        <w:t>chaleur et froid</w:t>
      </w:r>
      <w:r w:rsidRPr="004F2D43">
        <w:t>) est défini par arrêté pour chaque infrastructure existante.</w:t>
      </w:r>
    </w:p>
    <w:p w14:paraId="4D98D309" w14:textId="77777777" w:rsidR="00E52D22" w:rsidRPr="007A5D47" w:rsidRDefault="00E52D22" w:rsidP="00933F50"/>
    <w:p w14:paraId="667FAABB" w14:textId="77777777" w:rsidR="007A5D47" w:rsidRPr="007A5D47" w:rsidRDefault="007A5D47" w:rsidP="007A5D47">
      <w:pPr>
        <w:pStyle w:val="Titre3"/>
      </w:pPr>
      <w:bookmarkStart w:id="34" w:name="_Ref57374512"/>
      <w:bookmarkStart w:id="35" w:name="_Ref57399546"/>
      <w:r w:rsidRPr="007A5D47">
        <w:lastRenderedPageBreak/>
        <w:t>(Coefficients de la méthode de calcul des impacts sur le changement climatique)</w:t>
      </w:r>
      <w:bookmarkEnd w:id="34"/>
      <w:r w:rsidRPr="007A5D47">
        <w:t xml:space="preserve"> </w:t>
      </w:r>
      <w:bookmarkEnd w:id="35"/>
    </w:p>
    <w:p w14:paraId="3115BEF2" w14:textId="2030D5A5" w:rsidR="00257E0C" w:rsidRPr="007A5D47" w:rsidRDefault="00257E0C" w:rsidP="00257E0C">
      <w:r w:rsidRPr="00257E0C">
        <w:t xml:space="preserve"> Les coefficients de </w:t>
      </w:r>
      <w:r w:rsidRPr="00AA57C7">
        <w:t xml:space="preserve">pondération </w:t>
      </w:r>
      <w:r w:rsidR="00304DB2" w:rsidRPr="00324401">
        <w:t>u</w:t>
      </w:r>
      <w:r w:rsidRPr="00324401">
        <w:t>tilisé</w:t>
      </w:r>
      <w:r w:rsidR="00D75257" w:rsidRPr="00324401">
        <w:t>s</w:t>
      </w:r>
      <w:r w:rsidRPr="00324401">
        <w:t xml:space="preserve"> pour</w:t>
      </w:r>
      <w:r w:rsidRPr="00257E0C">
        <w:t xml:space="preserve"> le calcul des indicateurs d’impact sur le changement climatique </w:t>
      </w:r>
      <w:r w:rsidRPr="00257E0C">
        <w:rPr>
          <w:rFonts w:cstheme="minorHAnsi"/>
        </w:rPr>
        <w:t>Ic</w:t>
      </w:r>
      <w:r w:rsidRPr="00257E0C">
        <w:rPr>
          <w:rFonts w:cstheme="minorHAnsi"/>
          <w:vertAlign w:val="subscript"/>
        </w:rPr>
        <w:t>énergie</w:t>
      </w:r>
      <w:r w:rsidRPr="00257E0C">
        <w:rPr>
          <w:rFonts w:cstheme="minorHAnsi"/>
        </w:rPr>
        <w:t>, Ic</w:t>
      </w:r>
      <w:r w:rsidR="00D75257">
        <w:rPr>
          <w:rFonts w:cstheme="minorHAnsi"/>
          <w:vertAlign w:val="subscript"/>
        </w:rPr>
        <w:t>c</w:t>
      </w:r>
      <w:r w:rsidRPr="00257E0C">
        <w:rPr>
          <w:rFonts w:cstheme="minorHAnsi"/>
          <w:vertAlign w:val="subscript"/>
        </w:rPr>
        <w:t>omposants</w:t>
      </w:r>
      <w:r w:rsidRPr="00257E0C">
        <w:rPr>
          <w:rFonts w:cstheme="minorHAnsi"/>
        </w:rPr>
        <w:t xml:space="preserve"> et </w:t>
      </w:r>
      <w:r w:rsidRPr="00AA57C7">
        <w:rPr>
          <w:rFonts w:cstheme="minorHAnsi"/>
        </w:rPr>
        <w:t>I</w:t>
      </w:r>
      <w:r w:rsidR="00D75257" w:rsidRPr="00324401">
        <w:rPr>
          <w:rFonts w:cstheme="minorHAnsi"/>
        </w:rPr>
        <w:t>c</w:t>
      </w:r>
      <w:r w:rsidR="00D75257" w:rsidRPr="00324401">
        <w:rPr>
          <w:rFonts w:cstheme="minorHAnsi"/>
          <w:vertAlign w:val="subscript"/>
        </w:rPr>
        <w:t>b</w:t>
      </w:r>
      <w:r w:rsidRPr="00AA57C7">
        <w:rPr>
          <w:rFonts w:cstheme="minorHAnsi"/>
          <w:vertAlign w:val="subscript"/>
        </w:rPr>
        <w:t>âtiment</w:t>
      </w:r>
      <w:r w:rsidRPr="00AA57C7">
        <w:t xml:space="preserve"> </w:t>
      </w:r>
      <w:r w:rsidR="00304DB2" w:rsidRPr="00AA57C7">
        <w:t>en fonction de l’année d’émission et du type de gaz émis</w:t>
      </w:r>
      <w:r w:rsidR="00AA57C7">
        <w:t>,</w:t>
      </w:r>
      <w:r w:rsidR="00304DB2">
        <w:t xml:space="preserve"> </w:t>
      </w:r>
      <w:r w:rsidRPr="00257E0C">
        <w:t>sont pris égaux à :</w:t>
      </w:r>
    </w:p>
    <w:p w14:paraId="4AC5ABBD" w14:textId="5DCEC7F9" w:rsidR="007A5D47" w:rsidRPr="007A5D47" w:rsidRDefault="007A5D47" w:rsidP="007A5D47"/>
    <w:tbl>
      <w:tblPr>
        <w:tblStyle w:val="Grilledutableau"/>
        <w:tblW w:w="8500" w:type="dxa"/>
        <w:jc w:val="center"/>
        <w:tblLook w:val="04A0" w:firstRow="1" w:lastRow="0" w:firstColumn="1" w:lastColumn="0" w:noHBand="0" w:noVBand="1"/>
      </w:tblPr>
      <w:tblGrid>
        <w:gridCol w:w="895"/>
        <w:gridCol w:w="2928"/>
        <w:gridCol w:w="4677"/>
      </w:tblGrid>
      <w:tr w:rsidR="007A5D47" w:rsidRPr="007A5D47" w14:paraId="0743BF70" w14:textId="77777777" w:rsidTr="00E85F4B">
        <w:trPr>
          <w:trHeight w:val="300"/>
          <w:tblHeader/>
          <w:jc w:val="center"/>
        </w:trPr>
        <w:tc>
          <w:tcPr>
            <w:tcW w:w="895" w:type="dxa"/>
            <w:vMerge w:val="restart"/>
            <w:noWrap/>
            <w:vAlign w:val="center"/>
          </w:tcPr>
          <w:p w14:paraId="1C5A4967" w14:textId="77777777" w:rsidR="007A5D47" w:rsidRPr="007A5D47" w:rsidRDefault="007A5D47" w:rsidP="00FC0B23">
            <w:pPr>
              <w:jc w:val="center"/>
              <w:rPr>
                <w:rFonts w:ascii="Calibri" w:eastAsia="Times New Roman" w:hAnsi="Calibri" w:cs="Times New Roman"/>
                <w:b/>
                <w:bCs/>
                <w:color w:val="000000"/>
                <w:lang w:eastAsia="fr-FR" w:bidi="ar-SA"/>
              </w:rPr>
            </w:pPr>
            <w:r w:rsidRPr="007A5D47">
              <w:rPr>
                <w:rFonts w:ascii="Calibri" w:eastAsia="Times New Roman" w:hAnsi="Calibri" w:cs="Times New Roman"/>
                <w:b/>
                <w:bCs/>
                <w:color w:val="000000"/>
                <w:lang w:eastAsia="fr-FR" w:bidi="ar-SA"/>
              </w:rPr>
              <w:t>Années</w:t>
            </w:r>
          </w:p>
        </w:tc>
        <w:tc>
          <w:tcPr>
            <w:tcW w:w="7605" w:type="dxa"/>
            <w:gridSpan w:val="2"/>
            <w:noWrap/>
            <w:vAlign w:val="center"/>
          </w:tcPr>
          <w:p w14:paraId="4EBEC2CB" w14:textId="08F4068E" w:rsidR="007A5D47" w:rsidRPr="007A5D47" w:rsidRDefault="007A5D47" w:rsidP="00AA57C7">
            <w:pPr>
              <w:jc w:val="center"/>
              <w:rPr>
                <w:rFonts w:ascii="Calibri" w:eastAsia="Times New Roman" w:hAnsi="Calibri" w:cs="Times New Roman"/>
                <w:color w:val="000000"/>
                <w:lang w:eastAsia="fr-FR" w:bidi="ar-SA"/>
              </w:rPr>
            </w:pPr>
            <w:r w:rsidRPr="00AA57C7">
              <w:t xml:space="preserve">Coefficients de </w:t>
            </w:r>
            <w:r w:rsidR="00257E0C" w:rsidRPr="00AA57C7">
              <w:t>pondération pour le calcul de l’impact sur le changement climatique</w:t>
            </w:r>
          </w:p>
        </w:tc>
      </w:tr>
      <w:tr w:rsidR="007A5D47" w:rsidRPr="007A5D47" w14:paraId="1137636D" w14:textId="77777777" w:rsidTr="00FC0B23">
        <w:trPr>
          <w:trHeight w:val="300"/>
          <w:jc w:val="center"/>
        </w:trPr>
        <w:tc>
          <w:tcPr>
            <w:tcW w:w="895" w:type="dxa"/>
            <w:vMerge/>
            <w:noWrap/>
            <w:vAlign w:val="center"/>
            <w:hideMark/>
          </w:tcPr>
          <w:p w14:paraId="4D13EF6C" w14:textId="77777777" w:rsidR="007A5D47" w:rsidRPr="007A5D47" w:rsidRDefault="007A5D47" w:rsidP="00FC0B23">
            <w:pPr>
              <w:jc w:val="center"/>
              <w:rPr>
                <w:rFonts w:ascii="Calibri" w:eastAsia="Times New Roman" w:hAnsi="Calibri" w:cs="Times New Roman"/>
                <w:b/>
                <w:bCs/>
                <w:color w:val="000000"/>
                <w:lang w:eastAsia="fr-FR" w:bidi="ar-SA"/>
              </w:rPr>
            </w:pPr>
          </w:p>
        </w:tc>
        <w:tc>
          <w:tcPr>
            <w:tcW w:w="2928" w:type="dxa"/>
            <w:noWrap/>
            <w:vAlign w:val="center"/>
            <w:hideMark/>
          </w:tcPr>
          <w:p w14:paraId="10D4E3DF" w14:textId="4DB38BCB" w:rsidR="007A5D47" w:rsidRPr="007A5D47" w:rsidRDefault="00CD601C" w:rsidP="00FC0B23">
            <w:pPr>
              <w:jc w:val="center"/>
              <w:rPr>
                <w:rFonts w:ascii="Calibri" w:eastAsia="Times New Roman" w:hAnsi="Calibri" w:cs="Times New Roman"/>
                <w:color w:val="000000"/>
                <w:lang w:eastAsia="fr-FR" w:bidi="ar-SA"/>
              </w:rPr>
            </w:pPr>
            <w:r>
              <w:rPr>
                <w:rFonts w:ascii="Calibri" w:eastAsia="Times New Roman" w:hAnsi="Calibri" w:cs="Times New Roman"/>
                <w:color w:val="000000"/>
                <w:lang w:eastAsia="fr-FR" w:bidi="ar-SA"/>
              </w:rPr>
              <w:t>Cas g</w:t>
            </w:r>
            <w:r w:rsidRPr="00257E0C">
              <w:rPr>
                <w:rFonts w:ascii="Calibri" w:eastAsia="Times New Roman" w:hAnsi="Calibri" w:cs="Times New Roman"/>
                <w:color w:val="000000"/>
                <w:lang w:eastAsia="fr-FR" w:bidi="ar-SA"/>
              </w:rPr>
              <w:t xml:space="preserve">énéral </w:t>
            </w:r>
            <w:r w:rsidR="00257E0C" w:rsidRPr="00257E0C">
              <w:rPr>
                <w:rFonts w:ascii="Calibri" w:eastAsia="Times New Roman" w:hAnsi="Calibri" w:cs="Times New Roman"/>
                <w:color w:val="000000"/>
                <w:lang w:eastAsia="fr-FR" w:bidi="ar-SA"/>
              </w:rPr>
              <w:t>(</w:t>
            </w:r>
            <m:oMath>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CO2</m:t>
                  </m:r>
                </m:sub>
              </m:sSub>
              <m:r>
                <w:rPr>
                  <w:rFonts w:ascii="Cambria Math" w:hAnsi="Cambria Math"/>
                  <w:sz w:val="20"/>
                  <w:szCs w:val="20"/>
                </w:rPr>
                <m:t xml:space="preserve"> ou f</m:t>
              </m:r>
            </m:oMath>
            <w:r w:rsidR="00257E0C" w:rsidRPr="00257E0C">
              <w:rPr>
                <w:rFonts w:ascii="Roboto" w:hAnsi="Roboto"/>
                <w:sz w:val="20"/>
                <w:szCs w:val="20"/>
              </w:rPr>
              <w:t xml:space="preserve"> )</w:t>
            </w:r>
          </w:p>
        </w:tc>
        <w:tc>
          <w:tcPr>
            <w:tcW w:w="4677" w:type="dxa"/>
            <w:noWrap/>
            <w:vAlign w:val="center"/>
            <w:hideMark/>
          </w:tcPr>
          <w:p w14:paraId="52368920" w14:textId="69D802A8" w:rsidR="007A5D47" w:rsidRPr="007A5D47" w:rsidRDefault="007A5D47" w:rsidP="00FC0B23">
            <w:pPr>
              <w:jc w:val="center"/>
              <w:rPr>
                <w:rFonts w:ascii="Calibri" w:eastAsia="Times New Roman" w:hAnsi="Calibri" w:cs="Times New Roman"/>
                <w:color w:val="000000"/>
                <w:lang w:eastAsia="fr-FR" w:bidi="ar-SA"/>
              </w:rPr>
            </w:pPr>
            <w:r w:rsidRPr="007A5D47">
              <w:rPr>
                <w:rFonts w:ascii="Calibri" w:eastAsia="Times New Roman" w:hAnsi="Calibri" w:cs="Times New Roman"/>
                <w:color w:val="000000"/>
                <w:lang w:eastAsia="fr-FR" w:bidi="ar-SA"/>
              </w:rPr>
              <w:t xml:space="preserve">Fluides </w:t>
            </w:r>
            <w:r w:rsidRPr="00257E0C">
              <w:rPr>
                <w:rFonts w:ascii="Calibri" w:eastAsia="Times New Roman" w:hAnsi="Calibri" w:cs="Times New Roman"/>
                <w:color w:val="000000"/>
                <w:lang w:eastAsia="fr-FR" w:bidi="ar-SA"/>
              </w:rPr>
              <w:t>frigorigènes</w:t>
            </w:r>
            <w:r w:rsidR="00257E0C" w:rsidRPr="00257E0C">
              <w:rPr>
                <w:rFonts w:ascii="Calibri" w:eastAsia="Times New Roman" w:hAnsi="Calibri" w:cs="Times New Roman"/>
                <w:color w:val="000000"/>
                <w:lang w:eastAsia="fr-FR" w:bidi="ar-SA"/>
              </w:rPr>
              <w:t xml:space="preserve"> (</w:t>
            </w:r>
            <m:oMath>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fluides_frigo</m:t>
                  </m:r>
                </m:sub>
              </m:sSub>
            </m:oMath>
            <w:r w:rsidR="00257E0C" w:rsidRPr="00257E0C">
              <w:rPr>
                <w:rFonts w:ascii="Calibri" w:eastAsia="Times New Roman" w:hAnsi="Calibri" w:cs="Times New Roman"/>
                <w:color w:val="000000"/>
                <w:lang w:eastAsia="fr-FR" w:bidi="ar-SA"/>
              </w:rPr>
              <w:t>)</w:t>
            </w:r>
          </w:p>
        </w:tc>
      </w:tr>
      <w:tr w:rsidR="00E85F4B" w:rsidRPr="007A5D47" w14:paraId="3DB9062A" w14:textId="77777777" w:rsidTr="00FC0B23">
        <w:trPr>
          <w:trHeight w:val="300"/>
          <w:jc w:val="center"/>
        </w:trPr>
        <w:tc>
          <w:tcPr>
            <w:tcW w:w="895" w:type="dxa"/>
            <w:noWrap/>
            <w:vAlign w:val="center"/>
            <w:hideMark/>
          </w:tcPr>
          <w:p w14:paraId="14EDF510" w14:textId="77777777" w:rsidR="00E85F4B" w:rsidRPr="007A5D47" w:rsidRDefault="00E85F4B" w:rsidP="00E85F4B">
            <w:pPr>
              <w:jc w:val="center"/>
              <w:rPr>
                <w:rFonts w:ascii="Calibri" w:eastAsia="Times New Roman" w:hAnsi="Calibri" w:cs="Times New Roman"/>
                <w:color w:val="000000"/>
                <w:lang w:eastAsia="fr-FR" w:bidi="ar-SA"/>
              </w:rPr>
            </w:pPr>
            <w:r w:rsidRPr="007A5D47">
              <w:rPr>
                <w:rFonts w:ascii="Calibri" w:eastAsia="Times New Roman" w:hAnsi="Calibri" w:cs="Times New Roman"/>
                <w:color w:val="000000"/>
                <w:lang w:eastAsia="fr-FR" w:bidi="ar-SA"/>
              </w:rPr>
              <w:t>0</w:t>
            </w:r>
          </w:p>
        </w:tc>
        <w:tc>
          <w:tcPr>
            <w:tcW w:w="292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7DF1D97" w14:textId="24FC4BF1" w:rsidR="00E85F4B" w:rsidRPr="007A5D47" w:rsidRDefault="00E85F4B" w:rsidP="00E85F4B">
            <w:pPr>
              <w:jc w:val="center"/>
              <w:rPr>
                <w:rFonts w:ascii="Calibri" w:eastAsia="Times New Roman" w:hAnsi="Calibri" w:cs="Times New Roman"/>
                <w:color w:val="000000"/>
                <w:lang w:eastAsia="fr-FR" w:bidi="ar-SA"/>
              </w:rPr>
            </w:pPr>
            <w:r>
              <w:rPr>
                <w:rFonts w:ascii="Calibri" w:hAnsi="Calibri"/>
                <w:color w:val="000000"/>
              </w:rPr>
              <w:t>1,000</w:t>
            </w:r>
          </w:p>
        </w:tc>
        <w:tc>
          <w:tcPr>
            <w:tcW w:w="4677" w:type="dxa"/>
            <w:noWrap/>
            <w:vAlign w:val="center"/>
            <w:hideMark/>
          </w:tcPr>
          <w:p w14:paraId="157ED4DE" w14:textId="77777777" w:rsidR="00E85F4B" w:rsidRPr="007A5D47" w:rsidRDefault="00E85F4B" w:rsidP="00E85F4B">
            <w:pPr>
              <w:jc w:val="center"/>
              <w:rPr>
                <w:rFonts w:ascii="Calibri" w:eastAsia="Times New Roman" w:hAnsi="Calibri" w:cs="Times New Roman"/>
                <w:color w:val="000000"/>
                <w:lang w:eastAsia="fr-FR" w:bidi="ar-SA"/>
              </w:rPr>
            </w:pPr>
            <w:r w:rsidRPr="007A5D47">
              <w:rPr>
                <w:rFonts w:ascii="Calibri" w:eastAsia="Times New Roman" w:hAnsi="Calibri" w:cs="Times New Roman"/>
                <w:color w:val="000000"/>
                <w:lang w:eastAsia="fr-FR" w:bidi="ar-SA"/>
              </w:rPr>
              <w:t>1,000</w:t>
            </w:r>
          </w:p>
        </w:tc>
      </w:tr>
      <w:tr w:rsidR="00E85F4B" w:rsidRPr="007A5D47" w14:paraId="7DFEA023" w14:textId="77777777" w:rsidTr="00FC0B23">
        <w:trPr>
          <w:trHeight w:val="300"/>
          <w:jc w:val="center"/>
        </w:trPr>
        <w:tc>
          <w:tcPr>
            <w:tcW w:w="895" w:type="dxa"/>
            <w:noWrap/>
            <w:vAlign w:val="center"/>
            <w:hideMark/>
          </w:tcPr>
          <w:p w14:paraId="7E2E57F7" w14:textId="77777777" w:rsidR="00E85F4B" w:rsidRPr="007A5D47" w:rsidRDefault="00E85F4B" w:rsidP="00E85F4B">
            <w:pPr>
              <w:jc w:val="center"/>
              <w:rPr>
                <w:rFonts w:ascii="Calibri" w:eastAsia="Times New Roman" w:hAnsi="Calibri" w:cs="Times New Roman"/>
                <w:color w:val="000000"/>
                <w:lang w:eastAsia="fr-FR" w:bidi="ar-SA"/>
              </w:rPr>
            </w:pPr>
            <w:r w:rsidRPr="007A5D47">
              <w:rPr>
                <w:rFonts w:ascii="Calibri" w:eastAsia="Times New Roman" w:hAnsi="Calibri" w:cs="Times New Roman"/>
                <w:color w:val="000000"/>
                <w:lang w:eastAsia="fr-FR" w:bidi="ar-SA"/>
              </w:rPr>
              <w:t>1</w:t>
            </w:r>
          </w:p>
        </w:tc>
        <w:tc>
          <w:tcPr>
            <w:tcW w:w="2928" w:type="dxa"/>
            <w:tcBorders>
              <w:top w:val="nil"/>
              <w:left w:val="single" w:sz="8" w:space="0" w:color="auto"/>
              <w:bottom w:val="single" w:sz="8" w:space="0" w:color="auto"/>
              <w:right w:val="single" w:sz="8" w:space="0" w:color="auto"/>
            </w:tcBorders>
            <w:shd w:val="clear" w:color="auto" w:fill="auto"/>
            <w:noWrap/>
            <w:vAlign w:val="center"/>
            <w:hideMark/>
          </w:tcPr>
          <w:p w14:paraId="52F18F59" w14:textId="0095A811" w:rsidR="00E85F4B" w:rsidRPr="007A5D47" w:rsidRDefault="00E85F4B" w:rsidP="00E85F4B">
            <w:pPr>
              <w:jc w:val="center"/>
              <w:rPr>
                <w:rFonts w:ascii="Calibri" w:eastAsia="Times New Roman" w:hAnsi="Calibri" w:cs="Times New Roman"/>
                <w:color w:val="000000"/>
                <w:lang w:eastAsia="fr-FR" w:bidi="ar-SA"/>
              </w:rPr>
            </w:pPr>
            <w:r>
              <w:rPr>
                <w:rFonts w:ascii="Calibri" w:hAnsi="Calibri"/>
                <w:color w:val="000000"/>
              </w:rPr>
              <w:t>0,992</w:t>
            </w:r>
          </w:p>
        </w:tc>
        <w:tc>
          <w:tcPr>
            <w:tcW w:w="4677" w:type="dxa"/>
            <w:noWrap/>
            <w:vAlign w:val="center"/>
            <w:hideMark/>
          </w:tcPr>
          <w:p w14:paraId="18152379" w14:textId="77777777" w:rsidR="00E85F4B" w:rsidRPr="007A5D47" w:rsidRDefault="00E85F4B" w:rsidP="00E85F4B">
            <w:pPr>
              <w:jc w:val="center"/>
              <w:rPr>
                <w:rFonts w:ascii="Calibri" w:eastAsia="Times New Roman" w:hAnsi="Calibri" w:cs="Times New Roman"/>
                <w:color w:val="000000"/>
                <w:lang w:eastAsia="fr-FR" w:bidi="ar-SA"/>
              </w:rPr>
            </w:pPr>
            <w:r w:rsidRPr="007A5D47">
              <w:rPr>
                <w:rFonts w:ascii="Calibri" w:eastAsia="Times New Roman" w:hAnsi="Calibri" w:cs="Times New Roman"/>
                <w:color w:val="000000"/>
                <w:lang w:eastAsia="fr-FR" w:bidi="ar-SA"/>
              </w:rPr>
              <w:t>0,999</w:t>
            </w:r>
          </w:p>
        </w:tc>
      </w:tr>
      <w:tr w:rsidR="00E85F4B" w:rsidRPr="007A5D47" w14:paraId="52894A41" w14:textId="77777777" w:rsidTr="00FC0B23">
        <w:trPr>
          <w:trHeight w:val="300"/>
          <w:jc w:val="center"/>
        </w:trPr>
        <w:tc>
          <w:tcPr>
            <w:tcW w:w="895" w:type="dxa"/>
            <w:noWrap/>
            <w:vAlign w:val="center"/>
            <w:hideMark/>
          </w:tcPr>
          <w:p w14:paraId="2C524DFC" w14:textId="77777777" w:rsidR="00E85F4B" w:rsidRPr="007A5D47" w:rsidRDefault="00E85F4B" w:rsidP="00E85F4B">
            <w:pPr>
              <w:jc w:val="center"/>
              <w:rPr>
                <w:rFonts w:ascii="Calibri" w:eastAsia="Times New Roman" w:hAnsi="Calibri" w:cs="Times New Roman"/>
                <w:color w:val="000000"/>
                <w:lang w:eastAsia="fr-FR" w:bidi="ar-SA"/>
              </w:rPr>
            </w:pPr>
            <w:r w:rsidRPr="007A5D47">
              <w:rPr>
                <w:rFonts w:ascii="Calibri" w:eastAsia="Times New Roman" w:hAnsi="Calibri" w:cs="Times New Roman"/>
                <w:color w:val="000000"/>
                <w:lang w:eastAsia="fr-FR" w:bidi="ar-SA"/>
              </w:rPr>
              <w:t>2</w:t>
            </w:r>
          </w:p>
        </w:tc>
        <w:tc>
          <w:tcPr>
            <w:tcW w:w="2928" w:type="dxa"/>
            <w:tcBorders>
              <w:top w:val="nil"/>
              <w:left w:val="single" w:sz="8" w:space="0" w:color="auto"/>
              <w:bottom w:val="single" w:sz="8" w:space="0" w:color="auto"/>
              <w:right w:val="single" w:sz="8" w:space="0" w:color="auto"/>
            </w:tcBorders>
            <w:shd w:val="clear" w:color="auto" w:fill="auto"/>
            <w:noWrap/>
            <w:vAlign w:val="center"/>
            <w:hideMark/>
          </w:tcPr>
          <w:p w14:paraId="6C868C58" w14:textId="7F4D4F6C" w:rsidR="00E85F4B" w:rsidRPr="007A5D47" w:rsidRDefault="00E85F4B" w:rsidP="00E85F4B">
            <w:pPr>
              <w:jc w:val="center"/>
              <w:rPr>
                <w:rFonts w:ascii="Calibri" w:eastAsia="Times New Roman" w:hAnsi="Calibri" w:cs="Times New Roman"/>
                <w:color w:val="000000"/>
                <w:lang w:eastAsia="fr-FR" w:bidi="ar-SA"/>
              </w:rPr>
            </w:pPr>
            <w:r>
              <w:rPr>
                <w:rFonts w:ascii="Calibri" w:hAnsi="Calibri"/>
                <w:color w:val="000000"/>
              </w:rPr>
              <w:t>0,984</w:t>
            </w:r>
          </w:p>
        </w:tc>
        <w:tc>
          <w:tcPr>
            <w:tcW w:w="4677" w:type="dxa"/>
            <w:noWrap/>
            <w:vAlign w:val="center"/>
            <w:hideMark/>
          </w:tcPr>
          <w:p w14:paraId="00C2F6F8" w14:textId="77777777" w:rsidR="00E85F4B" w:rsidRPr="007A5D47" w:rsidRDefault="00E85F4B" w:rsidP="00E85F4B">
            <w:pPr>
              <w:jc w:val="center"/>
              <w:rPr>
                <w:rFonts w:ascii="Calibri" w:eastAsia="Times New Roman" w:hAnsi="Calibri" w:cs="Times New Roman"/>
                <w:color w:val="000000"/>
                <w:lang w:eastAsia="fr-FR" w:bidi="ar-SA"/>
              </w:rPr>
            </w:pPr>
            <w:r w:rsidRPr="007A5D47">
              <w:rPr>
                <w:rFonts w:ascii="Calibri" w:eastAsia="Times New Roman" w:hAnsi="Calibri" w:cs="Times New Roman"/>
                <w:color w:val="000000"/>
                <w:lang w:eastAsia="fr-FR" w:bidi="ar-SA"/>
              </w:rPr>
              <w:t>0,998</w:t>
            </w:r>
          </w:p>
        </w:tc>
      </w:tr>
      <w:tr w:rsidR="00E85F4B" w:rsidRPr="007A5D47" w14:paraId="1FD59C3B" w14:textId="77777777" w:rsidTr="00FC0B23">
        <w:trPr>
          <w:trHeight w:val="300"/>
          <w:jc w:val="center"/>
        </w:trPr>
        <w:tc>
          <w:tcPr>
            <w:tcW w:w="895" w:type="dxa"/>
            <w:noWrap/>
            <w:vAlign w:val="center"/>
            <w:hideMark/>
          </w:tcPr>
          <w:p w14:paraId="77F2885C" w14:textId="77777777" w:rsidR="00E85F4B" w:rsidRPr="007A5D47" w:rsidRDefault="00E85F4B" w:rsidP="00E85F4B">
            <w:pPr>
              <w:jc w:val="center"/>
              <w:rPr>
                <w:rFonts w:ascii="Calibri" w:eastAsia="Times New Roman" w:hAnsi="Calibri" w:cs="Times New Roman"/>
                <w:color w:val="000000"/>
                <w:lang w:eastAsia="fr-FR" w:bidi="ar-SA"/>
              </w:rPr>
            </w:pPr>
            <w:r w:rsidRPr="007A5D47">
              <w:rPr>
                <w:rFonts w:ascii="Calibri" w:eastAsia="Times New Roman" w:hAnsi="Calibri" w:cs="Times New Roman"/>
                <w:color w:val="000000"/>
                <w:lang w:eastAsia="fr-FR" w:bidi="ar-SA"/>
              </w:rPr>
              <w:t>3</w:t>
            </w:r>
          </w:p>
        </w:tc>
        <w:tc>
          <w:tcPr>
            <w:tcW w:w="2928" w:type="dxa"/>
            <w:tcBorders>
              <w:top w:val="nil"/>
              <w:left w:val="single" w:sz="8" w:space="0" w:color="auto"/>
              <w:bottom w:val="single" w:sz="8" w:space="0" w:color="auto"/>
              <w:right w:val="single" w:sz="8" w:space="0" w:color="auto"/>
            </w:tcBorders>
            <w:shd w:val="clear" w:color="auto" w:fill="auto"/>
            <w:noWrap/>
            <w:vAlign w:val="center"/>
            <w:hideMark/>
          </w:tcPr>
          <w:p w14:paraId="2E663A8B" w14:textId="40409559" w:rsidR="00E85F4B" w:rsidRPr="007A5D47" w:rsidRDefault="00E85F4B" w:rsidP="00E85F4B">
            <w:pPr>
              <w:jc w:val="center"/>
              <w:rPr>
                <w:rFonts w:ascii="Calibri" w:eastAsia="Times New Roman" w:hAnsi="Calibri" w:cs="Times New Roman"/>
                <w:color w:val="000000"/>
                <w:lang w:eastAsia="fr-FR" w:bidi="ar-SA"/>
              </w:rPr>
            </w:pPr>
            <w:r>
              <w:rPr>
                <w:rFonts w:ascii="Calibri" w:hAnsi="Calibri"/>
                <w:color w:val="000000"/>
              </w:rPr>
              <w:t>0,976</w:t>
            </w:r>
          </w:p>
        </w:tc>
        <w:tc>
          <w:tcPr>
            <w:tcW w:w="4677" w:type="dxa"/>
            <w:noWrap/>
            <w:vAlign w:val="center"/>
            <w:hideMark/>
          </w:tcPr>
          <w:p w14:paraId="22E0A98F" w14:textId="77777777" w:rsidR="00E85F4B" w:rsidRPr="007A5D47" w:rsidRDefault="00E85F4B" w:rsidP="00E85F4B">
            <w:pPr>
              <w:jc w:val="center"/>
              <w:rPr>
                <w:rFonts w:ascii="Calibri" w:eastAsia="Times New Roman" w:hAnsi="Calibri" w:cs="Times New Roman"/>
                <w:color w:val="000000"/>
                <w:lang w:eastAsia="fr-FR" w:bidi="ar-SA"/>
              </w:rPr>
            </w:pPr>
            <w:r w:rsidRPr="007A5D47">
              <w:rPr>
                <w:rFonts w:ascii="Calibri" w:eastAsia="Times New Roman" w:hAnsi="Calibri" w:cs="Times New Roman"/>
                <w:color w:val="000000"/>
                <w:lang w:eastAsia="fr-FR" w:bidi="ar-SA"/>
              </w:rPr>
              <w:t>0,997</w:t>
            </w:r>
          </w:p>
        </w:tc>
      </w:tr>
      <w:tr w:rsidR="00E85F4B" w:rsidRPr="007A5D47" w14:paraId="4BB1B910" w14:textId="77777777" w:rsidTr="00FC0B23">
        <w:trPr>
          <w:trHeight w:val="300"/>
          <w:jc w:val="center"/>
        </w:trPr>
        <w:tc>
          <w:tcPr>
            <w:tcW w:w="895" w:type="dxa"/>
            <w:noWrap/>
            <w:vAlign w:val="center"/>
            <w:hideMark/>
          </w:tcPr>
          <w:p w14:paraId="60D74FA2" w14:textId="77777777" w:rsidR="00E85F4B" w:rsidRPr="007A5D47" w:rsidRDefault="00E85F4B" w:rsidP="00E85F4B">
            <w:pPr>
              <w:jc w:val="center"/>
              <w:rPr>
                <w:rFonts w:ascii="Calibri" w:eastAsia="Times New Roman" w:hAnsi="Calibri" w:cs="Times New Roman"/>
                <w:color w:val="000000"/>
                <w:lang w:eastAsia="fr-FR" w:bidi="ar-SA"/>
              </w:rPr>
            </w:pPr>
            <w:r w:rsidRPr="007A5D47">
              <w:rPr>
                <w:rFonts w:ascii="Calibri" w:eastAsia="Times New Roman" w:hAnsi="Calibri" w:cs="Times New Roman"/>
                <w:color w:val="000000"/>
                <w:lang w:eastAsia="fr-FR" w:bidi="ar-SA"/>
              </w:rPr>
              <w:t>4</w:t>
            </w:r>
          </w:p>
        </w:tc>
        <w:tc>
          <w:tcPr>
            <w:tcW w:w="2928" w:type="dxa"/>
            <w:tcBorders>
              <w:top w:val="nil"/>
              <w:left w:val="single" w:sz="8" w:space="0" w:color="auto"/>
              <w:bottom w:val="single" w:sz="8" w:space="0" w:color="auto"/>
              <w:right w:val="single" w:sz="8" w:space="0" w:color="auto"/>
            </w:tcBorders>
            <w:shd w:val="clear" w:color="auto" w:fill="auto"/>
            <w:noWrap/>
            <w:vAlign w:val="center"/>
            <w:hideMark/>
          </w:tcPr>
          <w:p w14:paraId="3F16EFA4" w14:textId="2407E42A" w:rsidR="00E85F4B" w:rsidRPr="007A5D47" w:rsidRDefault="00E85F4B" w:rsidP="00E85F4B">
            <w:pPr>
              <w:jc w:val="center"/>
              <w:rPr>
                <w:rFonts w:ascii="Calibri" w:eastAsia="Times New Roman" w:hAnsi="Calibri" w:cs="Times New Roman"/>
                <w:color w:val="000000"/>
                <w:lang w:eastAsia="fr-FR" w:bidi="ar-SA"/>
              </w:rPr>
            </w:pPr>
            <w:r>
              <w:rPr>
                <w:rFonts w:ascii="Calibri" w:hAnsi="Calibri"/>
                <w:color w:val="000000"/>
              </w:rPr>
              <w:t>0,969</w:t>
            </w:r>
          </w:p>
        </w:tc>
        <w:tc>
          <w:tcPr>
            <w:tcW w:w="4677" w:type="dxa"/>
            <w:noWrap/>
            <w:vAlign w:val="center"/>
            <w:hideMark/>
          </w:tcPr>
          <w:p w14:paraId="6DF42EBB" w14:textId="77777777" w:rsidR="00E85F4B" w:rsidRPr="007A5D47" w:rsidRDefault="00E85F4B" w:rsidP="00E85F4B">
            <w:pPr>
              <w:jc w:val="center"/>
              <w:rPr>
                <w:rFonts w:ascii="Calibri" w:eastAsia="Times New Roman" w:hAnsi="Calibri" w:cs="Times New Roman"/>
                <w:color w:val="000000"/>
                <w:lang w:eastAsia="fr-FR" w:bidi="ar-SA"/>
              </w:rPr>
            </w:pPr>
            <w:r w:rsidRPr="007A5D47">
              <w:rPr>
                <w:rFonts w:ascii="Calibri" w:eastAsia="Times New Roman" w:hAnsi="Calibri" w:cs="Times New Roman"/>
                <w:color w:val="000000"/>
                <w:lang w:eastAsia="fr-FR" w:bidi="ar-SA"/>
              </w:rPr>
              <w:t>0,996</w:t>
            </w:r>
          </w:p>
        </w:tc>
      </w:tr>
      <w:tr w:rsidR="00E85F4B" w:rsidRPr="007A5D47" w14:paraId="43DCDE4A" w14:textId="77777777" w:rsidTr="00FC0B23">
        <w:trPr>
          <w:trHeight w:val="300"/>
          <w:jc w:val="center"/>
        </w:trPr>
        <w:tc>
          <w:tcPr>
            <w:tcW w:w="895" w:type="dxa"/>
            <w:noWrap/>
            <w:vAlign w:val="center"/>
            <w:hideMark/>
          </w:tcPr>
          <w:p w14:paraId="7C1581D6" w14:textId="77777777" w:rsidR="00E85F4B" w:rsidRPr="007A5D47" w:rsidRDefault="00E85F4B" w:rsidP="00E85F4B">
            <w:pPr>
              <w:jc w:val="center"/>
              <w:rPr>
                <w:rFonts w:ascii="Calibri" w:eastAsia="Times New Roman" w:hAnsi="Calibri" w:cs="Times New Roman"/>
                <w:color w:val="000000"/>
                <w:lang w:eastAsia="fr-FR" w:bidi="ar-SA"/>
              </w:rPr>
            </w:pPr>
            <w:r w:rsidRPr="007A5D47">
              <w:rPr>
                <w:rFonts w:ascii="Calibri" w:eastAsia="Times New Roman" w:hAnsi="Calibri" w:cs="Times New Roman"/>
                <w:color w:val="000000"/>
                <w:lang w:eastAsia="fr-FR" w:bidi="ar-SA"/>
              </w:rPr>
              <w:t>5</w:t>
            </w:r>
          </w:p>
        </w:tc>
        <w:tc>
          <w:tcPr>
            <w:tcW w:w="2928" w:type="dxa"/>
            <w:tcBorders>
              <w:top w:val="nil"/>
              <w:left w:val="single" w:sz="8" w:space="0" w:color="auto"/>
              <w:bottom w:val="single" w:sz="8" w:space="0" w:color="auto"/>
              <w:right w:val="single" w:sz="8" w:space="0" w:color="auto"/>
            </w:tcBorders>
            <w:shd w:val="clear" w:color="auto" w:fill="auto"/>
            <w:noWrap/>
            <w:vAlign w:val="center"/>
            <w:hideMark/>
          </w:tcPr>
          <w:p w14:paraId="6022E594" w14:textId="7FE3FE74" w:rsidR="00E85F4B" w:rsidRPr="007A5D47" w:rsidRDefault="00E85F4B" w:rsidP="00E85F4B">
            <w:pPr>
              <w:jc w:val="center"/>
              <w:rPr>
                <w:rFonts w:ascii="Calibri" w:eastAsia="Times New Roman" w:hAnsi="Calibri" w:cs="Times New Roman"/>
                <w:color w:val="000000"/>
                <w:lang w:eastAsia="fr-FR" w:bidi="ar-SA"/>
              </w:rPr>
            </w:pPr>
            <w:r>
              <w:rPr>
                <w:rFonts w:ascii="Calibri" w:hAnsi="Calibri"/>
                <w:color w:val="000000"/>
              </w:rPr>
              <w:t>0,961</w:t>
            </w:r>
          </w:p>
        </w:tc>
        <w:tc>
          <w:tcPr>
            <w:tcW w:w="4677" w:type="dxa"/>
            <w:noWrap/>
            <w:vAlign w:val="center"/>
            <w:hideMark/>
          </w:tcPr>
          <w:p w14:paraId="35CE3BE7" w14:textId="77777777" w:rsidR="00E85F4B" w:rsidRPr="007A5D47" w:rsidRDefault="00E85F4B" w:rsidP="00E85F4B">
            <w:pPr>
              <w:jc w:val="center"/>
              <w:rPr>
                <w:rFonts w:ascii="Calibri" w:eastAsia="Times New Roman" w:hAnsi="Calibri" w:cs="Times New Roman"/>
                <w:color w:val="000000"/>
                <w:lang w:eastAsia="fr-FR" w:bidi="ar-SA"/>
              </w:rPr>
            </w:pPr>
            <w:r w:rsidRPr="007A5D47">
              <w:rPr>
                <w:rFonts w:ascii="Calibri" w:eastAsia="Times New Roman" w:hAnsi="Calibri" w:cs="Times New Roman"/>
                <w:color w:val="000000"/>
                <w:lang w:eastAsia="fr-FR" w:bidi="ar-SA"/>
              </w:rPr>
              <w:t>0,995</w:t>
            </w:r>
          </w:p>
        </w:tc>
      </w:tr>
      <w:tr w:rsidR="00E85F4B" w:rsidRPr="007A5D47" w14:paraId="64C5B075" w14:textId="77777777" w:rsidTr="00FC0B23">
        <w:trPr>
          <w:trHeight w:val="300"/>
          <w:jc w:val="center"/>
        </w:trPr>
        <w:tc>
          <w:tcPr>
            <w:tcW w:w="895" w:type="dxa"/>
            <w:noWrap/>
            <w:vAlign w:val="center"/>
            <w:hideMark/>
          </w:tcPr>
          <w:p w14:paraId="0B48A0C4" w14:textId="77777777" w:rsidR="00E85F4B" w:rsidRPr="007A5D47" w:rsidRDefault="00E85F4B" w:rsidP="00E85F4B">
            <w:pPr>
              <w:jc w:val="center"/>
              <w:rPr>
                <w:rFonts w:ascii="Calibri" w:eastAsia="Times New Roman" w:hAnsi="Calibri" w:cs="Times New Roman"/>
                <w:color w:val="000000"/>
                <w:lang w:eastAsia="fr-FR" w:bidi="ar-SA"/>
              </w:rPr>
            </w:pPr>
            <w:r w:rsidRPr="007A5D47">
              <w:rPr>
                <w:rFonts w:ascii="Calibri" w:eastAsia="Times New Roman" w:hAnsi="Calibri" w:cs="Times New Roman"/>
                <w:color w:val="000000"/>
                <w:lang w:eastAsia="fr-FR" w:bidi="ar-SA"/>
              </w:rPr>
              <w:t>6</w:t>
            </w:r>
          </w:p>
        </w:tc>
        <w:tc>
          <w:tcPr>
            <w:tcW w:w="2928" w:type="dxa"/>
            <w:tcBorders>
              <w:top w:val="nil"/>
              <w:left w:val="single" w:sz="8" w:space="0" w:color="auto"/>
              <w:bottom w:val="single" w:sz="8" w:space="0" w:color="auto"/>
              <w:right w:val="single" w:sz="8" w:space="0" w:color="auto"/>
            </w:tcBorders>
            <w:shd w:val="clear" w:color="auto" w:fill="auto"/>
            <w:noWrap/>
            <w:vAlign w:val="center"/>
            <w:hideMark/>
          </w:tcPr>
          <w:p w14:paraId="7C4C378C" w14:textId="3360CA83" w:rsidR="00E85F4B" w:rsidRPr="007A5D47" w:rsidRDefault="00E85F4B" w:rsidP="00E85F4B">
            <w:pPr>
              <w:jc w:val="center"/>
              <w:rPr>
                <w:rFonts w:ascii="Calibri" w:eastAsia="Times New Roman" w:hAnsi="Calibri" w:cs="Times New Roman"/>
                <w:color w:val="000000"/>
                <w:lang w:eastAsia="fr-FR" w:bidi="ar-SA"/>
              </w:rPr>
            </w:pPr>
            <w:r>
              <w:rPr>
                <w:rFonts w:ascii="Calibri" w:hAnsi="Calibri"/>
                <w:color w:val="000000"/>
              </w:rPr>
              <w:t>0,953</w:t>
            </w:r>
          </w:p>
        </w:tc>
        <w:tc>
          <w:tcPr>
            <w:tcW w:w="4677" w:type="dxa"/>
            <w:noWrap/>
            <w:vAlign w:val="center"/>
            <w:hideMark/>
          </w:tcPr>
          <w:p w14:paraId="12FBE67B" w14:textId="77777777" w:rsidR="00E85F4B" w:rsidRPr="007A5D47" w:rsidRDefault="00E85F4B" w:rsidP="00E85F4B">
            <w:pPr>
              <w:jc w:val="center"/>
              <w:rPr>
                <w:rFonts w:ascii="Calibri" w:eastAsia="Times New Roman" w:hAnsi="Calibri" w:cs="Times New Roman"/>
                <w:color w:val="000000"/>
                <w:lang w:eastAsia="fr-FR" w:bidi="ar-SA"/>
              </w:rPr>
            </w:pPr>
            <w:r w:rsidRPr="007A5D47">
              <w:rPr>
                <w:rFonts w:ascii="Calibri" w:eastAsia="Times New Roman" w:hAnsi="Calibri" w:cs="Times New Roman"/>
                <w:color w:val="000000"/>
                <w:lang w:eastAsia="fr-FR" w:bidi="ar-SA"/>
              </w:rPr>
              <w:t>0,994</w:t>
            </w:r>
          </w:p>
        </w:tc>
      </w:tr>
      <w:tr w:rsidR="00E85F4B" w:rsidRPr="007A5D47" w14:paraId="7BBCFCA5" w14:textId="77777777" w:rsidTr="00FC0B23">
        <w:trPr>
          <w:trHeight w:val="300"/>
          <w:jc w:val="center"/>
        </w:trPr>
        <w:tc>
          <w:tcPr>
            <w:tcW w:w="895" w:type="dxa"/>
            <w:noWrap/>
            <w:vAlign w:val="center"/>
            <w:hideMark/>
          </w:tcPr>
          <w:p w14:paraId="0F0F660D" w14:textId="77777777" w:rsidR="00E85F4B" w:rsidRPr="007A5D47" w:rsidRDefault="00E85F4B" w:rsidP="00E85F4B">
            <w:pPr>
              <w:jc w:val="center"/>
              <w:rPr>
                <w:rFonts w:ascii="Calibri" w:eastAsia="Times New Roman" w:hAnsi="Calibri" w:cs="Times New Roman"/>
                <w:color w:val="000000"/>
                <w:lang w:eastAsia="fr-FR" w:bidi="ar-SA"/>
              </w:rPr>
            </w:pPr>
            <w:r w:rsidRPr="007A5D47">
              <w:rPr>
                <w:rFonts w:ascii="Calibri" w:eastAsia="Times New Roman" w:hAnsi="Calibri" w:cs="Times New Roman"/>
                <w:color w:val="000000"/>
                <w:lang w:eastAsia="fr-FR" w:bidi="ar-SA"/>
              </w:rPr>
              <w:t>7</w:t>
            </w:r>
          </w:p>
        </w:tc>
        <w:tc>
          <w:tcPr>
            <w:tcW w:w="2928" w:type="dxa"/>
            <w:tcBorders>
              <w:top w:val="nil"/>
              <w:left w:val="single" w:sz="8" w:space="0" w:color="auto"/>
              <w:bottom w:val="single" w:sz="8" w:space="0" w:color="auto"/>
              <w:right w:val="single" w:sz="8" w:space="0" w:color="auto"/>
            </w:tcBorders>
            <w:shd w:val="clear" w:color="auto" w:fill="auto"/>
            <w:noWrap/>
            <w:vAlign w:val="center"/>
            <w:hideMark/>
          </w:tcPr>
          <w:p w14:paraId="5CCAC9A0" w14:textId="4797D5CD" w:rsidR="00E85F4B" w:rsidRPr="007A5D47" w:rsidRDefault="00E85F4B" w:rsidP="00E85F4B">
            <w:pPr>
              <w:jc w:val="center"/>
              <w:rPr>
                <w:rFonts w:ascii="Calibri" w:eastAsia="Times New Roman" w:hAnsi="Calibri" w:cs="Times New Roman"/>
                <w:color w:val="000000"/>
                <w:lang w:eastAsia="fr-FR" w:bidi="ar-SA"/>
              </w:rPr>
            </w:pPr>
            <w:r>
              <w:rPr>
                <w:rFonts w:ascii="Calibri" w:hAnsi="Calibri"/>
                <w:color w:val="000000"/>
              </w:rPr>
              <w:t>0,945</w:t>
            </w:r>
          </w:p>
        </w:tc>
        <w:tc>
          <w:tcPr>
            <w:tcW w:w="4677" w:type="dxa"/>
            <w:noWrap/>
            <w:vAlign w:val="center"/>
            <w:hideMark/>
          </w:tcPr>
          <w:p w14:paraId="6AA5F536" w14:textId="77777777" w:rsidR="00E85F4B" w:rsidRPr="007A5D47" w:rsidRDefault="00E85F4B" w:rsidP="00E85F4B">
            <w:pPr>
              <w:jc w:val="center"/>
              <w:rPr>
                <w:rFonts w:ascii="Calibri" w:eastAsia="Times New Roman" w:hAnsi="Calibri" w:cs="Times New Roman"/>
                <w:color w:val="000000"/>
                <w:lang w:eastAsia="fr-FR" w:bidi="ar-SA"/>
              </w:rPr>
            </w:pPr>
            <w:r w:rsidRPr="007A5D47">
              <w:rPr>
                <w:rFonts w:ascii="Calibri" w:eastAsia="Times New Roman" w:hAnsi="Calibri" w:cs="Times New Roman"/>
                <w:color w:val="000000"/>
                <w:lang w:eastAsia="fr-FR" w:bidi="ar-SA"/>
              </w:rPr>
              <w:t>0,993</w:t>
            </w:r>
          </w:p>
        </w:tc>
      </w:tr>
      <w:tr w:rsidR="00E85F4B" w:rsidRPr="007A5D47" w14:paraId="0E42912F" w14:textId="77777777" w:rsidTr="00FC0B23">
        <w:trPr>
          <w:trHeight w:val="300"/>
          <w:jc w:val="center"/>
        </w:trPr>
        <w:tc>
          <w:tcPr>
            <w:tcW w:w="895" w:type="dxa"/>
            <w:noWrap/>
            <w:vAlign w:val="center"/>
            <w:hideMark/>
          </w:tcPr>
          <w:p w14:paraId="1C353297" w14:textId="77777777" w:rsidR="00E85F4B" w:rsidRPr="007A5D47" w:rsidRDefault="00E85F4B" w:rsidP="00E85F4B">
            <w:pPr>
              <w:jc w:val="center"/>
              <w:rPr>
                <w:rFonts w:ascii="Calibri" w:eastAsia="Times New Roman" w:hAnsi="Calibri" w:cs="Times New Roman"/>
                <w:color w:val="000000"/>
                <w:lang w:eastAsia="fr-FR" w:bidi="ar-SA"/>
              </w:rPr>
            </w:pPr>
            <w:r w:rsidRPr="007A5D47">
              <w:rPr>
                <w:rFonts w:ascii="Calibri" w:eastAsia="Times New Roman" w:hAnsi="Calibri" w:cs="Times New Roman"/>
                <w:color w:val="000000"/>
                <w:lang w:eastAsia="fr-FR" w:bidi="ar-SA"/>
              </w:rPr>
              <w:t>8</w:t>
            </w:r>
          </w:p>
        </w:tc>
        <w:tc>
          <w:tcPr>
            <w:tcW w:w="2928" w:type="dxa"/>
            <w:tcBorders>
              <w:top w:val="nil"/>
              <w:left w:val="single" w:sz="8" w:space="0" w:color="auto"/>
              <w:bottom w:val="single" w:sz="8" w:space="0" w:color="auto"/>
              <w:right w:val="single" w:sz="8" w:space="0" w:color="auto"/>
            </w:tcBorders>
            <w:shd w:val="clear" w:color="auto" w:fill="auto"/>
            <w:noWrap/>
            <w:vAlign w:val="center"/>
            <w:hideMark/>
          </w:tcPr>
          <w:p w14:paraId="3FE28D04" w14:textId="2A5AFDE2" w:rsidR="00E85F4B" w:rsidRPr="007A5D47" w:rsidRDefault="00E85F4B" w:rsidP="00E85F4B">
            <w:pPr>
              <w:jc w:val="center"/>
              <w:rPr>
                <w:rFonts w:ascii="Calibri" w:eastAsia="Times New Roman" w:hAnsi="Calibri" w:cs="Times New Roman"/>
                <w:color w:val="000000"/>
                <w:lang w:eastAsia="fr-FR" w:bidi="ar-SA"/>
              </w:rPr>
            </w:pPr>
            <w:r>
              <w:rPr>
                <w:rFonts w:ascii="Calibri" w:hAnsi="Calibri"/>
                <w:color w:val="000000"/>
              </w:rPr>
              <w:t>0,937</w:t>
            </w:r>
          </w:p>
        </w:tc>
        <w:tc>
          <w:tcPr>
            <w:tcW w:w="4677" w:type="dxa"/>
            <w:noWrap/>
            <w:vAlign w:val="center"/>
            <w:hideMark/>
          </w:tcPr>
          <w:p w14:paraId="7148BB33" w14:textId="77777777" w:rsidR="00E85F4B" w:rsidRPr="007A5D47" w:rsidRDefault="00E85F4B" w:rsidP="00E85F4B">
            <w:pPr>
              <w:jc w:val="center"/>
              <w:rPr>
                <w:rFonts w:ascii="Calibri" w:eastAsia="Times New Roman" w:hAnsi="Calibri" w:cs="Times New Roman"/>
                <w:color w:val="000000"/>
                <w:lang w:eastAsia="fr-FR" w:bidi="ar-SA"/>
              </w:rPr>
            </w:pPr>
            <w:r w:rsidRPr="007A5D47">
              <w:rPr>
                <w:rFonts w:ascii="Calibri" w:eastAsia="Times New Roman" w:hAnsi="Calibri" w:cs="Times New Roman"/>
                <w:color w:val="000000"/>
                <w:lang w:eastAsia="fr-FR" w:bidi="ar-SA"/>
              </w:rPr>
              <w:t>0,992</w:t>
            </w:r>
          </w:p>
        </w:tc>
      </w:tr>
      <w:tr w:rsidR="00E85F4B" w:rsidRPr="007A5D47" w14:paraId="0CEEDD07" w14:textId="77777777" w:rsidTr="00FC0B23">
        <w:trPr>
          <w:trHeight w:val="300"/>
          <w:jc w:val="center"/>
        </w:trPr>
        <w:tc>
          <w:tcPr>
            <w:tcW w:w="895" w:type="dxa"/>
            <w:noWrap/>
            <w:vAlign w:val="center"/>
            <w:hideMark/>
          </w:tcPr>
          <w:p w14:paraId="2AC88314" w14:textId="77777777" w:rsidR="00E85F4B" w:rsidRPr="007A5D47" w:rsidRDefault="00E85F4B" w:rsidP="00E85F4B">
            <w:pPr>
              <w:jc w:val="center"/>
              <w:rPr>
                <w:rFonts w:ascii="Calibri" w:eastAsia="Times New Roman" w:hAnsi="Calibri" w:cs="Times New Roman"/>
                <w:color w:val="000000"/>
                <w:lang w:eastAsia="fr-FR" w:bidi="ar-SA"/>
              </w:rPr>
            </w:pPr>
            <w:r w:rsidRPr="007A5D47">
              <w:rPr>
                <w:rFonts w:ascii="Calibri" w:eastAsia="Times New Roman" w:hAnsi="Calibri" w:cs="Times New Roman"/>
                <w:color w:val="000000"/>
                <w:lang w:eastAsia="fr-FR" w:bidi="ar-SA"/>
              </w:rPr>
              <w:t>9</w:t>
            </w:r>
          </w:p>
        </w:tc>
        <w:tc>
          <w:tcPr>
            <w:tcW w:w="2928" w:type="dxa"/>
            <w:tcBorders>
              <w:top w:val="nil"/>
              <w:left w:val="single" w:sz="8" w:space="0" w:color="auto"/>
              <w:bottom w:val="single" w:sz="8" w:space="0" w:color="auto"/>
              <w:right w:val="single" w:sz="8" w:space="0" w:color="auto"/>
            </w:tcBorders>
            <w:shd w:val="clear" w:color="auto" w:fill="auto"/>
            <w:noWrap/>
            <w:vAlign w:val="center"/>
            <w:hideMark/>
          </w:tcPr>
          <w:p w14:paraId="69596949" w14:textId="1A25BF64" w:rsidR="00E85F4B" w:rsidRPr="007A5D47" w:rsidRDefault="00E85F4B" w:rsidP="00E85F4B">
            <w:pPr>
              <w:jc w:val="center"/>
              <w:rPr>
                <w:rFonts w:ascii="Calibri" w:eastAsia="Times New Roman" w:hAnsi="Calibri" w:cs="Times New Roman"/>
                <w:color w:val="000000"/>
                <w:lang w:eastAsia="fr-FR" w:bidi="ar-SA"/>
              </w:rPr>
            </w:pPr>
            <w:r>
              <w:rPr>
                <w:rFonts w:ascii="Calibri" w:hAnsi="Calibri"/>
                <w:color w:val="000000"/>
              </w:rPr>
              <w:t>0,929</w:t>
            </w:r>
          </w:p>
        </w:tc>
        <w:tc>
          <w:tcPr>
            <w:tcW w:w="4677" w:type="dxa"/>
            <w:noWrap/>
            <w:vAlign w:val="center"/>
            <w:hideMark/>
          </w:tcPr>
          <w:p w14:paraId="2628F940" w14:textId="77777777" w:rsidR="00E85F4B" w:rsidRPr="007A5D47" w:rsidRDefault="00E85F4B" w:rsidP="00E85F4B">
            <w:pPr>
              <w:jc w:val="center"/>
              <w:rPr>
                <w:rFonts w:ascii="Calibri" w:eastAsia="Times New Roman" w:hAnsi="Calibri" w:cs="Times New Roman"/>
                <w:color w:val="000000"/>
                <w:lang w:eastAsia="fr-FR" w:bidi="ar-SA"/>
              </w:rPr>
            </w:pPr>
            <w:r w:rsidRPr="007A5D47">
              <w:rPr>
                <w:rFonts w:ascii="Calibri" w:eastAsia="Times New Roman" w:hAnsi="Calibri" w:cs="Times New Roman"/>
                <w:color w:val="000000"/>
                <w:lang w:eastAsia="fr-FR" w:bidi="ar-SA"/>
              </w:rPr>
              <w:t>0,991</w:t>
            </w:r>
          </w:p>
        </w:tc>
      </w:tr>
      <w:tr w:rsidR="00E85F4B" w:rsidRPr="007A5D47" w14:paraId="224B9CD4" w14:textId="77777777" w:rsidTr="00FC0B23">
        <w:trPr>
          <w:trHeight w:val="300"/>
          <w:jc w:val="center"/>
        </w:trPr>
        <w:tc>
          <w:tcPr>
            <w:tcW w:w="895" w:type="dxa"/>
            <w:noWrap/>
            <w:vAlign w:val="center"/>
            <w:hideMark/>
          </w:tcPr>
          <w:p w14:paraId="42A201AD" w14:textId="77777777" w:rsidR="00E85F4B" w:rsidRPr="007A5D47" w:rsidRDefault="00E85F4B" w:rsidP="00E85F4B">
            <w:pPr>
              <w:jc w:val="center"/>
              <w:rPr>
                <w:rFonts w:ascii="Calibri" w:eastAsia="Times New Roman" w:hAnsi="Calibri" w:cs="Times New Roman"/>
                <w:color w:val="000000"/>
                <w:lang w:eastAsia="fr-FR" w:bidi="ar-SA"/>
              </w:rPr>
            </w:pPr>
            <w:r w:rsidRPr="007A5D47">
              <w:rPr>
                <w:rFonts w:ascii="Calibri" w:eastAsia="Times New Roman" w:hAnsi="Calibri" w:cs="Times New Roman"/>
                <w:color w:val="000000"/>
                <w:lang w:eastAsia="fr-FR" w:bidi="ar-SA"/>
              </w:rPr>
              <w:t>10</w:t>
            </w:r>
          </w:p>
        </w:tc>
        <w:tc>
          <w:tcPr>
            <w:tcW w:w="2928" w:type="dxa"/>
            <w:tcBorders>
              <w:top w:val="nil"/>
              <w:left w:val="single" w:sz="8" w:space="0" w:color="auto"/>
              <w:bottom w:val="single" w:sz="8" w:space="0" w:color="auto"/>
              <w:right w:val="single" w:sz="8" w:space="0" w:color="auto"/>
            </w:tcBorders>
            <w:shd w:val="clear" w:color="auto" w:fill="auto"/>
            <w:noWrap/>
            <w:vAlign w:val="center"/>
            <w:hideMark/>
          </w:tcPr>
          <w:p w14:paraId="5C272329" w14:textId="79415ED4" w:rsidR="00E85F4B" w:rsidRPr="007A5D47" w:rsidRDefault="00E85F4B" w:rsidP="00E85F4B">
            <w:pPr>
              <w:jc w:val="center"/>
              <w:rPr>
                <w:rFonts w:ascii="Calibri" w:eastAsia="Times New Roman" w:hAnsi="Calibri" w:cs="Times New Roman"/>
                <w:color w:val="000000"/>
                <w:lang w:eastAsia="fr-FR" w:bidi="ar-SA"/>
              </w:rPr>
            </w:pPr>
            <w:r>
              <w:rPr>
                <w:rFonts w:ascii="Calibri" w:hAnsi="Calibri"/>
                <w:color w:val="000000"/>
              </w:rPr>
              <w:t>0,921</w:t>
            </w:r>
          </w:p>
        </w:tc>
        <w:tc>
          <w:tcPr>
            <w:tcW w:w="4677" w:type="dxa"/>
            <w:noWrap/>
            <w:vAlign w:val="center"/>
            <w:hideMark/>
          </w:tcPr>
          <w:p w14:paraId="647CC983" w14:textId="77777777" w:rsidR="00E85F4B" w:rsidRPr="007A5D47" w:rsidRDefault="00E85F4B" w:rsidP="00E85F4B">
            <w:pPr>
              <w:jc w:val="center"/>
              <w:rPr>
                <w:rFonts w:ascii="Calibri" w:eastAsia="Times New Roman" w:hAnsi="Calibri" w:cs="Times New Roman"/>
                <w:color w:val="000000"/>
                <w:lang w:eastAsia="fr-FR" w:bidi="ar-SA"/>
              </w:rPr>
            </w:pPr>
            <w:r w:rsidRPr="007A5D47">
              <w:rPr>
                <w:rFonts w:ascii="Calibri" w:eastAsia="Times New Roman" w:hAnsi="Calibri" w:cs="Times New Roman"/>
                <w:color w:val="000000"/>
                <w:lang w:eastAsia="fr-FR" w:bidi="ar-SA"/>
              </w:rPr>
              <w:t>0,990</w:t>
            </w:r>
          </w:p>
        </w:tc>
      </w:tr>
      <w:tr w:rsidR="00E85F4B" w:rsidRPr="007A5D47" w14:paraId="6583435A" w14:textId="77777777" w:rsidTr="00FC0B23">
        <w:trPr>
          <w:trHeight w:val="300"/>
          <w:jc w:val="center"/>
        </w:trPr>
        <w:tc>
          <w:tcPr>
            <w:tcW w:w="895" w:type="dxa"/>
            <w:noWrap/>
            <w:vAlign w:val="center"/>
            <w:hideMark/>
          </w:tcPr>
          <w:p w14:paraId="49CC3C9E" w14:textId="77777777" w:rsidR="00E85F4B" w:rsidRPr="007A5D47" w:rsidRDefault="00E85F4B" w:rsidP="00E85F4B">
            <w:pPr>
              <w:jc w:val="center"/>
              <w:rPr>
                <w:rFonts w:ascii="Calibri" w:eastAsia="Times New Roman" w:hAnsi="Calibri" w:cs="Times New Roman"/>
                <w:color w:val="000000"/>
                <w:lang w:eastAsia="fr-FR" w:bidi="ar-SA"/>
              </w:rPr>
            </w:pPr>
            <w:r w:rsidRPr="007A5D47">
              <w:rPr>
                <w:rFonts w:ascii="Calibri" w:eastAsia="Times New Roman" w:hAnsi="Calibri" w:cs="Times New Roman"/>
                <w:color w:val="000000"/>
                <w:lang w:eastAsia="fr-FR" w:bidi="ar-SA"/>
              </w:rPr>
              <w:t>11</w:t>
            </w:r>
          </w:p>
        </w:tc>
        <w:tc>
          <w:tcPr>
            <w:tcW w:w="2928" w:type="dxa"/>
            <w:tcBorders>
              <w:top w:val="nil"/>
              <w:left w:val="single" w:sz="8" w:space="0" w:color="auto"/>
              <w:bottom w:val="single" w:sz="8" w:space="0" w:color="auto"/>
              <w:right w:val="single" w:sz="8" w:space="0" w:color="auto"/>
            </w:tcBorders>
            <w:shd w:val="clear" w:color="auto" w:fill="auto"/>
            <w:noWrap/>
            <w:vAlign w:val="center"/>
            <w:hideMark/>
          </w:tcPr>
          <w:p w14:paraId="3B3E5DCE" w14:textId="384F9517" w:rsidR="00E85F4B" w:rsidRPr="007A5D47" w:rsidRDefault="00E85F4B" w:rsidP="00E85F4B">
            <w:pPr>
              <w:jc w:val="center"/>
              <w:rPr>
                <w:rFonts w:ascii="Calibri" w:eastAsia="Times New Roman" w:hAnsi="Calibri" w:cs="Times New Roman"/>
                <w:color w:val="000000"/>
                <w:lang w:eastAsia="fr-FR" w:bidi="ar-SA"/>
              </w:rPr>
            </w:pPr>
            <w:r>
              <w:rPr>
                <w:rFonts w:ascii="Calibri" w:hAnsi="Calibri"/>
                <w:color w:val="000000"/>
              </w:rPr>
              <w:t>0,913</w:t>
            </w:r>
          </w:p>
        </w:tc>
        <w:tc>
          <w:tcPr>
            <w:tcW w:w="4677" w:type="dxa"/>
            <w:noWrap/>
            <w:vAlign w:val="center"/>
            <w:hideMark/>
          </w:tcPr>
          <w:p w14:paraId="62A16A98" w14:textId="77777777" w:rsidR="00E85F4B" w:rsidRPr="007A5D47" w:rsidRDefault="00E85F4B" w:rsidP="00E85F4B">
            <w:pPr>
              <w:jc w:val="center"/>
              <w:rPr>
                <w:rFonts w:ascii="Calibri" w:eastAsia="Times New Roman" w:hAnsi="Calibri" w:cs="Times New Roman"/>
                <w:color w:val="000000"/>
                <w:lang w:eastAsia="fr-FR" w:bidi="ar-SA"/>
              </w:rPr>
            </w:pPr>
            <w:r w:rsidRPr="007A5D47">
              <w:rPr>
                <w:rFonts w:ascii="Calibri" w:eastAsia="Times New Roman" w:hAnsi="Calibri" w:cs="Times New Roman"/>
                <w:color w:val="000000"/>
                <w:lang w:eastAsia="fr-FR" w:bidi="ar-SA"/>
              </w:rPr>
              <w:t>0,988</w:t>
            </w:r>
          </w:p>
        </w:tc>
      </w:tr>
      <w:tr w:rsidR="00E85F4B" w:rsidRPr="007A5D47" w14:paraId="3DA98F0E" w14:textId="77777777" w:rsidTr="00FC0B23">
        <w:trPr>
          <w:trHeight w:val="300"/>
          <w:jc w:val="center"/>
        </w:trPr>
        <w:tc>
          <w:tcPr>
            <w:tcW w:w="895" w:type="dxa"/>
            <w:noWrap/>
            <w:vAlign w:val="center"/>
            <w:hideMark/>
          </w:tcPr>
          <w:p w14:paraId="77BBB061" w14:textId="77777777" w:rsidR="00E85F4B" w:rsidRPr="007A5D47" w:rsidRDefault="00E85F4B" w:rsidP="00E85F4B">
            <w:pPr>
              <w:jc w:val="center"/>
              <w:rPr>
                <w:rFonts w:ascii="Calibri" w:eastAsia="Times New Roman" w:hAnsi="Calibri" w:cs="Times New Roman"/>
                <w:color w:val="000000"/>
                <w:lang w:eastAsia="fr-FR" w:bidi="ar-SA"/>
              </w:rPr>
            </w:pPr>
            <w:r w:rsidRPr="007A5D47">
              <w:rPr>
                <w:rFonts w:ascii="Calibri" w:eastAsia="Times New Roman" w:hAnsi="Calibri" w:cs="Times New Roman"/>
                <w:color w:val="000000"/>
                <w:lang w:eastAsia="fr-FR" w:bidi="ar-SA"/>
              </w:rPr>
              <w:t>12</w:t>
            </w:r>
          </w:p>
        </w:tc>
        <w:tc>
          <w:tcPr>
            <w:tcW w:w="2928" w:type="dxa"/>
            <w:tcBorders>
              <w:top w:val="nil"/>
              <w:left w:val="single" w:sz="8" w:space="0" w:color="auto"/>
              <w:bottom w:val="single" w:sz="8" w:space="0" w:color="auto"/>
              <w:right w:val="single" w:sz="8" w:space="0" w:color="auto"/>
            </w:tcBorders>
            <w:shd w:val="clear" w:color="auto" w:fill="auto"/>
            <w:noWrap/>
            <w:vAlign w:val="center"/>
            <w:hideMark/>
          </w:tcPr>
          <w:p w14:paraId="766A6D86" w14:textId="7EBEFD95" w:rsidR="00E85F4B" w:rsidRPr="007A5D47" w:rsidRDefault="00E85F4B" w:rsidP="00E85F4B">
            <w:pPr>
              <w:jc w:val="center"/>
              <w:rPr>
                <w:rFonts w:ascii="Calibri" w:eastAsia="Times New Roman" w:hAnsi="Calibri" w:cs="Times New Roman"/>
                <w:color w:val="000000"/>
                <w:lang w:eastAsia="fr-FR" w:bidi="ar-SA"/>
              </w:rPr>
            </w:pPr>
            <w:r>
              <w:rPr>
                <w:rFonts w:ascii="Calibri" w:hAnsi="Calibri"/>
                <w:color w:val="000000"/>
              </w:rPr>
              <w:t>0,905</w:t>
            </w:r>
          </w:p>
        </w:tc>
        <w:tc>
          <w:tcPr>
            <w:tcW w:w="4677" w:type="dxa"/>
            <w:noWrap/>
            <w:vAlign w:val="center"/>
            <w:hideMark/>
          </w:tcPr>
          <w:p w14:paraId="6BF8AA48" w14:textId="77777777" w:rsidR="00E85F4B" w:rsidRPr="007A5D47" w:rsidRDefault="00E85F4B" w:rsidP="00E85F4B">
            <w:pPr>
              <w:jc w:val="center"/>
              <w:rPr>
                <w:rFonts w:ascii="Calibri" w:eastAsia="Times New Roman" w:hAnsi="Calibri" w:cs="Times New Roman"/>
                <w:color w:val="000000"/>
                <w:lang w:eastAsia="fr-FR" w:bidi="ar-SA"/>
              </w:rPr>
            </w:pPr>
            <w:r w:rsidRPr="007A5D47">
              <w:rPr>
                <w:rFonts w:ascii="Calibri" w:eastAsia="Times New Roman" w:hAnsi="Calibri" w:cs="Times New Roman"/>
                <w:color w:val="000000"/>
                <w:lang w:eastAsia="fr-FR" w:bidi="ar-SA"/>
              </w:rPr>
              <w:t>0,987</w:t>
            </w:r>
          </w:p>
        </w:tc>
      </w:tr>
      <w:tr w:rsidR="00E85F4B" w:rsidRPr="007A5D47" w14:paraId="7AA3835E" w14:textId="77777777" w:rsidTr="00FC0B23">
        <w:trPr>
          <w:trHeight w:val="300"/>
          <w:jc w:val="center"/>
        </w:trPr>
        <w:tc>
          <w:tcPr>
            <w:tcW w:w="895" w:type="dxa"/>
            <w:noWrap/>
            <w:vAlign w:val="center"/>
            <w:hideMark/>
          </w:tcPr>
          <w:p w14:paraId="2CE1F284" w14:textId="77777777" w:rsidR="00E85F4B" w:rsidRPr="007A5D47" w:rsidRDefault="00E85F4B" w:rsidP="00E85F4B">
            <w:pPr>
              <w:jc w:val="center"/>
              <w:rPr>
                <w:rFonts w:ascii="Calibri" w:eastAsia="Times New Roman" w:hAnsi="Calibri" w:cs="Times New Roman"/>
                <w:color w:val="000000"/>
                <w:lang w:eastAsia="fr-FR" w:bidi="ar-SA"/>
              </w:rPr>
            </w:pPr>
            <w:r w:rsidRPr="007A5D47">
              <w:rPr>
                <w:rFonts w:ascii="Calibri" w:eastAsia="Times New Roman" w:hAnsi="Calibri" w:cs="Times New Roman"/>
                <w:color w:val="000000"/>
                <w:lang w:eastAsia="fr-FR" w:bidi="ar-SA"/>
              </w:rPr>
              <w:t>13</w:t>
            </w:r>
          </w:p>
        </w:tc>
        <w:tc>
          <w:tcPr>
            <w:tcW w:w="2928" w:type="dxa"/>
            <w:tcBorders>
              <w:top w:val="nil"/>
              <w:left w:val="single" w:sz="8" w:space="0" w:color="auto"/>
              <w:bottom w:val="single" w:sz="8" w:space="0" w:color="auto"/>
              <w:right w:val="single" w:sz="8" w:space="0" w:color="auto"/>
            </w:tcBorders>
            <w:shd w:val="clear" w:color="auto" w:fill="auto"/>
            <w:noWrap/>
            <w:vAlign w:val="center"/>
            <w:hideMark/>
          </w:tcPr>
          <w:p w14:paraId="7321710A" w14:textId="7B16AF37" w:rsidR="00E85F4B" w:rsidRPr="007A5D47" w:rsidRDefault="00E85F4B" w:rsidP="00E85F4B">
            <w:pPr>
              <w:jc w:val="center"/>
              <w:rPr>
                <w:rFonts w:ascii="Calibri" w:eastAsia="Times New Roman" w:hAnsi="Calibri" w:cs="Times New Roman"/>
                <w:color w:val="000000"/>
                <w:lang w:eastAsia="fr-FR" w:bidi="ar-SA"/>
              </w:rPr>
            </w:pPr>
            <w:r>
              <w:rPr>
                <w:rFonts w:ascii="Calibri" w:hAnsi="Calibri"/>
                <w:color w:val="000000"/>
              </w:rPr>
              <w:t>0,897</w:t>
            </w:r>
          </w:p>
        </w:tc>
        <w:tc>
          <w:tcPr>
            <w:tcW w:w="4677" w:type="dxa"/>
            <w:noWrap/>
            <w:vAlign w:val="center"/>
            <w:hideMark/>
          </w:tcPr>
          <w:p w14:paraId="64FA8A96" w14:textId="77777777" w:rsidR="00E85F4B" w:rsidRPr="007A5D47" w:rsidRDefault="00E85F4B" w:rsidP="00E85F4B">
            <w:pPr>
              <w:jc w:val="center"/>
              <w:rPr>
                <w:rFonts w:ascii="Calibri" w:eastAsia="Times New Roman" w:hAnsi="Calibri" w:cs="Times New Roman"/>
                <w:color w:val="000000"/>
                <w:lang w:eastAsia="fr-FR" w:bidi="ar-SA"/>
              </w:rPr>
            </w:pPr>
            <w:r w:rsidRPr="007A5D47">
              <w:rPr>
                <w:rFonts w:ascii="Calibri" w:eastAsia="Times New Roman" w:hAnsi="Calibri" w:cs="Times New Roman"/>
                <w:color w:val="000000"/>
                <w:lang w:eastAsia="fr-FR" w:bidi="ar-SA"/>
              </w:rPr>
              <w:t>0,986</w:t>
            </w:r>
          </w:p>
        </w:tc>
      </w:tr>
      <w:tr w:rsidR="00E85F4B" w:rsidRPr="007A5D47" w14:paraId="72D95F2A" w14:textId="77777777" w:rsidTr="00FC0B23">
        <w:trPr>
          <w:trHeight w:val="300"/>
          <w:jc w:val="center"/>
        </w:trPr>
        <w:tc>
          <w:tcPr>
            <w:tcW w:w="895" w:type="dxa"/>
            <w:noWrap/>
            <w:vAlign w:val="center"/>
            <w:hideMark/>
          </w:tcPr>
          <w:p w14:paraId="6DF3960C" w14:textId="77777777" w:rsidR="00E85F4B" w:rsidRPr="007A5D47" w:rsidRDefault="00E85F4B" w:rsidP="00E85F4B">
            <w:pPr>
              <w:jc w:val="center"/>
              <w:rPr>
                <w:rFonts w:ascii="Calibri" w:eastAsia="Times New Roman" w:hAnsi="Calibri" w:cs="Times New Roman"/>
                <w:color w:val="000000"/>
                <w:lang w:eastAsia="fr-FR" w:bidi="ar-SA"/>
              </w:rPr>
            </w:pPr>
            <w:r w:rsidRPr="007A5D47">
              <w:rPr>
                <w:rFonts w:ascii="Calibri" w:eastAsia="Times New Roman" w:hAnsi="Calibri" w:cs="Times New Roman"/>
                <w:color w:val="000000"/>
                <w:lang w:eastAsia="fr-FR" w:bidi="ar-SA"/>
              </w:rPr>
              <w:t>14</w:t>
            </w:r>
          </w:p>
        </w:tc>
        <w:tc>
          <w:tcPr>
            <w:tcW w:w="2928" w:type="dxa"/>
            <w:tcBorders>
              <w:top w:val="nil"/>
              <w:left w:val="single" w:sz="8" w:space="0" w:color="auto"/>
              <w:bottom w:val="single" w:sz="8" w:space="0" w:color="auto"/>
              <w:right w:val="single" w:sz="8" w:space="0" w:color="auto"/>
            </w:tcBorders>
            <w:shd w:val="clear" w:color="auto" w:fill="auto"/>
            <w:noWrap/>
            <w:vAlign w:val="center"/>
            <w:hideMark/>
          </w:tcPr>
          <w:p w14:paraId="34D02F97" w14:textId="0BF98EF2" w:rsidR="00E85F4B" w:rsidRPr="007A5D47" w:rsidRDefault="00E85F4B" w:rsidP="00E85F4B">
            <w:pPr>
              <w:jc w:val="center"/>
              <w:rPr>
                <w:rFonts w:ascii="Calibri" w:eastAsia="Times New Roman" w:hAnsi="Calibri" w:cs="Times New Roman"/>
                <w:color w:val="000000"/>
                <w:lang w:eastAsia="fr-FR" w:bidi="ar-SA"/>
              </w:rPr>
            </w:pPr>
            <w:r>
              <w:rPr>
                <w:rFonts w:ascii="Calibri" w:hAnsi="Calibri"/>
                <w:color w:val="000000"/>
              </w:rPr>
              <w:t>0,889</w:t>
            </w:r>
          </w:p>
        </w:tc>
        <w:tc>
          <w:tcPr>
            <w:tcW w:w="4677" w:type="dxa"/>
            <w:noWrap/>
            <w:vAlign w:val="center"/>
            <w:hideMark/>
          </w:tcPr>
          <w:p w14:paraId="31BE769E" w14:textId="77777777" w:rsidR="00E85F4B" w:rsidRPr="007A5D47" w:rsidRDefault="00E85F4B" w:rsidP="00E85F4B">
            <w:pPr>
              <w:jc w:val="center"/>
              <w:rPr>
                <w:rFonts w:ascii="Calibri" w:eastAsia="Times New Roman" w:hAnsi="Calibri" w:cs="Times New Roman"/>
                <w:color w:val="000000"/>
                <w:lang w:eastAsia="fr-FR" w:bidi="ar-SA"/>
              </w:rPr>
            </w:pPr>
            <w:r w:rsidRPr="007A5D47">
              <w:rPr>
                <w:rFonts w:ascii="Calibri" w:eastAsia="Times New Roman" w:hAnsi="Calibri" w:cs="Times New Roman"/>
                <w:color w:val="000000"/>
                <w:lang w:eastAsia="fr-FR" w:bidi="ar-SA"/>
              </w:rPr>
              <w:t>0,984</w:t>
            </w:r>
          </w:p>
        </w:tc>
      </w:tr>
      <w:tr w:rsidR="00E85F4B" w:rsidRPr="007A5D47" w14:paraId="2F0DC581" w14:textId="77777777" w:rsidTr="00FC0B23">
        <w:trPr>
          <w:trHeight w:val="300"/>
          <w:jc w:val="center"/>
        </w:trPr>
        <w:tc>
          <w:tcPr>
            <w:tcW w:w="895" w:type="dxa"/>
            <w:noWrap/>
            <w:vAlign w:val="center"/>
            <w:hideMark/>
          </w:tcPr>
          <w:p w14:paraId="1824D14F" w14:textId="77777777" w:rsidR="00E85F4B" w:rsidRPr="007A5D47" w:rsidRDefault="00E85F4B" w:rsidP="00E85F4B">
            <w:pPr>
              <w:jc w:val="center"/>
              <w:rPr>
                <w:rFonts w:ascii="Calibri" w:eastAsia="Times New Roman" w:hAnsi="Calibri" w:cs="Times New Roman"/>
                <w:color w:val="000000"/>
                <w:lang w:eastAsia="fr-FR" w:bidi="ar-SA"/>
              </w:rPr>
            </w:pPr>
            <w:r w:rsidRPr="007A5D47">
              <w:rPr>
                <w:rFonts w:ascii="Calibri" w:eastAsia="Times New Roman" w:hAnsi="Calibri" w:cs="Times New Roman"/>
                <w:color w:val="000000"/>
                <w:lang w:eastAsia="fr-FR" w:bidi="ar-SA"/>
              </w:rPr>
              <w:t>15</w:t>
            </w:r>
          </w:p>
        </w:tc>
        <w:tc>
          <w:tcPr>
            <w:tcW w:w="2928" w:type="dxa"/>
            <w:tcBorders>
              <w:top w:val="nil"/>
              <w:left w:val="single" w:sz="8" w:space="0" w:color="auto"/>
              <w:bottom w:val="single" w:sz="8" w:space="0" w:color="auto"/>
              <w:right w:val="single" w:sz="8" w:space="0" w:color="auto"/>
            </w:tcBorders>
            <w:shd w:val="clear" w:color="auto" w:fill="auto"/>
            <w:noWrap/>
            <w:vAlign w:val="center"/>
            <w:hideMark/>
          </w:tcPr>
          <w:p w14:paraId="577E91B3" w14:textId="567E70B3" w:rsidR="00E85F4B" w:rsidRPr="007A5D47" w:rsidRDefault="00E85F4B" w:rsidP="00E85F4B">
            <w:pPr>
              <w:jc w:val="center"/>
              <w:rPr>
                <w:rFonts w:ascii="Calibri" w:eastAsia="Times New Roman" w:hAnsi="Calibri" w:cs="Times New Roman"/>
                <w:color w:val="000000"/>
                <w:lang w:eastAsia="fr-FR" w:bidi="ar-SA"/>
              </w:rPr>
            </w:pPr>
            <w:r>
              <w:rPr>
                <w:rFonts w:ascii="Calibri" w:hAnsi="Calibri"/>
                <w:color w:val="000000"/>
              </w:rPr>
              <w:t>0,880</w:t>
            </w:r>
          </w:p>
        </w:tc>
        <w:tc>
          <w:tcPr>
            <w:tcW w:w="4677" w:type="dxa"/>
            <w:noWrap/>
            <w:vAlign w:val="center"/>
            <w:hideMark/>
          </w:tcPr>
          <w:p w14:paraId="2DA85D3D" w14:textId="77777777" w:rsidR="00E85F4B" w:rsidRPr="007A5D47" w:rsidRDefault="00E85F4B" w:rsidP="00E85F4B">
            <w:pPr>
              <w:jc w:val="center"/>
              <w:rPr>
                <w:rFonts w:ascii="Calibri" w:eastAsia="Times New Roman" w:hAnsi="Calibri" w:cs="Times New Roman"/>
                <w:color w:val="000000"/>
                <w:lang w:eastAsia="fr-FR" w:bidi="ar-SA"/>
              </w:rPr>
            </w:pPr>
            <w:r w:rsidRPr="007A5D47">
              <w:rPr>
                <w:rFonts w:ascii="Calibri" w:eastAsia="Times New Roman" w:hAnsi="Calibri" w:cs="Times New Roman"/>
                <w:color w:val="000000"/>
                <w:lang w:eastAsia="fr-FR" w:bidi="ar-SA"/>
              </w:rPr>
              <w:t>0,983</w:t>
            </w:r>
          </w:p>
        </w:tc>
      </w:tr>
      <w:tr w:rsidR="00E85F4B" w:rsidRPr="007A5D47" w14:paraId="7113F251" w14:textId="77777777" w:rsidTr="00FC0B23">
        <w:trPr>
          <w:trHeight w:val="300"/>
          <w:jc w:val="center"/>
        </w:trPr>
        <w:tc>
          <w:tcPr>
            <w:tcW w:w="895" w:type="dxa"/>
            <w:noWrap/>
            <w:vAlign w:val="center"/>
            <w:hideMark/>
          </w:tcPr>
          <w:p w14:paraId="3E5E9F42" w14:textId="77777777" w:rsidR="00E85F4B" w:rsidRPr="007A5D47" w:rsidRDefault="00E85F4B" w:rsidP="00E85F4B">
            <w:pPr>
              <w:jc w:val="center"/>
              <w:rPr>
                <w:rFonts w:ascii="Calibri" w:eastAsia="Times New Roman" w:hAnsi="Calibri" w:cs="Times New Roman"/>
                <w:color w:val="000000"/>
                <w:lang w:eastAsia="fr-FR" w:bidi="ar-SA"/>
              </w:rPr>
            </w:pPr>
            <w:r w:rsidRPr="007A5D47">
              <w:rPr>
                <w:rFonts w:ascii="Calibri" w:eastAsia="Times New Roman" w:hAnsi="Calibri" w:cs="Times New Roman"/>
                <w:color w:val="000000"/>
                <w:lang w:eastAsia="fr-FR" w:bidi="ar-SA"/>
              </w:rPr>
              <w:t>16</w:t>
            </w:r>
          </w:p>
        </w:tc>
        <w:tc>
          <w:tcPr>
            <w:tcW w:w="2928" w:type="dxa"/>
            <w:tcBorders>
              <w:top w:val="nil"/>
              <w:left w:val="single" w:sz="8" w:space="0" w:color="auto"/>
              <w:bottom w:val="single" w:sz="8" w:space="0" w:color="auto"/>
              <w:right w:val="single" w:sz="8" w:space="0" w:color="auto"/>
            </w:tcBorders>
            <w:shd w:val="clear" w:color="auto" w:fill="auto"/>
            <w:noWrap/>
            <w:vAlign w:val="center"/>
            <w:hideMark/>
          </w:tcPr>
          <w:p w14:paraId="4F10860F" w14:textId="2E5A7F38" w:rsidR="00E85F4B" w:rsidRPr="007A5D47" w:rsidRDefault="00E85F4B" w:rsidP="00E85F4B">
            <w:pPr>
              <w:jc w:val="center"/>
              <w:rPr>
                <w:rFonts w:ascii="Calibri" w:eastAsia="Times New Roman" w:hAnsi="Calibri" w:cs="Times New Roman"/>
                <w:color w:val="000000"/>
                <w:lang w:eastAsia="fr-FR" w:bidi="ar-SA"/>
              </w:rPr>
            </w:pPr>
            <w:r>
              <w:rPr>
                <w:rFonts w:ascii="Calibri" w:hAnsi="Calibri"/>
                <w:color w:val="000000"/>
              </w:rPr>
              <w:t>0,872</w:t>
            </w:r>
          </w:p>
        </w:tc>
        <w:tc>
          <w:tcPr>
            <w:tcW w:w="4677" w:type="dxa"/>
            <w:noWrap/>
            <w:vAlign w:val="center"/>
            <w:hideMark/>
          </w:tcPr>
          <w:p w14:paraId="47F3DA8B" w14:textId="77777777" w:rsidR="00E85F4B" w:rsidRPr="007A5D47" w:rsidRDefault="00E85F4B" w:rsidP="00E85F4B">
            <w:pPr>
              <w:jc w:val="center"/>
              <w:rPr>
                <w:rFonts w:ascii="Calibri" w:eastAsia="Times New Roman" w:hAnsi="Calibri" w:cs="Times New Roman"/>
                <w:color w:val="000000"/>
                <w:lang w:eastAsia="fr-FR" w:bidi="ar-SA"/>
              </w:rPr>
            </w:pPr>
            <w:r w:rsidRPr="007A5D47">
              <w:rPr>
                <w:rFonts w:ascii="Calibri" w:eastAsia="Times New Roman" w:hAnsi="Calibri" w:cs="Times New Roman"/>
                <w:color w:val="000000"/>
                <w:lang w:eastAsia="fr-FR" w:bidi="ar-SA"/>
              </w:rPr>
              <w:t>0,981</w:t>
            </w:r>
          </w:p>
        </w:tc>
      </w:tr>
      <w:tr w:rsidR="00E85F4B" w:rsidRPr="007A5D47" w14:paraId="49E7CB40" w14:textId="77777777" w:rsidTr="00E85F4B">
        <w:trPr>
          <w:trHeight w:val="300"/>
          <w:jc w:val="center"/>
        </w:trPr>
        <w:tc>
          <w:tcPr>
            <w:tcW w:w="895" w:type="dxa"/>
            <w:noWrap/>
            <w:vAlign w:val="center"/>
            <w:hideMark/>
          </w:tcPr>
          <w:p w14:paraId="2543F5E1" w14:textId="77777777" w:rsidR="00E85F4B" w:rsidRPr="007A5D47" w:rsidRDefault="00E85F4B" w:rsidP="00E85F4B">
            <w:pPr>
              <w:jc w:val="center"/>
              <w:rPr>
                <w:rFonts w:ascii="Calibri" w:eastAsia="Times New Roman" w:hAnsi="Calibri" w:cs="Times New Roman"/>
                <w:color w:val="000000"/>
                <w:lang w:eastAsia="fr-FR" w:bidi="ar-SA"/>
              </w:rPr>
            </w:pPr>
            <w:r w:rsidRPr="007A5D47">
              <w:rPr>
                <w:rFonts w:ascii="Calibri" w:eastAsia="Times New Roman" w:hAnsi="Calibri" w:cs="Times New Roman"/>
                <w:color w:val="000000"/>
                <w:lang w:eastAsia="fr-FR" w:bidi="ar-SA"/>
              </w:rPr>
              <w:t>17</w:t>
            </w:r>
          </w:p>
        </w:tc>
        <w:tc>
          <w:tcPr>
            <w:tcW w:w="2928" w:type="dxa"/>
            <w:tcBorders>
              <w:top w:val="nil"/>
              <w:left w:val="single" w:sz="8" w:space="0" w:color="auto"/>
              <w:bottom w:val="single" w:sz="6" w:space="0" w:color="auto"/>
              <w:right w:val="single" w:sz="8" w:space="0" w:color="auto"/>
            </w:tcBorders>
            <w:shd w:val="clear" w:color="auto" w:fill="auto"/>
            <w:noWrap/>
            <w:vAlign w:val="center"/>
            <w:hideMark/>
          </w:tcPr>
          <w:p w14:paraId="3B3C744F" w14:textId="0B6C00CE" w:rsidR="00E85F4B" w:rsidRPr="007A5D47" w:rsidRDefault="00E85F4B" w:rsidP="00E85F4B">
            <w:pPr>
              <w:jc w:val="center"/>
              <w:rPr>
                <w:rFonts w:ascii="Calibri" w:eastAsia="Times New Roman" w:hAnsi="Calibri" w:cs="Times New Roman"/>
                <w:color w:val="000000"/>
                <w:lang w:eastAsia="fr-FR" w:bidi="ar-SA"/>
              </w:rPr>
            </w:pPr>
            <w:r>
              <w:rPr>
                <w:rFonts w:ascii="Calibri" w:hAnsi="Calibri"/>
                <w:color w:val="000000"/>
              </w:rPr>
              <w:t>0,864</w:t>
            </w:r>
          </w:p>
        </w:tc>
        <w:tc>
          <w:tcPr>
            <w:tcW w:w="4677" w:type="dxa"/>
            <w:noWrap/>
            <w:vAlign w:val="center"/>
            <w:hideMark/>
          </w:tcPr>
          <w:p w14:paraId="1946BDB0" w14:textId="77777777" w:rsidR="00E85F4B" w:rsidRPr="007A5D47" w:rsidRDefault="00E85F4B" w:rsidP="00E85F4B">
            <w:pPr>
              <w:jc w:val="center"/>
              <w:rPr>
                <w:rFonts w:ascii="Calibri" w:eastAsia="Times New Roman" w:hAnsi="Calibri" w:cs="Times New Roman"/>
                <w:color w:val="000000"/>
                <w:lang w:eastAsia="fr-FR" w:bidi="ar-SA"/>
              </w:rPr>
            </w:pPr>
            <w:r w:rsidRPr="007A5D47">
              <w:rPr>
                <w:rFonts w:ascii="Calibri" w:eastAsia="Times New Roman" w:hAnsi="Calibri" w:cs="Times New Roman"/>
                <w:color w:val="000000"/>
                <w:lang w:eastAsia="fr-FR" w:bidi="ar-SA"/>
              </w:rPr>
              <w:t>0,980</w:t>
            </w:r>
          </w:p>
        </w:tc>
      </w:tr>
      <w:tr w:rsidR="00E85F4B" w:rsidRPr="007A5D47" w14:paraId="05FA5A4D" w14:textId="77777777" w:rsidTr="00E85F4B">
        <w:trPr>
          <w:trHeight w:val="300"/>
          <w:jc w:val="center"/>
        </w:trPr>
        <w:tc>
          <w:tcPr>
            <w:tcW w:w="895" w:type="dxa"/>
            <w:tcBorders>
              <w:right w:val="single" w:sz="6" w:space="0" w:color="auto"/>
            </w:tcBorders>
            <w:noWrap/>
            <w:vAlign w:val="center"/>
            <w:hideMark/>
          </w:tcPr>
          <w:p w14:paraId="5C6D2692" w14:textId="77777777" w:rsidR="00E85F4B" w:rsidRPr="007A5D47" w:rsidRDefault="00E85F4B" w:rsidP="00E85F4B">
            <w:pPr>
              <w:jc w:val="center"/>
              <w:rPr>
                <w:rFonts w:ascii="Calibri" w:eastAsia="Times New Roman" w:hAnsi="Calibri" w:cs="Times New Roman"/>
                <w:color w:val="000000"/>
                <w:lang w:eastAsia="fr-FR" w:bidi="ar-SA"/>
              </w:rPr>
            </w:pPr>
            <w:r w:rsidRPr="007A5D47">
              <w:rPr>
                <w:rFonts w:ascii="Calibri" w:eastAsia="Times New Roman" w:hAnsi="Calibri" w:cs="Times New Roman"/>
                <w:color w:val="000000"/>
                <w:lang w:eastAsia="fr-FR" w:bidi="ar-SA"/>
              </w:rPr>
              <w:t>18</w:t>
            </w:r>
          </w:p>
        </w:tc>
        <w:tc>
          <w:tcPr>
            <w:tcW w:w="292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26DA473" w14:textId="27DD3C49" w:rsidR="00E85F4B" w:rsidRPr="007A5D47" w:rsidRDefault="00E85F4B" w:rsidP="00E85F4B">
            <w:pPr>
              <w:jc w:val="center"/>
              <w:rPr>
                <w:rFonts w:ascii="Calibri" w:eastAsia="Times New Roman" w:hAnsi="Calibri" w:cs="Times New Roman"/>
                <w:color w:val="000000"/>
                <w:lang w:eastAsia="fr-FR" w:bidi="ar-SA"/>
              </w:rPr>
            </w:pPr>
            <w:r>
              <w:rPr>
                <w:rFonts w:ascii="Calibri" w:hAnsi="Calibri"/>
                <w:color w:val="000000"/>
              </w:rPr>
              <w:t>0,856</w:t>
            </w:r>
          </w:p>
        </w:tc>
        <w:tc>
          <w:tcPr>
            <w:tcW w:w="4677" w:type="dxa"/>
            <w:tcBorders>
              <w:left w:val="single" w:sz="6" w:space="0" w:color="auto"/>
            </w:tcBorders>
            <w:noWrap/>
            <w:vAlign w:val="center"/>
            <w:hideMark/>
          </w:tcPr>
          <w:p w14:paraId="234AC1D2" w14:textId="77777777" w:rsidR="00E85F4B" w:rsidRPr="007A5D47" w:rsidRDefault="00E85F4B" w:rsidP="00E85F4B">
            <w:pPr>
              <w:jc w:val="center"/>
              <w:rPr>
                <w:rFonts w:ascii="Calibri" w:eastAsia="Times New Roman" w:hAnsi="Calibri" w:cs="Times New Roman"/>
                <w:color w:val="000000"/>
                <w:lang w:eastAsia="fr-FR" w:bidi="ar-SA"/>
              </w:rPr>
            </w:pPr>
            <w:r w:rsidRPr="007A5D47">
              <w:rPr>
                <w:rFonts w:ascii="Calibri" w:eastAsia="Times New Roman" w:hAnsi="Calibri" w:cs="Times New Roman"/>
                <w:color w:val="000000"/>
                <w:lang w:eastAsia="fr-FR" w:bidi="ar-SA"/>
              </w:rPr>
              <w:t>0,978</w:t>
            </w:r>
          </w:p>
        </w:tc>
      </w:tr>
      <w:tr w:rsidR="00E85F4B" w:rsidRPr="007A5D47" w14:paraId="1E784EEE" w14:textId="77777777" w:rsidTr="00E85F4B">
        <w:trPr>
          <w:trHeight w:val="300"/>
          <w:jc w:val="center"/>
        </w:trPr>
        <w:tc>
          <w:tcPr>
            <w:tcW w:w="895" w:type="dxa"/>
            <w:noWrap/>
            <w:vAlign w:val="center"/>
            <w:hideMark/>
          </w:tcPr>
          <w:p w14:paraId="7066FA9C" w14:textId="77777777" w:rsidR="00E85F4B" w:rsidRPr="007A5D47" w:rsidRDefault="00E85F4B" w:rsidP="00E85F4B">
            <w:pPr>
              <w:jc w:val="center"/>
              <w:rPr>
                <w:rFonts w:ascii="Calibri" w:eastAsia="Times New Roman" w:hAnsi="Calibri" w:cs="Times New Roman"/>
                <w:color w:val="000000"/>
                <w:lang w:eastAsia="fr-FR" w:bidi="ar-SA"/>
              </w:rPr>
            </w:pPr>
            <w:r w:rsidRPr="007A5D47">
              <w:rPr>
                <w:rFonts w:ascii="Calibri" w:eastAsia="Times New Roman" w:hAnsi="Calibri" w:cs="Times New Roman"/>
                <w:color w:val="000000"/>
                <w:lang w:eastAsia="fr-FR" w:bidi="ar-SA"/>
              </w:rPr>
              <w:t>19</w:t>
            </w:r>
          </w:p>
        </w:tc>
        <w:tc>
          <w:tcPr>
            <w:tcW w:w="2928" w:type="dxa"/>
            <w:tcBorders>
              <w:top w:val="single" w:sz="6" w:space="0" w:color="auto"/>
              <w:left w:val="single" w:sz="8" w:space="0" w:color="auto"/>
              <w:bottom w:val="single" w:sz="8" w:space="0" w:color="auto"/>
              <w:right w:val="single" w:sz="8" w:space="0" w:color="auto"/>
            </w:tcBorders>
            <w:shd w:val="clear" w:color="auto" w:fill="auto"/>
            <w:noWrap/>
            <w:vAlign w:val="center"/>
            <w:hideMark/>
          </w:tcPr>
          <w:p w14:paraId="39A92D2E" w14:textId="5D0683C5" w:rsidR="00E85F4B" w:rsidRPr="007A5D47" w:rsidRDefault="00E85F4B" w:rsidP="00E85F4B">
            <w:pPr>
              <w:jc w:val="center"/>
              <w:rPr>
                <w:rFonts w:ascii="Calibri" w:eastAsia="Times New Roman" w:hAnsi="Calibri" w:cs="Times New Roman"/>
                <w:color w:val="000000"/>
                <w:lang w:eastAsia="fr-FR" w:bidi="ar-SA"/>
              </w:rPr>
            </w:pPr>
            <w:r>
              <w:rPr>
                <w:rFonts w:ascii="Calibri" w:hAnsi="Calibri"/>
                <w:color w:val="000000"/>
              </w:rPr>
              <w:t>0,848</w:t>
            </w:r>
          </w:p>
        </w:tc>
        <w:tc>
          <w:tcPr>
            <w:tcW w:w="4677" w:type="dxa"/>
            <w:noWrap/>
            <w:vAlign w:val="center"/>
            <w:hideMark/>
          </w:tcPr>
          <w:p w14:paraId="2A3716F4" w14:textId="77777777" w:rsidR="00E85F4B" w:rsidRPr="007A5D47" w:rsidRDefault="00E85F4B" w:rsidP="00E85F4B">
            <w:pPr>
              <w:jc w:val="center"/>
              <w:rPr>
                <w:rFonts w:ascii="Calibri" w:eastAsia="Times New Roman" w:hAnsi="Calibri" w:cs="Times New Roman"/>
                <w:color w:val="000000"/>
                <w:lang w:eastAsia="fr-FR" w:bidi="ar-SA"/>
              </w:rPr>
            </w:pPr>
            <w:r w:rsidRPr="007A5D47">
              <w:rPr>
                <w:rFonts w:ascii="Calibri" w:eastAsia="Times New Roman" w:hAnsi="Calibri" w:cs="Times New Roman"/>
                <w:color w:val="000000"/>
                <w:lang w:eastAsia="fr-FR" w:bidi="ar-SA"/>
              </w:rPr>
              <w:t>0,976</w:t>
            </w:r>
          </w:p>
        </w:tc>
      </w:tr>
      <w:tr w:rsidR="00E85F4B" w:rsidRPr="007A5D47" w14:paraId="734C3749" w14:textId="77777777" w:rsidTr="00FC0B23">
        <w:trPr>
          <w:trHeight w:val="300"/>
          <w:jc w:val="center"/>
        </w:trPr>
        <w:tc>
          <w:tcPr>
            <w:tcW w:w="895" w:type="dxa"/>
            <w:noWrap/>
            <w:vAlign w:val="center"/>
            <w:hideMark/>
          </w:tcPr>
          <w:p w14:paraId="0878D476" w14:textId="77777777" w:rsidR="00E85F4B" w:rsidRPr="007A5D47" w:rsidRDefault="00E85F4B" w:rsidP="00E85F4B">
            <w:pPr>
              <w:jc w:val="center"/>
              <w:rPr>
                <w:rFonts w:ascii="Calibri" w:eastAsia="Times New Roman" w:hAnsi="Calibri" w:cs="Times New Roman"/>
                <w:color w:val="000000"/>
                <w:lang w:eastAsia="fr-FR" w:bidi="ar-SA"/>
              </w:rPr>
            </w:pPr>
            <w:r w:rsidRPr="007A5D47">
              <w:rPr>
                <w:rFonts w:ascii="Calibri" w:eastAsia="Times New Roman" w:hAnsi="Calibri" w:cs="Times New Roman"/>
                <w:color w:val="000000"/>
                <w:lang w:eastAsia="fr-FR" w:bidi="ar-SA"/>
              </w:rPr>
              <w:t>20</w:t>
            </w:r>
          </w:p>
        </w:tc>
        <w:tc>
          <w:tcPr>
            <w:tcW w:w="2928" w:type="dxa"/>
            <w:tcBorders>
              <w:top w:val="nil"/>
              <w:left w:val="single" w:sz="8" w:space="0" w:color="auto"/>
              <w:bottom w:val="single" w:sz="8" w:space="0" w:color="auto"/>
              <w:right w:val="single" w:sz="8" w:space="0" w:color="auto"/>
            </w:tcBorders>
            <w:shd w:val="clear" w:color="auto" w:fill="auto"/>
            <w:noWrap/>
            <w:vAlign w:val="center"/>
            <w:hideMark/>
          </w:tcPr>
          <w:p w14:paraId="1E7B57BC" w14:textId="5BF2A87C" w:rsidR="00E85F4B" w:rsidRPr="007A5D47" w:rsidRDefault="00E85F4B" w:rsidP="00E85F4B">
            <w:pPr>
              <w:jc w:val="center"/>
              <w:rPr>
                <w:rFonts w:ascii="Calibri" w:eastAsia="Times New Roman" w:hAnsi="Calibri" w:cs="Times New Roman"/>
                <w:color w:val="000000"/>
                <w:lang w:eastAsia="fr-FR" w:bidi="ar-SA"/>
              </w:rPr>
            </w:pPr>
            <w:r>
              <w:rPr>
                <w:rFonts w:ascii="Calibri" w:hAnsi="Calibri"/>
                <w:color w:val="000000"/>
              </w:rPr>
              <w:t>0,840</w:t>
            </w:r>
          </w:p>
        </w:tc>
        <w:tc>
          <w:tcPr>
            <w:tcW w:w="4677" w:type="dxa"/>
            <w:noWrap/>
            <w:vAlign w:val="center"/>
            <w:hideMark/>
          </w:tcPr>
          <w:p w14:paraId="7CE188DB" w14:textId="77777777" w:rsidR="00E85F4B" w:rsidRPr="007A5D47" w:rsidRDefault="00E85F4B" w:rsidP="00E85F4B">
            <w:pPr>
              <w:jc w:val="center"/>
              <w:rPr>
                <w:rFonts w:ascii="Calibri" w:eastAsia="Times New Roman" w:hAnsi="Calibri" w:cs="Times New Roman"/>
                <w:color w:val="000000"/>
                <w:lang w:eastAsia="fr-FR" w:bidi="ar-SA"/>
              </w:rPr>
            </w:pPr>
            <w:r w:rsidRPr="007A5D47">
              <w:rPr>
                <w:rFonts w:ascii="Calibri" w:eastAsia="Times New Roman" w:hAnsi="Calibri" w:cs="Times New Roman"/>
                <w:color w:val="000000"/>
                <w:lang w:eastAsia="fr-FR" w:bidi="ar-SA"/>
              </w:rPr>
              <w:t>0,975</w:t>
            </w:r>
          </w:p>
        </w:tc>
      </w:tr>
      <w:tr w:rsidR="00E85F4B" w:rsidRPr="007A5D47" w14:paraId="68D03304" w14:textId="77777777" w:rsidTr="00FC0B23">
        <w:trPr>
          <w:trHeight w:val="300"/>
          <w:jc w:val="center"/>
        </w:trPr>
        <w:tc>
          <w:tcPr>
            <w:tcW w:w="895" w:type="dxa"/>
            <w:noWrap/>
            <w:vAlign w:val="center"/>
            <w:hideMark/>
          </w:tcPr>
          <w:p w14:paraId="4DF1E3EE" w14:textId="77777777" w:rsidR="00E85F4B" w:rsidRPr="007A5D47" w:rsidRDefault="00E85F4B" w:rsidP="00E85F4B">
            <w:pPr>
              <w:jc w:val="center"/>
              <w:rPr>
                <w:rFonts w:ascii="Calibri" w:eastAsia="Times New Roman" w:hAnsi="Calibri" w:cs="Times New Roman"/>
                <w:color w:val="000000"/>
                <w:lang w:eastAsia="fr-FR" w:bidi="ar-SA"/>
              </w:rPr>
            </w:pPr>
            <w:r w:rsidRPr="007A5D47">
              <w:rPr>
                <w:rFonts w:ascii="Calibri" w:eastAsia="Times New Roman" w:hAnsi="Calibri" w:cs="Times New Roman"/>
                <w:color w:val="000000"/>
                <w:lang w:eastAsia="fr-FR" w:bidi="ar-SA"/>
              </w:rPr>
              <w:t>21</w:t>
            </w:r>
          </w:p>
        </w:tc>
        <w:tc>
          <w:tcPr>
            <w:tcW w:w="2928" w:type="dxa"/>
            <w:tcBorders>
              <w:top w:val="nil"/>
              <w:left w:val="single" w:sz="8" w:space="0" w:color="auto"/>
              <w:bottom w:val="single" w:sz="8" w:space="0" w:color="auto"/>
              <w:right w:val="single" w:sz="8" w:space="0" w:color="auto"/>
            </w:tcBorders>
            <w:shd w:val="clear" w:color="auto" w:fill="auto"/>
            <w:noWrap/>
            <w:vAlign w:val="center"/>
            <w:hideMark/>
          </w:tcPr>
          <w:p w14:paraId="53C1F767" w14:textId="4F0E790D" w:rsidR="00E85F4B" w:rsidRPr="007A5D47" w:rsidRDefault="00E85F4B" w:rsidP="00E85F4B">
            <w:pPr>
              <w:jc w:val="center"/>
              <w:rPr>
                <w:rFonts w:ascii="Calibri" w:eastAsia="Times New Roman" w:hAnsi="Calibri" w:cs="Times New Roman"/>
                <w:color w:val="000000"/>
                <w:lang w:eastAsia="fr-FR" w:bidi="ar-SA"/>
              </w:rPr>
            </w:pPr>
            <w:r>
              <w:rPr>
                <w:rFonts w:ascii="Calibri" w:hAnsi="Calibri"/>
                <w:color w:val="000000"/>
              </w:rPr>
              <w:t>0,831</w:t>
            </w:r>
          </w:p>
        </w:tc>
        <w:tc>
          <w:tcPr>
            <w:tcW w:w="4677" w:type="dxa"/>
            <w:noWrap/>
            <w:vAlign w:val="center"/>
            <w:hideMark/>
          </w:tcPr>
          <w:p w14:paraId="533D115E" w14:textId="77777777" w:rsidR="00E85F4B" w:rsidRPr="007A5D47" w:rsidRDefault="00E85F4B" w:rsidP="00E85F4B">
            <w:pPr>
              <w:jc w:val="center"/>
              <w:rPr>
                <w:rFonts w:ascii="Calibri" w:eastAsia="Times New Roman" w:hAnsi="Calibri" w:cs="Times New Roman"/>
                <w:color w:val="000000"/>
                <w:lang w:eastAsia="fr-FR" w:bidi="ar-SA"/>
              </w:rPr>
            </w:pPr>
            <w:r w:rsidRPr="007A5D47">
              <w:rPr>
                <w:rFonts w:ascii="Calibri" w:eastAsia="Times New Roman" w:hAnsi="Calibri" w:cs="Times New Roman"/>
                <w:color w:val="000000"/>
                <w:lang w:eastAsia="fr-FR" w:bidi="ar-SA"/>
              </w:rPr>
              <w:t>0,973</w:t>
            </w:r>
          </w:p>
        </w:tc>
      </w:tr>
      <w:tr w:rsidR="00E85F4B" w:rsidRPr="007A5D47" w14:paraId="60BD1AE2" w14:textId="77777777" w:rsidTr="00FC0B23">
        <w:trPr>
          <w:trHeight w:val="300"/>
          <w:jc w:val="center"/>
        </w:trPr>
        <w:tc>
          <w:tcPr>
            <w:tcW w:w="895" w:type="dxa"/>
            <w:noWrap/>
            <w:vAlign w:val="center"/>
            <w:hideMark/>
          </w:tcPr>
          <w:p w14:paraId="16420190" w14:textId="77777777" w:rsidR="00E85F4B" w:rsidRPr="007A5D47" w:rsidRDefault="00E85F4B" w:rsidP="00E85F4B">
            <w:pPr>
              <w:jc w:val="center"/>
              <w:rPr>
                <w:rFonts w:ascii="Calibri" w:eastAsia="Times New Roman" w:hAnsi="Calibri" w:cs="Times New Roman"/>
                <w:color w:val="000000"/>
                <w:lang w:eastAsia="fr-FR" w:bidi="ar-SA"/>
              </w:rPr>
            </w:pPr>
            <w:r w:rsidRPr="007A5D47">
              <w:rPr>
                <w:rFonts w:ascii="Calibri" w:eastAsia="Times New Roman" w:hAnsi="Calibri" w:cs="Times New Roman"/>
                <w:color w:val="000000"/>
                <w:lang w:eastAsia="fr-FR" w:bidi="ar-SA"/>
              </w:rPr>
              <w:t>22</w:t>
            </w:r>
          </w:p>
        </w:tc>
        <w:tc>
          <w:tcPr>
            <w:tcW w:w="2928" w:type="dxa"/>
            <w:tcBorders>
              <w:top w:val="nil"/>
              <w:left w:val="single" w:sz="8" w:space="0" w:color="auto"/>
              <w:bottom w:val="single" w:sz="8" w:space="0" w:color="auto"/>
              <w:right w:val="single" w:sz="8" w:space="0" w:color="auto"/>
            </w:tcBorders>
            <w:shd w:val="clear" w:color="auto" w:fill="auto"/>
            <w:noWrap/>
            <w:vAlign w:val="center"/>
            <w:hideMark/>
          </w:tcPr>
          <w:p w14:paraId="7D42B45F" w14:textId="2AE3FE55" w:rsidR="00E85F4B" w:rsidRPr="007A5D47" w:rsidRDefault="00E85F4B" w:rsidP="00E85F4B">
            <w:pPr>
              <w:jc w:val="center"/>
              <w:rPr>
                <w:rFonts w:ascii="Calibri" w:eastAsia="Times New Roman" w:hAnsi="Calibri" w:cs="Times New Roman"/>
                <w:color w:val="000000"/>
                <w:lang w:eastAsia="fr-FR" w:bidi="ar-SA"/>
              </w:rPr>
            </w:pPr>
            <w:r>
              <w:rPr>
                <w:rFonts w:ascii="Calibri" w:hAnsi="Calibri"/>
                <w:color w:val="000000"/>
              </w:rPr>
              <w:t>0,823</w:t>
            </w:r>
          </w:p>
        </w:tc>
        <w:tc>
          <w:tcPr>
            <w:tcW w:w="4677" w:type="dxa"/>
            <w:noWrap/>
            <w:vAlign w:val="center"/>
            <w:hideMark/>
          </w:tcPr>
          <w:p w14:paraId="030E9029" w14:textId="77777777" w:rsidR="00E85F4B" w:rsidRPr="007A5D47" w:rsidRDefault="00E85F4B" w:rsidP="00E85F4B">
            <w:pPr>
              <w:jc w:val="center"/>
              <w:rPr>
                <w:rFonts w:ascii="Calibri" w:eastAsia="Times New Roman" w:hAnsi="Calibri" w:cs="Times New Roman"/>
                <w:color w:val="000000"/>
                <w:lang w:eastAsia="fr-FR" w:bidi="ar-SA"/>
              </w:rPr>
            </w:pPr>
            <w:r w:rsidRPr="007A5D47">
              <w:rPr>
                <w:rFonts w:ascii="Calibri" w:eastAsia="Times New Roman" w:hAnsi="Calibri" w:cs="Times New Roman"/>
                <w:color w:val="000000"/>
                <w:lang w:eastAsia="fr-FR" w:bidi="ar-SA"/>
              </w:rPr>
              <w:t>0,971</w:t>
            </w:r>
          </w:p>
        </w:tc>
      </w:tr>
      <w:tr w:rsidR="00E85F4B" w:rsidRPr="007A5D47" w14:paraId="6EBA0B45" w14:textId="77777777" w:rsidTr="00FC0B23">
        <w:trPr>
          <w:trHeight w:val="300"/>
          <w:jc w:val="center"/>
        </w:trPr>
        <w:tc>
          <w:tcPr>
            <w:tcW w:w="895" w:type="dxa"/>
            <w:noWrap/>
            <w:vAlign w:val="center"/>
            <w:hideMark/>
          </w:tcPr>
          <w:p w14:paraId="51BD2D77" w14:textId="77777777" w:rsidR="00E85F4B" w:rsidRPr="007A5D47" w:rsidRDefault="00E85F4B" w:rsidP="00E85F4B">
            <w:pPr>
              <w:jc w:val="center"/>
              <w:rPr>
                <w:rFonts w:ascii="Calibri" w:eastAsia="Times New Roman" w:hAnsi="Calibri" w:cs="Times New Roman"/>
                <w:color w:val="000000"/>
                <w:lang w:eastAsia="fr-FR" w:bidi="ar-SA"/>
              </w:rPr>
            </w:pPr>
            <w:r w:rsidRPr="007A5D47">
              <w:rPr>
                <w:rFonts w:ascii="Calibri" w:eastAsia="Times New Roman" w:hAnsi="Calibri" w:cs="Times New Roman"/>
                <w:color w:val="000000"/>
                <w:lang w:eastAsia="fr-FR" w:bidi="ar-SA"/>
              </w:rPr>
              <w:t>23</w:t>
            </w:r>
          </w:p>
        </w:tc>
        <w:tc>
          <w:tcPr>
            <w:tcW w:w="2928" w:type="dxa"/>
            <w:tcBorders>
              <w:top w:val="nil"/>
              <w:left w:val="single" w:sz="8" w:space="0" w:color="auto"/>
              <w:bottom w:val="single" w:sz="8" w:space="0" w:color="auto"/>
              <w:right w:val="single" w:sz="8" w:space="0" w:color="auto"/>
            </w:tcBorders>
            <w:shd w:val="clear" w:color="auto" w:fill="auto"/>
            <w:noWrap/>
            <w:vAlign w:val="center"/>
            <w:hideMark/>
          </w:tcPr>
          <w:p w14:paraId="61860525" w14:textId="3C388A74" w:rsidR="00E85F4B" w:rsidRPr="007A5D47" w:rsidRDefault="00E85F4B" w:rsidP="00E85F4B">
            <w:pPr>
              <w:jc w:val="center"/>
              <w:rPr>
                <w:rFonts w:ascii="Calibri" w:eastAsia="Times New Roman" w:hAnsi="Calibri" w:cs="Times New Roman"/>
                <w:color w:val="000000"/>
                <w:lang w:eastAsia="fr-FR" w:bidi="ar-SA"/>
              </w:rPr>
            </w:pPr>
            <w:r>
              <w:rPr>
                <w:rFonts w:ascii="Calibri" w:hAnsi="Calibri"/>
                <w:color w:val="000000"/>
              </w:rPr>
              <w:t>0,815</w:t>
            </w:r>
          </w:p>
        </w:tc>
        <w:tc>
          <w:tcPr>
            <w:tcW w:w="4677" w:type="dxa"/>
            <w:noWrap/>
            <w:vAlign w:val="center"/>
            <w:hideMark/>
          </w:tcPr>
          <w:p w14:paraId="6D805141" w14:textId="77777777" w:rsidR="00E85F4B" w:rsidRPr="007A5D47" w:rsidRDefault="00E85F4B" w:rsidP="00E85F4B">
            <w:pPr>
              <w:jc w:val="center"/>
              <w:rPr>
                <w:rFonts w:ascii="Calibri" w:eastAsia="Times New Roman" w:hAnsi="Calibri" w:cs="Times New Roman"/>
                <w:color w:val="000000"/>
                <w:lang w:eastAsia="fr-FR" w:bidi="ar-SA"/>
              </w:rPr>
            </w:pPr>
            <w:r w:rsidRPr="007A5D47">
              <w:rPr>
                <w:rFonts w:ascii="Calibri" w:eastAsia="Times New Roman" w:hAnsi="Calibri" w:cs="Times New Roman"/>
                <w:color w:val="000000"/>
                <w:lang w:eastAsia="fr-FR" w:bidi="ar-SA"/>
              </w:rPr>
              <w:t>0,969</w:t>
            </w:r>
          </w:p>
        </w:tc>
      </w:tr>
      <w:tr w:rsidR="00E85F4B" w:rsidRPr="007A5D47" w14:paraId="568B1625" w14:textId="77777777" w:rsidTr="00FC0B23">
        <w:trPr>
          <w:trHeight w:val="300"/>
          <w:jc w:val="center"/>
        </w:trPr>
        <w:tc>
          <w:tcPr>
            <w:tcW w:w="895" w:type="dxa"/>
            <w:noWrap/>
            <w:vAlign w:val="center"/>
            <w:hideMark/>
          </w:tcPr>
          <w:p w14:paraId="724F3C31" w14:textId="77777777" w:rsidR="00E85F4B" w:rsidRPr="007A5D47" w:rsidRDefault="00E85F4B" w:rsidP="00E85F4B">
            <w:pPr>
              <w:jc w:val="center"/>
              <w:rPr>
                <w:rFonts w:ascii="Calibri" w:eastAsia="Times New Roman" w:hAnsi="Calibri" w:cs="Times New Roman"/>
                <w:color w:val="000000"/>
                <w:lang w:eastAsia="fr-FR" w:bidi="ar-SA"/>
              </w:rPr>
            </w:pPr>
            <w:r w:rsidRPr="007A5D47">
              <w:rPr>
                <w:rFonts w:ascii="Calibri" w:eastAsia="Times New Roman" w:hAnsi="Calibri" w:cs="Times New Roman"/>
                <w:color w:val="000000"/>
                <w:lang w:eastAsia="fr-FR" w:bidi="ar-SA"/>
              </w:rPr>
              <w:t>24</w:t>
            </w:r>
          </w:p>
        </w:tc>
        <w:tc>
          <w:tcPr>
            <w:tcW w:w="2928" w:type="dxa"/>
            <w:tcBorders>
              <w:top w:val="nil"/>
              <w:left w:val="single" w:sz="8" w:space="0" w:color="auto"/>
              <w:bottom w:val="single" w:sz="8" w:space="0" w:color="auto"/>
              <w:right w:val="single" w:sz="8" w:space="0" w:color="auto"/>
            </w:tcBorders>
            <w:shd w:val="clear" w:color="auto" w:fill="auto"/>
            <w:noWrap/>
            <w:vAlign w:val="center"/>
            <w:hideMark/>
          </w:tcPr>
          <w:p w14:paraId="64C513D1" w14:textId="6EDCF05A" w:rsidR="00E85F4B" w:rsidRPr="007A5D47" w:rsidRDefault="00E85F4B" w:rsidP="00E85F4B">
            <w:pPr>
              <w:jc w:val="center"/>
              <w:rPr>
                <w:rFonts w:ascii="Calibri" w:eastAsia="Times New Roman" w:hAnsi="Calibri" w:cs="Times New Roman"/>
                <w:color w:val="000000"/>
                <w:lang w:eastAsia="fr-FR" w:bidi="ar-SA"/>
              </w:rPr>
            </w:pPr>
            <w:r>
              <w:rPr>
                <w:rFonts w:ascii="Calibri" w:hAnsi="Calibri"/>
                <w:color w:val="000000"/>
              </w:rPr>
              <w:t>0,806</w:t>
            </w:r>
          </w:p>
        </w:tc>
        <w:tc>
          <w:tcPr>
            <w:tcW w:w="4677" w:type="dxa"/>
            <w:noWrap/>
            <w:vAlign w:val="center"/>
            <w:hideMark/>
          </w:tcPr>
          <w:p w14:paraId="7796280B" w14:textId="77777777" w:rsidR="00E85F4B" w:rsidRPr="007A5D47" w:rsidRDefault="00E85F4B" w:rsidP="00E85F4B">
            <w:pPr>
              <w:jc w:val="center"/>
              <w:rPr>
                <w:rFonts w:ascii="Calibri" w:eastAsia="Times New Roman" w:hAnsi="Calibri" w:cs="Times New Roman"/>
                <w:color w:val="000000"/>
                <w:lang w:eastAsia="fr-FR" w:bidi="ar-SA"/>
              </w:rPr>
            </w:pPr>
            <w:r w:rsidRPr="007A5D47">
              <w:rPr>
                <w:rFonts w:ascii="Calibri" w:eastAsia="Times New Roman" w:hAnsi="Calibri" w:cs="Times New Roman"/>
                <w:color w:val="000000"/>
                <w:lang w:eastAsia="fr-FR" w:bidi="ar-SA"/>
              </w:rPr>
              <w:t>0,967</w:t>
            </w:r>
          </w:p>
        </w:tc>
      </w:tr>
      <w:tr w:rsidR="00E85F4B" w:rsidRPr="007A5D47" w14:paraId="26561E4B" w14:textId="77777777" w:rsidTr="00FC0B23">
        <w:trPr>
          <w:trHeight w:val="300"/>
          <w:jc w:val="center"/>
        </w:trPr>
        <w:tc>
          <w:tcPr>
            <w:tcW w:w="895" w:type="dxa"/>
            <w:noWrap/>
            <w:vAlign w:val="center"/>
            <w:hideMark/>
          </w:tcPr>
          <w:p w14:paraId="30DD75DD" w14:textId="77777777" w:rsidR="00E85F4B" w:rsidRPr="007A5D47" w:rsidRDefault="00E85F4B" w:rsidP="00E85F4B">
            <w:pPr>
              <w:jc w:val="center"/>
              <w:rPr>
                <w:rFonts w:ascii="Calibri" w:eastAsia="Times New Roman" w:hAnsi="Calibri" w:cs="Times New Roman"/>
                <w:color w:val="000000"/>
                <w:lang w:eastAsia="fr-FR" w:bidi="ar-SA"/>
              </w:rPr>
            </w:pPr>
            <w:r w:rsidRPr="007A5D47">
              <w:rPr>
                <w:rFonts w:ascii="Calibri" w:eastAsia="Times New Roman" w:hAnsi="Calibri" w:cs="Times New Roman"/>
                <w:color w:val="000000"/>
                <w:lang w:eastAsia="fr-FR" w:bidi="ar-SA"/>
              </w:rPr>
              <w:t>25</w:t>
            </w:r>
          </w:p>
        </w:tc>
        <w:tc>
          <w:tcPr>
            <w:tcW w:w="2928" w:type="dxa"/>
            <w:tcBorders>
              <w:top w:val="nil"/>
              <w:left w:val="single" w:sz="8" w:space="0" w:color="auto"/>
              <w:bottom w:val="single" w:sz="8" w:space="0" w:color="auto"/>
              <w:right w:val="single" w:sz="8" w:space="0" w:color="auto"/>
            </w:tcBorders>
            <w:shd w:val="clear" w:color="auto" w:fill="auto"/>
            <w:noWrap/>
            <w:vAlign w:val="center"/>
            <w:hideMark/>
          </w:tcPr>
          <w:p w14:paraId="3AFF72C2" w14:textId="197A5557" w:rsidR="00E85F4B" w:rsidRPr="007A5D47" w:rsidRDefault="00E85F4B" w:rsidP="00E85F4B">
            <w:pPr>
              <w:jc w:val="center"/>
              <w:rPr>
                <w:rFonts w:ascii="Calibri" w:eastAsia="Times New Roman" w:hAnsi="Calibri" w:cs="Times New Roman"/>
                <w:color w:val="000000"/>
                <w:lang w:eastAsia="fr-FR" w:bidi="ar-SA"/>
              </w:rPr>
            </w:pPr>
            <w:r>
              <w:rPr>
                <w:rFonts w:ascii="Calibri" w:hAnsi="Calibri"/>
                <w:color w:val="000000"/>
              </w:rPr>
              <w:t>0,798</w:t>
            </w:r>
          </w:p>
        </w:tc>
        <w:tc>
          <w:tcPr>
            <w:tcW w:w="4677" w:type="dxa"/>
            <w:noWrap/>
            <w:vAlign w:val="center"/>
            <w:hideMark/>
          </w:tcPr>
          <w:p w14:paraId="74E23D49" w14:textId="77777777" w:rsidR="00E85F4B" w:rsidRPr="007A5D47" w:rsidRDefault="00E85F4B" w:rsidP="00E85F4B">
            <w:pPr>
              <w:jc w:val="center"/>
              <w:rPr>
                <w:rFonts w:ascii="Calibri" w:eastAsia="Times New Roman" w:hAnsi="Calibri" w:cs="Times New Roman"/>
                <w:color w:val="000000"/>
                <w:lang w:eastAsia="fr-FR" w:bidi="ar-SA"/>
              </w:rPr>
            </w:pPr>
            <w:r w:rsidRPr="007A5D47">
              <w:rPr>
                <w:rFonts w:ascii="Calibri" w:eastAsia="Times New Roman" w:hAnsi="Calibri" w:cs="Times New Roman"/>
                <w:color w:val="000000"/>
                <w:lang w:eastAsia="fr-FR" w:bidi="ar-SA"/>
              </w:rPr>
              <w:t>0,965</w:t>
            </w:r>
          </w:p>
        </w:tc>
      </w:tr>
      <w:tr w:rsidR="00E85F4B" w:rsidRPr="007A5D47" w14:paraId="10EC0F3F" w14:textId="77777777" w:rsidTr="00FC0B23">
        <w:trPr>
          <w:trHeight w:val="300"/>
          <w:jc w:val="center"/>
        </w:trPr>
        <w:tc>
          <w:tcPr>
            <w:tcW w:w="895" w:type="dxa"/>
            <w:noWrap/>
            <w:vAlign w:val="center"/>
            <w:hideMark/>
          </w:tcPr>
          <w:p w14:paraId="50D4F7FD" w14:textId="77777777" w:rsidR="00E85F4B" w:rsidRPr="007A5D47" w:rsidRDefault="00E85F4B" w:rsidP="00E85F4B">
            <w:pPr>
              <w:jc w:val="center"/>
              <w:rPr>
                <w:rFonts w:ascii="Calibri" w:eastAsia="Times New Roman" w:hAnsi="Calibri" w:cs="Times New Roman"/>
                <w:color w:val="000000"/>
                <w:lang w:eastAsia="fr-FR" w:bidi="ar-SA"/>
              </w:rPr>
            </w:pPr>
            <w:r w:rsidRPr="007A5D47">
              <w:rPr>
                <w:rFonts w:ascii="Calibri" w:eastAsia="Times New Roman" w:hAnsi="Calibri" w:cs="Times New Roman"/>
                <w:color w:val="000000"/>
                <w:lang w:eastAsia="fr-FR" w:bidi="ar-SA"/>
              </w:rPr>
              <w:t>26</w:t>
            </w:r>
          </w:p>
        </w:tc>
        <w:tc>
          <w:tcPr>
            <w:tcW w:w="2928" w:type="dxa"/>
            <w:tcBorders>
              <w:top w:val="nil"/>
              <w:left w:val="single" w:sz="8" w:space="0" w:color="auto"/>
              <w:bottom w:val="single" w:sz="8" w:space="0" w:color="auto"/>
              <w:right w:val="single" w:sz="8" w:space="0" w:color="auto"/>
            </w:tcBorders>
            <w:shd w:val="clear" w:color="auto" w:fill="auto"/>
            <w:noWrap/>
            <w:vAlign w:val="center"/>
            <w:hideMark/>
          </w:tcPr>
          <w:p w14:paraId="153A8F76" w14:textId="0516DCD8" w:rsidR="00E85F4B" w:rsidRPr="007A5D47" w:rsidRDefault="00E85F4B" w:rsidP="00E85F4B">
            <w:pPr>
              <w:jc w:val="center"/>
              <w:rPr>
                <w:rFonts w:ascii="Calibri" w:eastAsia="Times New Roman" w:hAnsi="Calibri" w:cs="Times New Roman"/>
                <w:color w:val="000000"/>
                <w:lang w:eastAsia="fr-FR" w:bidi="ar-SA"/>
              </w:rPr>
            </w:pPr>
            <w:r>
              <w:rPr>
                <w:rFonts w:ascii="Calibri" w:hAnsi="Calibri"/>
                <w:color w:val="000000"/>
              </w:rPr>
              <w:t>0,790</w:t>
            </w:r>
          </w:p>
        </w:tc>
        <w:tc>
          <w:tcPr>
            <w:tcW w:w="4677" w:type="dxa"/>
            <w:noWrap/>
            <w:vAlign w:val="center"/>
            <w:hideMark/>
          </w:tcPr>
          <w:p w14:paraId="029E6096" w14:textId="77777777" w:rsidR="00E85F4B" w:rsidRPr="007A5D47" w:rsidRDefault="00E85F4B" w:rsidP="00E85F4B">
            <w:pPr>
              <w:jc w:val="center"/>
              <w:rPr>
                <w:rFonts w:ascii="Calibri" w:eastAsia="Times New Roman" w:hAnsi="Calibri" w:cs="Times New Roman"/>
                <w:color w:val="000000"/>
                <w:lang w:eastAsia="fr-FR" w:bidi="ar-SA"/>
              </w:rPr>
            </w:pPr>
            <w:r w:rsidRPr="007A5D47">
              <w:rPr>
                <w:rFonts w:ascii="Calibri" w:eastAsia="Times New Roman" w:hAnsi="Calibri" w:cs="Times New Roman"/>
                <w:color w:val="000000"/>
                <w:lang w:eastAsia="fr-FR" w:bidi="ar-SA"/>
              </w:rPr>
              <w:t>0,963</w:t>
            </w:r>
          </w:p>
        </w:tc>
      </w:tr>
      <w:tr w:rsidR="00E85F4B" w:rsidRPr="007A5D47" w14:paraId="14C9C7E0" w14:textId="77777777" w:rsidTr="00FC0B23">
        <w:trPr>
          <w:trHeight w:val="300"/>
          <w:jc w:val="center"/>
        </w:trPr>
        <w:tc>
          <w:tcPr>
            <w:tcW w:w="895" w:type="dxa"/>
            <w:noWrap/>
            <w:vAlign w:val="center"/>
            <w:hideMark/>
          </w:tcPr>
          <w:p w14:paraId="4B119292" w14:textId="77777777" w:rsidR="00E85F4B" w:rsidRPr="007A5D47" w:rsidRDefault="00E85F4B" w:rsidP="00E85F4B">
            <w:pPr>
              <w:jc w:val="center"/>
              <w:rPr>
                <w:rFonts w:ascii="Calibri" w:eastAsia="Times New Roman" w:hAnsi="Calibri" w:cs="Times New Roman"/>
                <w:color w:val="000000"/>
                <w:lang w:eastAsia="fr-FR" w:bidi="ar-SA"/>
              </w:rPr>
            </w:pPr>
            <w:r w:rsidRPr="007A5D47">
              <w:rPr>
                <w:rFonts w:ascii="Calibri" w:eastAsia="Times New Roman" w:hAnsi="Calibri" w:cs="Times New Roman"/>
                <w:color w:val="000000"/>
                <w:lang w:eastAsia="fr-FR" w:bidi="ar-SA"/>
              </w:rPr>
              <w:t>27</w:t>
            </w:r>
          </w:p>
        </w:tc>
        <w:tc>
          <w:tcPr>
            <w:tcW w:w="2928" w:type="dxa"/>
            <w:tcBorders>
              <w:top w:val="nil"/>
              <w:left w:val="single" w:sz="8" w:space="0" w:color="auto"/>
              <w:bottom w:val="single" w:sz="8" w:space="0" w:color="auto"/>
              <w:right w:val="single" w:sz="8" w:space="0" w:color="auto"/>
            </w:tcBorders>
            <w:shd w:val="clear" w:color="auto" w:fill="auto"/>
            <w:noWrap/>
            <w:vAlign w:val="center"/>
            <w:hideMark/>
          </w:tcPr>
          <w:p w14:paraId="7C30BBBC" w14:textId="2E9A5CE8" w:rsidR="00E85F4B" w:rsidRPr="007A5D47" w:rsidRDefault="00E85F4B" w:rsidP="00E85F4B">
            <w:pPr>
              <w:jc w:val="center"/>
              <w:rPr>
                <w:rFonts w:ascii="Calibri" w:eastAsia="Times New Roman" w:hAnsi="Calibri" w:cs="Times New Roman"/>
                <w:color w:val="000000"/>
                <w:lang w:eastAsia="fr-FR" w:bidi="ar-SA"/>
              </w:rPr>
            </w:pPr>
            <w:r>
              <w:rPr>
                <w:rFonts w:ascii="Calibri" w:hAnsi="Calibri"/>
                <w:color w:val="000000"/>
              </w:rPr>
              <w:t>0,781</w:t>
            </w:r>
          </w:p>
        </w:tc>
        <w:tc>
          <w:tcPr>
            <w:tcW w:w="4677" w:type="dxa"/>
            <w:noWrap/>
            <w:vAlign w:val="center"/>
            <w:hideMark/>
          </w:tcPr>
          <w:p w14:paraId="749F0D2F" w14:textId="77777777" w:rsidR="00E85F4B" w:rsidRPr="007A5D47" w:rsidRDefault="00E85F4B" w:rsidP="00E85F4B">
            <w:pPr>
              <w:jc w:val="center"/>
              <w:rPr>
                <w:rFonts w:ascii="Calibri" w:eastAsia="Times New Roman" w:hAnsi="Calibri" w:cs="Times New Roman"/>
                <w:color w:val="000000"/>
                <w:lang w:eastAsia="fr-FR" w:bidi="ar-SA"/>
              </w:rPr>
            </w:pPr>
            <w:r w:rsidRPr="007A5D47">
              <w:rPr>
                <w:rFonts w:ascii="Calibri" w:eastAsia="Times New Roman" w:hAnsi="Calibri" w:cs="Times New Roman"/>
                <w:color w:val="000000"/>
                <w:lang w:eastAsia="fr-FR" w:bidi="ar-SA"/>
              </w:rPr>
              <w:t>0,961</w:t>
            </w:r>
          </w:p>
        </w:tc>
      </w:tr>
      <w:tr w:rsidR="00E85F4B" w:rsidRPr="007A5D47" w14:paraId="5CDACF93" w14:textId="77777777" w:rsidTr="00FC0B23">
        <w:trPr>
          <w:trHeight w:val="300"/>
          <w:jc w:val="center"/>
        </w:trPr>
        <w:tc>
          <w:tcPr>
            <w:tcW w:w="895" w:type="dxa"/>
            <w:noWrap/>
            <w:vAlign w:val="center"/>
            <w:hideMark/>
          </w:tcPr>
          <w:p w14:paraId="1C05A356" w14:textId="77777777" w:rsidR="00E85F4B" w:rsidRPr="007A5D47" w:rsidRDefault="00E85F4B" w:rsidP="00E85F4B">
            <w:pPr>
              <w:jc w:val="center"/>
              <w:rPr>
                <w:rFonts w:ascii="Calibri" w:eastAsia="Times New Roman" w:hAnsi="Calibri" w:cs="Times New Roman"/>
                <w:color w:val="000000"/>
                <w:lang w:eastAsia="fr-FR" w:bidi="ar-SA"/>
              </w:rPr>
            </w:pPr>
            <w:r w:rsidRPr="007A5D47">
              <w:rPr>
                <w:rFonts w:ascii="Calibri" w:eastAsia="Times New Roman" w:hAnsi="Calibri" w:cs="Times New Roman"/>
                <w:color w:val="000000"/>
                <w:lang w:eastAsia="fr-FR" w:bidi="ar-SA"/>
              </w:rPr>
              <w:t>28</w:t>
            </w:r>
          </w:p>
        </w:tc>
        <w:tc>
          <w:tcPr>
            <w:tcW w:w="2928" w:type="dxa"/>
            <w:tcBorders>
              <w:top w:val="nil"/>
              <w:left w:val="single" w:sz="8" w:space="0" w:color="auto"/>
              <w:bottom w:val="single" w:sz="8" w:space="0" w:color="auto"/>
              <w:right w:val="single" w:sz="8" w:space="0" w:color="auto"/>
            </w:tcBorders>
            <w:shd w:val="clear" w:color="auto" w:fill="auto"/>
            <w:noWrap/>
            <w:vAlign w:val="center"/>
            <w:hideMark/>
          </w:tcPr>
          <w:p w14:paraId="1F57CE3F" w14:textId="3B9753F7" w:rsidR="00E85F4B" w:rsidRPr="007A5D47" w:rsidRDefault="00E85F4B" w:rsidP="00E85F4B">
            <w:pPr>
              <w:jc w:val="center"/>
              <w:rPr>
                <w:rFonts w:ascii="Calibri" w:eastAsia="Times New Roman" w:hAnsi="Calibri" w:cs="Times New Roman"/>
                <w:color w:val="000000"/>
                <w:lang w:eastAsia="fr-FR" w:bidi="ar-SA"/>
              </w:rPr>
            </w:pPr>
            <w:r>
              <w:rPr>
                <w:rFonts w:ascii="Calibri" w:hAnsi="Calibri"/>
                <w:color w:val="000000"/>
              </w:rPr>
              <w:t>0,773</w:t>
            </w:r>
          </w:p>
        </w:tc>
        <w:tc>
          <w:tcPr>
            <w:tcW w:w="4677" w:type="dxa"/>
            <w:noWrap/>
            <w:vAlign w:val="center"/>
            <w:hideMark/>
          </w:tcPr>
          <w:p w14:paraId="068FFC9D" w14:textId="77777777" w:rsidR="00E85F4B" w:rsidRPr="007A5D47" w:rsidRDefault="00E85F4B" w:rsidP="00E85F4B">
            <w:pPr>
              <w:jc w:val="center"/>
              <w:rPr>
                <w:rFonts w:ascii="Calibri" w:eastAsia="Times New Roman" w:hAnsi="Calibri" w:cs="Times New Roman"/>
                <w:color w:val="000000"/>
                <w:lang w:eastAsia="fr-FR" w:bidi="ar-SA"/>
              </w:rPr>
            </w:pPr>
            <w:r w:rsidRPr="007A5D47">
              <w:rPr>
                <w:rFonts w:ascii="Calibri" w:eastAsia="Times New Roman" w:hAnsi="Calibri" w:cs="Times New Roman"/>
                <w:color w:val="000000"/>
                <w:lang w:eastAsia="fr-FR" w:bidi="ar-SA"/>
              </w:rPr>
              <w:t>0,958</w:t>
            </w:r>
          </w:p>
        </w:tc>
      </w:tr>
      <w:tr w:rsidR="00E85F4B" w:rsidRPr="007A5D47" w14:paraId="70B4E04B" w14:textId="77777777" w:rsidTr="00FC0B23">
        <w:trPr>
          <w:trHeight w:val="300"/>
          <w:jc w:val="center"/>
        </w:trPr>
        <w:tc>
          <w:tcPr>
            <w:tcW w:w="895" w:type="dxa"/>
            <w:noWrap/>
            <w:vAlign w:val="center"/>
            <w:hideMark/>
          </w:tcPr>
          <w:p w14:paraId="515A319D" w14:textId="77777777" w:rsidR="00E85F4B" w:rsidRPr="007A5D47" w:rsidRDefault="00E85F4B" w:rsidP="00E85F4B">
            <w:pPr>
              <w:jc w:val="center"/>
              <w:rPr>
                <w:rFonts w:ascii="Calibri" w:eastAsia="Times New Roman" w:hAnsi="Calibri" w:cs="Times New Roman"/>
                <w:color w:val="000000"/>
                <w:lang w:eastAsia="fr-FR" w:bidi="ar-SA"/>
              </w:rPr>
            </w:pPr>
            <w:r w:rsidRPr="007A5D47">
              <w:rPr>
                <w:rFonts w:ascii="Calibri" w:eastAsia="Times New Roman" w:hAnsi="Calibri" w:cs="Times New Roman"/>
                <w:color w:val="000000"/>
                <w:lang w:eastAsia="fr-FR" w:bidi="ar-SA"/>
              </w:rPr>
              <w:t>29</w:t>
            </w:r>
          </w:p>
        </w:tc>
        <w:tc>
          <w:tcPr>
            <w:tcW w:w="2928" w:type="dxa"/>
            <w:tcBorders>
              <w:top w:val="nil"/>
              <w:left w:val="single" w:sz="8" w:space="0" w:color="auto"/>
              <w:bottom w:val="single" w:sz="8" w:space="0" w:color="auto"/>
              <w:right w:val="single" w:sz="8" w:space="0" w:color="auto"/>
            </w:tcBorders>
            <w:shd w:val="clear" w:color="auto" w:fill="auto"/>
            <w:noWrap/>
            <w:vAlign w:val="center"/>
            <w:hideMark/>
          </w:tcPr>
          <w:p w14:paraId="0C2E2D81" w14:textId="4EEF0BB3" w:rsidR="00E85F4B" w:rsidRPr="007A5D47" w:rsidRDefault="00E85F4B" w:rsidP="00E85F4B">
            <w:pPr>
              <w:jc w:val="center"/>
              <w:rPr>
                <w:rFonts w:ascii="Calibri" w:eastAsia="Times New Roman" w:hAnsi="Calibri" w:cs="Times New Roman"/>
                <w:color w:val="000000"/>
                <w:lang w:eastAsia="fr-FR" w:bidi="ar-SA"/>
              </w:rPr>
            </w:pPr>
            <w:r>
              <w:rPr>
                <w:rFonts w:ascii="Calibri" w:hAnsi="Calibri"/>
                <w:color w:val="000000"/>
              </w:rPr>
              <w:t>0,764</w:t>
            </w:r>
          </w:p>
        </w:tc>
        <w:tc>
          <w:tcPr>
            <w:tcW w:w="4677" w:type="dxa"/>
            <w:noWrap/>
            <w:vAlign w:val="center"/>
            <w:hideMark/>
          </w:tcPr>
          <w:p w14:paraId="62945CB1" w14:textId="77777777" w:rsidR="00E85F4B" w:rsidRPr="007A5D47" w:rsidRDefault="00E85F4B" w:rsidP="00E85F4B">
            <w:pPr>
              <w:jc w:val="center"/>
              <w:rPr>
                <w:rFonts w:ascii="Calibri" w:eastAsia="Times New Roman" w:hAnsi="Calibri" w:cs="Times New Roman"/>
                <w:color w:val="000000"/>
                <w:lang w:eastAsia="fr-FR" w:bidi="ar-SA"/>
              </w:rPr>
            </w:pPr>
            <w:r w:rsidRPr="007A5D47">
              <w:rPr>
                <w:rFonts w:ascii="Calibri" w:eastAsia="Times New Roman" w:hAnsi="Calibri" w:cs="Times New Roman"/>
                <w:color w:val="000000"/>
                <w:lang w:eastAsia="fr-FR" w:bidi="ar-SA"/>
              </w:rPr>
              <w:t>0,956</w:t>
            </w:r>
          </w:p>
        </w:tc>
      </w:tr>
      <w:tr w:rsidR="00E85F4B" w:rsidRPr="007A5D47" w14:paraId="3DDA2C3D" w14:textId="77777777" w:rsidTr="00FC0B23">
        <w:trPr>
          <w:trHeight w:val="300"/>
          <w:jc w:val="center"/>
        </w:trPr>
        <w:tc>
          <w:tcPr>
            <w:tcW w:w="895" w:type="dxa"/>
            <w:noWrap/>
            <w:vAlign w:val="center"/>
            <w:hideMark/>
          </w:tcPr>
          <w:p w14:paraId="660D8FF6" w14:textId="77777777" w:rsidR="00E85F4B" w:rsidRPr="007A5D47" w:rsidRDefault="00E85F4B" w:rsidP="00E85F4B">
            <w:pPr>
              <w:jc w:val="center"/>
              <w:rPr>
                <w:rFonts w:ascii="Calibri" w:eastAsia="Times New Roman" w:hAnsi="Calibri" w:cs="Times New Roman"/>
                <w:color w:val="000000"/>
                <w:lang w:eastAsia="fr-FR" w:bidi="ar-SA"/>
              </w:rPr>
            </w:pPr>
            <w:r w:rsidRPr="007A5D47">
              <w:rPr>
                <w:rFonts w:ascii="Calibri" w:eastAsia="Times New Roman" w:hAnsi="Calibri" w:cs="Times New Roman"/>
                <w:color w:val="000000"/>
                <w:lang w:eastAsia="fr-FR" w:bidi="ar-SA"/>
              </w:rPr>
              <w:t>30</w:t>
            </w:r>
          </w:p>
        </w:tc>
        <w:tc>
          <w:tcPr>
            <w:tcW w:w="2928" w:type="dxa"/>
            <w:tcBorders>
              <w:top w:val="nil"/>
              <w:left w:val="single" w:sz="8" w:space="0" w:color="auto"/>
              <w:bottom w:val="single" w:sz="8" w:space="0" w:color="auto"/>
              <w:right w:val="single" w:sz="8" w:space="0" w:color="auto"/>
            </w:tcBorders>
            <w:shd w:val="clear" w:color="auto" w:fill="auto"/>
            <w:noWrap/>
            <w:vAlign w:val="center"/>
            <w:hideMark/>
          </w:tcPr>
          <w:p w14:paraId="3158ADCE" w14:textId="0444C877" w:rsidR="00E85F4B" w:rsidRPr="007A5D47" w:rsidRDefault="00E85F4B" w:rsidP="00E85F4B">
            <w:pPr>
              <w:jc w:val="center"/>
              <w:rPr>
                <w:rFonts w:ascii="Calibri" w:eastAsia="Times New Roman" w:hAnsi="Calibri" w:cs="Times New Roman"/>
                <w:color w:val="000000"/>
                <w:lang w:eastAsia="fr-FR" w:bidi="ar-SA"/>
              </w:rPr>
            </w:pPr>
            <w:r>
              <w:rPr>
                <w:rFonts w:ascii="Calibri" w:hAnsi="Calibri"/>
                <w:color w:val="000000"/>
              </w:rPr>
              <w:t>0,756</w:t>
            </w:r>
          </w:p>
        </w:tc>
        <w:tc>
          <w:tcPr>
            <w:tcW w:w="4677" w:type="dxa"/>
            <w:noWrap/>
            <w:vAlign w:val="center"/>
            <w:hideMark/>
          </w:tcPr>
          <w:p w14:paraId="32107EB8" w14:textId="77777777" w:rsidR="00E85F4B" w:rsidRPr="007A5D47" w:rsidRDefault="00E85F4B" w:rsidP="00E85F4B">
            <w:pPr>
              <w:jc w:val="center"/>
              <w:rPr>
                <w:rFonts w:ascii="Calibri" w:eastAsia="Times New Roman" w:hAnsi="Calibri" w:cs="Times New Roman"/>
                <w:color w:val="000000"/>
                <w:lang w:eastAsia="fr-FR" w:bidi="ar-SA"/>
              </w:rPr>
            </w:pPr>
            <w:r w:rsidRPr="007A5D47">
              <w:rPr>
                <w:rFonts w:ascii="Calibri" w:eastAsia="Times New Roman" w:hAnsi="Calibri" w:cs="Times New Roman"/>
                <w:color w:val="000000"/>
                <w:lang w:eastAsia="fr-FR" w:bidi="ar-SA"/>
              </w:rPr>
              <w:t>0,954</w:t>
            </w:r>
          </w:p>
        </w:tc>
      </w:tr>
      <w:tr w:rsidR="00E85F4B" w:rsidRPr="007A5D47" w14:paraId="45369EB5" w14:textId="77777777" w:rsidTr="00FC0B23">
        <w:trPr>
          <w:trHeight w:val="300"/>
          <w:jc w:val="center"/>
        </w:trPr>
        <w:tc>
          <w:tcPr>
            <w:tcW w:w="895" w:type="dxa"/>
            <w:noWrap/>
            <w:vAlign w:val="center"/>
            <w:hideMark/>
          </w:tcPr>
          <w:p w14:paraId="75E0005D" w14:textId="77777777" w:rsidR="00E85F4B" w:rsidRPr="007A5D47" w:rsidRDefault="00E85F4B" w:rsidP="00E85F4B">
            <w:pPr>
              <w:jc w:val="center"/>
              <w:rPr>
                <w:rFonts w:ascii="Calibri" w:eastAsia="Times New Roman" w:hAnsi="Calibri" w:cs="Times New Roman"/>
                <w:color w:val="000000"/>
                <w:lang w:eastAsia="fr-FR" w:bidi="ar-SA"/>
              </w:rPr>
            </w:pPr>
            <w:r w:rsidRPr="007A5D47">
              <w:rPr>
                <w:rFonts w:ascii="Calibri" w:eastAsia="Times New Roman" w:hAnsi="Calibri" w:cs="Times New Roman"/>
                <w:color w:val="000000"/>
                <w:lang w:eastAsia="fr-FR" w:bidi="ar-SA"/>
              </w:rPr>
              <w:t>31</w:t>
            </w:r>
          </w:p>
        </w:tc>
        <w:tc>
          <w:tcPr>
            <w:tcW w:w="2928" w:type="dxa"/>
            <w:tcBorders>
              <w:top w:val="nil"/>
              <w:left w:val="single" w:sz="8" w:space="0" w:color="auto"/>
              <w:bottom w:val="single" w:sz="8" w:space="0" w:color="auto"/>
              <w:right w:val="single" w:sz="8" w:space="0" w:color="auto"/>
            </w:tcBorders>
            <w:shd w:val="clear" w:color="auto" w:fill="auto"/>
            <w:noWrap/>
            <w:vAlign w:val="center"/>
            <w:hideMark/>
          </w:tcPr>
          <w:p w14:paraId="2D7AF8AE" w14:textId="5671A8ED" w:rsidR="00E85F4B" w:rsidRPr="007A5D47" w:rsidRDefault="00E85F4B" w:rsidP="00E85F4B">
            <w:pPr>
              <w:jc w:val="center"/>
              <w:rPr>
                <w:rFonts w:ascii="Calibri" w:eastAsia="Times New Roman" w:hAnsi="Calibri" w:cs="Times New Roman"/>
                <w:color w:val="000000"/>
                <w:lang w:eastAsia="fr-FR" w:bidi="ar-SA"/>
              </w:rPr>
            </w:pPr>
            <w:r>
              <w:rPr>
                <w:rFonts w:ascii="Calibri" w:hAnsi="Calibri"/>
                <w:color w:val="000000"/>
              </w:rPr>
              <w:t>0,747</w:t>
            </w:r>
          </w:p>
        </w:tc>
        <w:tc>
          <w:tcPr>
            <w:tcW w:w="4677" w:type="dxa"/>
            <w:noWrap/>
            <w:vAlign w:val="center"/>
            <w:hideMark/>
          </w:tcPr>
          <w:p w14:paraId="61A2FFA7" w14:textId="77777777" w:rsidR="00E85F4B" w:rsidRPr="007A5D47" w:rsidRDefault="00E85F4B" w:rsidP="00E85F4B">
            <w:pPr>
              <w:jc w:val="center"/>
              <w:rPr>
                <w:rFonts w:ascii="Calibri" w:eastAsia="Times New Roman" w:hAnsi="Calibri" w:cs="Times New Roman"/>
                <w:color w:val="000000"/>
                <w:lang w:eastAsia="fr-FR" w:bidi="ar-SA"/>
              </w:rPr>
            </w:pPr>
            <w:r w:rsidRPr="007A5D47">
              <w:rPr>
                <w:rFonts w:ascii="Calibri" w:eastAsia="Times New Roman" w:hAnsi="Calibri" w:cs="Times New Roman"/>
                <w:color w:val="000000"/>
                <w:lang w:eastAsia="fr-FR" w:bidi="ar-SA"/>
              </w:rPr>
              <w:t>0,951</w:t>
            </w:r>
          </w:p>
        </w:tc>
      </w:tr>
      <w:tr w:rsidR="00E85F4B" w:rsidRPr="007A5D47" w14:paraId="58105CDA" w14:textId="77777777" w:rsidTr="00FC0B23">
        <w:trPr>
          <w:trHeight w:val="300"/>
          <w:jc w:val="center"/>
        </w:trPr>
        <w:tc>
          <w:tcPr>
            <w:tcW w:w="895" w:type="dxa"/>
            <w:noWrap/>
            <w:vAlign w:val="center"/>
            <w:hideMark/>
          </w:tcPr>
          <w:p w14:paraId="5B7354F4" w14:textId="77777777" w:rsidR="00E85F4B" w:rsidRPr="007A5D47" w:rsidRDefault="00E85F4B" w:rsidP="00E85F4B">
            <w:pPr>
              <w:jc w:val="center"/>
              <w:rPr>
                <w:rFonts w:ascii="Calibri" w:eastAsia="Times New Roman" w:hAnsi="Calibri" w:cs="Times New Roman"/>
                <w:color w:val="000000"/>
                <w:lang w:eastAsia="fr-FR" w:bidi="ar-SA"/>
              </w:rPr>
            </w:pPr>
            <w:r w:rsidRPr="007A5D47">
              <w:rPr>
                <w:rFonts w:ascii="Calibri" w:eastAsia="Times New Roman" w:hAnsi="Calibri" w:cs="Times New Roman"/>
                <w:color w:val="000000"/>
                <w:lang w:eastAsia="fr-FR" w:bidi="ar-SA"/>
              </w:rPr>
              <w:t>32</w:t>
            </w:r>
          </w:p>
        </w:tc>
        <w:tc>
          <w:tcPr>
            <w:tcW w:w="2928" w:type="dxa"/>
            <w:tcBorders>
              <w:top w:val="nil"/>
              <w:left w:val="single" w:sz="8" w:space="0" w:color="auto"/>
              <w:bottom w:val="single" w:sz="8" w:space="0" w:color="auto"/>
              <w:right w:val="single" w:sz="8" w:space="0" w:color="auto"/>
            </w:tcBorders>
            <w:shd w:val="clear" w:color="auto" w:fill="auto"/>
            <w:noWrap/>
            <w:vAlign w:val="center"/>
            <w:hideMark/>
          </w:tcPr>
          <w:p w14:paraId="728EEE41" w14:textId="4B176B60" w:rsidR="00E85F4B" w:rsidRPr="007A5D47" w:rsidRDefault="00E85F4B" w:rsidP="00E85F4B">
            <w:pPr>
              <w:jc w:val="center"/>
              <w:rPr>
                <w:rFonts w:ascii="Calibri" w:eastAsia="Times New Roman" w:hAnsi="Calibri" w:cs="Times New Roman"/>
                <w:color w:val="000000"/>
                <w:lang w:eastAsia="fr-FR" w:bidi="ar-SA"/>
              </w:rPr>
            </w:pPr>
            <w:r>
              <w:rPr>
                <w:rFonts w:ascii="Calibri" w:hAnsi="Calibri"/>
                <w:color w:val="000000"/>
              </w:rPr>
              <w:t>0,739</w:t>
            </w:r>
          </w:p>
        </w:tc>
        <w:tc>
          <w:tcPr>
            <w:tcW w:w="4677" w:type="dxa"/>
            <w:noWrap/>
            <w:vAlign w:val="center"/>
            <w:hideMark/>
          </w:tcPr>
          <w:p w14:paraId="705716BE" w14:textId="77777777" w:rsidR="00E85F4B" w:rsidRPr="007A5D47" w:rsidRDefault="00E85F4B" w:rsidP="00E85F4B">
            <w:pPr>
              <w:jc w:val="center"/>
              <w:rPr>
                <w:rFonts w:ascii="Calibri" w:eastAsia="Times New Roman" w:hAnsi="Calibri" w:cs="Times New Roman"/>
                <w:color w:val="000000"/>
                <w:lang w:eastAsia="fr-FR" w:bidi="ar-SA"/>
              </w:rPr>
            </w:pPr>
            <w:r w:rsidRPr="007A5D47">
              <w:rPr>
                <w:rFonts w:ascii="Calibri" w:eastAsia="Times New Roman" w:hAnsi="Calibri" w:cs="Times New Roman"/>
                <w:color w:val="000000"/>
                <w:lang w:eastAsia="fr-FR" w:bidi="ar-SA"/>
              </w:rPr>
              <w:t>0,948</w:t>
            </w:r>
          </w:p>
        </w:tc>
      </w:tr>
      <w:tr w:rsidR="00E85F4B" w:rsidRPr="007A5D47" w14:paraId="0022295F" w14:textId="77777777" w:rsidTr="00FC0B23">
        <w:trPr>
          <w:trHeight w:val="300"/>
          <w:jc w:val="center"/>
        </w:trPr>
        <w:tc>
          <w:tcPr>
            <w:tcW w:w="895" w:type="dxa"/>
            <w:noWrap/>
            <w:vAlign w:val="center"/>
            <w:hideMark/>
          </w:tcPr>
          <w:p w14:paraId="06C6EB58" w14:textId="77777777" w:rsidR="00E85F4B" w:rsidRPr="007A5D47" w:rsidRDefault="00E85F4B" w:rsidP="00E85F4B">
            <w:pPr>
              <w:jc w:val="center"/>
              <w:rPr>
                <w:rFonts w:ascii="Calibri" w:eastAsia="Times New Roman" w:hAnsi="Calibri" w:cs="Times New Roman"/>
                <w:color w:val="000000"/>
                <w:lang w:eastAsia="fr-FR" w:bidi="ar-SA"/>
              </w:rPr>
            </w:pPr>
            <w:r w:rsidRPr="007A5D47">
              <w:rPr>
                <w:rFonts w:ascii="Calibri" w:eastAsia="Times New Roman" w:hAnsi="Calibri" w:cs="Times New Roman"/>
                <w:color w:val="000000"/>
                <w:lang w:eastAsia="fr-FR" w:bidi="ar-SA"/>
              </w:rPr>
              <w:t>33</w:t>
            </w:r>
          </w:p>
        </w:tc>
        <w:tc>
          <w:tcPr>
            <w:tcW w:w="2928" w:type="dxa"/>
            <w:tcBorders>
              <w:top w:val="nil"/>
              <w:left w:val="single" w:sz="8" w:space="0" w:color="auto"/>
              <w:bottom w:val="single" w:sz="8" w:space="0" w:color="auto"/>
              <w:right w:val="single" w:sz="8" w:space="0" w:color="auto"/>
            </w:tcBorders>
            <w:shd w:val="clear" w:color="auto" w:fill="auto"/>
            <w:noWrap/>
            <w:vAlign w:val="center"/>
            <w:hideMark/>
          </w:tcPr>
          <w:p w14:paraId="183F41C6" w14:textId="1317D000" w:rsidR="00E85F4B" w:rsidRPr="007A5D47" w:rsidRDefault="00E85F4B" w:rsidP="00E85F4B">
            <w:pPr>
              <w:jc w:val="center"/>
              <w:rPr>
                <w:rFonts w:ascii="Calibri" w:eastAsia="Times New Roman" w:hAnsi="Calibri" w:cs="Times New Roman"/>
                <w:color w:val="000000"/>
                <w:lang w:eastAsia="fr-FR" w:bidi="ar-SA"/>
              </w:rPr>
            </w:pPr>
            <w:r>
              <w:rPr>
                <w:rFonts w:ascii="Calibri" w:hAnsi="Calibri"/>
                <w:color w:val="000000"/>
              </w:rPr>
              <w:t>0,730</w:t>
            </w:r>
          </w:p>
        </w:tc>
        <w:tc>
          <w:tcPr>
            <w:tcW w:w="4677" w:type="dxa"/>
            <w:noWrap/>
            <w:vAlign w:val="center"/>
            <w:hideMark/>
          </w:tcPr>
          <w:p w14:paraId="4DCB0240" w14:textId="77777777" w:rsidR="00E85F4B" w:rsidRPr="007A5D47" w:rsidRDefault="00E85F4B" w:rsidP="00E85F4B">
            <w:pPr>
              <w:jc w:val="center"/>
              <w:rPr>
                <w:rFonts w:ascii="Calibri" w:eastAsia="Times New Roman" w:hAnsi="Calibri" w:cs="Times New Roman"/>
                <w:color w:val="000000"/>
                <w:lang w:eastAsia="fr-FR" w:bidi="ar-SA"/>
              </w:rPr>
            </w:pPr>
            <w:r w:rsidRPr="007A5D47">
              <w:rPr>
                <w:rFonts w:ascii="Calibri" w:eastAsia="Times New Roman" w:hAnsi="Calibri" w:cs="Times New Roman"/>
                <w:color w:val="000000"/>
                <w:lang w:eastAsia="fr-FR" w:bidi="ar-SA"/>
              </w:rPr>
              <w:t>0,946</w:t>
            </w:r>
          </w:p>
        </w:tc>
      </w:tr>
      <w:tr w:rsidR="00E85F4B" w:rsidRPr="007A5D47" w14:paraId="7BA44B28" w14:textId="77777777" w:rsidTr="00FC0B23">
        <w:trPr>
          <w:trHeight w:val="300"/>
          <w:jc w:val="center"/>
        </w:trPr>
        <w:tc>
          <w:tcPr>
            <w:tcW w:w="895" w:type="dxa"/>
            <w:noWrap/>
            <w:vAlign w:val="center"/>
            <w:hideMark/>
          </w:tcPr>
          <w:p w14:paraId="3999C601" w14:textId="77777777" w:rsidR="00E85F4B" w:rsidRPr="007A5D47" w:rsidRDefault="00E85F4B" w:rsidP="00E85F4B">
            <w:pPr>
              <w:jc w:val="center"/>
              <w:rPr>
                <w:rFonts w:ascii="Calibri" w:eastAsia="Times New Roman" w:hAnsi="Calibri" w:cs="Times New Roman"/>
                <w:color w:val="000000"/>
                <w:lang w:eastAsia="fr-FR" w:bidi="ar-SA"/>
              </w:rPr>
            </w:pPr>
            <w:r w:rsidRPr="007A5D47">
              <w:rPr>
                <w:rFonts w:ascii="Calibri" w:eastAsia="Times New Roman" w:hAnsi="Calibri" w:cs="Times New Roman"/>
                <w:color w:val="000000"/>
                <w:lang w:eastAsia="fr-FR" w:bidi="ar-SA"/>
              </w:rPr>
              <w:t>34</w:t>
            </w:r>
          </w:p>
        </w:tc>
        <w:tc>
          <w:tcPr>
            <w:tcW w:w="2928" w:type="dxa"/>
            <w:tcBorders>
              <w:top w:val="nil"/>
              <w:left w:val="single" w:sz="8" w:space="0" w:color="auto"/>
              <w:bottom w:val="single" w:sz="8" w:space="0" w:color="auto"/>
              <w:right w:val="single" w:sz="8" w:space="0" w:color="auto"/>
            </w:tcBorders>
            <w:shd w:val="clear" w:color="auto" w:fill="auto"/>
            <w:noWrap/>
            <w:vAlign w:val="center"/>
            <w:hideMark/>
          </w:tcPr>
          <w:p w14:paraId="5B4DD973" w14:textId="1595D9B7" w:rsidR="00E85F4B" w:rsidRPr="007A5D47" w:rsidRDefault="00E85F4B" w:rsidP="00E85F4B">
            <w:pPr>
              <w:jc w:val="center"/>
              <w:rPr>
                <w:rFonts w:ascii="Calibri" w:eastAsia="Times New Roman" w:hAnsi="Calibri" w:cs="Times New Roman"/>
                <w:color w:val="000000"/>
                <w:lang w:eastAsia="fr-FR" w:bidi="ar-SA"/>
              </w:rPr>
            </w:pPr>
            <w:r>
              <w:rPr>
                <w:rFonts w:ascii="Calibri" w:hAnsi="Calibri"/>
                <w:color w:val="000000"/>
              </w:rPr>
              <w:t>0,721</w:t>
            </w:r>
          </w:p>
        </w:tc>
        <w:tc>
          <w:tcPr>
            <w:tcW w:w="4677" w:type="dxa"/>
            <w:noWrap/>
            <w:vAlign w:val="center"/>
            <w:hideMark/>
          </w:tcPr>
          <w:p w14:paraId="549BE4C5" w14:textId="77777777" w:rsidR="00E85F4B" w:rsidRPr="007A5D47" w:rsidRDefault="00E85F4B" w:rsidP="00E85F4B">
            <w:pPr>
              <w:jc w:val="center"/>
              <w:rPr>
                <w:rFonts w:ascii="Calibri" w:eastAsia="Times New Roman" w:hAnsi="Calibri" w:cs="Times New Roman"/>
                <w:color w:val="000000"/>
                <w:lang w:eastAsia="fr-FR" w:bidi="ar-SA"/>
              </w:rPr>
            </w:pPr>
            <w:r w:rsidRPr="007A5D47">
              <w:rPr>
                <w:rFonts w:ascii="Calibri" w:eastAsia="Times New Roman" w:hAnsi="Calibri" w:cs="Times New Roman"/>
                <w:color w:val="000000"/>
                <w:lang w:eastAsia="fr-FR" w:bidi="ar-SA"/>
              </w:rPr>
              <w:t>0,943</w:t>
            </w:r>
          </w:p>
        </w:tc>
      </w:tr>
      <w:tr w:rsidR="00E85F4B" w:rsidRPr="007A5D47" w14:paraId="26823878" w14:textId="77777777" w:rsidTr="00FC0B23">
        <w:trPr>
          <w:trHeight w:val="300"/>
          <w:jc w:val="center"/>
        </w:trPr>
        <w:tc>
          <w:tcPr>
            <w:tcW w:w="895" w:type="dxa"/>
            <w:noWrap/>
            <w:vAlign w:val="center"/>
            <w:hideMark/>
          </w:tcPr>
          <w:p w14:paraId="68E42574" w14:textId="77777777" w:rsidR="00E85F4B" w:rsidRPr="007A5D47" w:rsidRDefault="00E85F4B" w:rsidP="00E85F4B">
            <w:pPr>
              <w:jc w:val="center"/>
              <w:rPr>
                <w:rFonts w:ascii="Calibri" w:eastAsia="Times New Roman" w:hAnsi="Calibri" w:cs="Times New Roman"/>
                <w:color w:val="000000"/>
                <w:lang w:eastAsia="fr-FR" w:bidi="ar-SA"/>
              </w:rPr>
            </w:pPr>
            <w:r w:rsidRPr="007A5D47">
              <w:rPr>
                <w:rFonts w:ascii="Calibri" w:eastAsia="Times New Roman" w:hAnsi="Calibri" w:cs="Times New Roman"/>
                <w:color w:val="000000"/>
                <w:lang w:eastAsia="fr-FR" w:bidi="ar-SA"/>
              </w:rPr>
              <w:lastRenderedPageBreak/>
              <w:t>35</w:t>
            </w:r>
          </w:p>
        </w:tc>
        <w:tc>
          <w:tcPr>
            <w:tcW w:w="2928" w:type="dxa"/>
            <w:tcBorders>
              <w:top w:val="nil"/>
              <w:left w:val="single" w:sz="8" w:space="0" w:color="auto"/>
              <w:bottom w:val="single" w:sz="8" w:space="0" w:color="auto"/>
              <w:right w:val="single" w:sz="8" w:space="0" w:color="auto"/>
            </w:tcBorders>
            <w:shd w:val="clear" w:color="auto" w:fill="auto"/>
            <w:noWrap/>
            <w:vAlign w:val="center"/>
            <w:hideMark/>
          </w:tcPr>
          <w:p w14:paraId="137DD0F3" w14:textId="6BFB417B" w:rsidR="00E85F4B" w:rsidRPr="007A5D47" w:rsidRDefault="00E85F4B" w:rsidP="00E85F4B">
            <w:pPr>
              <w:jc w:val="center"/>
              <w:rPr>
                <w:rFonts w:ascii="Calibri" w:eastAsia="Times New Roman" w:hAnsi="Calibri" w:cs="Times New Roman"/>
                <w:color w:val="000000"/>
                <w:lang w:eastAsia="fr-FR" w:bidi="ar-SA"/>
              </w:rPr>
            </w:pPr>
            <w:r>
              <w:rPr>
                <w:rFonts w:ascii="Calibri" w:hAnsi="Calibri"/>
                <w:color w:val="000000"/>
              </w:rPr>
              <w:t>0,713</w:t>
            </w:r>
          </w:p>
        </w:tc>
        <w:tc>
          <w:tcPr>
            <w:tcW w:w="4677" w:type="dxa"/>
            <w:noWrap/>
            <w:vAlign w:val="center"/>
            <w:hideMark/>
          </w:tcPr>
          <w:p w14:paraId="5CC5ACC7" w14:textId="77777777" w:rsidR="00E85F4B" w:rsidRPr="007A5D47" w:rsidRDefault="00E85F4B" w:rsidP="00E85F4B">
            <w:pPr>
              <w:jc w:val="center"/>
              <w:rPr>
                <w:rFonts w:ascii="Calibri" w:eastAsia="Times New Roman" w:hAnsi="Calibri" w:cs="Times New Roman"/>
                <w:color w:val="000000"/>
                <w:lang w:eastAsia="fr-FR" w:bidi="ar-SA"/>
              </w:rPr>
            </w:pPr>
            <w:r w:rsidRPr="007A5D47">
              <w:rPr>
                <w:rFonts w:ascii="Calibri" w:eastAsia="Times New Roman" w:hAnsi="Calibri" w:cs="Times New Roman"/>
                <w:color w:val="000000"/>
                <w:lang w:eastAsia="fr-FR" w:bidi="ar-SA"/>
              </w:rPr>
              <w:t>0,940</w:t>
            </w:r>
          </w:p>
        </w:tc>
      </w:tr>
      <w:tr w:rsidR="00E85F4B" w:rsidRPr="007A5D47" w14:paraId="58F706C4" w14:textId="77777777" w:rsidTr="00FC0B23">
        <w:trPr>
          <w:trHeight w:val="300"/>
          <w:jc w:val="center"/>
        </w:trPr>
        <w:tc>
          <w:tcPr>
            <w:tcW w:w="895" w:type="dxa"/>
            <w:noWrap/>
            <w:vAlign w:val="center"/>
            <w:hideMark/>
          </w:tcPr>
          <w:p w14:paraId="6CBD15D4" w14:textId="77777777" w:rsidR="00E85F4B" w:rsidRPr="007A5D47" w:rsidRDefault="00E85F4B" w:rsidP="00E85F4B">
            <w:pPr>
              <w:jc w:val="center"/>
              <w:rPr>
                <w:rFonts w:ascii="Calibri" w:eastAsia="Times New Roman" w:hAnsi="Calibri" w:cs="Times New Roman"/>
                <w:color w:val="000000"/>
                <w:lang w:eastAsia="fr-FR" w:bidi="ar-SA"/>
              </w:rPr>
            </w:pPr>
            <w:r w:rsidRPr="007A5D47">
              <w:rPr>
                <w:rFonts w:ascii="Calibri" w:eastAsia="Times New Roman" w:hAnsi="Calibri" w:cs="Times New Roman"/>
                <w:color w:val="000000"/>
                <w:lang w:eastAsia="fr-FR" w:bidi="ar-SA"/>
              </w:rPr>
              <w:t>36</w:t>
            </w:r>
          </w:p>
        </w:tc>
        <w:tc>
          <w:tcPr>
            <w:tcW w:w="2928" w:type="dxa"/>
            <w:tcBorders>
              <w:top w:val="nil"/>
              <w:left w:val="single" w:sz="8" w:space="0" w:color="auto"/>
              <w:bottom w:val="single" w:sz="8" w:space="0" w:color="auto"/>
              <w:right w:val="single" w:sz="8" w:space="0" w:color="auto"/>
            </w:tcBorders>
            <w:shd w:val="clear" w:color="auto" w:fill="auto"/>
            <w:noWrap/>
            <w:vAlign w:val="center"/>
            <w:hideMark/>
          </w:tcPr>
          <w:p w14:paraId="2CFB55BC" w14:textId="6112102F" w:rsidR="00E85F4B" w:rsidRPr="007A5D47" w:rsidRDefault="00E85F4B" w:rsidP="00E85F4B">
            <w:pPr>
              <w:jc w:val="center"/>
              <w:rPr>
                <w:rFonts w:ascii="Calibri" w:eastAsia="Times New Roman" w:hAnsi="Calibri" w:cs="Times New Roman"/>
                <w:color w:val="000000"/>
                <w:lang w:eastAsia="fr-FR" w:bidi="ar-SA"/>
              </w:rPr>
            </w:pPr>
            <w:r>
              <w:rPr>
                <w:rFonts w:ascii="Calibri" w:hAnsi="Calibri"/>
                <w:color w:val="000000"/>
              </w:rPr>
              <w:t>0,704</w:t>
            </w:r>
          </w:p>
        </w:tc>
        <w:tc>
          <w:tcPr>
            <w:tcW w:w="4677" w:type="dxa"/>
            <w:noWrap/>
            <w:vAlign w:val="center"/>
            <w:hideMark/>
          </w:tcPr>
          <w:p w14:paraId="4114E08B" w14:textId="77777777" w:rsidR="00E85F4B" w:rsidRPr="007A5D47" w:rsidRDefault="00E85F4B" w:rsidP="00E85F4B">
            <w:pPr>
              <w:jc w:val="center"/>
              <w:rPr>
                <w:rFonts w:ascii="Calibri" w:eastAsia="Times New Roman" w:hAnsi="Calibri" w:cs="Times New Roman"/>
                <w:color w:val="000000"/>
                <w:lang w:eastAsia="fr-FR" w:bidi="ar-SA"/>
              </w:rPr>
            </w:pPr>
            <w:r w:rsidRPr="007A5D47">
              <w:rPr>
                <w:rFonts w:ascii="Calibri" w:eastAsia="Times New Roman" w:hAnsi="Calibri" w:cs="Times New Roman"/>
                <w:color w:val="000000"/>
                <w:lang w:eastAsia="fr-FR" w:bidi="ar-SA"/>
              </w:rPr>
              <w:t>0,937</w:t>
            </w:r>
          </w:p>
        </w:tc>
      </w:tr>
      <w:tr w:rsidR="00E85F4B" w:rsidRPr="007A5D47" w14:paraId="1116A4B8" w14:textId="77777777" w:rsidTr="00FC0B23">
        <w:trPr>
          <w:trHeight w:val="300"/>
          <w:jc w:val="center"/>
        </w:trPr>
        <w:tc>
          <w:tcPr>
            <w:tcW w:w="895" w:type="dxa"/>
            <w:noWrap/>
            <w:vAlign w:val="center"/>
            <w:hideMark/>
          </w:tcPr>
          <w:p w14:paraId="17CB77FB" w14:textId="77777777" w:rsidR="00E85F4B" w:rsidRPr="007A5D47" w:rsidRDefault="00E85F4B" w:rsidP="00E85F4B">
            <w:pPr>
              <w:jc w:val="center"/>
              <w:rPr>
                <w:rFonts w:ascii="Calibri" w:eastAsia="Times New Roman" w:hAnsi="Calibri" w:cs="Times New Roman"/>
                <w:color w:val="000000"/>
                <w:lang w:eastAsia="fr-FR" w:bidi="ar-SA"/>
              </w:rPr>
            </w:pPr>
            <w:r w:rsidRPr="007A5D47">
              <w:rPr>
                <w:rFonts w:ascii="Calibri" w:eastAsia="Times New Roman" w:hAnsi="Calibri" w:cs="Times New Roman"/>
                <w:color w:val="000000"/>
                <w:lang w:eastAsia="fr-FR" w:bidi="ar-SA"/>
              </w:rPr>
              <w:t>37</w:t>
            </w:r>
          </w:p>
        </w:tc>
        <w:tc>
          <w:tcPr>
            <w:tcW w:w="2928" w:type="dxa"/>
            <w:tcBorders>
              <w:top w:val="nil"/>
              <w:left w:val="single" w:sz="8" w:space="0" w:color="auto"/>
              <w:bottom w:val="single" w:sz="8" w:space="0" w:color="auto"/>
              <w:right w:val="single" w:sz="8" w:space="0" w:color="auto"/>
            </w:tcBorders>
            <w:shd w:val="clear" w:color="auto" w:fill="auto"/>
            <w:noWrap/>
            <w:vAlign w:val="center"/>
            <w:hideMark/>
          </w:tcPr>
          <w:p w14:paraId="73C68570" w14:textId="63235C76" w:rsidR="00E85F4B" w:rsidRPr="007A5D47" w:rsidRDefault="00E85F4B" w:rsidP="00E85F4B">
            <w:pPr>
              <w:jc w:val="center"/>
              <w:rPr>
                <w:rFonts w:ascii="Calibri" w:eastAsia="Times New Roman" w:hAnsi="Calibri" w:cs="Times New Roman"/>
                <w:color w:val="000000"/>
                <w:lang w:eastAsia="fr-FR" w:bidi="ar-SA"/>
              </w:rPr>
            </w:pPr>
            <w:r>
              <w:rPr>
                <w:rFonts w:ascii="Calibri" w:hAnsi="Calibri"/>
                <w:color w:val="000000"/>
              </w:rPr>
              <w:t>0,695</w:t>
            </w:r>
          </w:p>
        </w:tc>
        <w:tc>
          <w:tcPr>
            <w:tcW w:w="4677" w:type="dxa"/>
            <w:noWrap/>
            <w:vAlign w:val="center"/>
            <w:hideMark/>
          </w:tcPr>
          <w:p w14:paraId="21FA0ECD" w14:textId="77777777" w:rsidR="00E85F4B" w:rsidRPr="007A5D47" w:rsidRDefault="00E85F4B" w:rsidP="00E85F4B">
            <w:pPr>
              <w:jc w:val="center"/>
              <w:rPr>
                <w:rFonts w:ascii="Calibri" w:eastAsia="Times New Roman" w:hAnsi="Calibri" w:cs="Times New Roman"/>
                <w:color w:val="000000"/>
                <w:lang w:eastAsia="fr-FR" w:bidi="ar-SA"/>
              </w:rPr>
            </w:pPr>
            <w:r w:rsidRPr="007A5D47">
              <w:rPr>
                <w:rFonts w:ascii="Calibri" w:eastAsia="Times New Roman" w:hAnsi="Calibri" w:cs="Times New Roman"/>
                <w:color w:val="000000"/>
                <w:lang w:eastAsia="fr-FR" w:bidi="ar-SA"/>
              </w:rPr>
              <w:t>0,934</w:t>
            </w:r>
          </w:p>
        </w:tc>
      </w:tr>
      <w:tr w:rsidR="00E85F4B" w:rsidRPr="007A5D47" w14:paraId="2563864D" w14:textId="77777777" w:rsidTr="00FC0B23">
        <w:trPr>
          <w:trHeight w:val="300"/>
          <w:jc w:val="center"/>
        </w:trPr>
        <w:tc>
          <w:tcPr>
            <w:tcW w:w="895" w:type="dxa"/>
            <w:noWrap/>
            <w:vAlign w:val="center"/>
            <w:hideMark/>
          </w:tcPr>
          <w:p w14:paraId="2CB9DCF2" w14:textId="77777777" w:rsidR="00E85F4B" w:rsidRPr="007A5D47" w:rsidRDefault="00E85F4B" w:rsidP="00E85F4B">
            <w:pPr>
              <w:jc w:val="center"/>
              <w:rPr>
                <w:rFonts w:ascii="Calibri" w:eastAsia="Times New Roman" w:hAnsi="Calibri" w:cs="Times New Roman"/>
                <w:color w:val="000000"/>
                <w:lang w:eastAsia="fr-FR" w:bidi="ar-SA"/>
              </w:rPr>
            </w:pPr>
            <w:r w:rsidRPr="007A5D47">
              <w:rPr>
                <w:rFonts w:ascii="Calibri" w:eastAsia="Times New Roman" w:hAnsi="Calibri" w:cs="Times New Roman"/>
                <w:color w:val="000000"/>
                <w:lang w:eastAsia="fr-FR" w:bidi="ar-SA"/>
              </w:rPr>
              <w:t>38</w:t>
            </w:r>
          </w:p>
        </w:tc>
        <w:tc>
          <w:tcPr>
            <w:tcW w:w="2928" w:type="dxa"/>
            <w:tcBorders>
              <w:top w:val="nil"/>
              <w:left w:val="single" w:sz="8" w:space="0" w:color="auto"/>
              <w:bottom w:val="single" w:sz="8" w:space="0" w:color="auto"/>
              <w:right w:val="single" w:sz="8" w:space="0" w:color="auto"/>
            </w:tcBorders>
            <w:shd w:val="clear" w:color="auto" w:fill="auto"/>
            <w:noWrap/>
            <w:vAlign w:val="center"/>
            <w:hideMark/>
          </w:tcPr>
          <w:p w14:paraId="715DE8EF" w14:textId="16015431" w:rsidR="00E85F4B" w:rsidRPr="007A5D47" w:rsidRDefault="00E85F4B" w:rsidP="00E85F4B">
            <w:pPr>
              <w:jc w:val="center"/>
              <w:rPr>
                <w:rFonts w:ascii="Calibri" w:eastAsia="Times New Roman" w:hAnsi="Calibri" w:cs="Times New Roman"/>
                <w:color w:val="000000"/>
                <w:lang w:eastAsia="fr-FR" w:bidi="ar-SA"/>
              </w:rPr>
            </w:pPr>
            <w:r>
              <w:rPr>
                <w:rFonts w:ascii="Calibri" w:hAnsi="Calibri"/>
                <w:color w:val="000000"/>
              </w:rPr>
              <w:t>0,686</w:t>
            </w:r>
          </w:p>
        </w:tc>
        <w:tc>
          <w:tcPr>
            <w:tcW w:w="4677" w:type="dxa"/>
            <w:noWrap/>
            <w:vAlign w:val="center"/>
            <w:hideMark/>
          </w:tcPr>
          <w:p w14:paraId="3ABDFB6E" w14:textId="77777777" w:rsidR="00E85F4B" w:rsidRPr="007A5D47" w:rsidRDefault="00E85F4B" w:rsidP="00E85F4B">
            <w:pPr>
              <w:jc w:val="center"/>
              <w:rPr>
                <w:rFonts w:ascii="Calibri" w:eastAsia="Times New Roman" w:hAnsi="Calibri" w:cs="Times New Roman"/>
                <w:color w:val="000000"/>
                <w:lang w:eastAsia="fr-FR" w:bidi="ar-SA"/>
              </w:rPr>
            </w:pPr>
            <w:r w:rsidRPr="007A5D47">
              <w:rPr>
                <w:rFonts w:ascii="Calibri" w:eastAsia="Times New Roman" w:hAnsi="Calibri" w:cs="Times New Roman"/>
                <w:color w:val="000000"/>
                <w:lang w:eastAsia="fr-FR" w:bidi="ar-SA"/>
              </w:rPr>
              <w:t>0,930</w:t>
            </w:r>
          </w:p>
        </w:tc>
      </w:tr>
      <w:tr w:rsidR="00E85F4B" w:rsidRPr="007A5D47" w14:paraId="6DB5E84F" w14:textId="77777777" w:rsidTr="00FC0B23">
        <w:trPr>
          <w:trHeight w:val="300"/>
          <w:jc w:val="center"/>
        </w:trPr>
        <w:tc>
          <w:tcPr>
            <w:tcW w:w="895" w:type="dxa"/>
            <w:noWrap/>
            <w:vAlign w:val="center"/>
            <w:hideMark/>
          </w:tcPr>
          <w:p w14:paraId="7623FB8E" w14:textId="77777777" w:rsidR="00E85F4B" w:rsidRPr="007A5D47" w:rsidRDefault="00E85F4B" w:rsidP="00E85F4B">
            <w:pPr>
              <w:jc w:val="center"/>
              <w:rPr>
                <w:rFonts w:ascii="Calibri" w:eastAsia="Times New Roman" w:hAnsi="Calibri" w:cs="Times New Roman"/>
                <w:color w:val="000000"/>
                <w:lang w:eastAsia="fr-FR" w:bidi="ar-SA"/>
              </w:rPr>
            </w:pPr>
            <w:r w:rsidRPr="007A5D47">
              <w:rPr>
                <w:rFonts w:ascii="Calibri" w:eastAsia="Times New Roman" w:hAnsi="Calibri" w:cs="Times New Roman"/>
                <w:color w:val="000000"/>
                <w:lang w:eastAsia="fr-FR" w:bidi="ar-SA"/>
              </w:rPr>
              <w:t>39</w:t>
            </w:r>
          </w:p>
        </w:tc>
        <w:tc>
          <w:tcPr>
            <w:tcW w:w="2928" w:type="dxa"/>
            <w:tcBorders>
              <w:top w:val="nil"/>
              <w:left w:val="single" w:sz="8" w:space="0" w:color="auto"/>
              <w:bottom w:val="single" w:sz="8" w:space="0" w:color="auto"/>
              <w:right w:val="single" w:sz="8" w:space="0" w:color="auto"/>
            </w:tcBorders>
            <w:shd w:val="clear" w:color="auto" w:fill="auto"/>
            <w:noWrap/>
            <w:vAlign w:val="center"/>
            <w:hideMark/>
          </w:tcPr>
          <w:p w14:paraId="5D7670A5" w14:textId="5B40EF3F" w:rsidR="00E85F4B" w:rsidRPr="007A5D47" w:rsidRDefault="00E85F4B" w:rsidP="00E85F4B">
            <w:pPr>
              <w:jc w:val="center"/>
              <w:rPr>
                <w:rFonts w:ascii="Calibri" w:eastAsia="Times New Roman" w:hAnsi="Calibri" w:cs="Times New Roman"/>
                <w:color w:val="000000"/>
                <w:lang w:eastAsia="fr-FR" w:bidi="ar-SA"/>
              </w:rPr>
            </w:pPr>
            <w:r>
              <w:rPr>
                <w:rFonts w:ascii="Calibri" w:hAnsi="Calibri"/>
                <w:color w:val="000000"/>
              </w:rPr>
              <w:t>0,678</w:t>
            </w:r>
          </w:p>
        </w:tc>
        <w:tc>
          <w:tcPr>
            <w:tcW w:w="4677" w:type="dxa"/>
            <w:noWrap/>
            <w:vAlign w:val="center"/>
            <w:hideMark/>
          </w:tcPr>
          <w:p w14:paraId="23CC3FBD" w14:textId="77777777" w:rsidR="00E85F4B" w:rsidRPr="007A5D47" w:rsidRDefault="00E85F4B" w:rsidP="00E85F4B">
            <w:pPr>
              <w:jc w:val="center"/>
              <w:rPr>
                <w:rFonts w:ascii="Calibri" w:eastAsia="Times New Roman" w:hAnsi="Calibri" w:cs="Times New Roman"/>
                <w:color w:val="000000"/>
                <w:lang w:eastAsia="fr-FR" w:bidi="ar-SA"/>
              </w:rPr>
            </w:pPr>
            <w:r w:rsidRPr="007A5D47">
              <w:rPr>
                <w:rFonts w:ascii="Calibri" w:eastAsia="Times New Roman" w:hAnsi="Calibri" w:cs="Times New Roman"/>
                <w:color w:val="000000"/>
                <w:lang w:eastAsia="fr-FR" w:bidi="ar-SA"/>
              </w:rPr>
              <w:t>0,927</w:t>
            </w:r>
          </w:p>
        </w:tc>
      </w:tr>
      <w:tr w:rsidR="00E85F4B" w:rsidRPr="007A5D47" w14:paraId="05E4C1FA" w14:textId="77777777" w:rsidTr="00FC0B23">
        <w:trPr>
          <w:trHeight w:val="300"/>
          <w:jc w:val="center"/>
        </w:trPr>
        <w:tc>
          <w:tcPr>
            <w:tcW w:w="895" w:type="dxa"/>
            <w:noWrap/>
            <w:vAlign w:val="center"/>
            <w:hideMark/>
          </w:tcPr>
          <w:p w14:paraId="769E16CE" w14:textId="77777777" w:rsidR="00E85F4B" w:rsidRPr="007A5D47" w:rsidRDefault="00E85F4B" w:rsidP="00E85F4B">
            <w:pPr>
              <w:jc w:val="center"/>
              <w:rPr>
                <w:rFonts w:ascii="Calibri" w:eastAsia="Times New Roman" w:hAnsi="Calibri" w:cs="Times New Roman"/>
                <w:color w:val="000000"/>
                <w:lang w:eastAsia="fr-FR" w:bidi="ar-SA"/>
              </w:rPr>
            </w:pPr>
            <w:r w:rsidRPr="007A5D47">
              <w:rPr>
                <w:rFonts w:ascii="Calibri" w:eastAsia="Times New Roman" w:hAnsi="Calibri" w:cs="Times New Roman"/>
                <w:color w:val="000000"/>
                <w:lang w:eastAsia="fr-FR" w:bidi="ar-SA"/>
              </w:rPr>
              <w:t>40</w:t>
            </w:r>
          </w:p>
        </w:tc>
        <w:tc>
          <w:tcPr>
            <w:tcW w:w="2928" w:type="dxa"/>
            <w:tcBorders>
              <w:top w:val="nil"/>
              <w:left w:val="single" w:sz="8" w:space="0" w:color="auto"/>
              <w:bottom w:val="single" w:sz="8" w:space="0" w:color="auto"/>
              <w:right w:val="single" w:sz="8" w:space="0" w:color="auto"/>
            </w:tcBorders>
            <w:shd w:val="clear" w:color="auto" w:fill="auto"/>
            <w:noWrap/>
            <w:vAlign w:val="center"/>
            <w:hideMark/>
          </w:tcPr>
          <w:p w14:paraId="29DDE3A2" w14:textId="28E89787" w:rsidR="00E85F4B" w:rsidRPr="007A5D47" w:rsidRDefault="00E85F4B" w:rsidP="00E85F4B">
            <w:pPr>
              <w:jc w:val="center"/>
              <w:rPr>
                <w:rFonts w:ascii="Calibri" w:eastAsia="Times New Roman" w:hAnsi="Calibri" w:cs="Times New Roman"/>
                <w:color w:val="000000"/>
                <w:lang w:eastAsia="fr-FR" w:bidi="ar-SA"/>
              </w:rPr>
            </w:pPr>
            <w:r>
              <w:rPr>
                <w:rFonts w:ascii="Calibri" w:hAnsi="Calibri"/>
                <w:color w:val="000000"/>
              </w:rPr>
              <w:t>0,669</w:t>
            </w:r>
          </w:p>
        </w:tc>
        <w:tc>
          <w:tcPr>
            <w:tcW w:w="4677" w:type="dxa"/>
            <w:noWrap/>
            <w:vAlign w:val="center"/>
            <w:hideMark/>
          </w:tcPr>
          <w:p w14:paraId="40728F00" w14:textId="77777777" w:rsidR="00E85F4B" w:rsidRPr="007A5D47" w:rsidRDefault="00E85F4B" w:rsidP="00E85F4B">
            <w:pPr>
              <w:jc w:val="center"/>
              <w:rPr>
                <w:rFonts w:ascii="Calibri" w:eastAsia="Times New Roman" w:hAnsi="Calibri" w:cs="Times New Roman"/>
                <w:color w:val="000000"/>
                <w:lang w:eastAsia="fr-FR" w:bidi="ar-SA"/>
              </w:rPr>
            </w:pPr>
            <w:r w:rsidRPr="007A5D47">
              <w:rPr>
                <w:rFonts w:ascii="Calibri" w:eastAsia="Times New Roman" w:hAnsi="Calibri" w:cs="Times New Roman"/>
                <w:color w:val="000000"/>
                <w:lang w:eastAsia="fr-FR" w:bidi="ar-SA"/>
              </w:rPr>
              <w:t>0,923</w:t>
            </w:r>
          </w:p>
        </w:tc>
      </w:tr>
      <w:tr w:rsidR="00E85F4B" w:rsidRPr="007A5D47" w14:paraId="6BD00ECB" w14:textId="77777777" w:rsidTr="00FC0B23">
        <w:trPr>
          <w:trHeight w:val="300"/>
          <w:jc w:val="center"/>
        </w:trPr>
        <w:tc>
          <w:tcPr>
            <w:tcW w:w="895" w:type="dxa"/>
            <w:noWrap/>
            <w:vAlign w:val="center"/>
            <w:hideMark/>
          </w:tcPr>
          <w:p w14:paraId="33F25888" w14:textId="77777777" w:rsidR="00E85F4B" w:rsidRPr="007A5D47" w:rsidRDefault="00E85F4B" w:rsidP="00E85F4B">
            <w:pPr>
              <w:jc w:val="center"/>
              <w:rPr>
                <w:rFonts w:ascii="Calibri" w:eastAsia="Times New Roman" w:hAnsi="Calibri" w:cs="Times New Roman"/>
                <w:color w:val="000000"/>
                <w:lang w:eastAsia="fr-FR" w:bidi="ar-SA"/>
              </w:rPr>
            </w:pPr>
            <w:r w:rsidRPr="007A5D47">
              <w:rPr>
                <w:rFonts w:ascii="Calibri" w:eastAsia="Times New Roman" w:hAnsi="Calibri" w:cs="Times New Roman"/>
                <w:color w:val="000000"/>
                <w:lang w:eastAsia="fr-FR" w:bidi="ar-SA"/>
              </w:rPr>
              <w:t>41</w:t>
            </w:r>
          </w:p>
        </w:tc>
        <w:tc>
          <w:tcPr>
            <w:tcW w:w="2928" w:type="dxa"/>
            <w:tcBorders>
              <w:top w:val="nil"/>
              <w:left w:val="single" w:sz="8" w:space="0" w:color="auto"/>
              <w:bottom w:val="single" w:sz="8" w:space="0" w:color="auto"/>
              <w:right w:val="single" w:sz="8" w:space="0" w:color="auto"/>
            </w:tcBorders>
            <w:shd w:val="clear" w:color="auto" w:fill="auto"/>
            <w:noWrap/>
            <w:vAlign w:val="center"/>
            <w:hideMark/>
          </w:tcPr>
          <w:p w14:paraId="733B2289" w14:textId="5CBAB47D" w:rsidR="00E85F4B" w:rsidRPr="007A5D47" w:rsidRDefault="00E85F4B" w:rsidP="00E85F4B">
            <w:pPr>
              <w:jc w:val="center"/>
              <w:rPr>
                <w:rFonts w:ascii="Calibri" w:eastAsia="Times New Roman" w:hAnsi="Calibri" w:cs="Times New Roman"/>
                <w:color w:val="000000"/>
                <w:lang w:eastAsia="fr-FR" w:bidi="ar-SA"/>
              </w:rPr>
            </w:pPr>
            <w:r>
              <w:rPr>
                <w:rFonts w:ascii="Calibri" w:hAnsi="Calibri"/>
                <w:color w:val="000000"/>
              </w:rPr>
              <w:t>0,660</w:t>
            </w:r>
          </w:p>
        </w:tc>
        <w:tc>
          <w:tcPr>
            <w:tcW w:w="4677" w:type="dxa"/>
            <w:noWrap/>
            <w:vAlign w:val="center"/>
            <w:hideMark/>
          </w:tcPr>
          <w:p w14:paraId="3EA8C666" w14:textId="77777777" w:rsidR="00E85F4B" w:rsidRPr="007A5D47" w:rsidRDefault="00E85F4B" w:rsidP="00E85F4B">
            <w:pPr>
              <w:jc w:val="center"/>
              <w:rPr>
                <w:rFonts w:ascii="Calibri" w:eastAsia="Times New Roman" w:hAnsi="Calibri" w:cs="Times New Roman"/>
                <w:color w:val="000000"/>
                <w:lang w:eastAsia="fr-FR" w:bidi="ar-SA"/>
              </w:rPr>
            </w:pPr>
            <w:r w:rsidRPr="007A5D47">
              <w:rPr>
                <w:rFonts w:ascii="Calibri" w:eastAsia="Times New Roman" w:hAnsi="Calibri" w:cs="Times New Roman"/>
                <w:color w:val="000000"/>
                <w:lang w:eastAsia="fr-FR" w:bidi="ar-SA"/>
              </w:rPr>
              <w:t>0,920</w:t>
            </w:r>
          </w:p>
        </w:tc>
      </w:tr>
      <w:tr w:rsidR="00E85F4B" w:rsidRPr="007A5D47" w14:paraId="0613821C" w14:textId="77777777" w:rsidTr="00FC0B23">
        <w:trPr>
          <w:trHeight w:val="300"/>
          <w:jc w:val="center"/>
        </w:trPr>
        <w:tc>
          <w:tcPr>
            <w:tcW w:w="895" w:type="dxa"/>
            <w:noWrap/>
            <w:vAlign w:val="center"/>
            <w:hideMark/>
          </w:tcPr>
          <w:p w14:paraId="27D4767C" w14:textId="77777777" w:rsidR="00E85F4B" w:rsidRPr="007A5D47" w:rsidRDefault="00E85F4B" w:rsidP="00E85F4B">
            <w:pPr>
              <w:jc w:val="center"/>
              <w:rPr>
                <w:rFonts w:ascii="Calibri" w:eastAsia="Times New Roman" w:hAnsi="Calibri" w:cs="Times New Roman"/>
                <w:color w:val="000000"/>
                <w:lang w:eastAsia="fr-FR" w:bidi="ar-SA"/>
              </w:rPr>
            </w:pPr>
            <w:r w:rsidRPr="007A5D47">
              <w:rPr>
                <w:rFonts w:ascii="Calibri" w:eastAsia="Times New Roman" w:hAnsi="Calibri" w:cs="Times New Roman"/>
                <w:color w:val="000000"/>
                <w:lang w:eastAsia="fr-FR" w:bidi="ar-SA"/>
              </w:rPr>
              <w:t>42</w:t>
            </w:r>
          </w:p>
        </w:tc>
        <w:tc>
          <w:tcPr>
            <w:tcW w:w="2928" w:type="dxa"/>
            <w:tcBorders>
              <w:top w:val="nil"/>
              <w:left w:val="single" w:sz="8" w:space="0" w:color="auto"/>
              <w:bottom w:val="single" w:sz="8" w:space="0" w:color="auto"/>
              <w:right w:val="single" w:sz="8" w:space="0" w:color="auto"/>
            </w:tcBorders>
            <w:shd w:val="clear" w:color="auto" w:fill="auto"/>
            <w:noWrap/>
            <w:vAlign w:val="center"/>
            <w:hideMark/>
          </w:tcPr>
          <w:p w14:paraId="1CD24CE3" w14:textId="1B396F1C" w:rsidR="00E85F4B" w:rsidRPr="007A5D47" w:rsidRDefault="00E85F4B" w:rsidP="00E85F4B">
            <w:pPr>
              <w:jc w:val="center"/>
              <w:rPr>
                <w:rFonts w:ascii="Calibri" w:eastAsia="Times New Roman" w:hAnsi="Calibri" w:cs="Times New Roman"/>
                <w:color w:val="000000"/>
                <w:lang w:eastAsia="fr-FR" w:bidi="ar-SA"/>
              </w:rPr>
            </w:pPr>
            <w:r>
              <w:rPr>
                <w:rFonts w:ascii="Calibri" w:hAnsi="Calibri"/>
                <w:color w:val="000000"/>
              </w:rPr>
              <w:t>0,651</w:t>
            </w:r>
          </w:p>
        </w:tc>
        <w:tc>
          <w:tcPr>
            <w:tcW w:w="4677" w:type="dxa"/>
            <w:noWrap/>
            <w:vAlign w:val="center"/>
            <w:hideMark/>
          </w:tcPr>
          <w:p w14:paraId="4ADC7223" w14:textId="77777777" w:rsidR="00E85F4B" w:rsidRPr="007A5D47" w:rsidRDefault="00E85F4B" w:rsidP="00E85F4B">
            <w:pPr>
              <w:jc w:val="center"/>
              <w:rPr>
                <w:rFonts w:ascii="Calibri" w:eastAsia="Times New Roman" w:hAnsi="Calibri" w:cs="Times New Roman"/>
                <w:color w:val="000000"/>
                <w:lang w:eastAsia="fr-FR" w:bidi="ar-SA"/>
              </w:rPr>
            </w:pPr>
            <w:r w:rsidRPr="007A5D47">
              <w:rPr>
                <w:rFonts w:ascii="Calibri" w:eastAsia="Times New Roman" w:hAnsi="Calibri" w:cs="Times New Roman"/>
                <w:color w:val="000000"/>
                <w:lang w:eastAsia="fr-FR" w:bidi="ar-SA"/>
              </w:rPr>
              <w:t>0,916</w:t>
            </w:r>
          </w:p>
        </w:tc>
      </w:tr>
      <w:tr w:rsidR="00E85F4B" w:rsidRPr="007A5D47" w14:paraId="30C3FA6A" w14:textId="77777777" w:rsidTr="00FC0B23">
        <w:trPr>
          <w:trHeight w:val="300"/>
          <w:jc w:val="center"/>
        </w:trPr>
        <w:tc>
          <w:tcPr>
            <w:tcW w:w="895" w:type="dxa"/>
            <w:noWrap/>
            <w:vAlign w:val="center"/>
            <w:hideMark/>
          </w:tcPr>
          <w:p w14:paraId="35731409" w14:textId="77777777" w:rsidR="00E85F4B" w:rsidRPr="007A5D47" w:rsidRDefault="00E85F4B" w:rsidP="00E85F4B">
            <w:pPr>
              <w:jc w:val="center"/>
              <w:rPr>
                <w:rFonts w:ascii="Calibri" w:eastAsia="Times New Roman" w:hAnsi="Calibri" w:cs="Times New Roman"/>
                <w:color w:val="000000"/>
                <w:lang w:eastAsia="fr-FR" w:bidi="ar-SA"/>
              </w:rPr>
            </w:pPr>
            <w:r w:rsidRPr="007A5D47">
              <w:rPr>
                <w:rFonts w:ascii="Calibri" w:eastAsia="Times New Roman" w:hAnsi="Calibri" w:cs="Times New Roman"/>
                <w:color w:val="000000"/>
                <w:lang w:eastAsia="fr-FR" w:bidi="ar-SA"/>
              </w:rPr>
              <w:t>43</w:t>
            </w:r>
          </w:p>
        </w:tc>
        <w:tc>
          <w:tcPr>
            <w:tcW w:w="2928" w:type="dxa"/>
            <w:tcBorders>
              <w:top w:val="nil"/>
              <w:left w:val="single" w:sz="8" w:space="0" w:color="auto"/>
              <w:bottom w:val="single" w:sz="8" w:space="0" w:color="auto"/>
              <w:right w:val="single" w:sz="8" w:space="0" w:color="auto"/>
            </w:tcBorders>
            <w:shd w:val="clear" w:color="auto" w:fill="auto"/>
            <w:noWrap/>
            <w:vAlign w:val="center"/>
            <w:hideMark/>
          </w:tcPr>
          <w:p w14:paraId="1AD46906" w14:textId="0AE79A42" w:rsidR="00E85F4B" w:rsidRPr="007A5D47" w:rsidRDefault="00E85F4B" w:rsidP="00E85F4B">
            <w:pPr>
              <w:jc w:val="center"/>
              <w:rPr>
                <w:rFonts w:ascii="Calibri" w:eastAsia="Times New Roman" w:hAnsi="Calibri" w:cs="Times New Roman"/>
                <w:color w:val="000000"/>
                <w:lang w:eastAsia="fr-FR" w:bidi="ar-SA"/>
              </w:rPr>
            </w:pPr>
            <w:r>
              <w:rPr>
                <w:rFonts w:ascii="Calibri" w:hAnsi="Calibri"/>
                <w:color w:val="000000"/>
              </w:rPr>
              <w:t>0,642</w:t>
            </w:r>
          </w:p>
        </w:tc>
        <w:tc>
          <w:tcPr>
            <w:tcW w:w="4677" w:type="dxa"/>
            <w:noWrap/>
            <w:vAlign w:val="center"/>
            <w:hideMark/>
          </w:tcPr>
          <w:p w14:paraId="61CDD728" w14:textId="77777777" w:rsidR="00E85F4B" w:rsidRPr="007A5D47" w:rsidRDefault="00E85F4B" w:rsidP="00E85F4B">
            <w:pPr>
              <w:jc w:val="center"/>
              <w:rPr>
                <w:rFonts w:ascii="Calibri" w:eastAsia="Times New Roman" w:hAnsi="Calibri" w:cs="Times New Roman"/>
                <w:color w:val="000000"/>
                <w:lang w:eastAsia="fr-FR" w:bidi="ar-SA"/>
              </w:rPr>
            </w:pPr>
            <w:r w:rsidRPr="007A5D47">
              <w:rPr>
                <w:rFonts w:ascii="Calibri" w:eastAsia="Times New Roman" w:hAnsi="Calibri" w:cs="Times New Roman"/>
                <w:color w:val="000000"/>
                <w:lang w:eastAsia="fr-FR" w:bidi="ar-SA"/>
              </w:rPr>
              <w:t>0,912</w:t>
            </w:r>
          </w:p>
        </w:tc>
      </w:tr>
      <w:tr w:rsidR="00E85F4B" w:rsidRPr="007A5D47" w14:paraId="39A84CF1" w14:textId="77777777" w:rsidTr="00FC0B23">
        <w:trPr>
          <w:trHeight w:val="300"/>
          <w:jc w:val="center"/>
        </w:trPr>
        <w:tc>
          <w:tcPr>
            <w:tcW w:w="895" w:type="dxa"/>
            <w:noWrap/>
            <w:vAlign w:val="center"/>
            <w:hideMark/>
          </w:tcPr>
          <w:p w14:paraId="696A8906" w14:textId="77777777" w:rsidR="00E85F4B" w:rsidRPr="007A5D47" w:rsidRDefault="00E85F4B" w:rsidP="00E85F4B">
            <w:pPr>
              <w:jc w:val="center"/>
              <w:rPr>
                <w:rFonts w:ascii="Calibri" w:eastAsia="Times New Roman" w:hAnsi="Calibri" w:cs="Times New Roman"/>
                <w:color w:val="000000"/>
                <w:lang w:eastAsia="fr-FR" w:bidi="ar-SA"/>
              </w:rPr>
            </w:pPr>
            <w:r w:rsidRPr="007A5D47">
              <w:rPr>
                <w:rFonts w:ascii="Calibri" w:eastAsia="Times New Roman" w:hAnsi="Calibri" w:cs="Times New Roman"/>
                <w:color w:val="000000"/>
                <w:lang w:eastAsia="fr-FR" w:bidi="ar-SA"/>
              </w:rPr>
              <w:t>44</w:t>
            </w:r>
          </w:p>
        </w:tc>
        <w:tc>
          <w:tcPr>
            <w:tcW w:w="2928" w:type="dxa"/>
            <w:tcBorders>
              <w:top w:val="nil"/>
              <w:left w:val="single" w:sz="8" w:space="0" w:color="auto"/>
              <w:bottom w:val="single" w:sz="8" w:space="0" w:color="auto"/>
              <w:right w:val="single" w:sz="8" w:space="0" w:color="auto"/>
            </w:tcBorders>
            <w:shd w:val="clear" w:color="auto" w:fill="auto"/>
            <w:noWrap/>
            <w:vAlign w:val="center"/>
            <w:hideMark/>
          </w:tcPr>
          <w:p w14:paraId="3717A730" w14:textId="403B4DD2" w:rsidR="00E85F4B" w:rsidRPr="007A5D47" w:rsidRDefault="00E85F4B" w:rsidP="00E85F4B">
            <w:pPr>
              <w:jc w:val="center"/>
              <w:rPr>
                <w:rFonts w:ascii="Calibri" w:eastAsia="Times New Roman" w:hAnsi="Calibri" w:cs="Times New Roman"/>
                <w:color w:val="000000"/>
                <w:lang w:eastAsia="fr-FR" w:bidi="ar-SA"/>
              </w:rPr>
            </w:pPr>
            <w:r>
              <w:rPr>
                <w:rFonts w:ascii="Calibri" w:hAnsi="Calibri"/>
                <w:color w:val="000000"/>
              </w:rPr>
              <w:t>0,633</w:t>
            </w:r>
          </w:p>
        </w:tc>
        <w:tc>
          <w:tcPr>
            <w:tcW w:w="4677" w:type="dxa"/>
            <w:noWrap/>
            <w:vAlign w:val="center"/>
            <w:hideMark/>
          </w:tcPr>
          <w:p w14:paraId="2175A785" w14:textId="77777777" w:rsidR="00E85F4B" w:rsidRPr="007A5D47" w:rsidRDefault="00E85F4B" w:rsidP="00E85F4B">
            <w:pPr>
              <w:jc w:val="center"/>
              <w:rPr>
                <w:rFonts w:ascii="Calibri" w:eastAsia="Times New Roman" w:hAnsi="Calibri" w:cs="Times New Roman"/>
                <w:color w:val="000000"/>
                <w:lang w:eastAsia="fr-FR" w:bidi="ar-SA"/>
              </w:rPr>
            </w:pPr>
            <w:r w:rsidRPr="007A5D47">
              <w:rPr>
                <w:rFonts w:ascii="Calibri" w:eastAsia="Times New Roman" w:hAnsi="Calibri" w:cs="Times New Roman"/>
                <w:color w:val="000000"/>
                <w:lang w:eastAsia="fr-FR" w:bidi="ar-SA"/>
              </w:rPr>
              <w:t>0,908</w:t>
            </w:r>
          </w:p>
        </w:tc>
      </w:tr>
      <w:tr w:rsidR="00E85F4B" w:rsidRPr="007A5D47" w14:paraId="7DC25C50" w14:textId="77777777" w:rsidTr="00FC0B23">
        <w:trPr>
          <w:trHeight w:val="300"/>
          <w:jc w:val="center"/>
        </w:trPr>
        <w:tc>
          <w:tcPr>
            <w:tcW w:w="895" w:type="dxa"/>
            <w:noWrap/>
            <w:vAlign w:val="center"/>
            <w:hideMark/>
          </w:tcPr>
          <w:p w14:paraId="089C992A" w14:textId="77777777" w:rsidR="00E85F4B" w:rsidRPr="007A5D47" w:rsidRDefault="00E85F4B" w:rsidP="00E85F4B">
            <w:pPr>
              <w:jc w:val="center"/>
              <w:rPr>
                <w:rFonts w:ascii="Calibri" w:eastAsia="Times New Roman" w:hAnsi="Calibri" w:cs="Times New Roman"/>
                <w:color w:val="000000"/>
                <w:lang w:eastAsia="fr-FR" w:bidi="ar-SA"/>
              </w:rPr>
            </w:pPr>
            <w:r w:rsidRPr="007A5D47">
              <w:rPr>
                <w:rFonts w:ascii="Calibri" w:eastAsia="Times New Roman" w:hAnsi="Calibri" w:cs="Times New Roman"/>
                <w:color w:val="000000"/>
                <w:lang w:eastAsia="fr-FR" w:bidi="ar-SA"/>
              </w:rPr>
              <w:t>45</w:t>
            </w:r>
          </w:p>
        </w:tc>
        <w:tc>
          <w:tcPr>
            <w:tcW w:w="2928" w:type="dxa"/>
            <w:tcBorders>
              <w:top w:val="nil"/>
              <w:left w:val="single" w:sz="8" w:space="0" w:color="auto"/>
              <w:bottom w:val="single" w:sz="8" w:space="0" w:color="auto"/>
              <w:right w:val="single" w:sz="8" w:space="0" w:color="auto"/>
            </w:tcBorders>
            <w:shd w:val="clear" w:color="auto" w:fill="auto"/>
            <w:noWrap/>
            <w:vAlign w:val="center"/>
            <w:hideMark/>
          </w:tcPr>
          <w:p w14:paraId="7AAC8B0A" w14:textId="36F10BF9" w:rsidR="00E85F4B" w:rsidRPr="007A5D47" w:rsidRDefault="00E85F4B" w:rsidP="00E85F4B">
            <w:pPr>
              <w:jc w:val="center"/>
              <w:rPr>
                <w:rFonts w:ascii="Calibri" w:eastAsia="Times New Roman" w:hAnsi="Calibri" w:cs="Times New Roman"/>
                <w:color w:val="000000"/>
                <w:lang w:eastAsia="fr-FR" w:bidi="ar-SA"/>
              </w:rPr>
            </w:pPr>
            <w:r>
              <w:rPr>
                <w:rFonts w:ascii="Calibri" w:hAnsi="Calibri"/>
                <w:color w:val="000000"/>
              </w:rPr>
              <w:t>0,624</w:t>
            </w:r>
          </w:p>
        </w:tc>
        <w:tc>
          <w:tcPr>
            <w:tcW w:w="4677" w:type="dxa"/>
            <w:noWrap/>
            <w:vAlign w:val="center"/>
            <w:hideMark/>
          </w:tcPr>
          <w:p w14:paraId="485EF3F8" w14:textId="77777777" w:rsidR="00E85F4B" w:rsidRPr="007A5D47" w:rsidRDefault="00E85F4B" w:rsidP="00E85F4B">
            <w:pPr>
              <w:jc w:val="center"/>
              <w:rPr>
                <w:rFonts w:ascii="Calibri" w:eastAsia="Times New Roman" w:hAnsi="Calibri" w:cs="Times New Roman"/>
                <w:color w:val="000000"/>
                <w:lang w:eastAsia="fr-FR" w:bidi="ar-SA"/>
              </w:rPr>
            </w:pPr>
            <w:r w:rsidRPr="007A5D47">
              <w:rPr>
                <w:rFonts w:ascii="Calibri" w:eastAsia="Times New Roman" w:hAnsi="Calibri" w:cs="Times New Roman"/>
                <w:color w:val="000000"/>
                <w:lang w:eastAsia="fr-FR" w:bidi="ar-SA"/>
              </w:rPr>
              <w:t>0,904</w:t>
            </w:r>
          </w:p>
        </w:tc>
      </w:tr>
      <w:tr w:rsidR="00E85F4B" w:rsidRPr="007A5D47" w14:paraId="13C9A636" w14:textId="77777777" w:rsidTr="00FC0B23">
        <w:trPr>
          <w:trHeight w:val="300"/>
          <w:jc w:val="center"/>
        </w:trPr>
        <w:tc>
          <w:tcPr>
            <w:tcW w:w="895" w:type="dxa"/>
            <w:noWrap/>
            <w:vAlign w:val="center"/>
            <w:hideMark/>
          </w:tcPr>
          <w:p w14:paraId="245C667F" w14:textId="77777777" w:rsidR="00E85F4B" w:rsidRPr="007A5D47" w:rsidRDefault="00E85F4B" w:rsidP="00E85F4B">
            <w:pPr>
              <w:jc w:val="center"/>
              <w:rPr>
                <w:rFonts w:ascii="Calibri" w:eastAsia="Times New Roman" w:hAnsi="Calibri" w:cs="Times New Roman"/>
                <w:color w:val="000000"/>
                <w:lang w:eastAsia="fr-FR" w:bidi="ar-SA"/>
              </w:rPr>
            </w:pPr>
            <w:r w:rsidRPr="007A5D47">
              <w:rPr>
                <w:rFonts w:ascii="Calibri" w:eastAsia="Times New Roman" w:hAnsi="Calibri" w:cs="Times New Roman"/>
                <w:color w:val="000000"/>
                <w:lang w:eastAsia="fr-FR" w:bidi="ar-SA"/>
              </w:rPr>
              <w:t>46</w:t>
            </w:r>
          </w:p>
        </w:tc>
        <w:tc>
          <w:tcPr>
            <w:tcW w:w="2928" w:type="dxa"/>
            <w:tcBorders>
              <w:top w:val="nil"/>
              <w:left w:val="single" w:sz="8" w:space="0" w:color="auto"/>
              <w:bottom w:val="single" w:sz="8" w:space="0" w:color="auto"/>
              <w:right w:val="single" w:sz="8" w:space="0" w:color="auto"/>
            </w:tcBorders>
            <w:shd w:val="clear" w:color="auto" w:fill="auto"/>
            <w:noWrap/>
            <w:vAlign w:val="center"/>
            <w:hideMark/>
          </w:tcPr>
          <w:p w14:paraId="07D4CC50" w14:textId="3A55ECA5" w:rsidR="00E85F4B" w:rsidRPr="007A5D47" w:rsidRDefault="00E85F4B" w:rsidP="00E85F4B">
            <w:pPr>
              <w:jc w:val="center"/>
              <w:rPr>
                <w:rFonts w:ascii="Calibri" w:eastAsia="Times New Roman" w:hAnsi="Calibri" w:cs="Times New Roman"/>
                <w:color w:val="000000"/>
                <w:lang w:eastAsia="fr-FR" w:bidi="ar-SA"/>
              </w:rPr>
            </w:pPr>
            <w:r>
              <w:rPr>
                <w:rFonts w:ascii="Calibri" w:hAnsi="Calibri"/>
                <w:color w:val="000000"/>
              </w:rPr>
              <w:t>0,615</w:t>
            </w:r>
          </w:p>
        </w:tc>
        <w:tc>
          <w:tcPr>
            <w:tcW w:w="4677" w:type="dxa"/>
            <w:noWrap/>
            <w:vAlign w:val="center"/>
            <w:hideMark/>
          </w:tcPr>
          <w:p w14:paraId="09AED90E" w14:textId="77777777" w:rsidR="00E85F4B" w:rsidRPr="007A5D47" w:rsidRDefault="00E85F4B" w:rsidP="00E85F4B">
            <w:pPr>
              <w:jc w:val="center"/>
              <w:rPr>
                <w:rFonts w:ascii="Calibri" w:eastAsia="Times New Roman" w:hAnsi="Calibri" w:cs="Times New Roman"/>
                <w:color w:val="000000"/>
                <w:lang w:eastAsia="fr-FR" w:bidi="ar-SA"/>
              </w:rPr>
            </w:pPr>
            <w:r w:rsidRPr="007A5D47">
              <w:rPr>
                <w:rFonts w:ascii="Calibri" w:eastAsia="Times New Roman" w:hAnsi="Calibri" w:cs="Times New Roman"/>
                <w:color w:val="000000"/>
                <w:lang w:eastAsia="fr-FR" w:bidi="ar-SA"/>
              </w:rPr>
              <w:t>0,899</w:t>
            </w:r>
          </w:p>
        </w:tc>
      </w:tr>
      <w:tr w:rsidR="00E85F4B" w:rsidRPr="007A5D47" w14:paraId="7CE64E22" w14:textId="77777777" w:rsidTr="00FC0B23">
        <w:trPr>
          <w:trHeight w:val="300"/>
          <w:jc w:val="center"/>
        </w:trPr>
        <w:tc>
          <w:tcPr>
            <w:tcW w:w="895" w:type="dxa"/>
            <w:noWrap/>
            <w:vAlign w:val="center"/>
            <w:hideMark/>
          </w:tcPr>
          <w:p w14:paraId="39FA1AF8" w14:textId="77777777" w:rsidR="00E85F4B" w:rsidRPr="007A5D47" w:rsidRDefault="00E85F4B" w:rsidP="00E85F4B">
            <w:pPr>
              <w:jc w:val="center"/>
              <w:rPr>
                <w:rFonts w:ascii="Calibri" w:eastAsia="Times New Roman" w:hAnsi="Calibri" w:cs="Times New Roman"/>
                <w:color w:val="000000"/>
                <w:lang w:eastAsia="fr-FR" w:bidi="ar-SA"/>
              </w:rPr>
            </w:pPr>
            <w:r w:rsidRPr="007A5D47">
              <w:rPr>
                <w:rFonts w:ascii="Calibri" w:eastAsia="Times New Roman" w:hAnsi="Calibri" w:cs="Times New Roman"/>
                <w:color w:val="000000"/>
                <w:lang w:eastAsia="fr-FR" w:bidi="ar-SA"/>
              </w:rPr>
              <w:t>47</w:t>
            </w:r>
          </w:p>
        </w:tc>
        <w:tc>
          <w:tcPr>
            <w:tcW w:w="2928" w:type="dxa"/>
            <w:tcBorders>
              <w:top w:val="nil"/>
              <w:left w:val="single" w:sz="8" w:space="0" w:color="auto"/>
              <w:bottom w:val="single" w:sz="8" w:space="0" w:color="auto"/>
              <w:right w:val="single" w:sz="8" w:space="0" w:color="auto"/>
            </w:tcBorders>
            <w:shd w:val="clear" w:color="auto" w:fill="auto"/>
            <w:noWrap/>
            <w:vAlign w:val="center"/>
            <w:hideMark/>
          </w:tcPr>
          <w:p w14:paraId="4AE95C28" w14:textId="5DB9ED4A" w:rsidR="00E85F4B" w:rsidRPr="007A5D47" w:rsidRDefault="00E85F4B" w:rsidP="00E85F4B">
            <w:pPr>
              <w:jc w:val="center"/>
              <w:rPr>
                <w:rFonts w:ascii="Calibri" w:eastAsia="Times New Roman" w:hAnsi="Calibri" w:cs="Times New Roman"/>
                <w:color w:val="000000"/>
                <w:lang w:eastAsia="fr-FR" w:bidi="ar-SA"/>
              </w:rPr>
            </w:pPr>
            <w:r>
              <w:rPr>
                <w:rFonts w:ascii="Calibri" w:hAnsi="Calibri"/>
                <w:color w:val="000000"/>
              </w:rPr>
              <w:t>0,606</w:t>
            </w:r>
          </w:p>
        </w:tc>
        <w:tc>
          <w:tcPr>
            <w:tcW w:w="4677" w:type="dxa"/>
            <w:noWrap/>
            <w:vAlign w:val="center"/>
            <w:hideMark/>
          </w:tcPr>
          <w:p w14:paraId="75814FFB" w14:textId="77777777" w:rsidR="00E85F4B" w:rsidRPr="007A5D47" w:rsidRDefault="00E85F4B" w:rsidP="00E85F4B">
            <w:pPr>
              <w:jc w:val="center"/>
              <w:rPr>
                <w:rFonts w:ascii="Calibri" w:eastAsia="Times New Roman" w:hAnsi="Calibri" w:cs="Times New Roman"/>
                <w:color w:val="000000"/>
                <w:lang w:eastAsia="fr-FR" w:bidi="ar-SA"/>
              </w:rPr>
            </w:pPr>
            <w:r w:rsidRPr="007A5D47">
              <w:rPr>
                <w:rFonts w:ascii="Calibri" w:eastAsia="Times New Roman" w:hAnsi="Calibri" w:cs="Times New Roman"/>
                <w:color w:val="000000"/>
                <w:lang w:eastAsia="fr-FR" w:bidi="ar-SA"/>
              </w:rPr>
              <w:t>0,895</w:t>
            </w:r>
          </w:p>
        </w:tc>
      </w:tr>
      <w:tr w:rsidR="00E85F4B" w:rsidRPr="007A5D47" w14:paraId="734D418B" w14:textId="77777777" w:rsidTr="00FC0B23">
        <w:trPr>
          <w:trHeight w:val="300"/>
          <w:jc w:val="center"/>
        </w:trPr>
        <w:tc>
          <w:tcPr>
            <w:tcW w:w="895" w:type="dxa"/>
            <w:noWrap/>
            <w:vAlign w:val="center"/>
            <w:hideMark/>
          </w:tcPr>
          <w:p w14:paraId="2A507B98" w14:textId="77777777" w:rsidR="00E85F4B" w:rsidRPr="007A5D47" w:rsidRDefault="00E85F4B" w:rsidP="00E85F4B">
            <w:pPr>
              <w:jc w:val="center"/>
              <w:rPr>
                <w:rFonts w:ascii="Calibri" w:eastAsia="Times New Roman" w:hAnsi="Calibri" w:cs="Times New Roman"/>
                <w:color w:val="000000"/>
                <w:lang w:eastAsia="fr-FR" w:bidi="ar-SA"/>
              </w:rPr>
            </w:pPr>
            <w:r w:rsidRPr="007A5D47">
              <w:rPr>
                <w:rFonts w:ascii="Calibri" w:eastAsia="Times New Roman" w:hAnsi="Calibri" w:cs="Times New Roman"/>
                <w:color w:val="000000"/>
                <w:lang w:eastAsia="fr-FR" w:bidi="ar-SA"/>
              </w:rPr>
              <w:t>48</w:t>
            </w:r>
          </w:p>
        </w:tc>
        <w:tc>
          <w:tcPr>
            <w:tcW w:w="2928" w:type="dxa"/>
            <w:tcBorders>
              <w:top w:val="nil"/>
              <w:left w:val="single" w:sz="8" w:space="0" w:color="auto"/>
              <w:bottom w:val="single" w:sz="8" w:space="0" w:color="auto"/>
              <w:right w:val="single" w:sz="8" w:space="0" w:color="auto"/>
            </w:tcBorders>
            <w:shd w:val="clear" w:color="auto" w:fill="auto"/>
            <w:noWrap/>
            <w:vAlign w:val="center"/>
            <w:hideMark/>
          </w:tcPr>
          <w:p w14:paraId="6CA238D4" w14:textId="3245E3A7" w:rsidR="00E85F4B" w:rsidRPr="007A5D47" w:rsidRDefault="00E85F4B" w:rsidP="00E85F4B">
            <w:pPr>
              <w:jc w:val="center"/>
              <w:rPr>
                <w:rFonts w:ascii="Calibri" w:eastAsia="Times New Roman" w:hAnsi="Calibri" w:cs="Times New Roman"/>
                <w:color w:val="000000"/>
                <w:lang w:eastAsia="fr-FR" w:bidi="ar-SA"/>
              </w:rPr>
            </w:pPr>
            <w:r>
              <w:rPr>
                <w:rFonts w:ascii="Calibri" w:hAnsi="Calibri"/>
                <w:color w:val="000000"/>
              </w:rPr>
              <w:t>0,597</w:t>
            </w:r>
          </w:p>
        </w:tc>
        <w:tc>
          <w:tcPr>
            <w:tcW w:w="4677" w:type="dxa"/>
            <w:noWrap/>
            <w:vAlign w:val="center"/>
            <w:hideMark/>
          </w:tcPr>
          <w:p w14:paraId="266B0937" w14:textId="77777777" w:rsidR="00E85F4B" w:rsidRPr="007A5D47" w:rsidRDefault="00E85F4B" w:rsidP="00E85F4B">
            <w:pPr>
              <w:jc w:val="center"/>
              <w:rPr>
                <w:rFonts w:ascii="Calibri" w:eastAsia="Times New Roman" w:hAnsi="Calibri" w:cs="Times New Roman"/>
                <w:color w:val="000000"/>
                <w:lang w:eastAsia="fr-FR" w:bidi="ar-SA"/>
              </w:rPr>
            </w:pPr>
            <w:r w:rsidRPr="007A5D47">
              <w:rPr>
                <w:rFonts w:ascii="Calibri" w:eastAsia="Times New Roman" w:hAnsi="Calibri" w:cs="Times New Roman"/>
                <w:color w:val="000000"/>
                <w:lang w:eastAsia="fr-FR" w:bidi="ar-SA"/>
              </w:rPr>
              <w:t>0,890</w:t>
            </w:r>
          </w:p>
        </w:tc>
      </w:tr>
      <w:tr w:rsidR="00E85F4B" w:rsidRPr="007A5D47" w14:paraId="05F30D7C" w14:textId="77777777" w:rsidTr="00FC0B23">
        <w:trPr>
          <w:trHeight w:val="300"/>
          <w:jc w:val="center"/>
        </w:trPr>
        <w:tc>
          <w:tcPr>
            <w:tcW w:w="895" w:type="dxa"/>
            <w:noWrap/>
            <w:vAlign w:val="center"/>
            <w:hideMark/>
          </w:tcPr>
          <w:p w14:paraId="75D86508" w14:textId="77777777" w:rsidR="00E85F4B" w:rsidRPr="007A5D47" w:rsidRDefault="00E85F4B" w:rsidP="00E85F4B">
            <w:pPr>
              <w:jc w:val="center"/>
              <w:rPr>
                <w:rFonts w:ascii="Calibri" w:eastAsia="Times New Roman" w:hAnsi="Calibri" w:cs="Times New Roman"/>
                <w:color w:val="000000"/>
                <w:lang w:eastAsia="fr-FR" w:bidi="ar-SA"/>
              </w:rPr>
            </w:pPr>
            <w:r w:rsidRPr="007A5D47">
              <w:rPr>
                <w:rFonts w:ascii="Calibri" w:eastAsia="Times New Roman" w:hAnsi="Calibri" w:cs="Times New Roman"/>
                <w:color w:val="000000"/>
                <w:lang w:eastAsia="fr-FR" w:bidi="ar-SA"/>
              </w:rPr>
              <w:t>49</w:t>
            </w:r>
          </w:p>
        </w:tc>
        <w:tc>
          <w:tcPr>
            <w:tcW w:w="2928" w:type="dxa"/>
            <w:tcBorders>
              <w:top w:val="nil"/>
              <w:left w:val="single" w:sz="8" w:space="0" w:color="auto"/>
              <w:bottom w:val="single" w:sz="8" w:space="0" w:color="auto"/>
              <w:right w:val="single" w:sz="8" w:space="0" w:color="auto"/>
            </w:tcBorders>
            <w:shd w:val="clear" w:color="auto" w:fill="auto"/>
            <w:noWrap/>
            <w:vAlign w:val="center"/>
            <w:hideMark/>
          </w:tcPr>
          <w:p w14:paraId="09A8E7B5" w14:textId="01491990" w:rsidR="00E85F4B" w:rsidRPr="007A5D47" w:rsidRDefault="00E85F4B" w:rsidP="00E85F4B">
            <w:pPr>
              <w:jc w:val="center"/>
              <w:rPr>
                <w:rFonts w:ascii="Calibri" w:eastAsia="Times New Roman" w:hAnsi="Calibri" w:cs="Times New Roman"/>
                <w:color w:val="000000"/>
                <w:lang w:eastAsia="fr-FR" w:bidi="ar-SA"/>
              </w:rPr>
            </w:pPr>
            <w:r>
              <w:rPr>
                <w:rFonts w:ascii="Calibri" w:hAnsi="Calibri"/>
                <w:color w:val="000000"/>
              </w:rPr>
              <w:t>0,587</w:t>
            </w:r>
          </w:p>
        </w:tc>
        <w:tc>
          <w:tcPr>
            <w:tcW w:w="4677" w:type="dxa"/>
            <w:noWrap/>
            <w:vAlign w:val="center"/>
            <w:hideMark/>
          </w:tcPr>
          <w:p w14:paraId="2FCDD1B6" w14:textId="77777777" w:rsidR="00E85F4B" w:rsidRPr="007A5D47" w:rsidRDefault="00E85F4B" w:rsidP="00E85F4B">
            <w:pPr>
              <w:jc w:val="center"/>
              <w:rPr>
                <w:rFonts w:ascii="Calibri" w:eastAsia="Times New Roman" w:hAnsi="Calibri" w:cs="Times New Roman"/>
                <w:color w:val="000000"/>
                <w:lang w:eastAsia="fr-FR" w:bidi="ar-SA"/>
              </w:rPr>
            </w:pPr>
            <w:r w:rsidRPr="007A5D47">
              <w:rPr>
                <w:rFonts w:ascii="Calibri" w:eastAsia="Times New Roman" w:hAnsi="Calibri" w:cs="Times New Roman"/>
                <w:color w:val="000000"/>
                <w:lang w:eastAsia="fr-FR" w:bidi="ar-SA"/>
              </w:rPr>
              <w:t>0,885</w:t>
            </w:r>
          </w:p>
        </w:tc>
      </w:tr>
      <w:tr w:rsidR="00E85F4B" w:rsidRPr="00D73839" w14:paraId="057E594E" w14:textId="77777777" w:rsidTr="00FC0B23">
        <w:trPr>
          <w:trHeight w:val="300"/>
          <w:jc w:val="center"/>
        </w:trPr>
        <w:tc>
          <w:tcPr>
            <w:tcW w:w="895" w:type="dxa"/>
            <w:noWrap/>
            <w:vAlign w:val="center"/>
            <w:hideMark/>
          </w:tcPr>
          <w:p w14:paraId="585903C5" w14:textId="77777777" w:rsidR="00E85F4B" w:rsidRPr="007A5D47" w:rsidRDefault="00E85F4B" w:rsidP="00E85F4B">
            <w:pPr>
              <w:jc w:val="center"/>
              <w:rPr>
                <w:rFonts w:ascii="Calibri" w:eastAsia="Times New Roman" w:hAnsi="Calibri" w:cs="Times New Roman"/>
                <w:color w:val="000000"/>
                <w:lang w:eastAsia="fr-FR" w:bidi="ar-SA"/>
              </w:rPr>
            </w:pPr>
            <w:r w:rsidRPr="007A5D47">
              <w:rPr>
                <w:rFonts w:ascii="Calibri" w:eastAsia="Times New Roman" w:hAnsi="Calibri" w:cs="Times New Roman"/>
                <w:color w:val="000000"/>
                <w:lang w:eastAsia="fr-FR" w:bidi="ar-SA"/>
              </w:rPr>
              <w:t>50</w:t>
            </w:r>
          </w:p>
        </w:tc>
        <w:tc>
          <w:tcPr>
            <w:tcW w:w="2928" w:type="dxa"/>
            <w:tcBorders>
              <w:top w:val="nil"/>
              <w:left w:val="single" w:sz="8" w:space="0" w:color="auto"/>
              <w:bottom w:val="single" w:sz="8" w:space="0" w:color="auto"/>
              <w:right w:val="single" w:sz="8" w:space="0" w:color="auto"/>
            </w:tcBorders>
            <w:shd w:val="clear" w:color="auto" w:fill="auto"/>
            <w:noWrap/>
            <w:vAlign w:val="center"/>
            <w:hideMark/>
          </w:tcPr>
          <w:p w14:paraId="69F27F78" w14:textId="2F613348" w:rsidR="00E85F4B" w:rsidRPr="007A5D47" w:rsidRDefault="00E85F4B" w:rsidP="00E85F4B">
            <w:pPr>
              <w:jc w:val="center"/>
              <w:rPr>
                <w:rFonts w:ascii="Calibri" w:eastAsia="Times New Roman" w:hAnsi="Calibri" w:cs="Times New Roman"/>
                <w:color w:val="000000"/>
                <w:lang w:eastAsia="fr-FR" w:bidi="ar-SA"/>
              </w:rPr>
            </w:pPr>
            <w:r>
              <w:rPr>
                <w:rFonts w:ascii="Calibri" w:hAnsi="Calibri"/>
                <w:color w:val="000000"/>
              </w:rPr>
              <w:t>0,578</w:t>
            </w:r>
          </w:p>
        </w:tc>
        <w:tc>
          <w:tcPr>
            <w:tcW w:w="4677" w:type="dxa"/>
            <w:noWrap/>
            <w:vAlign w:val="center"/>
            <w:hideMark/>
          </w:tcPr>
          <w:p w14:paraId="171115CF" w14:textId="77777777" w:rsidR="00E85F4B" w:rsidRPr="00D73839" w:rsidRDefault="00E85F4B" w:rsidP="00E85F4B">
            <w:pPr>
              <w:jc w:val="center"/>
              <w:rPr>
                <w:rFonts w:ascii="Calibri" w:eastAsia="Times New Roman" w:hAnsi="Calibri" w:cs="Times New Roman"/>
                <w:color w:val="000000"/>
                <w:lang w:eastAsia="fr-FR" w:bidi="ar-SA"/>
              </w:rPr>
            </w:pPr>
            <w:r w:rsidRPr="007A5D47">
              <w:rPr>
                <w:rFonts w:ascii="Calibri" w:eastAsia="Times New Roman" w:hAnsi="Calibri" w:cs="Times New Roman"/>
                <w:color w:val="000000"/>
                <w:lang w:eastAsia="fr-FR" w:bidi="ar-SA"/>
              </w:rPr>
              <w:t>0,880</w:t>
            </w:r>
          </w:p>
        </w:tc>
      </w:tr>
    </w:tbl>
    <w:p w14:paraId="5B34B42A" w14:textId="77777777" w:rsidR="007A5D47" w:rsidRPr="002230C6" w:rsidRDefault="007A5D47" w:rsidP="007A5D47"/>
    <w:p w14:paraId="1540801E" w14:textId="77777777" w:rsidR="007A5D47" w:rsidRPr="002230C6" w:rsidRDefault="007A5D47" w:rsidP="00933F50"/>
    <w:p w14:paraId="45AC8243" w14:textId="2C481695" w:rsidR="00E05843" w:rsidRDefault="003C1E49" w:rsidP="003A0BC6">
      <w:pPr>
        <w:pStyle w:val="Titre3"/>
      </w:pPr>
      <w:r>
        <w:t xml:space="preserve"> </w:t>
      </w:r>
      <w:bookmarkStart w:id="36" w:name="_Ref49446639"/>
      <w:r>
        <w:t>(</w:t>
      </w:r>
      <w:r w:rsidR="00E05843">
        <w:t>logiciels</w:t>
      </w:r>
      <w:r w:rsidR="009E5BF1">
        <w:t> : évaluation, réévaluatio</w:t>
      </w:r>
      <w:r>
        <w:t>n)</w:t>
      </w:r>
      <w:bookmarkEnd w:id="36"/>
      <w:r>
        <w:t xml:space="preserve"> </w:t>
      </w:r>
    </w:p>
    <w:p w14:paraId="24706FCC" w14:textId="3639A358" w:rsidR="00BE6F11" w:rsidRDefault="00BE6F11" w:rsidP="00BE6F11">
      <w:r>
        <w:t>L</w:t>
      </w:r>
      <w:r w:rsidRPr="00BE6F11">
        <w:t xml:space="preserve">es logiciels </w:t>
      </w:r>
      <w:r>
        <w:t xml:space="preserve">permettant la réalisation de tout ou partie du calcul des indicateurs décrits aux </w:t>
      </w:r>
      <w:r w:rsidR="00866253">
        <w:fldChar w:fldCharType="begin"/>
      </w:r>
      <w:r w:rsidR="00866253">
        <w:instrText xml:space="preserve"> REF _Ref49445983 \r </w:instrText>
      </w:r>
      <w:r w:rsidR="00866253">
        <w:fldChar w:fldCharType="separate"/>
      </w:r>
      <w:r w:rsidR="00E9780A">
        <w:t>Article 6</w:t>
      </w:r>
      <w:r w:rsidR="00866253">
        <w:fldChar w:fldCharType="end"/>
      </w:r>
      <w:r w:rsidR="003C1E49">
        <w:t xml:space="preserve"> à </w:t>
      </w:r>
      <w:r w:rsidR="00866253">
        <w:fldChar w:fldCharType="begin"/>
      </w:r>
      <w:r w:rsidR="00866253">
        <w:instrText xml:space="preserve"> REF _Ref49445995 \r </w:instrText>
      </w:r>
      <w:r w:rsidR="00866253">
        <w:fldChar w:fldCharType="separate"/>
      </w:r>
      <w:r w:rsidR="00E9780A">
        <w:t>Article 8</w:t>
      </w:r>
      <w:r w:rsidR="00866253">
        <w:fldChar w:fldCharType="end"/>
      </w:r>
      <w:r w:rsidR="003C1E49">
        <w:t xml:space="preserve"> </w:t>
      </w:r>
      <w:r>
        <w:t>afin de vérifier le respect du présent arrêté</w:t>
      </w:r>
      <w:r w:rsidR="00EE3156">
        <w:t>,</w:t>
      </w:r>
      <w:r>
        <w:t xml:space="preserve"> doivent respecter la méthode de calcul mentionnée à l’</w:t>
      </w:r>
      <w:r w:rsidR="00866253">
        <w:fldChar w:fldCharType="begin"/>
      </w:r>
      <w:r w:rsidR="00866253">
        <w:instrText xml:space="preserve"> REF _Ref49446041 \r </w:instrText>
      </w:r>
      <w:r w:rsidR="00866253">
        <w:fldChar w:fldCharType="separate"/>
      </w:r>
      <w:r w:rsidR="00E9780A">
        <w:t>Article 17</w:t>
      </w:r>
      <w:r w:rsidR="00866253">
        <w:fldChar w:fldCharType="end"/>
      </w:r>
      <w:r w:rsidR="003C1E49">
        <w:t>.</w:t>
      </w:r>
    </w:p>
    <w:p w14:paraId="6801B4DB" w14:textId="28B976CC" w:rsidR="00BE6F11" w:rsidRDefault="001C0957" w:rsidP="00BE6F11">
      <w:r>
        <w:t xml:space="preserve">Ils </w:t>
      </w:r>
      <w:r w:rsidR="00B64F22">
        <w:t xml:space="preserve">peuvent s’appuyer </w:t>
      </w:r>
      <w:r>
        <w:t xml:space="preserve">pour cela sur un outil de calcul </w:t>
      </w:r>
      <w:r w:rsidR="00B64F22">
        <w:t>des indicateurs</w:t>
      </w:r>
      <w:r w:rsidR="001865E3">
        <w:t xml:space="preserve"> Bbio, Cep,nr, Cep et DH</w:t>
      </w:r>
      <w:r w:rsidR="00B64F22">
        <w:t xml:space="preserve"> </w:t>
      </w:r>
      <w:r>
        <w:t>mis à disposition sur demande</w:t>
      </w:r>
      <w:r w:rsidR="00324401">
        <w:t>, conformément à l’article L.111-9-1-A</w:t>
      </w:r>
      <w:r w:rsidR="00F11BAA">
        <w:t xml:space="preserve"> [</w:t>
      </w:r>
      <w:r w:rsidR="00F11BAA" w:rsidRPr="00F11BAA">
        <w:rPr>
          <w:highlight w:val="yellow"/>
        </w:rPr>
        <w:t>futur L. 121-2]</w:t>
      </w:r>
      <w:r w:rsidR="00324401">
        <w:t xml:space="preserve"> du code de la construction et de l’habitation</w:t>
      </w:r>
      <w:r>
        <w:t xml:space="preserve">. </w:t>
      </w:r>
    </w:p>
    <w:p w14:paraId="6636A306" w14:textId="260DB298" w:rsidR="00BE6F11" w:rsidRDefault="003A0BC6" w:rsidP="00BE6F11">
      <w:r>
        <w:t>Pour toute utilisation réglementaire de ces logiciels, ceux-ci</w:t>
      </w:r>
      <w:r w:rsidR="00BE6F11">
        <w:t xml:space="preserve"> </w:t>
      </w:r>
      <w:r w:rsidR="00F11BAA">
        <w:t>sont</w:t>
      </w:r>
      <w:r w:rsidR="00BE6F11">
        <w:t xml:space="preserve"> </w:t>
      </w:r>
      <w:r>
        <w:t xml:space="preserve">au préalable </w:t>
      </w:r>
      <w:r w:rsidR="00F11BAA">
        <w:t xml:space="preserve">approuvés par le </w:t>
      </w:r>
      <w:r w:rsidR="00BE6F11" w:rsidRPr="00AA57C7">
        <w:t>ministre chargé de l'énergie</w:t>
      </w:r>
      <w:r w:rsidR="00BD7860" w:rsidRPr="00AA57C7">
        <w:t xml:space="preserve"> </w:t>
      </w:r>
      <w:r w:rsidR="00BE6F11" w:rsidRPr="00AA57C7">
        <w:t xml:space="preserve">et </w:t>
      </w:r>
      <w:r w:rsidR="00F11BAA">
        <w:t>le</w:t>
      </w:r>
      <w:r w:rsidR="00F11BAA" w:rsidRPr="00AA57C7">
        <w:t xml:space="preserve"> </w:t>
      </w:r>
      <w:r w:rsidR="00BE6F11" w:rsidRPr="00AA57C7">
        <w:t>ministre chargé de la construction</w:t>
      </w:r>
      <w:r>
        <w:t>, permettant notamment de vérifier que les résultats obtenus sont conformes à la méthode de calcul, et que l’interface de saisie minimise le risque d’erreurs de saisie du modélisateur.</w:t>
      </w:r>
    </w:p>
    <w:p w14:paraId="166C4A29" w14:textId="27709583" w:rsidR="003A0BC6" w:rsidRDefault="003A0BC6" w:rsidP="00BE6F11">
      <w:r>
        <w:t>À titre transitoire, les logiciels ayant réalisé un autocontrôle et effectué une demande d’évaluation</w:t>
      </w:r>
      <w:r w:rsidRPr="003A0BC6">
        <w:t xml:space="preserve"> </w:t>
      </w:r>
      <w:r>
        <w:t>pourront être utilisés à des fins réglementaires pour des simulations effectuées</w:t>
      </w:r>
      <w:r w:rsidRPr="003A0BC6">
        <w:t xml:space="preserve"> jusqu’au </w:t>
      </w:r>
      <w:r w:rsidR="0019138C">
        <w:rPr>
          <w:highlight w:val="yellow"/>
        </w:rPr>
        <w:t>31 décembre</w:t>
      </w:r>
      <w:r w:rsidRPr="003A0BC6">
        <w:rPr>
          <w:highlight w:val="yellow"/>
        </w:rPr>
        <w:t xml:space="preserve"> 2021</w:t>
      </w:r>
      <w:r>
        <w:t>.</w:t>
      </w:r>
    </w:p>
    <w:p w14:paraId="36503610" w14:textId="76892B6F" w:rsidR="004B7E7F" w:rsidRDefault="004B7E7F" w:rsidP="00BE6F11">
      <w:r>
        <w:t>L’</w:t>
      </w:r>
      <w:r w:rsidR="00AA0090">
        <w:fldChar w:fldCharType="begin"/>
      </w:r>
      <w:r w:rsidR="00AA0090">
        <w:instrText xml:space="preserve"> REF _Ref57918471 \r \h </w:instrText>
      </w:r>
      <w:r w:rsidR="00AA0090">
        <w:fldChar w:fldCharType="separate"/>
      </w:r>
      <w:r w:rsidR="00E9780A">
        <w:t>ANNEXE V</w:t>
      </w:r>
      <w:r w:rsidR="00AA0090">
        <w:fldChar w:fldCharType="end"/>
      </w:r>
      <w:r w:rsidR="003C1E49">
        <w:t xml:space="preserve"> </w:t>
      </w:r>
      <w:r>
        <w:t xml:space="preserve">décrit les modalités de réalisation des autocontrôles, et la procédure </w:t>
      </w:r>
      <w:r w:rsidR="00F11BAA">
        <w:t xml:space="preserve">d’approbation </w:t>
      </w:r>
      <w:r>
        <w:t xml:space="preserve">de ces logiciels. </w:t>
      </w:r>
    </w:p>
    <w:p w14:paraId="365BE742" w14:textId="0B103554" w:rsidR="004B7E7F" w:rsidRDefault="00F11BAA" w:rsidP="004B7E7F">
      <w:r>
        <w:t>L’approbation est renouvelée,</w:t>
      </w:r>
      <w:r w:rsidR="00843B00">
        <w:t xml:space="preserve"> à l’issue d’un réexamen périodique, </w:t>
      </w:r>
      <w:r w:rsidR="004B7E7F">
        <w:t>selon les conditions suivantes :</w:t>
      </w:r>
    </w:p>
    <w:p w14:paraId="001CC01C" w14:textId="5ACDCB87" w:rsidR="004B7E7F" w:rsidRDefault="00843B00" w:rsidP="007F40E5">
      <w:pPr>
        <w:pStyle w:val="Paragraphedeliste"/>
        <w:numPr>
          <w:ilvl w:val="0"/>
          <w:numId w:val="1"/>
        </w:numPr>
      </w:pPr>
      <w:r>
        <w:t xml:space="preserve">la durée de validité de </w:t>
      </w:r>
      <w:r w:rsidR="00F11BAA">
        <w:t>la première approbation</w:t>
      </w:r>
      <w:r>
        <w:t xml:space="preserve"> est de deux ans </w:t>
      </w:r>
      <w:r w:rsidR="004B7E7F">
        <w:t>;</w:t>
      </w:r>
    </w:p>
    <w:p w14:paraId="5E6AC2BD" w14:textId="2405E917" w:rsidR="004B7E7F" w:rsidRDefault="00843B00" w:rsidP="007F40E5">
      <w:pPr>
        <w:pStyle w:val="Paragraphedeliste"/>
        <w:numPr>
          <w:ilvl w:val="0"/>
          <w:numId w:val="1"/>
        </w:numPr>
      </w:pPr>
      <w:r w:rsidRPr="00843B00">
        <w:lastRenderedPageBreak/>
        <w:t xml:space="preserve">la durée de validité de </w:t>
      </w:r>
      <w:r w:rsidR="00F11BAA">
        <w:t>l’approbation</w:t>
      </w:r>
      <w:r w:rsidRPr="00843B00">
        <w:t xml:space="preserve"> est étendue de </w:t>
      </w:r>
      <w:r w:rsidRPr="00843B00">
        <w:rPr>
          <w:highlight w:val="yellow"/>
        </w:rPr>
        <w:t>cinq</w:t>
      </w:r>
      <w:r w:rsidR="004B7E7F">
        <w:t xml:space="preserve"> ans après </w:t>
      </w:r>
      <w:r>
        <w:t>un réexamen n’ayant pas relevé d’écarts majeurs à la méthode de calcul en vigueur au moment du dépôt de dossier de réexamen ;</w:t>
      </w:r>
    </w:p>
    <w:p w14:paraId="1ADF6262" w14:textId="11CBD22D" w:rsidR="00843B00" w:rsidRDefault="00843B00" w:rsidP="007F40E5">
      <w:pPr>
        <w:pStyle w:val="Paragraphedeliste"/>
        <w:numPr>
          <w:ilvl w:val="0"/>
          <w:numId w:val="1"/>
        </w:numPr>
      </w:pPr>
      <w:r w:rsidRPr="00843B00">
        <w:t xml:space="preserve">la durée de validité de </w:t>
      </w:r>
      <w:r w:rsidR="00F11BAA">
        <w:t>l’approbation</w:t>
      </w:r>
      <w:r w:rsidRPr="00843B00">
        <w:t xml:space="preserve">est étendue de </w:t>
      </w:r>
      <w:r>
        <w:t>2 ans après un réexamen ayant engendré la correction d’écarts</w:t>
      </w:r>
      <w:r w:rsidR="00003F58">
        <w:t xml:space="preserve"> majeurs à la méthode de calcul</w:t>
      </w:r>
      <w:r>
        <w:t xml:space="preserve"> en vigueur au moment du dépôt de dossier de réexamen.</w:t>
      </w:r>
    </w:p>
    <w:p w14:paraId="6F01870D" w14:textId="78759865" w:rsidR="00843B00" w:rsidRDefault="00F11BAA" w:rsidP="00843B00">
      <w:r>
        <w:t>L’approbation</w:t>
      </w:r>
      <w:r w:rsidR="00843B00">
        <w:t xml:space="preserve"> peut à tout moment être </w:t>
      </w:r>
      <w:r>
        <w:t>retirée</w:t>
      </w:r>
      <w:r w:rsidR="00975325">
        <w:t>,</w:t>
      </w:r>
      <w:r w:rsidR="009E5BF1">
        <w:t xml:space="preserve"> notamment</w:t>
      </w:r>
      <w:r w:rsidR="00975325">
        <w:t xml:space="preserve"> </w:t>
      </w:r>
      <w:r w:rsidR="00843B00">
        <w:t xml:space="preserve">après constat </w:t>
      </w:r>
      <w:r w:rsidR="004F123B">
        <w:t xml:space="preserve">d’un </w:t>
      </w:r>
      <w:r w:rsidR="00843B00">
        <w:t xml:space="preserve">écart </w:t>
      </w:r>
      <w:r w:rsidR="00975325">
        <w:t>majeur à la méthode de calcul en vigueur au mom</w:t>
      </w:r>
      <w:r w:rsidR="00975325" w:rsidRPr="00975325">
        <w:t>ent du</w:t>
      </w:r>
      <w:r w:rsidR="00975325">
        <w:t xml:space="preserve"> constat</w:t>
      </w:r>
      <w:r w:rsidR="009E5BF1">
        <w:t xml:space="preserve">, ou après constat à au moins </w:t>
      </w:r>
      <w:r w:rsidR="004F123B">
        <w:t xml:space="preserve">trois </w:t>
      </w:r>
      <w:r w:rsidR="009E5BF1">
        <w:t>reprise</w:t>
      </w:r>
      <w:r w:rsidR="00EA4EC2">
        <w:t>s</w:t>
      </w:r>
      <w:r w:rsidR="009E5BF1">
        <w:t xml:space="preserve"> de l’absence d’intégration de certains systèmes présents dans la méthode de </w:t>
      </w:r>
      <w:r w:rsidR="009E5BF1" w:rsidRPr="009E5BF1">
        <w:t>calcul en vigueur au moment du constat</w:t>
      </w:r>
      <w:r w:rsidR="00975325">
        <w:t>.</w:t>
      </w:r>
    </w:p>
    <w:p w14:paraId="4BABB30D" w14:textId="660FAE24" w:rsidR="00265BC4" w:rsidRDefault="003C1E49" w:rsidP="00265BC4">
      <w:pPr>
        <w:pStyle w:val="Titre3"/>
      </w:pPr>
      <w:r>
        <w:t xml:space="preserve"> (</w:t>
      </w:r>
      <w:r w:rsidR="00265BC4">
        <w:t xml:space="preserve">justification des données d’entrée </w:t>
      </w:r>
      <w:r w:rsidR="00265BC4" w:rsidRPr="00DF0DDD">
        <w:t>géométrique</w:t>
      </w:r>
      <w:r>
        <w:t xml:space="preserve">s) </w:t>
      </w:r>
    </w:p>
    <w:p w14:paraId="1500E399" w14:textId="3F72DAC7" w:rsidR="00265BC4" w:rsidRDefault="00265BC4" w:rsidP="00265BC4">
      <w:r>
        <w:t xml:space="preserve">Les valeurs utilisées comme donnée d’entrée au calcul spécifié </w:t>
      </w:r>
      <w:r w:rsidR="00942254">
        <w:t xml:space="preserve">à </w:t>
      </w:r>
      <w:r w:rsidR="00942254" w:rsidRPr="00AA0090">
        <w:t>l’</w:t>
      </w:r>
      <w:r w:rsidR="00942254" w:rsidRPr="00AA0090">
        <w:fldChar w:fldCharType="begin"/>
      </w:r>
      <w:r w:rsidR="00942254" w:rsidRPr="00AA0090">
        <w:instrText xml:space="preserve"> REF _Ref57397390 \r \h </w:instrText>
      </w:r>
      <w:r w:rsidR="00AA0090">
        <w:instrText xml:space="preserve"> \* MERGEFORMAT </w:instrText>
      </w:r>
      <w:r w:rsidR="00942254" w:rsidRPr="00AA0090">
        <w:fldChar w:fldCharType="separate"/>
      </w:r>
      <w:r w:rsidR="00003F58">
        <w:t>Article 17</w:t>
      </w:r>
      <w:r w:rsidR="00942254" w:rsidRPr="00AA0090">
        <w:fldChar w:fldCharType="end"/>
      </w:r>
      <w:r w:rsidR="00003F58">
        <w:t xml:space="preserve"> </w:t>
      </w:r>
      <w:r>
        <w:t>et décrivant des caractéristiques géométriques du bâtiment, doivent correspondre</w:t>
      </w:r>
      <w:r w:rsidR="00942254" w:rsidRPr="00942254">
        <w:t xml:space="preserve"> </w:t>
      </w:r>
      <w:r w:rsidR="00942254">
        <w:t>aux plans de construction lorsque le bâtiment n’est pas achevé, ou</w:t>
      </w:r>
      <w:r>
        <w:t xml:space="preserve"> aux grandeurs effectivement mises en œuvre à l’achèvement des travaux.</w:t>
      </w:r>
    </w:p>
    <w:p w14:paraId="5E28314F" w14:textId="77777777" w:rsidR="00265BC4" w:rsidRDefault="00265BC4" w:rsidP="00265BC4">
      <w:r>
        <w:t xml:space="preserve">Les longueurs, surfaces ou orientations du bâtiment et de ses composants font partie des données décrivant les </w:t>
      </w:r>
      <w:r w:rsidRPr="008A051C">
        <w:t xml:space="preserve">caractéristiques géométriques du </w:t>
      </w:r>
      <w:r>
        <w:t>bâtiment.</w:t>
      </w:r>
    </w:p>
    <w:p w14:paraId="46F87D8A" w14:textId="3C991381" w:rsidR="00265BC4" w:rsidRDefault="008E32DB" w:rsidP="00265BC4">
      <w:pPr>
        <w:pStyle w:val="Titre3"/>
      </w:pPr>
      <w:r>
        <w:t xml:space="preserve"> (</w:t>
      </w:r>
      <w:r w:rsidR="00265BC4">
        <w:t>justification des quantitatif</w:t>
      </w:r>
      <w:r>
        <w:t xml:space="preserve">s) </w:t>
      </w:r>
    </w:p>
    <w:p w14:paraId="45F4E8CE" w14:textId="4A157820" w:rsidR="00265BC4" w:rsidRPr="00DF0DDD" w:rsidRDefault="00265BC4" w:rsidP="00265BC4">
      <w:r w:rsidRPr="00DF0DDD">
        <w:t xml:space="preserve">Les valeurs utilisées comme donnée d’entrée au calcul spécifié </w:t>
      </w:r>
      <w:r w:rsidR="00942254">
        <w:t>à l’</w:t>
      </w:r>
      <w:r w:rsidR="00942254">
        <w:fldChar w:fldCharType="begin"/>
      </w:r>
      <w:r w:rsidR="00942254">
        <w:instrText xml:space="preserve"> REF _Ref57397390 \r \h </w:instrText>
      </w:r>
      <w:r w:rsidR="00942254">
        <w:fldChar w:fldCharType="separate"/>
      </w:r>
      <w:r w:rsidR="00003F58">
        <w:t>Article 17</w:t>
      </w:r>
      <w:r w:rsidR="00942254">
        <w:fldChar w:fldCharType="end"/>
      </w:r>
      <w:r w:rsidR="00003F58">
        <w:t xml:space="preserve"> </w:t>
      </w:r>
      <w:r w:rsidRPr="00DF0DDD">
        <w:t xml:space="preserve">et décrivant des quantités de </w:t>
      </w:r>
      <w:r>
        <w:t>produits de construction ou équipements</w:t>
      </w:r>
      <w:r w:rsidRPr="00DF0DDD">
        <w:t xml:space="preserve"> utilisés dans le bâtiment, doivent correspondre </w:t>
      </w:r>
      <w:r w:rsidR="00942254" w:rsidRPr="00DF0DDD">
        <w:t xml:space="preserve">aux estimations de quantités nécessaires </w:t>
      </w:r>
      <w:r w:rsidR="00942254">
        <w:t>à la construction du</w:t>
      </w:r>
      <w:r w:rsidR="00942254" w:rsidRPr="00DF0DDD">
        <w:t xml:space="preserve"> bâtiment </w:t>
      </w:r>
      <w:r w:rsidR="00942254">
        <w:t xml:space="preserve">lorsqu’il </w:t>
      </w:r>
      <w:r w:rsidR="00942254" w:rsidRPr="00DF0DDD">
        <w:t>n’est pas achevé</w:t>
      </w:r>
      <w:r w:rsidR="00942254">
        <w:t>, ou</w:t>
      </w:r>
      <w:r w:rsidR="00942254" w:rsidRPr="00DF0DDD">
        <w:t xml:space="preserve"> </w:t>
      </w:r>
      <w:r w:rsidRPr="00DF0DDD">
        <w:t>aux grandeurs effectivement mises en œuvre à l’achèvement des travaux.</w:t>
      </w:r>
    </w:p>
    <w:p w14:paraId="5F940039" w14:textId="6D760538" w:rsidR="00265BC4" w:rsidRPr="008A051C" w:rsidRDefault="008E32DB" w:rsidP="00265BC4">
      <w:pPr>
        <w:pStyle w:val="Titre3"/>
      </w:pPr>
      <w:r>
        <w:rPr>
          <w:rStyle w:val="Titre3Car"/>
          <w:b/>
        </w:rPr>
        <w:t xml:space="preserve"> </w:t>
      </w:r>
      <w:bookmarkStart w:id="37" w:name="_Ref57890312"/>
      <w:r>
        <w:rPr>
          <w:rStyle w:val="Titre3Car"/>
          <w:b/>
        </w:rPr>
        <w:t>(</w:t>
      </w:r>
      <w:r w:rsidR="00265BC4">
        <w:rPr>
          <w:rStyle w:val="Titre3Car"/>
          <w:b/>
        </w:rPr>
        <w:t xml:space="preserve">justification </w:t>
      </w:r>
      <w:r w:rsidR="00AB6ABD">
        <w:rPr>
          <w:rStyle w:val="Titre3Car"/>
          <w:b/>
        </w:rPr>
        <w:t xml:space="preserve">des </w:t>
      </w:r>
      <w:r w:rsidR="00265BC4" w:rsidRPr="00DF0DDD">
        <w:rPr>
          <w:rStyle w:val="Titre3Car"/>
          <w:b/>
        </w:rPr>
        <w:t>caractéristiques</w:t>
      </w:r>
      <w:r w:rsidR="00265BC4" w:rsidRPr="008A051C">
        <w:rPr>
          <w:rStyle w:val="Titre3Car"/>
          <w:b/>
        </w:rPr>
        <w:t xml:space="preserve"> thermiques des produits de construction et équipement</w:t>
      </w:r>
      <w:r>
        <w:rPr>
          <w:rStyle w:val="Titre3Car"/>
          <w:b/>
        </w:rPr>
        <w:t>s)</w:t>
      </w:r>
      <w:bookmarkEnd w:id="37"/>
    </w:p>
    <w:p w14:paraId="4BD97F4C" w14:textId="32AA1E0A" w:rsidR="00265BC4" w:rsidRDefault="00265BC4" w:rsidP="00324401">
      <w:pPr>
        <w:pStyle w:val="Paragraphedeliste"/>
        <w:numPr>
          <w:ilvl w:val="0"/>
          <w:numId w:val="35"/>
        </w:numPr>
      </w:pPr>
      <w:r w:rsidRPr="00DF0DDD">
        <w:t xml:space="preserve">Les valeurs utilisées comme donnée d’entrée au calcul spécifié </w:t>
      </w:r>
      <w:r w:rsidR="00942254">
        <w:t>à l’</w:t>
      </w:r>
      <w:r w:rsidR="00942254">
        <w:fldChar w:fldCharType="begin"/>
      </w:r>
      <w:r w:rsidR="00942254">
        <w:instrText xml:space="preserve"> REF _Ref57397390 \r \h </w:instrText>
      </w:r>
      <w:r w:rsidR="00942254">
        <w:fldChar w:fldCharType="separate"/>
      </w:r>
      <w:r w:rsidR="00003F58">
        <w:t>Article 17</w:t>
      </w:r>
      <w:r w:rsidR="00942254">
        <w:fldChar w:fldCharType="end"/>
      </w:r>
      <w:r w:rsidR="00003F58">
        <w:t xml:space="preserve"> </w:t>
      </w:r>
      <w:r w:rsidRPr="00DF0DDD">
        <w:t xml:space="preserve">et décrivant des </w:t>
      </w:r>
      <w:r>
        <w:t>caractéristiques thermiques des composants du</w:t>
      </w:r>
      <w:r w:rsidRPr="00DF0DDD">
        <w:t xml:space="preserve"> bâtiment, doivent correspondre </w:t>
      </w:r>
      <w:r w:rsidR="00942254" w:rsidRPr="00DF0DDD">
        <w:t xml:space="preserve">aux </w:t>
      </w:r>
      <w:r w:rsidR="00580EBA">
        <w:t xml:space="preserve">caractéristiques des </w:t>
      </w:r>
      <w:r w:rsidR="00942254">
        <w:t>composants prévus pour la construction du</w:t>
      </w:r>
      <w:r w:rsidR="00942254" w:rsidRPr="00DF0DDD">
        <w:t xml:space="preserve"> bâtiment </w:t>
      </w:r>
      <w:r w:rsidR="00942254">
        <w:t xml:space="preserve">lorsqu’il </w:t>
      </w:r>
      <w:r w:rsidR="00942254" w:rsidRPr="00DF0DDD">
        <w:t>n’est pas achevé</w:t>
      </w:r>
      <w:r w:rsidR="00942254">
        <w:t>, ou</w:t>
      </w:r>
      <w:r w:rsidR="00942254" w:rsidRPr="00DF0DDD">
        <w:t xml:space="preserve"> </w:t>
      </w:r>
      <w:r w:rsidRPr="00DF0DDD">
        <w:t xml:space="preserve">aux </w:t>
      </w:r>
      <w:r>
        <w:t>caractéristiques des composants</w:t>
      </w:r>
      <w:r w:rsidRPr="00DF0DDD">
        <w:t xml:space="preserve"> effectivement mises en œuvre à l’achèvement des travaux</w:t>
      </w:r>
      <w:r>
        <w:t>.</w:t>
      </w:r>
    </w:p>
    <w:p w14:paraId="71F5525C" w14:textId="77777777" w:rsidR="00265BC4" w:rsidRDefault="00265BC4" w:rsidP="00AA57C7">
      <w:pPr>
        <w:ind w:left="1072" w:firstLine="6"/>
      </w:pPr>
      <w:r>
        <w:t>Ces caractéristiques thermiques sont obtenues, pour chaque composant, de la manière suivante :</w:t>
      </w:r>
    </w:p>
    <w:p w14:paraId="6B6585C3" w14:textId="3E68124D" w:rsidR="00265BC4" w:rsidRDefault="00265BC4" w:rsidP="00AA57C7">
      <w:pPr>
        <w:pStyle w:val="Paragraphedeliste"/>
        <w:numPr>
          <w:ilvl w:val="0"/>
          <w:numId w:val="36"/>
        </w:numPr>
      </w:pPr>
      <w:r>
        <w:t>si le composant est couvert par des spécifications techniques harmonisées du règlement n° 305/2001 du 9 mars 2011, normes harmonisées ou documents d'évaluation européens, les produits étant identifiés dans ces cas par l'apposition du marquage CE, et si la valeur de la caractéristique thermique est établie dans ces spécifications, cette valeur est utilisée ;</w:t>
      </w:r>
    </w:p>
    <w:p w14:paraId="4C9E468D" w14:textId="3992D6CF" w:rsidR="00515639" w:rsidRDefault="00265BC4" w:rsidP="00AA57C7">
      <w:pPr>
        <w:pStyle w:val="Paragraphedeliste"/>
        <w:numPr>
          <w:ilvl w:val="0"/>
          <w:numId w:val="36"/>
        </w:numPr>
      </w:pPr>
      <w:r>
        <w:t xml:space="preserve">sinon, si la caractéristique thermique est obtenue par référence aux normes françaises ou avis techniques ou norme nationale équivalente acceptée par un pays membre de l'Union européenne ou partie contractante de l'accord EEE, ou par la Turquie, et sont délivrées par un organisme tierce partie indépendante notifié au titre du règlement n° 305/2011 reconnu par un Etat membre de l'Union </w:t>
      </w:r>
      <w:r>
        <w:lastRenderedPageBreak/>
        <w:t>européenne ou un Etat partie contractante de l'accord instituant l'Espace économique européen, cette valeur est utilisée. Le bénéfice de cette disposition ne vaut que durant la période précédant l'application d'une norme européenne harmonisée ou agrément technique européen.</w:t>
      </w:r>
      <w:r w:rsidR="00515639">
        <w:t xml:space="preserve"> Quelles que soient les règles d’arrondis établies par ces différentes normes ou avis techniques, la valeur utilisée comme donnée d’entrée ne peut être plus favorable que la valeur obtenue à l’issue de la mesure réalisée, le cas échéant.</w:t>
      </w:r>
    </w:p>
    <w:p w14:paraId="328C10B4" w14:textId="0FF4CDB9" w:rsidR="00DD2CFD" w:rsidRDefault="00265BC4" w:rsidP="00AA57C7">
      <w:pPr>
        <w:ind w:left="1072" w:firstLine="6"/>
      </w:pPr>
      <w:r>
        <w:t xml:space="preserve">A défaut de pouvoir obtenir une valeur de caractéristique selon les modalités ci-dessus, la valeur à utiliser est la valeur par défaut définie par la méthode de calcul visée à </w:t>
      </w:r>
      <w:r w:rsidR="008E32DB">
        <w:t>l’</w:t>
      </w:r>
      <w:r w:rsidR="00866253">
        <w:fldChar w:fldCharType="begin"/>
      </w:r>
      <w:r w:rsidR="00866253">
        <w:instrText xml:space="preserve"> REF _Ref49446041 \r </w:instrText>
      </w:r>
      <w:r w:rsidR="00866253">
        <w:fldChar w:fldCharType="separate"/>
      </w:r>
      <w:r w:rsidR="00003F58">
        <w:t>Article 17</w:t>
      </w:r>
      <w:r w:rsidR="00866253">
        <w:fldChar w:fldCharType="end"/>
      </w:r>
      <w:r w:rsidR="00003F58">
        <w:t>,</w:t>
      </w:r>
      <w:r>
        <w:t xml:space="preserve"> à l'exception de la valeur par défaut de la conductivité thermique utile des isolants bio-sourcés définie à </w:t>
      </w:r>
      <w:r w:rsidR="00AA5256">
        <w:t>l’</w:t>
      </w:r>
      <w:r w:rsidR="00E9780A">
        <w:fldChar w:fldCharType="begin"/>
      </w:r>
      <w:r w:rsidR="00E9780A">
        <w:instrText xml:space="preserve"> REF _Ref57990085 \r \h </w:instrText>
      </w:r>
      <w:r w:rsidR="00E9780A">
        <w:fldChar w:fldCharType="separate"/>
      </w:r>
      <w:r w:rsidR="00003F58">
        <w:t>ANNEXE XII</w:t>
      </w:r>
      <w:r w:rsidR="00E9780A">
        <w:fldChar w:fldCharType="end"/>
      </w:r>
      <w:r w:rsidR="00942254">
        <w:t xml:space="preserve"> </w:t>
      </w:r>
      <w:r>
        <w:t>du présent arrêté.</w:t>
      </w:r>
    </w:p>
    <w:p w14:paraId="3A100FCD" w14:textId="3350EA69" w:rsidR="00265BC4" w:rsidRPr="003803ED" w:rsidRDefault="00DD2CFD" w:rsidP="00324401">
      <w:pPr>
        <w:pStyle w:val="Paragraphedeliste"/>
        <w:numPr>
          <w:ilvl w:val="0"/>
          <w:numId w:val="35"/>
        </w:numPr>
      </w:pPr>
      <w:r>
        <w:t xml:space="preserve">Dans </w:t>
      </w:r>
      <w:r w:rsidR="00942254">
        <w:t xml:space="preserve">les bâtiments </w:t>
      </w:r>
      <w:r w:rsidR="00BC21DF">
        <w:t>à usage d’habitation</w:t>
      </w:r>
      <w:r w:rsidR="00942254">
        <w:t xml:space="preserve">, dans </w:t>
      </w:r>
      <w:r>
        <w:t>le cas où, à la livraison du bâtiment, certains travaux d’installation de systèmes énergétiques restent à réaliser, des données par défaut sont à utiliser</w:t>
      </w:r>
      <w:r w:rsidR="00A22FA7">
        <w:t xml:space="preserve"> conformément à la méthode spécifiée à l’</w:t>
      </w:r>
      <w:r w:rsidR="00A22FA7">
        <w:fldChar w:fldCharType="begin"/>
      </w:r>
      <w:r w:rsidR="00A22FA7">
        <w:instrText xml:space="preserve"> REF _Ref49446041 \r \h </w:instrText>
      </w:r>
      <w:r w:rsidR="00A22FA7">
        <w:fldChar w:fldCharType="separate"/>
      </w:r>
      <w:r w:rsidR="00E9780A">
        <w:t>Article 17</w:t>
      </w:r>
      <w:r w:rsidR="00A22FA7">
        <w:fldChar w:fldCharType="end"/>
      </w:r>
      <w:r>
        <w:t>.</w:t>
      </w:r>
    </w:p>
    <w:p w14:paraId="153B0816" w14:textId="236D6944" w:rsidR="00265BC4" w:rsidRPr="00942254" w:rsidRDefault="008E32DB" w:rsidP="00265BC4">
      <w:pPr>
        <w:pStyle w:val="Titre3"/>
      </w:pPr>
      <w:r>
        <w:t xml:space="preserve"> </w:t>
      </w:r>
      <w:r w:rsidRPr="00942254">
        <w:t>(</w:t>
      </w:r>
      <w:r w:rsidR="005E7CCF" w:rsidRPr="00942254">
        <w:t>J</w:t>
      </w:r>
      <w:r w:rsidR="00265BC4" w:rsidRPr="00942254">
        <w:t>ustification de l’impact environnemental des produits de construction</w:t>
      </w:r>
      <w:r w:rsidR="005E7CCF" w:rsidRPr="00942254">
        <w:t xml:space="preserve"> ou de décoration</w:t>
      </w:r>
      <w:r w:rsidR="00265BC4" w:rsidRPr="00942254">
        <w:t xml:space="preserve"> et </w:t>
      </w:r>
      <w:r w:rsidR="005E7CCF" w:rsidRPr="00942254">
        <w:t xml:space="preserve">des </w:t>
      </w:r>
      <w:r w:rsidR="00265BC4" w:rsidRPr="00942254">
        <w:t>équipement</w:t>
      </w:r>
      <w:r w:rsidRPr="00942254">
        <w:t xml:space="preserve">s) </w:t>
      </w:r>
    </w:p>
    <w:p w14:paraId="14B1FAF4" w14:textId="2F637120" w:rsidR="00265BC4" w:rsidRPr="00AA0090" w:rsidRDefault="00265BC4" w:rsidP="00053DF0">
      <w:pPr>
        <w:pStyle w:val="Paragraphedeliste"/>
        <w:numPr>
          <w:ilvl w:val="0"/>
          <w:numId w:val="37"/>
        </w:numPr>
      </w:pPr>
      <w:r w:rsidRPr="00031402">
        <w:t xml:space="preserve">Les valeurs utilisées comme donnée d’entrée au calcul des indicateurs </w:t>
      </w:r>
      <w:r w:rsidR="000B168B" w:rsidRPr="00031402">
        <w:rPr>
          <w:rFonts w:cstheme="minorHAnsi"/>
        </w:rPr>
        <w:t>Ic</w:t>
      </w:r>
      <w:r w:rsidR="000B168B" w:rsidRPr="00031402">
        <w:rPr>
          <w:rFonts w:cstheme="minorHAnsi"/>
          <w:vertAlign w:val="subscript"/>
        </w:rPr>
        <w:t>composants</w:t>
      </w:r>
      <w:r w:rsidR="000B168B" w:rsidRPr="00031402">
        <w:rPr>
          <w:rFonts w:cstheme="minorHAnsi"/>
        </w:rPr>
        <w:t xml:space="preserve"> et Ic</w:t>
      </w:r>
      <w:r w:rsidR="000B168B" w:rsidRPr="00031402">
        <w:rPr>
          <w:rFonts w:cstheme="minorHAnsi"/>
          <w:vertAlign w:val="subscript"/>
        </w:rPr>
        <w:t>bâtiment</w:t>
      </w:r>
      <w:r w:rsidR="000B168B" w:rsidRPr="00031402">
        <w:rPr>
          <w:rFonts w:cstheme="minorHAnsi"/>
        </w:rPr>
        <w:t xml:space="preserve"> </w:t>
      </w:r>
      <w:r w:rsidRPr="00031402">
        <w:t xml:space="preserve">doivent correspondre aux caractéristiques des </w:t>
      </w:r>
      <w:r w:rsidR="00580EBA" w:rsidRPr="00031402">
        <w:t>composants prévus pour la construction lorsque le bâtiment n’est pas achevé</w:t>
      </w:r>
      <w:r w:rsidR="00580EBA" w:rsidRPr="006100F0">
        <w:t xml:space="preserve">, ou aux caractéristiques des </w:t>
      </w:r>
      <w:r w:rsidRPr="006100F0">
        <w:t>composants effectivement mis en œuvre à l’achèvement des travaux.</w:t>
      </w:r>
      <w:r w:rsidR="004E6D76" w:rsidRPr="00031402">
        <w:t xml:space="preserve"> </w:t>
      </w:r>
      <w:r w:rsidR="00053DF0" w:rsidRPr="00031402">
        <w:t xml:space="preserve">Par dérogation à cette disposition, il est possible d’utiliser une donnée </w:t>
      </w:r>
      <w:r w:rsidR="00053DF0" w:rsidRPr="006100F0">
        <w:t xml:space="preserve">d’entrée correspondant à un composant ayant des caractéristiques supérieures </w:t>
      </w:r>
      <w:r w:rsidR="00053DF0" w:rsidRPr="00AA0090">
        <w:t xml:space="preserve">au composant prévu ou mis en œuvre, à condition qu’ils fassent partie </w:t>
      </w:r>
      <w:r w:rsidR="00417003" w:rsidRPr="00AA0090">
        <w:t xml:space="preserve">de la même </w:t>
      </w:r>
      <w:r w:rsidR="00053DF0" w:rsidRPr="00AA0090">
        <w:t xml:space="preserve">gamme </w:t>
      </w:r>
      <w:r w:rsidR="00417003" w:rsidRPr="00AA0090">
        <w:t>du même fabricant</w:t>
      </w:r>
      <w:r w:rsidR="00053DF0" w:rsidRPr="00AA0090">
        <w:t>.</w:t>
      </w:r>
    </w:p>
    <w:p w14:paraId="63CB1AC5" w14:textId="514FCCB8" w:rsidR="006F6A1C" w:rsidRDefault="006F6A1C" w:rsidP="00324401">
      <w:pPr>
        <w:ind w:left="1072" w:firstLine="6"/>
      </w:pPr>
      <w:r w:rsidRPr="00AA57C7">
        <w:t xml:space="preserve">Ces valeurs sont obtenues, pour chaque composant, sur la base des déclarations environnementales mises à disposition par les fabricants selon des règles </w:t>
      </w:r>
      <w:r w:rsidR="00324401">
        <w:t xml:space="preserve">fixées </w:t>
      </w:r>
      <w:r w:rsidR="00511F7F">
        <w:t>par décret</w:t>
      </w:r>
      <w:r w:rsidRPr="00AA57C7">
        <w:t xml:space="preserve">, ou en l’absence de telles données au travers de données environnementales par défaut mises à disposition par le ministre chargé de la construction. </w:t>
      </w:r>
    </w:p>
    <w:p w14:paraId="574F0D3E" w14:textId="25EA64AD" w:rsidR="00257E0C" w:rsidRDefault="00257E0C" w:rsidP="00324401">
      <w:pPr>
        <w:ind w:left="1072" w:firstLine="6"/>
      </w:pPr>
      <w:r w:rsidRPr="001C0957">
        <w:t>Lorsque pour un composant du bâtiment</w:t>
      </w:r>
      <w:r w:rsidR="001C0957">
        <w:t>,</w:t>
      </w:r>
      <w:r w:rsidRPr="001C0957">
        <w:t xml:space="preserve"> aucune </w:t>
      </w:r>
      <w:r w:rsidR="001C0957" w:rsidRPr="001C0957">
        <w:t>information répondant aux caractéristiques citées au paragraphe précédent</w:t>
      </w:r>
      <w:r w:rsidRPr="001C0957">
        <w:t xml:space="preserve"> n’est disponible, le composant est décrit dans le calcul et une information environnementale qualifiée de « vide » y est associée ; de plus, une demande de création d’une donnée environnementale par défaut correspondant au composant est faite sur un site internet dont l’adresse est indiquée sur le site du ministère en charge de la construction.</w:t>
      </w:r>
    </w:p>
    <w:p w14:paraId="5C6F3D90" w14:textId="4DD1A92E" w:rsidR="00CD601C" w:rsidRPr="00AA57C7" w:rsidRDefault="00CD601C" w:rsidP="00324401">
      <w:pPr>
        <w:pStyle w:val="Paragraphedeliste"/>
        <w:numPr>
          <w:ilvl w:val="0"/>
          <w:numId w:val="37"/>
        </w:numPr>
      </w:pPr>
      <w:r w:rsidRPr="00031402">
        <w:t>Dans le cas où</w:t>
      </w:r>
      <w:r w:rsidRPr="00AA57C7">
        <w:t xml:space="preserve">, à la livraison du bâtiment, certains travaux restent à réaliser, des données par défaut sont à utiliser </w:t>
      </w:r>
      <w:r w:rsidR="00304DB2" w:rsidRPr="00AA57C7">
        <w:t xml:space="preserve">pour décrire ces travaux </w:t>
      </w:r>
      <w:r w:rsidRPr="00AA57C7">
        <w:t>conformément à la méthode spécifiée à l’</w:t>
      </w:r>
      <w:r w:rsidRPr="00AA57C7">
        <w:fldChar w:fldCharType="begin"/>
      </w:r>
      <w:r w:rsidRPr="00AA57C7">
        <w:instrText xml:space="preserve"> REF _Ref49446041 \r \h </w:instrText>
      </w:r>
      <w:r w:rsidR="00AA57C7">
        <w:instrText xml:space="preserve"> \* MERGEFORMAT </w:instrText>
      </w:r>
      <w:r w:rsidRPr="00AA57C7">
        <w:fldChar w:fldCharType="separate"/>
      </w:r>
      <w:r w:rsidR="00E9780A">
        <w:t>Article 17</w:t>
      </w:r>
      <w:r w:rsidRPr="00AA57C7">
        <w:fldChar w:fldCharType="end"/>
      </w:r>
      <w:r w:rsidRPr="00AA57C7">
        <w:t>.</w:t>
      </w:r>
    </w:p>
    <w:p w14:paraId="3628DE7C" w14:textId="485D960C" w:rsidR="00304DB2" w:rsidRPr="00AA57C7" w:rsidRDefault="00304DB2" w:rsidP="00324401">
      <w:pPr>
        <w:pStyle w:val="Paragraphedeliste"/>
        <w:numPr>
          <w:ilvl w:val="0"/>
          <w:numId w:val="37"/>
        </w:numPr>
      </w:pPr>
      <w:r w:rsidRPr="00AA57C7">
        <w:t xml:space="preserve">Pour certains ensembles de composants du bâtiment et en fonction de l’usage du bâtiment, il est possible, en remplacement des exigences mentionnées </w:t>
      </w:r>
      <w:r w:rsidR="00AA57C7" w:rsidRPr="00324401">
        <w:rPr>
          <w:highlight w:val="yellow"/>
        </w:rPr>
        <w:t>au I. et au II</w:t>
      </w:r>
      <w:r w:rsidR="00AA57C7">
        <w:t>. du présent article</w:t>
      </w:r>
      <w:r w:rsidRPr="00AA57C7">
        <w:t xml:space="preserve">, de décrire leur impact sur le changement climatique au travers de valeurs forfaitaires. Les ensembles de composants concernés et les valeurs correspondantes sont donnés à </w:t>
      </w:r>
      <w:r w:rsidR="003B2EB2" w:rsidRPr="00AA57C7">
        <w:t>l’</w:t>
      </w:r>
      <w:r w:rsidR="003B2EB2" w:rsidRPr="00AA57C7">
        <w:fldChar w:fldCharType="begin"/>
      </w:r>
      <w:r w:rsidR="003B2EB2" w:rsidRPr="00AA57C7">
        <w:instrText xml:space="preserve"> REF _Ref57812333 \r \h </w:instrText>
      </w:r>
      <w:r w:rsidR="00AA57C7">
        <w:instrText xml:space="preserve"> \* MERGEFORMAT </w:instrText>
      </w:r>
      <w:r w:rsidR="003B2EB2" w:rsidRPr="00AA57C7">
        <w:fldChar w:fldCharType="separate"/>
      </w:r>
      <w:r w:rsidR="00003F58">
        <w:t>ANNEXE XI</w:t>
      </w:r>
      <w:r w:rsidR="003B2EB2" w:rsidRPr="00AA57C7">
        <w:fldChar w:fldCharType="end"/>
      </w:r>
      <w:r w:rsidR="00003F58">
        <w:t>.</w:t>
      </w:r>
    </w:p>
    <w:p w14:paraId="0EBBDF2A" w14:textId="0FAF8ADF" w:rsidR="00257E0C" w:rsidRDefault="00257E0C" w:rsidP="00257E0C"/>
    <w:p w14:paraId="77726DA9" w14:textId="77777777" w:rsidR="00265BC4" w:rsidRPr="00263C37" w:rsidRDefault="00265BC4" w:rsidP="00265BC4"/>
    <w:p w14:paraId="7BE5F5A9" w14:textId="657ADA86" w:rsidR="00265BC4" w:rsidRPr="000E737C" w:rsidRDefault="008E32DB" w:rsidP="00265BC4">
      <w:pPr>
        <w:pStyle w:val="Titre3"/>
      </w:pPr>
      <w:r>
        <w:t xml:space="preserve"> </w:t>
      </w:r>
      <w:bookmarkStart w:id="38" w:name="_Ref57401092"/>
      <w:r>
        <w:t>(</w:t>
      </w:r>
      <w:r w:rsidR="00265BC4">
        <w:t>justification des valeurs de perméabilité à l’air et d’étanchéité des réseaux</w:t>
      </w:r>
      <w:r>
        <w:t>)</w:t>
      </w:r>
      <w:bookmarkEnd w:id="38"/>
    </w:p>
    <w:p w14:paraId="400E4B9B" w14:textId="77777777" w:rsidR="00265BC4" w:rsidRDefault="00265BC4" w:rsidP="007F40E5">
      <w:pPr>
        <w:pStyle w:val="Paragraphedeliste"/>
        <w:numPr>
          <w:ilvl w:val="0"/>
          <w:numId w:val="3"/>
        </w:numPr>
      </w:pPr>
      <w:r>
        <w:t>La valeur de perméabilité à l’air du bâtiment est obtenue :</w:t>
      </w:r>
    </w:p>
    <w:p w14:paraId="5505DC1C" w14:textId="33B434BA" w:rsidR="00C2769F" w:rsidRDefault="00265BC4" w:rsidP="007F40E5">
      <w:pPr>
        <w:pStyle w:val="Paragraphedeliste"/>
        <w:numPr>
          <w:ilvl w:val="1"/>
          <w:numId w:val="1"/>
        </w:numPr>
      </w:pPr>
      <w:r>
        <w:t>Pour les bâtiments à usage d'habitation, soit par mesure, soit en adoptant une démarche de qualité de l'étanchéité à l'air du bâtiment conformément aux modalités définies à l'</w:t>
      </w:r>
      <w:r w:rsidR="00324401">
        <w:fldChar w:fldCharType="begin"/>
      </w:r>
      <w:r w:rsidR="00324401">
        <w:instrText xml:space="preserve"> REF _Ref57898275 \r \h </w:instrText>
      </w:r>
      <w:r w:rsidR="00324401">
        <w:fldChar w:fldCharType="separate"/>
      </w:r>
      <w:r w:rsidR="00003F58">
        <w:t>ANNEXE VII</w:t>
      </w:r>
      <w:r w:rsidR="00324401">
        <w:fldChar w:fldCharType="end"/>
      </w:r>
      <w:r w:rsidR="00003F58">
        <w:t xml:space="preserve"> </w:t>
      </w:r>
      <w:r>
        <w:t>du présent arrêté ;</w:t>
      </w:r>
    </w:p>
    <w:p w14:paraId="7A8F9B7C" w14:textId="7EF8ADFF" w:rsidR="00C2769F" w:rsidRDefault="00265BC4" w:rsidP="007F40E5">
      <w:pPr>
        <w:pStyle w:val="Paragraphedeliste"/>
        <w:numPr>
          <w:ilvl w:val="1"/>
          <w:numId w:val="1"/>
        </w:numPr>
      </w:pPr>
      <w:r>
        <w:t>Pour les autres types de bâtiments, la valeur de la perméabilité à l'air du bâtiment peut être justifiée par mesure</w:t>
      </w:r>
      <w:r w:rsidRPr="005F5179">
        <w:t xml:space="preserve"> </w:t>
      </w:r>
      <w:r>
        <w:t>conformément aux modalités définies à l'</w:t>
      </w:r>
      <w:r w:rsidR="00324401">
        <w:fldChar w:fldCharType="begin"/>
      </w:r>
      <w:r w:rsidR="00324401">
        <w:instrText xml:space="preserve"> REF _Ref57898275 \r \h </w:instrText>
      </w:r>
      <w:r w:rsidR="00324401">
        <w:fldChar w:fldCharType="separate"/>
      </w:r>
      <w:r w:rsidR="00003F58">
        <w:t>ANNEXE VII</w:t>
      </w:r>
      <w:r w:rsidR="00324401">
        <w:fldChar w:fldCharType="end"/>
      </w:r>
      <w:r w:rsidR="00003F58">
        <w:t xml:space="preserve"> </w:t>
      </w:r>
      <w:r>
        <w:t xml:space="preserve">du présent arrêté. A défaut de mesure selon ces modalités, la valeur à utiliser est la valeur par défaut définie par la méthode de calcul </w:t>
      </w:r>
      <w:r w:rsidRPr="00F26D54">
        <w:t xml:space="preserve">visée à </w:t>
      </w:r>
      <w:r w:rsidR="008E32DB">
        <w:t>l’</w:t>
      </w:r>
      <w:r w:rsidR="00866253">
        <w:fldChar w:fldCharType="begin"/>
      </w:r>
      <w:r w:rsidR="00866253">
        <w:instrText xml:space="preserve"> REF _Ref49446041 \r </w:instrText>
      </w:r>
      <w:r w:rsidR="00866253">
        <w:fldChar w:fldCharType="separate"/>
      </w:r>
      <w:r w:rsidR="00003F58">
        <w:t>Article 17</w:t>
      </w:r>
      <w:r w:rsidR="00866253">
        <w:fldChar w:fldCharType="end"/>
      </w:r>
      <w:r w:rsidR="00003F58">
        <w:t> </w:t>
      </w:r>
      <w:r>
        <w:t>;</w:t>
      </w:r>
      <w:r w:rsidR="00C2769F" w:rsidRPr="00C2769F">
        <w:t xml:space="preserve"> </w:t>
      </w:r>
    </w:p>
    <w:p w14:paraId="1D895288" w14:textId="1D1EEC8A" w:rsidR="00C2769F" w:rsidRPr="00A1566B" w:rsidRDefault="00C2769F" w:rsidP="00AA57C7">
      <w:pPr>
        <w:ind w:left="1134"/>
      </w:pPr>
      <w:r>
        <w:t xml:space="preserve">Dans le cas d’une mesure de perméabilité par échantillonnage de logements, les valeurs de mesure obtenues sont augmentées de 0,2 </w:t>
      </w:r>
      <w:r w:rsidRPr="00A1566B">
        <w:t>m³/(h.m²)</w:t>
      </w:r>
      <w:r>
        <w:t>.</w:t>
      </w:r>
    </w:p>
    <w:p w14:paraId="6572CF0E" w14:textId="77777777" w:rsidR="00140B83" w:rsidRDefault="00140B83" w:rsidP="00AA57C7">
      <w:pPr>
        <w:ind w:left="1134"/>
      </w:pPr>
      <w:r>
        <w:t xml:space="preserve">Dans le cas où des travaux pouvant affecter la perméabilité à l’air des logements restent à réaliser après la livraison, et en l’absence de réservation évitant toute création de fuite lors de ces travaux, les valeurs de perméabilité obtenues sont augmentées de 0,3 </w:t>
      </w:r>
      <w:r w:rsidRPr="00A1566B">
        <w:t xml:space="preserve">m³/(h.m²) </w:t>
      </w:r>
      <w:r>
        <w:t>afin de vérifier le respect des exigences du présent article.</w:t>
      </w:r>
    </w:p>
    <w:p w14:paraId="007E3C8F" w14:textId="51A689CC" w:rsidR="00140B83" w:rsidRPr="00A1566B" w:rsidRDefault="00140B83" w:rsidP="00AA57C7">
      <w:pPr>
        <w:ind w:left="1134"/>
      </w:pPr>
      <w:r>
        <w:t>Ces deux augmentations sont cumulables.</w:t>
      </w:r>
    </w:p>
    <w:p w14:paraId="11283C26" w14:textId="2B9DA5DE" w:rsidR="00265BC4" w:rsidRDefault="00265BC4" w:rsidP="007F40E5">
      <w:pPr>
        <w:pStyle w:val="Paragraphedeliste"/>
        <w:numPr>
          <w:ilvl w:val="0"/>
          <w:numId w:val="3"/>
        </w:numPr>
      </w:pPr>
      <w:r>
        <w:t>Pour tous les bâtiments, la valeur de la perméabilité des réseaux aérauliques est obtenue soit par mesure, soit en adoptant une démarche de qualité de l'étanchéité à l'air des réseaux aérauliques, conformément aux modalités définies à l'</w:t>
      </w:r>
      <w:r w:rsidR="00324401">
        <w:fldChar w:fldCharType="begin"/>
      </w:r>
      <w:r w:rsidR="00324401">
        <w:instrText xml:space="preserve"> REF _Ref57898275 \r \h </w:instrText>
      </w:r>
      <w:r w:rsidR="00324401">
        <w:fldChar w:fldCharType="separate"/>
      </w:r>
      <w:r w:rsidR="00003F58">
        <w:t>ANNEXE VII</w:t>
      </w:r>
      <w:r w:rsidR="00324401">
        <w:fldChar w:fldCharType="end"/>
      </w:r>
      <w:r w:rsidR="00003F58">
        <w:t xml:space="preserve"> </w:t>
      </w:r>
      <w:r>
        <w:t>du présent arrêté. À défaut de mesure</w:t>
      </w:r>
      <w:r w:rsidR="007F40E5">
        <w:t xml:space="preserve"> et de démarche qualité</w:t>
      </w:r>
      <w:r>
        <w:t xml:space="preserve"> selon ces modalités, la valeur à utiliser est la valeur par défaut définie par la méthode de calcul </w:t>
      </w:r>
      <w:r w:rsidRPr="00F26D54">
        <w:t xml:space="preserve">visée à </w:t>
      </w:r>
      <w:r w:rsidR="008E32DB">
        <w:t>l’</w:t>
      </w:r>
      <w:r w:rsidR="00866253">
        <w:fldChar w:fldCharType="begin"/>
      </w:r>
      <w:r w:rsidR="00866253">
        <w:instrText xml:space="preserve"> </w:instrText>
      </w:r>
      <w:r w:rsidR="00866253">
        <w:instrText xml:space="preserve">REF _Ref49446041 \r </w:instrText>
      </w:r>
      <w:r w:rsidR="00866253">
        <w:fldChar w:fldCharType="separate"/>
      </w:r>
      <w:r w:rsidR="00E9780A">
        <w:t>Article 17</w:t>
      </w:r>
      <w:r w:rsidR="00866253">
        <w:fldChar w:fldCharType="end"/>
      </w:r>
      <w:r w:rsidR="008E32DB">
        <w:t>.</w:t>
      </w:r>
    </w:p>
    <w:p w14:paraId="081ECB90" w14:textId="33D75896" w:rsidR="00265BC4" w:rsidRDefault="00265BC4" w:rsidP="00265BC4">
      <w:r>
        <w:t>Lorsque la perméabilité à l’air du bâtiment ou la perméabilité des réseaux aéraulique</w:t>
      </w:r>
      <w:r w:rsidR="00AA57C7">
        <w:t>s</w:t>
      </w:r>
      <w:r>
        <w:t xml:space="preserve"> est justifiée par la mesure, la personne réalisant la mesure doit être une personne reconnue compétente par le ministre chargé de la construction et de l'habitation, indépendante du demandeur et des organismes impliqués en exécution, suivi de travaux ou maîtrise d'ouvrage sur les bâtiments visés.</w:t>
      </w:r>
    </w:p>
    <w:p w14:paraId="32D15D92" w14:textId="77777777" w:rsidR="009E5BF1" w:rsidRPr="009E5BF1" w:rsidRDefault="009E5BF1" w:rsidP="009E5BF1"/>
    <w:p w14:paraId="2BA3B14C" w14:textId="49CB959E" w:rsidR="009E5BF1" w:rsidRPr="009E5BF1" w:rsidRDefault="000758E6" w:rsidP="0019138C">
      <w:pPr>
        <w:pStyle w:val="Titre2"/>
      </w:pPr>
      <w:r>
        <w:t> JUSTIFICATION DE L’APPLICATION DES EXIGENCES</w:t>
      </w:r>
    </w:p>
    <w:p w14:paraId="0070A15B" w14:textId="22BD79C4" w:rsidR="002230C6" w:rsidRDefault="008E32DB" w:rsidP="002230C6">
      <w:pPr>
        <w:pStyle w:val="Titre3"/>
      </w:pPr>
      <w:r>
        <w:t xml:space="preserve"> (</w:t>
      </w:r>
      <w:r w:rsidR="000758E6">
        <w:t xml:space="preserve">Réalisation d’un </w:t>
      </w:r>
      <w:r w:rsidR="00224648">
        <w:t xml:space="preserve">RSEE </w:t>
      </w:r>
      <w:r w:rsidR="002230C6">
        <w:t>et transmission</w:t>
      </w:r>
      <w:r w:rsidR="000758E6">
        <w:t xml:space="preserve"> du fichie</w:t>
      </w:r>
      <w:r>
        <w:t xml:space="preserve">r) </w:t>
      </w:r>
    </w:p>
    <w:p w14:paraId="0B7C2C0A" w14:textId="7FD3E0AC" w:rsidR="000758E6" w:rsidRDefault="000758E6" w:rsidP="000758E6">
      <w:r>
        <w:t>Le maître d'ouvrage établit, en version informatique, à partir d’un logiciel respectant les exigences de l’</w:t>
      </w:r>
      <w:r w:rsidR="00866253">
        <w:fldChar w:fldCharType="begin"/>
      </w:r>
      <w:r w:rsidR="00866253">
        <w:instrText xml:space="preserve"> REF _Ref49446639 \r </w:instrText>
      </w:r>
      <w:r w:rsidR="00866253">
        <w:fldChar w:fldCharType="separate"/>
      </w:r>
      <w:r w:rsidR="00E9780A">
        <w:t>Article 21</w:t>
      </w:r>
      <w:r w:rsidR="00866253">
        <w:fldChar w:fldCharType="end"/>
      </w:r>
      <w:r>
        <w:t xml:space="preserve">, au plus tard à l'achèvement des travaux, un récapitulatif standardisé d'étude </w:t>
      </w:r>
      <w:r w:rsidR="00580EBA">
        <w:t xml:space="preserve">énergétique et </w:t>
      </w:r>
      <w:r>
        <w:t>environnementale.</w:t>
      </w:r>
    </w:p>
    <w:p w14:paraId="35B2290B" w14:textId="2139D842" w:rsidR="000758E6" w:rsidRDefault="000758E6" w:rsidP="000758E6">
      <w:r>
        <w:t xml:space="preserve">Le contenu et le format du récapitulatif standardisé d'étude </w:t>
      </w:r>
      <w:r w:rsidR="004F123B">
        <w:t xml:space="preserve">énergétique et </w:t>
      </w:r>
      <w:r w:rsidR="00224648">
        <w:t xml:space="preserve">environnementale </w:t>
      </w:r>
      <w:r>
        <w:t xml:space="preserve">à établir sont décrits en </w:t>
      </w:r>
      <w:r w:rsidR="006100F0">
        <w:fldChar w:fldCharType="begin"/>
      </w:r>
      <w:r w:rsidR="006100F0">
        <w:instrText xml:space="preserve"> REF _Ref57918275 \r \h </w:instrText>
      </w:r>
      <w:r w:rsidR="006100F0">
        <w:fldChar w:fldCharType="separate"/>
      </w:r>
      <w:r w:rsidR="00E9780A">
        <w:t>ANNEXE VI</w:t>
      </w:r>
      <w:r w:rsidR="006100F0">
        <w:fldChar w:fldCharType="end"/>
      </w:r>
      <w:r>
        <w:t>.</w:t>
      </w:r>
    </w:p>
    <w:p w14:paraId="0EDD4CD3" w14:textId="42F84046" w:rsidR="000758E6" w:rsidRDefault="000758E6" w:rsidP="000758E6">
      <w:r>
        <w:t xml:space="preserve">Dans le cas, relevant du </w:t>
      </w:r>
      <w:r w:rsidR="00224648">
        <w:fldChar w:fldCharType="begin"/>
      </w:r>
      <w:r w:rsidR="00224648">
        <w:instrText xml:space="preserve"> REF _Ref57400734 \r \h </w:instrText>
      </w:r>
      <w:r w:rsidR="00224648">
        <w:fldChar w:fldCharType="separate"/>
      </w:r>
      <w:r w:rsidR="00E9780A">
        <w:t>TITRE IV</w:t>
      </w:r>
      <w:r w:rsidR="00224648">
        <w:fldChar w:fldCharType="end"/>
      </w:r>
      <w:r w:rsidR="00224648">
        <w:t xml:space="preserve"> </w:t>
      </w:r>
      <w:r>
        <w:t>du présent arrêté, de l'application des exigences du présent arrêté selon un procédé ou un mode d'application simplifié approuvé, le procédé ou le mode d'application simplifié précise le contenu et le format du récapitulatif standardisé d'étude thermique à établir.</w:t>
      </w:r>
    </w:p>
    <w:p w14:paraId="1F6F11E4" w14:textId="7F369C85" w:rsidR="00224648" w:rsidRDefault="00224648" w:rsidP="000758E6">
      <w:r w:rsidRPr="00224648">
        <w:lastRenderedPageBreak/>
        <w:t>Ces données sont conservées par le maître d’ouvrage</w:t>
      </w:r>
      <w:r w:rsidR="0098510B">
        <w:t xml:space="preserve"> conformément à l’article R. 111-20-7 du code de la construction et de l’habitation.</w:t>
      </w:r>
    </w:p>
    <w:p w14:paraId="65BF93D4" w14:textId="77777777" w:rsidR="00864556" w:rsidRPr="000758E6" w:rsidRDefault="00864556" w:rsidP="000758E6"/>
    <w:p w14:paraId="0B1185CD" w14:textId="283DDA6B" w:rsidR="00032417" w:rsidRDefault="00032417" w:rsidP="00DF0DDD">
      <w:pPr>
        <w:pStyle w:val="Titre1"/>
      </w:pPr>
      <w:bookmarkStart w:id="39" w:name="_Ref49445041"/>
      <w:r w:rsidRPr="00032417">
        <w:t>CARACTERISTIQUES THERMIQUES ET EXIGENCES DE MOYENS</w:t>
      </w:r>
      <w:bookmarkEnd w:id="39"/>
    </w:p>
    <w:p w14:paraId="4F9FE1AD" w14:textId="2B6E7BB2" w:rsidR="0023603C" w:rsidRDefault="0023603C" w:rsidP="0019138C">
      <w:pPr>
        <w:pStyle w:val="Titre2"/>
      </w:pPr>
      <w:r>
        <w:t> </w:t>
      </w:r>
      <w:bookmarkStart w:id="40" w:name="_Ref49526579"/>
      <w:r>
        <w:t xml:space="preserve">EXIGENCES APPLICABLES AUX BÂTIMENTS RELEVANT DU </w:t>
      </w:r>
      <w:r w:rsidR="00866253">
        <w:fldChar w:fldCharType="begin"/>
      </w:r>
      <w:r w:rsidR="00866253">
        <w:instrText xml:space="preserve"> REF _Ref49526297 \r </w:instrText>
      </w:r>
      <w:r w:rsidR="00866253">
        <w:fldChar w:fldCharType="separate"/>
      </w:r>
      <w:r w:rsidR="00E9780A">
        <w:t>CHAPITRE II</w:t>
      </w:r>
      <w:r w:rsidR="00866253">
        <w:fldChar w:fldCharType="end"/>
      </w:r>
      <w:r>
        <w:t xml:space="preserve"> </w:t>
      </w:r>
      <w:r w:rsidR="00866253">
        <w:fldChar w:fldCharType="begin"/>
      </w:r>
      <w:r w:rsidR="00866253">
        <w:instrText xml:space="preserve"> REF _Ref49526297 </w:instrText>
      </w:r>
      <w:r w:rsidR="00866253">
        <w:fldChar w:fldCharType="separate"/>
      </w:r>
      <w:r w:rsidR="00E9780A">
        <w:t>APPLICATION PARTIELLE</w:t>
      </w:r>
      <w:r w:rsidR="00866253">
        <w:fldChar w:fldCharType="end"/>
      </w:r>
      <w:bookmarkEnd w:id="40"/>
    </w:p>
    <w:p w14:paraId="724C9BDF" w14:textId="69770384" w:rsidR="0023603C" w:rsidRDefault="0023603C" w:rsidP="00F11BAA">
      <w:r>
        <w:t xml:space="preserve"> </w:t>
      </w:r>
    </w:p>
    <w:p w14:paraId="155C3D9C" w14:textId="77777777" w:rsidR="00F11BAA" w:rsidRDefault="00F11BAA" w:rsidP="00F11BAA">
      <w:pPr>
        <w:pStyle w:val="Titre3"/>
      </w:pPr>
      <w:bookmarkStart w:id="41" w:name="_Ref57986904"/>
      <w:r>
        <w:t>(constructions provisoires)</w:t>
      </w:r>
      <w:bookmarkEnd w:id="41"/>
    </w:p>
    <w:p w14:paraId="0EB43728" w14:textId="15CECD2D" w:rsidR="00F11BAA" w:rsidRDefault="00F11BAA" w:rsidP="00F11BAA">
      <w:pPr>
        <w:spacing w:after="0" w:line="240" w:lineRule="auto"/>
        <w:jc w:val="left"/>
      </w:pPr>
      <w:r>
        <w:t>Conformément</w:t>
      </w:r>
      <w:r w:rsidRPr="00F11BAA">
        <w:t xml:space="preserve"> au R.111-20-1 du code de la construction et de l’habitation, les bâtiments ou parties de bâtiments provisoires prévus pour une durée d'implantation de moins de deux ans peuvent appliquer uniquement les exigences alternatives spécifiées </w:t>
      </w:r>
      <w:r>
        <w:t xml:space="preserve">aux </w:t>
      </w:r>
      <w:r w:rsidRPr="00AA57C7">
        <w:fldChar w:fldCharType="begin"/>
      </w:r>
      <w:r w:rsidRPr="00AA57C7">
        <w:instrText xml:space="preserve"> REF _Ref57730618 \r \h  \* MERGEFORMAT </w:instrText>
      </w:r>
      <w:r w:rsidRPr="00AA57C7">
        <w:fldChar w:fldCharType="separate"/>
      </w:r>
      <w:r w:rsidR="00E9780A">
        <w:t>Article 30</w:t>
      </w:r>
      <w:r w:rsidRPr="00AA57C7">
        <w:fldChar w:fldCharType="end"/>
      </w:r>
      <w:r w:rsidRPr="00AA57C7">
        <w:t xml:space="preserve"> </w:t>
      </w:r>
      <w:r>
        <w:t xml:space="preserve">et </w:t>
      </w:r>
      <w:r w:rsidRPr="00AA57C7">
        <w:fldChar w:fldCharType="begin"/>
      </w:r>
      <w:r w:rsidRPr="00AA57C7">
        <w:instrText xml:space="preserve"> REF _Ref57730918 \r \h  \* MERGEFORMAT </w:instrText>
      </w:r>
      <w:r w:rsidRPr="00AA57C7">
        <w:fldChar w:fldCharType="separate"/>
      </w:r>
      <w:r w:rsidR="00E9780A">
        <w:t>Article 31</w:t>
      </w:r>
      <w:r w:rsidRPr="00AA57C7">
        <w:fldChar w:fldCharType="end"/>
      </w:r>
      <w:r w:rsidRPr="00AA57C7">
        <w:t>.</w:t>
      </w:r>
    </w:p>
    <w:p w14:paraId="32B4B6D3" w14:textId="6A4B6DEF" w:rsidR="00F11BAA" w:rsidRDefault="00F11BAA" w:rsidP="00F11BAA">
      <w:pPr>
        <w:pStyle w:val="Titre3"/>
      </w:pPr>
      <w:r w:rsidDel="00145690">
        <w:t xml:space="preserve"> </w:t>
      </w:r>
      <w:bookmarkStart w:id="42" w:name="_Ref57970437"/>
      <w:r>
        <w:t xml:space="preserve">(constructions/extensions de petites surfaces) </w:t>
      </w:r>
      <w:bookmarkEnd w:id="42"/>
    </w:p>
    <w:p w14:paraId="2F7A8DAB" w14:textId="77777777" w:rsidR="00F11BAA" w:rsidRDefault="00F11BAA" w:rsidP="00F11BAA">
      <w:r>
        <w:t xml:space="preserve">Conformément au </w:t>
      </w:r>
      <w:r w:rsidRPr="00F86151">
        <w:t>R. 111-20-2 du code de la construction et de l’habitation</w:t>
      </w:r>
      <w:r>
        <w:t> :</w:t>
      </w:r>
    </w:p>
    <w:p w14:paraId="141FBEE6" w14:textId="6F13337D" w:rsidR="00F11BAA" w:rsidRDefault="00F11BAA" w:rsidP="00F11BAA">
      <w:pPr>
        <w:pStyle w:val="Paragraphedeliste"/>
        <w:numPr>
          <w:ilvl w:val="0"/>
          <w:numId w:val="38"/>
        </w:numPr>
      </w:pPr>
      <w:r>
        <w:t>L</w:t>
      </w:r>
      <w:r w:rsidRPr="00F86151">
        <w:t>es</w:t>
      </w:r>
      <w:r>
        <w:t xml:space="preserve"> bâtiments et les extensions de bâtiments ayant une surface de référence inférieure à 50m² peuvent appliquer uniquement les exigences alternatives spécifiées </w:t>
      </w:r>
      <w:r w:rsidRPr="008B5EC4">
        <w:t xml:space="preserve">aux </w:t>
      </w:r>
      <w:r>
        <w:fldChar w:fldCharType="begin"/>
      </w:r>
      <w:r>
        <w:instrText xml:space="preserve"> REF _Ref57730618 \r \h </w:instrText>
      </w:r>
      <w:r>
        <w:fldChar w:fldCharType="separate"/>
      </w:r>
      <w:r w:rsidR="00E9780A">
        <w:t>Article 30</w:t>
      </w:r>
      <w:r>
        <w:fldChar w:fldCharType="end"/>
      </w:r>
      <w:r>
        <w:t xml:space="preserve"> et </w:t>
      </w:r>
      <w:r>
        <w:fldChar w:fldCharType="begin"/>
      </w:r>
      <w:r>
        <w:instrText xml:space="preserve"> REF _Ref57712032 \r \h </w:instrText>
      </w:r>
      <w:r>
        <w:fldChar w:fldCharType="separate"/>
      </w:r>
      <w:r w:rsidR="00E9780A">
        <w:t>CHAPITRE X</w:t>
      </w:r>
      <w:r>
        <w:fldChar w:fldCharType="end"/>
      </w:r>
      <w:r>
        <w:t xml:space="preserve"> à </w:t>
      </w:r>
      <w:r>
        <w:fldChar w:fldCharType="begin"/>
      </w:r>
      <w:r>
        <w:instrText xml:space="preserve"> REF _Ref57918002 \r \h </w:instrText>
      </w:r>
      <w:r>
        <w:fldChar w:fldCharType="separate"/>
      </w:r>
      <w:r w:rsidR="00E9780A">
        <w:t>CHAPITRE XVI</w:t>
      </w:r>
      <w:r>
        <w:fldChar w:fldCharType="end"/>
      </w:r>
      <w:r>
        <w:t xml:space="preserve">, </w:t>
      </w:r>
      <w:r w:rsidRPr="008B5EC4">
        <w:t>à l’exception d</w:t>
      </w:r>
      <w:r>
        <w:t xml:space="preserve">es </w:t>
      </w:r>
      <w:r>
        <w:fldChar w:fldCharType="begin"/>
      </w:r>
      <w:r>
        <w:instrText xml:space="preserve"> REF _Ref57918021 \r \h </w:instrText>
      </w:r>
      <w:r>
        <w:fldChar w:fldCharType="separate"/>
      </w:r>
      <w:r w:rsidR="00E9780A">
        <w:t>Article 40</w:t>
      </w:r>
      <w:r>
        <w:fldChar w:fldCharType="end"/>
      </w:r>
      <w:r>
        <w:t xml:space="preserve"> et </w:t>
      </w:r>
      <w:r>
        <w:fldChar w:fldCharType="begin"/>
      </w:r>
      <w:r>
        <w:instrText xml:space="preserve"> REF _Ref57918023 \r \h </w:instrText>
      </w:r>
      <w:r>
        <w:fldChar w:fldCharType="separate"/>
      </w:r>
      <w:r w:rsidR="00E9780A">
        <w:t>Article 41</w:t>
      </w:r>
      <w:r>
        <w:fldChar w:fldCharType="end"/>
      </w:r>
      <w:r>
        <w:t>.</w:t>
      </w:r>
    </w:p>
    <w:p w14:paraId="5B913733" w14:textId="1813B638" w:rsidR="00F11BAA" w:rsidRDefault="00F11BAA" w:rsidP="00F11BAA">
      <w:pPr>
        <w:pStyle w:val="Paragraphedeliste"/>
        <w:numPr>
          <w:ilvl w:val="0"/>
          <w:numId w:val="38"/>
        </w:numPr>
      </w:pPr>
      <w:r>
        <w:t>Les extensions de maisons individuelles ou accolées spécifiées à l’</w:t>
      </w:r>
      <w:r>
        <w:fldChar w:fldCharType="begin"/>
      </w:r>
      <w:r>
        <w:instrText xml:space="preserve"> REF _Ref57969929 \r \h </w:instrText>
      </w:r>
      <w:r>
        <w:fldChar w:fldCharType="separate"/>
      </w:r>
      <w:r w:rsidR="00E9780A">
        <w:t>Article 3</w:t>
      </w:r>
      <w:r>
        <w:fldChar w:fldCharType="end"/>
      </w:r>
      <w:r>
        <w:t xml:space="preserve"> peuvent appliquer uniquement les exigences suivantes :</w:t>
      </w:r>
    </w:p>
    <w:p w14:paraId="6CFF90AB" w14:textId="2D58635B" w:rsidR="00F11BAA" w:rsidRDefault="00F11BAA" w:rsidP="00F11BAA">
      <w:pPr>
        <w:pStyle w:val="Paragraphedeliste"/>
        <w:numPr>
          <w:ilvl w:val="0"/>
          <w:numId w:val="8"/>
        </w:numPr>
        <w:ind w:left="1491" w:hanging="357"/>
      </w:pPr>
      <w:r>
        <w:t xml:space="preserve"> </w:t>
      </w:r>
      <w:r w:rsidRPr="00690FB8">
        <w:rPr>
          <w:highlight w:val="yellow"/>
        </w:rPr>
        <w:t>I.</w:t>
      </w:r>
      <w:r>
        <w:t xml:space="preserve"> de l’</w:t>
      </w:r>
      <w:r>
        <w:fldChar w:fldCharType="begin"/>
      </w:r>
      <w:r>
        <w:instrText xml:space="preserve"> REF _Ref49445573 \r \h </w:instrText>
      </w:r>
      <w:r>
        <w:fldChar w:fldCharType="separate"/>
      </w:r>
      <w:r w:rsidR="00E9780A">
        <w:t>Article 9</w:t>
      </w:r>
      <w:r>
        <w:fldChar w:fldCharType="end"/>
      </w:r>
      <w:r>
        <w:t> ;</w:t>
      </w:r>
    </w:p>
    <w:p w14:paraId="235DD49A" w14:textId="7848D440" w:rsidR="00F11BAA" w:rsidRDefault="00F11BAA" w:rsidP="00F11BAA">
      <w:pPr>
        <w:pStyle w:val="Paragraphedeliste"/>
        <w:numPr>
          <w:ilvl w:val="0"/>
          <w:numId w:val="8"/>
        </w:numPr>
        <w:ind w:left="1491" w:hanging="357"/>
      </w:pPr>
      <w:r>
        <w:fldChar w:fldCharType="begin"/>
      </w:r>
      <w:r>
        <w:instrText xml:space="preserve"> REF _Ref57823537 \r \h </w:instrText>
      </w:r>
      <w:r>
        <w:fldChar w:fldCharType="separate"/>
      </w:r>
      <w:r w:rsidR="00E9780A">
        <w:t>CHAPITRE IX</w:t>
      </w:r>
      <w:r>
        <w:fldChar w:fldCharType="end"/>
      </w:r>
      <w:r>
        <w:t xml:space="preserve"> à </w:t>
      </w:r>
      <w:r>
        <w:fldChar w:fldCharType="begin"/>
      </w:r>
      <w:r>
        <w:instrText xml:space="preserve"> REF _Ref57918002 \r \h </w:instrText>
      </w:r>
      <w:r>
        <w:fldChar w:fldCharType="separate"/>
      </w:r>
      <w:r w:rsidR="00E9780A">
        <w:t>CHAPITRE XVI</w:t>
      </w:r>
      <w:r>
        <w:fldChar w:fldCharType="end"/>
      </w:r>
      <w:r>
        <w:t>.</w:t>
      </w:r>
    </w:p>
    <w:p w14:paraId="61B1E1BF" w14:textId="0738A8FA" w:rsidR="00F11BAA" w:rsidRDefault="00F11BAA" w:rsidP="00F11BAA">
      <w:pPr>
        <w:pStyle w:val="Paragraphedeliste"/>
        <w:numPr>
          <w:ilvl w:val="0"/>
          <w:numId w:val="38"/>
        </w:numPr>
      </w:pPr>
      <w:r>
        <w:t>Les extensions d’autres usages de bâtiments spécifiées à l’</w:t>
      </w:r>
      <w:r>
        <w:fldChar w:fldCharType="begin"/>
      </w:r>
      <w:r>
        <w:instrText xml:space="preserve"> REF _Ref57969929 \r \h </w:instrText>
      </w:r>
      <w:r>
        <w:fldChar w:fldCharType="separate"/>
      </w:r>
      <w:r w:rsidR="00E9780A">
        <w:t>Article 3</w:t>
      </w:r>
      <w:r>
        <w:fldChar w:fldCharType="end"/>
      </w:r>
      <w:r>
        <w:t xml:space="preserve"> peuvent appliquer uniquement les exigences suivantes :</w:t>
      </w:r>
    </w:p>
    <w:p w14:paraId="002E595F" w14:textId="1E9D759E" w:rsidR="00F11BAA" w:rsidRDefault="00F11BAA" w:rsidP="00F11BAA">
      <w:pPr>
        <w:pStyle w:val="Paragraphedeliste"/>
        <w:numPr>
          <w:ilvl w:val="0"/>
          <w:numId w:val="8"/>
        </w:numPr>
        <w:ind w:left="1491" w:hanging="357"/>
      </w:pPr>
      <w:r>
        <w:fldChar w:fldCharType="begin"/>
      </w:r>
      <w:r>
        <w:instrText xml:space="preserve"> REF _Ref57896926 \r \h </w:instrText>
      </w:r>
      <w:r>
        <w:fldChar w:fldCharType="separate"/>
      </w:r>
      <w:r w:rsidR="00E9780A">
        <w:t>Article 30</w:t>
      </w:r>
      <w:r>
        <w:fldChar w:fldCharType="end"/>
      </w:r>
      <w:r>
        <w:t> ;</w:t>
      </w:r>
    </w:p>
    <w:p w14:paraId="0D274417" w14:textId="45B1B7C3" w:rsidR="00F11BAA" w:rsidRDefault="00F11BAA" w:rsidP="00F11BAA">
      <w:pPr>
        <w:pStyle w:val="Paragraphedeliste"/>
        <w:numPr>
          <w:ilvl w:val="0"/>
          <w:numId w:val="8"/>
        </w:numPr>
        <w:ind w:left="1491" w:hanging="357"/>
      </w:pPr>
      <w:r>
        <w:fldChar w:fldCharType="begin"/>
      </w:r>
      <w:r>
        <w:instrText xml:space="preserve"> REF _Ref57823537 \r \h </w:instrText>
      </w:r>
      <w:r>
        <w:fldChar w:fldCharType="separate"/>
      </w:r>
      <w:r w:rsidR="00E9780A">
        <w:t>CHAPITRE IX</w:t>
      </w:r>
      <w:r>
        <w:fldChar w:fldCharType="end"/>
      </w:r>
      <w:r>
        <w:t xml:space="preserve"> à </w:t>
      </w:r>
      <w:r>
        <w:fldChar w:fldCharType="begin"/>
      </w:r>
      <w:r>
        <w:instrText xml:space="preserve"> REF _Ref57918002 \r \h </w:instrText>
      </w:r>
      <w:r>
        <w:fldChar w:fldCharType="separate"/>
      </w:r>
      <w:r w:rsidR="00E9780A">
        <w:t>CHAPITRE XVI</w:t>
      </w:r>
      <w:r>
        <w:fldChar w:fldCharType="end"/>
      </w:r>
      <w:r>
        <w:t>.</w:t>
      </w:r>
    </w:p>
    <w:p w14:paraId="366BF123" w14:textId="77777777" w:rsidR="00F11BAA" w:rsidRDefault="00F11BAA" w:rsidP="00F11BAA">
      <w:r>
        <w:t xml:space="preserve">Pour les extensions visées du I. au III. du présent article, les exigences suivantes ne s’appliquent pas : </w:t>
      </w:r>
    </w:p>
    <w:p w14:paraId="660E9835" w14:textId="2C9CCAF2" w:rsidR="00F11BAA" w:rsidRDefault="00F11BAA" w:rsidP="00F11BAA">
      <w:pPr>
        <w:pStyle w:val="Paragraphedeliste"/>
        <w:numPr>
          <w:ilvl w:val="0"/>
          <w:numId w:val="8"/>
        </w:numPr>
        <w:spacing w:line="256" w:lineRule="auto"/>
      </w:pPr>
      <w:r>
        <w:t xml:space="preserve">Si au moins un local est situé à la fois dans la partie existante et dans la partie neuve du bâtiment, </w:t>
      </w:r>
      <w:r w:rsidRPr="008B5EC4">
        <w:t>l’</w:t>
      </w:r>
      <w:r>
        <w:fldChar w:fldCharType="begin"/>
      </w:r>
      <w:r>
        <w:instrText xml:space="preserve"> REF _Ref57650279 \r \h </w:instrText>
      </w:r>
      <w:r>
        <w:fldChar w:fldCharType="separate"/>
      </w:r>
      <w:r w:rsidR="00E9780A">
        <w:t>Article 32</w:t>
      </w:r>
      <w:r>
        <w:fldChar w:fldCharType="end"/>
      </w:r>
      <w:r>
        <w:t xml:space="preserve"> ne s’applique pas ;</w:t>
      </w:r>
    </w:p>
    <w:p w14:paraId="58F20544" w14:textId="439D4B85" w:rsidR="00F11BAA" w:rsidRDefault="00F11BAA" w:rsidP="00F11BAA">
      <w:pPr>
        <w:pStyle w:val="Paragraphedeliste"/>
        <w:numPr>
          <w:ilvl w:val="0"/>
          <w:numId w:val="8"/>
        </w:numPr>
        <w:spacing w:line="256" w:lineRule="auto"/>
      </w:pPr>
      <w:r>
        <w:t>Pour les surélévations,</w:t>
      </w:r>
      <w:r w:rsidRPr="008B5EC4">
        <w:t xml:space="preserve"> l’</w:t>
      </w:r>
      <w:r>
        <w:fldChar w:fldCharType="begin"/>
      </w:r>
      <w:r>
        <w:instrText xml:space="preserve"> REF _Ref57726502 \r \h </w:instrText>
      </w:r>
      <w:r>
        <w:fldChar w:fldCharType="separate"/>
      </w:r>
      <w:r w:rsidR="00E9780A">
        <w:t>Article 35</w:t>
      </w:r>
      <w:r>
        <w:fldChar w:fldCharType="end"/>
      </w:r>
      <w:r>
        <w:t xml:space="preserve"> ne s’applique pas ;</w:t>
      </w:r>
    </w:p>
    <w:p w14:paraId="57C0DDA4" w14:textId="3F58C282" w:rsidR="00F11BAA" w:rsidRDefault="00F11BAA" w:rsidP="00F11BAA">
      <w:pPr>
        <w:pStyle w:val="Paragraphedeliste"/>
        <w:numPr>
          <w:ilvl w:val="0"/>
          <w:numId w:val="8"/>
        </w:numPr>
        <w:spacing w:line="256" w:lineRule="auto"/>
      </w:pPr>
      <w:r>
        <w:t xml:space="preserve">Si le système de chauffage du bâtiment existant est utilisé pour le fonctionnement de l’extension, les </w:t>
      </w:r>
      <w:r w:rsidR="00D3536F">
        <w:fldChar w:fldCharType="begin"/>
      </w:r>
      <w:r w:rsidR="00D3536F">
        <w:instrText xml:space="preserve"> REF _Ref57918021 \r \h </w:instrText>
      </w:r>
      <w:r w:rsidR="00D3536F">
        <w:fldChar w:fldCharType="separate"/>
      </w:r>
      <w:r w:rsidR="00E9780A">
        <w:t>Article 40</w:t>
      </w:r>
      <w:r w:rsidR="00D3536F">
        <w:fldChar w:fldCharType="end"/>
      </w:r>
      <w:r w:rsidR="005C1BB6">
        <w:t>,</w:t>
      </w:r>
      <w:r w:rsidR="00D3536F">
        <w:t xml:space="preserve"> </w:t>
      </w:r>
      <w:r w:rsidR="00D3536F">
        <w:fldChar w:fldCharType="begin"/>
      </w:r>
      <w:r w:rsidR="00D3536F">
        <w:instrText xml:space="preserve"> REF _Ref57918023 \r \h </w:instrText>
      </w:r>
      <w:r w:rsidR="00D3536F">
        <w:fldChar w:fldCharType="separate"/>
      </w:r>
      <w:r w:rsidR="00E9780A">
        <w:t>Article 41</w:t>
      </w:r>
      <w:r w:rsidR="00D3536F">
        <w:fldChar w:fldCharType="end"/>
      </w:r>
      <w:r w:rsidR="00D3536F">
        <w:t xml:space="preserve">, </w:t>
      </w:r>
      <w:r w:rsidR="00AB6ABD">
        <w:t xml:space="preserve">et </w:t>
      </w:r>
      <w:r w:rsidR="00D3536F">
        <w:fldChar w:fldCharType="begin"/>
      </w:r>
      <w:r w:rsidR="00D3536F">
        <w:instrText xml:space="preserve"> REF _Ref57976967 \r \h </w:instrText>
      </w:r>
      <w:r w:rsidR="00D3536F">
        <w:fldChar w:fldCharType="separate"/>
      </w:r>
      <w:r w:rsidR="00E9780A">
        <w:t>Article 44</w:t>
      </w:r>
      <w:r w:rsidR="00D3536F">
        <w:fldChar w:fldCharType="end"/>
      </w:r>
      <w:r w:rsidR="005C1BB6">
        <w:t xml:space="preserve"> </w:t>
      </w:r>
      <w:r>
        <w:t xml:space="preserve"> ne s’appliquent pas.</w:t>
      </w:r>
    </w:p>
    <w:p w14:paraId="1D03B18D" w14:textId="013B1B1F" w:rsidR="00F11BAA" w:rsidRDefault="00F11BAA" w:rsidP="00F11BAA">
      <w:pPr>
        <w:spacing w:line="256" w:lineRule="auto"/>
      </w:pPr>
      <w:r>
        <w:t xml:space="preserve">Les extensions de bâtiments qui ne relèvent pas du I. au III. du présent article sont soumises </w:t>
      </w:r>
      <w:r w:rsidR="007361B2">
        <w:t>aux règles générales du présent arrêté</w:t>
      </w:r>
      <w:r>
        <w:t>.</w:t>
      </w:r>
    </w:p>
    <w:p w14:paraId="31BF20F3" w14:textId="77777777" w:rsidR="00F11BAA" w:rsidRDefault="00F11BAA" w:rsidP="00F11BAA">
      <w:r>
        <w:lastRenderedPageBreak/>
        <w:t>Lorsque le projet de construction comporte plusieurs extensions d’un même bâtiment, la surface à considérer pour l’application du présent article est la somme des surfaces de références des extensions du bâtiment.</w:t>
      </w:r>
    </w:p>
    <w:p w14:paraId="4E1EF9A6" w14:textId="77777777" w:rsidR="00F11BAA" w:rsidRPr="00F11BAA" w:rsidRDefault="00F11BAA" w:rsidP="00F11BAA"/>
    <w:p w14:paraId="3D90B3B3" w14:textId="121001E3" w:rsidR="006C6C95" w:rsidRDefault="00E1448A" w:rsidP="006C6C95">
      <w:pPr>
        <w:pStyle w:val="Titre3"/>
        <w:spacing w:line="256" w:lineRule="auto"/>
        <w:ind w:left="502"/>
      </w:pPr>
      <w:bookmarkStart w:id="43" w:name="_Ref57730618"/>
      <w:bookmarkStart w:id="44" w:name="_Ref57896926"/>
      <w:r>
        <w:t>(</w:t>
      </w:r>
      <w:r w:rsidR="006C6C95">
        <w:t>exigences</w:t>
      </w:r>
      <w:bookmarkEnd w:id="43"/>
      <w:r>
        <w:t xml:space="preserve"> RT éléments)</w:t>
      </w:r>
      <w:bookmarkEnd w:id="44"/>
    </w:p>
    <w:p w14:paraId="3B128BDE" w14:textId="7ADB8395" w:rsidR="005C1BB6" w:rsidRDefault="005C1BB6" w:rsidP="005C1BB6">
      <w:r>
        <w:t xml:space="preserve">Le présent article </w:t>
      </w:r>
      <w:r w:rsidRPr="00AA57C7">
        <w:t>s’applique aux</w:t>
      </w:r>
      <w:r>
        <w:t xml:space="preserve"> </w:t>
      </w:r>
      <w:r w:rsidR="00AB6ABD">
        <w:t xml:space="preserve">seuls </w:t>
      </w:r>
      <w:r>
        <w:t>bâtiments appliquant uniquement le</w:t>
      </w:r>
      <w:r w:rsidRPr="00AA57C7">
        <w:t xml:space="preserve">s </w:t>
      </w:r>
      <w:r>
        <w:t>exigences prévues à l’</w:t>
      </w:r>
      <w:r w:rsidR="00E9780A">
        <w:fldChar w:fldCharType="begin"/>
      </w:r>
      <w:r w:rsidR="00E9780A">
        <w:instrText xml:space="preserve"> REF _Ref57986904 \r \h </w:instrText>
      </w:r>
      <w:r w:rsidR="00E9780A">
        <w:fldChar w:fldCharType="separate"/>
      </w:r>
      <w:r w:rsidR="00E9780A">
        <w:t>Article 28</w:t>
      </w:r>
      <w:r w:rsidR="00E9780A">
        <w:fldChar w:fldCharType="end"/>
      </w:r>
      <w:r>
        <w:t xml:space="preserve">, ou </w:t>
      </w:r>
      <w:r w:rsidRPr="00145690">
        <w:rPr>
          <w:highlight w:val="yellow"/>
        </w:rPr>
        <w:t>au I. ou au III.</w:t>
      </w:r>
      <w:r>
        <w:t xml:space="preserve"> de l’</w:t>
      </w:r>
      <w:r>
        <w:fldChar w:fldCharType="begin"/>
      </w:r>
      <w:r>
        <w:instrText xml:space="preserve"> REF _Ref57970437 \r \h </w:instrText>
      </w:r>
      <w:r>
        <w:fldChar w:fldCharType="separate"/>
      </w:r>
      <w:r w:rsidR="00E9780A">
        <w:t>Article 29</w:t>
      </w:r>
      <w:r>
        <w:fldChar w:fldCharType="end"/>
      </w:r>
      <w:r>
        <w:t>.</w:t>
      </w:r>
    </w:p>
    <w:p w14:paraId="734AA747" w14:textId="5D42371A" w:rsidR="006C6C95" w:rsidRPr="004F2D43" w:rsidRDefault="006C6C95" w:rsidP="006C6C95">
      <w:r w:rsidRPr="00B64F22">
        <w:t xml:space="preserve">Les </w:t>
      </w:r>
      <w:r w:rsidRPr="004F2D43">
        <w:t>bâtiments ou parties de bâtiments concernés par le présent chapitre sont soumis, à compter de l’entrée en vigueur du présent arrêté, aux exigences suivantes de l’arrêté du 3 mai 2007 susvisé, dans sa version en vigueur</w:t>
      </w:r>
      <w:r w:rsidR="00841521">
        <w:t xml:space="preserve"> </w:t>
      </w:r>
      <w:r w:rsidR="00841521" w:rsidRPr="00AA57C7">
        <w:t>au</w:t>
      </w:r>
      <w:r w:rsidRPr="004F2D43">
        <w:t xml:space="preserve"> 1</w:t>
      </w:r>
      <w:r w:rsidRPr="004F2D43">
        <w:rPr>
          <w:vertAlign w:val="superscript"/>
        </w:rPr>
        <w:t>er</w:t>
      </w:r>
      <w:r w:rsidRPr="004F2D43">
        <w:t xml:space="preserve"> janvier</w:t>
      </w:r>
      <w:r w:rsidR="000B3F6F" w:rsidRPr="004F2D43">
        <w:t xml:space="preserve"> 2023</w:t>
      </w:r>
      <w:r w:rsidRPr="004F2D43">
        <w:t xml:space="preserve"> :</w:t>
      </w:r>
    </w:p>
    <w:p w14:paraId="1200330D" w14:textId="3D40E044" w:rsidR="006C6C95" w:rsidRPr="004F2D43" w:rsidRDefault="006C6C95" w:rsidP="00E8319A">
      <w:pPr>
        <w:pStyle w:val="Paragraphedeliste"/>
        <w:numPr>
          <w:ilvl w:val="0"/>
          <w:numId w:val="31"/>
        </w:numPr>
        <w:spacing w:before="0" w:after="0" w:line="256" w:lineRule="auto"/>
      </w:pPr>
      <w:r w:rsidRPr="004F2D43">
        <w:t xml:space="preserve">Articles </w:t>
      </w:r>
      <w:r w:rsidR="00D61655" w:rsidRPr="004F2D43">
        <w:t>3</w:t>
      </w:r>
      <w:r w:rsidR="003B2EB2">
        <w:t>, sans prise en considération de la colonne « cas d’adaptation possibles » du tableau,</w:t>
      </w:r>
      <w:r w:rsidR="003B2EB2" w:rsidRPr="004F2D43">
        <w:t xml:space="preserve"> et </w:t>
      </w:r>
      <w:r w:rsidR="003B2EB2">
        <w:t>article</w:t>
      </w:r>
      <w:r w:rsidRPr="004F2D43">
        <w:t xml:space="preserve"> 4 du Chapitre I : Enveloppe du bâtiment, parois opaques ;</w:t>
      </w:r>
    </w:p>
    <w:p w14:paraId="2CB32EB3" w14:textId="04B31966" w:rsidR="006C6C95" w:rsidRPr="004F2D43" w:rsidRDefault="003B2EB2" w:rsidP="00E8319A">
      <w:pPr>
        <w:pStyle w:val="Paragraphedeliste"/>
        <w:numPr>
          <w:ilvl w:val="0"/>
          <w:numId w:val="31"/>
        </w:numPr>
        <w:spacing w:before="0" w:after="0" w:line="256" w:lineRule="auto"/>
      </w:pPr>
      <w:r>
        <w:t xml:space="preserve">Articles 8 à 11 et article 13 du </w:t>
      </w:r>
      <w:r w:rsidR="006C6C95" w:rsidRPr="004F2D43">
        <w:t>Chapitre II : Enveloppe du bâtiment – Parois vitrées ;</w:t>
      </w:r>
    </w:p>
    <w:p w14:paraId="165BE53E" w14:textId="6FBCD846" w:rsidR="006C6C95" w:rsidRPr="004F2D43" w:rsidRDefault="006C6C95" w:rsidP="00AA57C7">
      <w:pPr>
        <w:pStyle w:val="Paragraphedeliste"/>
        <w:numPr>
          <w:ilvl w:val="0"/>
          <w:numId w:val="31"/>
        </w:numPr>
        <w:spacing w:before="0" w:after="0" w:line="256" w:lineRule="auto"/>
      </w:pPr>
      <w:r w:rsidRPr="004F2D43">
        <w:t>Chapitre</w:t>
      </w:r>
      <w:r w:rsidR="00AA57C7">
        <w:t>s</w:t>
      </w:r>
      <w:r w:rsidRPr="004F2D43">
        <w:t xml:space="preserve"> III </w:t>
      </w:r>
      <w:r w:rsidR="00AA57C7">
        <w:t>à VII</w:t>
      </w:r>
    </w:p>
    <w:p w14:paraId="5E763584" w14:textId="140AC404" w:rsidR="006C6C95" w:rsidRPr="004F2D43" w:rsidRDefault="003B2EB2" w:rsidP="00E8319A">
      <w:pPr>
        <w:pStyle w:val="Paragraphedeliste"/>
        <w:numPr>
          <w:ilvl w:val="0"/>
          <w:numId w:val="31"/>
        </w:numPr>
        <w:spacing w:before="0" w:after="0" w:line="256" w:lineRule="auto"/>
      </w:pPr>
      <w:r>
        <w:t xml:space="preserve">Articles 47 à 50 du </w:t>
      </w:r>
      <w:r w:rsidR="006C6C95" w:rsidRPr="004F2D43">
        <w:t>Chapitr</w:t>
      </w:r>
      <w:r w:rsidR="00324401">
        <w:t>e VIII : Energies renouvelables</w:t>
      </w:r>
      <w:r w:rsidR="006C6C95" w:rsidRPr="004F2D43">
        <w:t>.</w:t>
      </w:r>
    </w:p>
    <w:p w14:paraId="77EFF96B" w14:textId="538C22DE" w:rsidR="006C6C95" w:rsidRPr="004F2D43" w:rsidRDefault="006C6C95" w:rsidP="006C6C95">
      <w:pPr>
        <w:pStyle w:val="Titre3"/>
        <w:spacing w:line="256" w:lineRule="auto"/>
        <w:ind w:left="502"/>
      </w:pPr>
      <w:bookmarkStart w:id="45" w:name="_Ref57730918"/>
      <w:r w:rsidRPr="004F2D43">
        <w:t xml:space="preserve">(Exigence </w:t>
      </w:r>
      <w:r w:rsidR="005C1BB6">
        <w:t>d’étude</w:t>
      </w:r>
      <w:r w:rsidRPr="004F2D43">
        <w:t xml:space="preserve"> ACV</w:t>
      </w:r>
      <w:r w:rsidR="00AB6ABD">
        <w:t xml:space="preserve"> – constructions provisoires</w:t>
      </w:r>
      <w:r w:rsidRPr="004F2D43">
        <w:t>)</w:t>
      </w:r>
      <w:bookmarkEnd w:id="45"/>
    </w:p>
    <w:p w14:paraId="7355A3D2" w14:textId="4C204C1B" w:rsidR="00AB6ABD" w:rsidRDefault="00AB6ABD" w:rsidP="006C6C95">
      <w:r w:rsidRPr="00AB6ABD">
        <w:t xml:space="preserve">Le présent article s’applique aux </w:t>
      </w:r>
      <w:r>
        <w:t xml:space="preserve">seuls </w:t>
      </w:r>
      <w:r w:rsidRPr="00AB6ABD">
        <w:t>bâtiments appliquant uniquement les exigences prévues à l’</w:t>
      </w:r>
      <w:r w:rsidR="00003F58">
        <w:fldChar w:fldCharType="begin"/>
      </w:r>
      <w:r w:rsidR="00003F58">
        <w:instrText xml:space="preserve"> REF _Ref57986904 \r \h </w:instrText>
      </w:r>
      <w:r w:rsidR="00003F58">
        <w:fldChar w:fldCharType="separate"/>
      </w:r>
      <w:r w:rsidR="00003F58">
        <w:t>Article 28</w:t>
      </w:r>
      <w:r w:rsidR="00003F58">
        <w:fldChar w:fldCharType="end"/>
      </w:r>
      <w:r w:rsidRPr="00AB6ABD">
        <w:t>.</w:t>
      </w:r>
    </w:p>
    <w:p w14:paraId="2A9AECC3" w14:textId="76D9CF63" w:rsidR="006C6C95" w:rsidRDefault="006C6C95" w:rsidP="00AB6ABD">
      <w:r w:rsidRPr="004F2D43">
        <w:t>Les indicateurs Ic</w:t>
      </w:r>
      <w:r w:rsidRPr="004F2D43">
        <w:rPr>
          <w:vertAlign w:val="subscript"/>
        </w:rPr>
        <w:t>composants</w:t>
      </w:r>
      <w:r w:rsidRPr="004F2D43">
        <w:t xml:space="preserve"> et StockC, définis à l’</w:t>
      </w:r>
      <w:r w:rsidRPr="004F2D43">
        <w:fldChar w:fldCharType="begin"/>
      </w:r>
      <w:r w:rsidRPr="004F2D43">
        <w:instrText xml:space="preserve"> REF _Ref51004279 \r \h </w:instrText>
      </w:r>
      <w:r w:rsidR="005376F7" w:rsidRPr="004F2D43">
        <w:instrText xml:space="preserve"> \* MERGEFORMAT </w:instrText>
      </w:r>
      <w:r w:rsidRPr="004F2D43">
        <w:fldChar w:fldCharType="separate"/>
      </w:r>
      <w:r w:rsidR="00003F58">
        <w:t>Article 7</w:t>
      </w:r>
      <w:r w:rsidRPr="004F2D43">
        <w:fldChar w:fldCharType="end"/>
      </w:r>
      <w:r w:rsidRPr="004F2D43">
        <w:t xml:space="preserve">, </w:t>
      </w:r>
      <w:r w:rsidR="005376F7" w:rsidRPr="004F2D43">
        <w:t>sont</w:t>
      </w:r>
      <w:r w:rsidRPr="004F2D43">
        <w:t xml:space="preserve"> </w:t>
      </w:r>
      <w:r w:rsidR="005376F7" w:rsidRPr="004F2D43">
        <w:t>évalués</w:t>
      </w:r>
      <w:r w:rsidRPr="004F2D43">
        <w:t xml:space="preserve"> selon les modalités définies à l’</w:t>
      </w:r>
      <w:r w:rsidRPr="004F2D43">
        <w:fldChar w:fldCharType="begin"/>
      </w:r>
      <w:r w:rsidRPr="004F2D43">
        <w:instrText xml:space="preserve"> REF _Ref49444761 \r </w:instrText>
      </w:r>
      <w:r w:rsidR="005376F7" w:rsidRPr="004F2D43">
        <w:instrText xml:space="preserve"> \* MERGEFORMAT </w:instrText>
      </w:r>
      <w:r w:rsidRPr="004F2D43">
        <w:fldChar w:fldCharType="separate"/>
      </w:r>
      <w:r w:rsidR="00003F58">
        <w:t>Article 17</w:t>
      </w:r>
      <w:r w:rsidRPr="004F2D43">
        <w:fldChar w:fldCharType="end"/>
      </w:r>
      <w:r w:rsidR="00AB6ABD">
        <w:t>à l’exception de</w:t>
      </w:r>
      <w:r w:rsidRPr="004F2D43">
        <w:t xml:space="preserve"> la période d’étude de référence</w:t>
      </w:r>
      <w:r w:rsidR="00AB6ABD">
        <w:t>, qui</w:t>
      </w:r>
      <w:r w:rsidRPr="004F2D43">
        <w:t xml:space="preserve"> </w:t>
      </w:r>
      <w:r w:rsidR="00B64F22">
        <w:t>est</w:t>
      </w:r>
      <w:r w:rsidRPr="004F2D43">
        <w:t xml:space="preserve"> prise égale à 2 ans.</w:t>
      </w:r>
    </w:p>
    <w:p w14:paraId="11A8F819" w14:textId="244608C4" w:rsidR="00032417" w:rsidRPr="00032417" w:rsidRDefault="00B64F22" w:rsidP="0019138C">
      <w:pPr>
        <w:pStyle w:val="Titre2"/>
      </w:pPr>
      <w:bookmarkStart w:id="46" w:name="_Ref57823537"/>
      <w:r>
        <w:t xml:space="preserve">VÉRIFICATION DE LA </w:t>
      </w:r>
      <w:r w:rsidR="00324401">
        <w:t>PERFORMANCE APRÈS</w:t>
      </w:r>
      <w:r>
        <w:t xml:space="preserve"> TRAVAUX</w:t>
      </w:r>
      <w:bookmarkEnd w:id="46"/>
    </w:p>
    <w:p w14:paraId="15EFCBC8" w14:textId="70F8C6C3" w:rsidR="00DD530C" w:rsidRPr="00B64F22" w:rsidRDefault="00A1566B" w:rsidP="00B64F22">
      <w:pPr>
        <w:pStyle w:val="Titre3"/>
      </w:pPr>
      <w:bookmarkStart w:id="47" w:name="_Ref57650279"/>
      <w:r w:rsidRPr="00B64F22">
        <w:t>(</w:t>
      </w:r>
      <w:r w:rsidR="00DD530C" w:rsidRPr="00B64F22">
        <w:t>exigence d’étanchéité à l’air</w:t>
      </w:r>
      <w:r w:rsidRPr="00B64F22">
        <w:t>)</w:t>
      </w:r>
      <w:bookmarkEnd w:id="47"/>
    </w:p>
    <w:p w14:paraId="6B576584" w14:textId="78DA0827" w:rsidR="00A1566B" w:rsidRDefault="00A1566B" w:rsidP="00A1566B">
      <w:r>
        <w:t>Pour les maisons individuelles ou accolées et les bâtiments collectifs d'habitation, la perméabilité à l'air de l'enveloppe sous 4 Pa, Q4Pa-surf, est inférieure ou égale à :</w:t>
      </w:r>
    </w:p>
    <w:p w14:paraId="12DE720A" w14:textId="5F77C996" w:rsidR="00A1566B" w:rsidRDefault="00A1566B" w:rsidP="00A1566B">
      <w:r>
        <w:t>0,60 m³/(h.m²) de parois déperditives, hors plancher bas, en maison individuelle ou accolée.</w:t>
      </w:r>
    </w:p>
    <w:p w14:paraId="7C413D38" w14:textId="4C7B5965" w:rsidR="00A1566B" w:rsidRDefault="00A1566B" w:rsidP="00A1566B">
      <w:r>
        <w:t>1,00 m³/(h.m²) de parois déperditives, hors plancher bas, en bâtiment collectif d'habitation.</w:t>
      </w:r>
    </w:p>
    <w:p w14:paraId="0D2BD7F0" w14:textId="77777777" w:rsidR="00B64F22" w:rsidRPr="00324401" w:rsidRDefault="00B64F22" w:rsidP="00B64F22">
      <w:pPr>
        <w:pStyle w:val="Titre3"/>
      </w:pPr>
      <w:r w:rsidRPr="00324401">
        <w:t>(vérification des systèmes de ventilation)</w:t>
      </w:r>
    </w:p>
    <w:p w14:paraId="6607CDE7" w14:textId="116F4BAF" w:rsidR="00B64F22" w:rsidRDefault="00324401" w:rsidP="00324401">
      <w:r>
        <w:t>Dans les bâtiments et parties de bâtiments à usage d’habitation, a</w:t>
      </w:r>
      <w:r w:rsidR="00B64F22">
        <w:t xml:space="preserve">fin de vérifier qu’il fonctionne </w:t>
      </w:r>
      <w:r w:rsidRPr="00AA0090">
        <w:t>correctement</w:t>
      </w:r>
      <w:r w:rsidR="00B64F22">
        <w:t xml:space="preserve">, tout système de ventilation du bâtiment est vérifié </w:t>
      </w:r>
      <w:r>
        <w:t>par mesure</w:t>
      </w:r>
      <w:r w:rsidR="00F92A8B">
        <w:t>.</w:t>
      </w:r>
    </w:p>
    <w:p w14:paraId="388E7D17" w14:textId="22DF29FF" w:rsidR="00CA03BA" w:rsidRPr="00B64F22" w:rsidRDefault="00CA03BA" w:rsidP="00B64F22">
      <w:r w:rsidRPr="00AA57C7">
        <w:t>Cette vérification est effectuée par une personne reconnue compétente par le ministre en charge de la construction</w:t>
      </w:r>
      <w:r w:rsidR="00F92A8B">
        <w:t>, conformément aux dispositions prévues à l’</w:t>
      </w:r>
      <w:r w:rsidR="00E9780A">
        <w:rPr>
          <w:highlight w:val="yellow"/>
        </w:rPr>
        <w:fldChar w:fldCharType="begin"/>
      </w:r>
      <w:r w:rsidR="00E9780A">
        <w:instrText xml:space="preserve"> REF _Ref57990115 \r \h </w:instrText>
      </w:r>
      <w:r w:rsidR="00E9780A">
        <w:rPr>
          <w:highlight w:val="yellow"/>
        </w:rPr>
      </w:r>
      <w:r w:rsidR="00E9780A">
        <w:rPr>
          <w:highlight w:val="yellow"/>
        </w:rPr>
        <w:fldChar w:fldCharType="separate"/>
      </w:r>
      <w:r w:rsidR="00E9780A">
        <w:t>ANNEXE VIII</w:t>
      </w:r>
      <w:r w:rsidR="00E9780A">
        <w:rPr>
          <w:highlight w:val="yellow"/>
        </w:rPr>
        <w:fldChar w:fldCharType="end"/>
      </w:r>
      <w:r w:rsidRPr="00AA57C7">
        <w:t>.</w:t>
      </w:r>
    </w:p>
    <w:p w14:paraId="41C44241" w14:textId="56B7E3F6" w:rsidR="00032417" w:rsidRPr="00032417" w:rsidRDefault="00032417" w:rsidP="0019138C">
      <w:pPr>
        <w:pStyle w:val="Titre2"/>
      </w:pPr>
      <w:bookmarkStart w:id="48" w:name="_Ref57712032"/>
      <w:r w:rsidRPr="00032417">
        <w:t>ISOLATION THERMIQUE</w:t>
      </w:r>
      <w:bookmarkEnd w:id="48"/>
    </w:p>
    <w:p w14:paraId="6687C7C8" w14:textId="52C544C8" w:rsidR="00240FC6" w:rsidRDefault="00240FC6" w:rsidP="00240FC6">
      <w:pPr>
        <w:pStyle w:val="Titre3"/>
      </w:pPr>
      <w:r>
        <w:t xml:space="preserve"> (</w:t>
      </w:r>
      <w:r w:rsidR="00032417">
        <w:t>Isolations des parois entre locaux à occupation continue et discontinue</w:t>
      </w:r>
      <w:r>
        <w:t>)</w:t>
      </w:r>
    </w:p>
    <w:p w14:paraId="26523E5C" w14:textId="665AD2EF" w:rsidR="00240FC6" w:rsidRPr="00240FC6" w:rsidRDefault="00240FC6" w:rsidP="00240FC6">
      <w:r>
        <w:t xml:space="preserve">Les parois séparant des parties de bâtiment à occupation continue de parties de bâtiments à occupation discontinue doivent présenter un coefficient de transmission thermique, U, tel que défini </w:t>
      </w:r>
      <w:r>
        <w:lastRenderedPageBreak/>
        <w:t>dans la méthode</w:t>
      </w:r>
      <w:r w:rsidR="00A56B6C">
        <w:t xml:space="preserve"> de calcul</w:t>
      </w:r>
      <w:r>
        <w:t xml:space="preserve"> </w:t>
      </w:r>
      <w:r w:rsidR="00A56B6C">
        <w:t>visée à l’</w:t>
      </w:r>
      <w:r w:rsidR="00A56B6C">
        <w:fldChar w:fldCharType="begin"/>
      </w:r>
      <w:r w:rsidR="00A56B6C">
        <w:instrText xml:space="preserve"> REF _Ref49446041 \r \h </w:instrText>
      </w:r>
      <w:r w:rsidR="00A56B6C">
        <w:fldChar w:fldCharType="separate"/>
      </w:r>
      <w:r w:rsidR="00E9780A">
        <w:t>Article 17</w:t>
      </w:r>
      <w:r w:rsidR="00A56B6C">
        <w:fldChar w:fldCharType="end"/>
      </w:r>
      <w:r>
        <w:t>, qui ne peut excéder 0,36 W/(m².K) en valeur moyenne.</w:t>
      </w:r>
      <w:r w:rsidR="00580EBA">
        <w:t xml:space="preserve"> La surface considérée ici est la surface des parois </w:t>
      </w:r>
      <w:r w:rsidR="005C1BB6">
        <w:t>susmentionnées</w:t>
      </w:r>
      <w:r w:rsidR="00580EBA">
        <w:t>.</w:t>
      </w:r>
    </w:p>
    <w:p w14:paraId="3A30875F" w14:textId="4DB3AC11" w:rsidR="00032417" w:rsidRDefault="00240FC6" w:rsidP="00DF0DDD">
      <w:pPr>
        <w:pStyle w:val="Titre3"/>
      </w:pPr>
      <w:r>
        <w:t xml:space="preserve"> </w:t>
      </w:r>
      <w:bookmarkStart w:id="49" w:name="_Ref57726502"/>
      <w:r>
        <w:t>(</w:t>
      </w:r>
      <w:r w:rsidR="00032417">
        <w:t>ponts thermiques</w:t>
      </w:r>
      <w:r>
        <w:t>)</w:t>
      </w:r>
      <w:bookmarkEnd w:id="49"/>
      <w:r>
        <w:t xml:space="preserve"> </w:t>
      </w:r>
    </w:p>
    <w:p w14:paraId="2E6EB67E" w14:textId="3F206AFA" w:rsidR="0032499B" w:rsidRDefault="00F77068" w:rsidP="00E8319A">
      <w:pPr>
        <w:pStyle w:val="Paragraphedeliste"/>
        <w:numPr>
          <w:ilvl w:val="0"/>
          <w:numId w:val="9"/>
        </w:numPr>
      </w:pPr>
      <w:r>
        <w:t>Les bâtiments sont conçus et construits de façon à éviter, en conditions normales d’occupation, toute situation permettant l’apparition ponctuelle ou répartie de condensation en surface ou à l’intérieur des parois, sauf si celle-ci n’est que passagère. La condensation est considérée comme passagère si elle n’engendre aucun risque de dégradation physique ou microbiologique des matériaux, comme par exemple le tassement d’un isolant ou le développement de moisissures.</w:t>
      </w:r>
      <w:r w:rsidR="0032499B">
        <w:t xml:space="preserve"> </w:t>
      </w:r>
    </w:p>
    <w:p w14:paraId="6C58D0F1" w14:textId="3BA37593" w:rsidR="00267AB3" w:rsidRDefault="00267AB3" w:rsidP="00E8319A">
      <w:pPr>
        <w:pStyle w:val="Paragraphedeliste"/>
        <w:numPr>
          <w:ilvl w:val="0"/>
          <w:numId w:val="9"/>
        </w:numPr>
      </w:pPr>
      <w:r>
        <w:t>Les bâtiments présentant</w:t>
      </w:r>
      <w:r w:rsidR="006C1EA3">
        <w:t>, en conditions hivernales,</w:t>
      </w:r>
      <w:r>
        <w:t xml:space="preserve"> une température de surface </w:t>
      </w:r>
      <w:r w:rsidR="000240BB">
        <w:t>au nu intérieur et au droit du nu intérieur de l’isolant</w:t>
      </w:r>
      <w:r>
        <w:t xml:space="preserve">, en tout point de ces surfaces, inférieure à </w:t>
      </w:r>
      <w:r w:rsidR="00324401" w:rsidRPr="005C1BB6">
        <w:t>15</w:t>
      </w:r>
      <w:r w:rsidRPr="005C1BB6">
        <w:t>°C</w:t>
      </w:r>
      <w:r>
        <w:t>, sont supposés respecter l’exigence du I.</w:t>
      </w:r>
    </w:p>
    <w:p w14:paraId="77E6C9BD" w14:textId="48E16D86" w:rsidR="00F77068" w:rsidRDefault="00324401" w:rsidP="00324401">
      <w:pPr>
        <w:pStyle w:val="Paragraphedeliste"/>
        <w:numPr>
          <w:ilvl w:val="0"/>
          <w:numId w:val="9"/>
        </w:numPr>
      </w:pPr>
      <w:r w:rsidRPr="00324401">
        <w:t xml:space="preserve">En tant que solution technique, </w:t>
      </w:r>
      <w:r>
        <w:t>l</w:t>
      </w:r>
      <w:r w:rsidR="00240FC6">
        <w:t xml:space="preserve">es bâtiments répondant simultanément aux exigences suivantes sont présumés respecter </w:t>
      </w:r>
      <w:r w:rsidR="00C602A5">
        <w:t>l’exigence du</w:t>
      </w:r>
      <w:r w:rsidR="00F77068">
        <w:t xml:space="preserve"> </w:t>
      </w:r>
      <w:r w:rsidR="00267AB3">
        <w:t>I.</w:t>
      </w:r>
      <w:r w:rsidR="00F77068">
        <w:t> :</w:t>
      </w:r>
    </w:p>
    <w:p w14:paraId="53457061" w14:textId="1C0DFBB4" w:rsidR="00240FC6" w:rsidRDefault="00240FC6" w:rsidP="007F40E5">
      <w:pPr>
        <w:pStyle w:val="Paragraphedeliste"/>
        <w:numPr>
          <w:ilvl w:val="1"/>
          <w:numId w:val="1"/>
        </w:numPr>
      </w:pPr>
      <w:r>
        <w:t>Le ratio de transmission thermique linéique moyen global, Ratio ψ, des ponts thermiques du bâtiment n'excède pas 0,</w:t>
      </w:r>
      <w:r w:rsidR="00EF6F19">
        <w:t xml:space="preserve">33 </w:t>
      </w:r>
      <w:r>
        <w:t xml:space="preserve">W/ (m ² </w:t>
      </w:r>
      <w:r w:rsidR="0032499B">
        <w:t>Sref</w:t>
      </w:r>
      <w:r>
        <w:t xml:space="preserve"> . K).</w:t>
      </w:r>
    </w:p>
    <w:p w14:paraId="52B42AD8" w14:textId="50719047" w:rsidR="00240FC6" w:rsidRDefault="00240FC6" w:rsidP="005C1BB6">
      <w:pPr>
        <w:pStyle w:val="Paragraphedeliste"/>
        <w:numPr>
          <w:ilvl w:val="0"/>
          <w:numId w:val="0"/>
        </w:numPr>
        <w:ind w:left="1440"/>
      </w:pPr>
      <w:r>
        <w:t xml:space="preserve">Ce ratio </w:t>
      </w:r>
      <w:r w:rsidR="00045B74">
        <w:t>représente les déperditions thermiques de l’ensemble des ponts thermiques du bâtiments, rapportées à la surface de référence du bâtiment</w:t>
      </w:r>
      <w:r>
        <w:t>.</w:t>
      </w:r>
      <w:r w:rsidR="005C1BB6">
        <w:t xml:space="preserve"> Il est déterminé conformément à la méthode de calcul visée</w:t>
      </w:r>
      <w:r w:rsidR="005C1BB6" w:rsidRPr="005C1BB6">
        <w:t xml:space="preserve"> </w:t>
      </w:r>
      <w:r w:rsidR="005C1BB6">
        <w:t>à l’</w:t>
      </w:r>
      <w:r w:rsidR="005C1BB6">
        <w:fldChar w:fldCharType="begin"/>
      </w:r>
      <w:r w:rsidR="005C1BB6">
        <w:instrText xml:space="preserve"> REF _Ref49446041 \r \h </w:instrText>
      </w:r>
      <w:r w:rsidR="005C1BB6">
        <w:fldChar w:fldCharType="separate"/>
      </w:r>
      <w:r w:rsidR="00E9780A">
        <w:t>Article 17</w:t>
      </w:r>
      <w:r w:rsidR="005C1BB6">
        <w:fldChar w:fldCharType="end"/>
      </w:r>
      <w:r w:rsidR="005C1BB6">
        <w:t>.</w:t>
      </w:r>
    </w:p>
    <w:p w14:paraId="70870A1D" w14:textId="30FB1EF5" w:rsidR="00EF6F19" w:rsidRDefault="00045B74" w:rsidP="007F40E5">
      <w:pPr>
        <w:pStyle w:val="Paragraphedeliste"/>
        <w:numPr>
          <w:ilvl w:val="1"/>
          <w:numId w:val="1"/>
        </w:numPr>
      </w:pPr>
      <w:r>
        <w:t>Le</w:t>
      </w:r>
      <w:r w:rsidR="00240FC6">
        <w:t xml:space="preserve"> coefficient de transmission thermique linéique moyen des liaisons entre les planchers intermédiaires et les murs donnant sur l'extérieur ou un local non chauffé, Ψ 9, n'excède pas 0,6 W/ (m</w:t>
      </w:r>
      <w:r>
        <w:t xml:space="preserve"> </w:t>
      </w:r>
      <w:r w:rsidR="00240FC6">
        <w:t>l</w:t>
      </w:r>
      <w:r>
        <w:t>inéaire</w:t>
      </w:r>
      <w:r w:rsidR="00240FC6">
        <w:t>. K).</w:t>
      </w:r>
    </w:p>
    <w:p w14:paraId="0F7D6CCE" w14:textId="2AD6C7B9" w:rsidR="00032417" w:rsidRPr="00032417" w:rsidRDefault="00032417" w:rsidP="0019138C">
      <w:pPr>
        <w:pStyle w:val="Titre2"/>
      </w:pPr>
      <w:r w:rsidRPr="00032417">
        <w:t>ACCES A L’ECLAIRAGE NATUREL</w:t>
      </w:r>
    </w:p>
    <w:p w14:paraId="448661CC" w14:textId="4267A1BC" w:rsidR="00032417" w:rsidRDefault="00912046" w:rsidP="00912046">
      <w:pPr>
        <w:pStyle w:val="Titre3"/>
      </w:pPr>
      <w:r>
        <w:t>(</w:t>
      </w:r>
      <w:r w:rsidRPr="00912046">
        <w:t>1/6 parois vitrées en MI/LC</w:t>
      </w:r>
      <w:r>
        <w:t>)</w:t>
      </w:r>
    </w:p>
    <w:p w14:paraId="71944787" w14:textId="45C725F4" w:rsidR="00912046" w:rsidRPr="007F40E5" w:rsidRDefault="00912046" w:rsidP="007F40E5">
      <w:r w:rsidRPr="007F40E5">
        <w:t>Afin d’assurer un éclairage naturel et une vue sur l’extérieur</w:t>
      </w:r>
      <w:r w:rsidR="007F40E5">
        <w:t xml:space="preserve"> suffisants</w:t>
      </w:r>
      <w:r w:rsidRPr="007F40E5">
        <w:t xml:space="preserve">, les bâtiments à usage d’habitation </w:t>
      </w:r>
      <w:r w:rsidR="007F40E5">
        <w:t>respectent</w:t>
      </w:r>
      <w:r w:rsidRPr="007F40E5">
        <w:t xml:space="preserve"> l’une des exigences </w:t>
      </w:r>
      <w:r w:rsidR="007F40E5" w:rsidRPr="007F40E5">
        <w:t xml:space="preserve">spécifiées au I. </w:t>
      </w:r>
      <w:r w:rsidR="007F40E5">
        <w:t>ou</w:t>
      </w:r>
      <w:r w:rsidR="007F40E5" w:rsidRPr="007F40E5">
        <w:t xml:space="preserve"> au II. du présent article</w:t>
      </w:r>
      <w:r w:rsidR="007F40E5">
        <w:t xml:space="preserve">. </w:t>
      </w:r>
    </w:p>
    <w:p w14:paraId="4269FEA1" w14:textId="6F32AF55" w:rsidR="00912046" w:rsidRDefault="00912046" w:rsidP="00E8319A">
      <w:pPr>
        <w:pStyle w:val="Paragraphedeliste"/>
        <w:numPr>
          <w:ilvl w:val="0"/>
          <w:numId w:val="30"/>
        </w:numPr>
        <w:ind w:left="697" w:hanging="340"/>
      </w:pPr>
      <w:r w:rsidRPr="007F40E5">
        <w:t xml:space="preserve">Chaque logement </w:t>
      </w:r>
      <w:r w:rsidR="007F40E5">
        <w:t>présente l’ensemble des caractéristiques</w:t>
      </w:r>
      <w:r w:rsidRPr="007F40E5">
        <w:t xml:space="preserve"> suivantes</w:t>
      </w:r>
      <w:r w:rsidR="007F40E5" w:rsidRPr="007F40E5">
        <w:t xml:space="preserve"> </w:t>
      </w:r>
      <w:r w:rsidR="00003F58">
        <w:t>:</w:t>
      </w:r>
    </w:p>
    <w:p w14:paraId="5A743E6E" w14:textId="3512C35F" w:rsidR="00912046" w:rsidRDefault="00912046" w:rsidP="007F40E5">
      <w:pPr>
        <w:pStyle w:val="Paragraphedeliste"/>
        <w:numPr>
          <w:ilvl w:val="1"/>
          <w:numId w:val="1"/>
        </w:numPr>
      </w:pPr>
      <w:r w:rsidRPr="007F40E5">
        <w:t xml:space="preserve">Un niveau d'éclairement d’au moins 300 lx sur 50 % </w:t>
      </w:r>
      <w:r w:rsidR="007F40E5">
        <w:t>des pièces de vie</w:t>
      </w:r>
      <w:r w:rsidR="007F40E5" w:rsidRPr="007F40E5">
        <w:t>, dans plus de la moitié des </w:t>
      </w:r>
      <w:r w:rsidRPr="007F40E5">
        <w:t>heures éclairées par la lumière du jour dans l'année</w:t>
      </w:r>
      <w:r w:rsidR="00324401">
        <w:t xml:space="preserve"> </w:t>
      </w:r>
      <w:r w:rsidR="00003F58">
        <w:t>;</w:t>
      </w:r>
    </w:p>
    <w:p w14:paraId="75D9F296" w14:textId="3EDEEEF9" w:rsidR="00912046" w:rsidRDefault="00912046" w:rsidP="007F40E5">
      <w:pPr>
        <w:pStyle w:val="Paragraphedeliste"/>
        <w:numPr>
          <w:ilvl w:val="1"/>
          <w:numId w:val="1"/>
        </w:numPr>
      </w:pPr>
      <w:r w:rsidRPr="007F40E5">
        <w:t xml:space="preserve">Un niveau d'éclairement d’au moins 100 lx sur 95 % </w:t>
      </w:r>
      <w:r w:rsidR="007F40E5">
        <w:t>des pièces de vie</w:t>
      </w:r>
      <w:r w:rsidRPr="007F40E5">
        <w:t>, dans plus de la moitié des heures éclairées par la lumière du jour dans l'année</w:t>
      </w:r>
      <w:r w:rsidR="00AB6ABD">
        <w:t xml:space="preserve"> </w:t>
      </w:r>
      <w:r w:rsidR="007F40E5" w:rsidRPr="007F40E5">
        <w:t>;</w:t>
      </w:r>
      <w:r w:rsidRPr="007F40E5">
        <w:t> </w:t>
      </w:r>
    </w:p>
    <w:p w14:paraId="6B2DFA1B" w14:textId="710AA6E2" w:rsidR="00912046" w:rsidRPr="007F40E5" w:rsidRDefault="00912046" w:rsidP="007F40E5">
      <w:pPr>
        <w:pStyle w:val="Paragraphedeliste"/>
        <w:numPr>
          <w:ilvl w:val="1"/>
          <w:numId w:val="1"/>
        </w:numPr>
      </w:pPr>
      <w:r w:rsidRPr="007F40E5">
        <w:t xml:space="preserve">Dans </w:t>
      </w:r>
      <w:r w:rsidR="007F40E5">
        <w:t>au moins une</w:t>
      </w:r>
      <w:r w:rsidRPr="007F40E5">
        <w:t xml:space="preserve"> pièce de vie, l’occupant </w:t>
      </w:r>
      <w:r w:rsidR="007F40E5">
        <w:t>a, à une distance d’au moins 1 mètre de la façade, une</w:t>
      </w:r>
      <w:r w:rsidRPr="007F40E5">
        <w:t xml:space="preserve"> vue sur l’extérieur </w:t>
      </w:r>
      <w:r w:rsidR="007F40E5">
        <w:t>permettant de visualiser à la fois le ciel et l’horizon.</w:t>
      </w:r>
    </w:p>
    <w:p w14:paraId="6A45A093" w14:textId="3A5A45C4" w:rsidR="007F40E5" w:rsidRDefault="007F40E5" w:rsidP="00E8319A">
      <w:pPr>
        <w:pStyle w:val="Paragraphedeliste"/>
        <w:numPr>
          <w:ilvl w:val="0"/>
          <w:numId w:val="30"/>
        </w:numPr>
      </w:pPr>
      <w:r>
        <w:t>La surface totale des baies, mesurée en tableau, est supérieure ou égale à 1/6 de la surface de référence.</w:t>
      </w:r>
    </w:p>
    <w:p w14:paraId="14970D75" w14:textId="4F3AD805" w:rsidR="007F40E5" w:rsidRDefault="007F40E5" w:rsidP="007C6C0F">
      <w:pPr>
        <w:ind w:left="1080"/>
      </w:pPr>
      <w:r>
        <w:t xml:space="preserve">Si la surface de façade disponible du bâtiment est inférieure à la moitié de la surface habitable du bâtiment, ou si la surface habitable moyenne des logements du bâtiment est inférieure à 25 m², il peut, à la place des exigences précédentes, avoir une surface totale </w:t>
      </w:r>
      <w:r>
        <w:lastRenderedPageBreak/>
        <w:t>des baies, mesurée en tableau, supérieure ou égale au tiers de la surface de façade disponible.</w:t>
      </w:r>
    </w:p>
    <w:p w14:paraId="1D31D860" w14:textId="5305FA84" w:rsidR="007F40E5" w:rsidRPr="00912046" w:rsidRDefault="007F40E5" w:rsidP="007F40E5">
      <w:pPr>
        <w:ind w:left="360"/>
      </w:pPr>
      <w:r>
        <w:t>Le présent article ne s'applique pas lorsque son respect est en contradiction avec l'autorisation d'urbanisme dans les secteurs sauvegardés, les zones de protection du patrimoine architectural, urbain et paysager ou les aires de mise en valeur de l'architecture et du patrimoine, les abords des monuments historiques, les sites inscrits et classés, les sites inscrits sur la liste du patrimoine mondial de l'humanité de l'UNESCO ou tout autre préservation édictée par les collectivités territoriales, ainsi que pour les sites et secteurs désignés par le 2° du III de l'article L. 123-1-5 du code de l'urbanisme.</w:t>
      </w:r>
    </w:p>
    <w:p w14:paraId="5023B492" w14:textId="340E79A7" w:rsidR="00032417" w:rsidRPr="00032417" w:rsidRDefault="00032417" w:rsidP="0074648A">
      <w:pPr>
        <w:pStyle w:val="Titre2"/>
      </w:pPr>
      <w:r w:rsidRPr="00032417">
        <w:t>CONFORT D’ETE</w:t>
      </w:r>
    </w:p>
    <w:p w14:paraId="30D47EE3" w14:textId="32938EA0" w:rsidR="00032417" w:rsidRDefault="009F2A30" w:rsidP="009F2A30">
      <w:pPr>
        <w:pStyle w:val="Titre3"/>
      </w:pPr>
      <w:r>
        <w:t>(</w:t>
      </w:r>
      <w:r w:rsidRPr="009F2A30">
        <w:t>Protections solaires</w:t>
      </w:r>
      <w:r>
        <w:t>)</w:t>
      </w:r>
    </w:p>
    <w:p w14:paraId="5A6DBA47" w14:textId="4A2EB6C8" w:rsidR="00E8319A" w:rsidRPr="00E8319A" w:rsidRDefault="00E8319A" w:rsidP="00E8319A">
      <w:r w:rsidRPr="00E8319A">
        <w:t xml:space="preserve">Les baies </w:t>
      </w:r>
      <w:r w:rsidR="00AA57C7">
        <w:t>ont un</w:t>
      </w:r>
      <w:r w:rsidR="00AA57C7" w:rsidRPr="00E8319A">
        <w:t xml:space="preserve"> facteur solaire </w:t>
      </w:r>
      <w:r w:rsidRPr="00E8319A">
        <w:t>inférieur ou égal au facteur solaire défini dans le tableau ci-après :</w:t>
      </w:r>
    </w:p>
    <w:tbl>
      <w:tblPr>
        <w:tblStyle w:val="Grilledutableau"/>
        <w:tblW w:w="5000" w:type="pct"/>
        <w:tblLook w:val="04A0" w:firstRow="1" w:lastRow="0" w:firstColumn="1" w:lastColumn="0" w:noHBand="0" w:noVBand="1"/>
      </w:tblPr>
      <w:tblGrid>
        <w:gridCol w:w="2826"/>
        <w:gridCol w:w="1783"/>
        <w:gridCol w:w="2227"/>
        <w:gridCol w:w="2226"/>
      </w:tblGrid>
      <w:tr w:rsidR="00AA57C7" w:rsidRPr="00E8319A" w14:paraId="1D42EE27" w14:textId="77777777" w:rsidTr="004E6D76">
        <w:tc>
          <w:tcPr>
            <w:tcW w:w="1559" w:type="pct"/>
            <w:tcBorders>
              <w:top w:val="single" w:sz="4" w:space="0" w:color="auto"/>
              <w:left w:val="single" w:sz="4" w:space="0" w:color="auto"/>
              <w:bottom w:val="single" w:sz="4" w:space="0" w:color="auto"/>
              <w:right w:val="single" w:sz="4" w:space="0" w:color="auto"/>
            </w:tcBorders>
            <w:hideMark/>
          </w:tcPr>
          <w:p w14:paraId="6C5D6CC1" w14:textId="5C26CFD0" w:rsidR="00AA57C7" w:rsidRPr="00E8319A" w:rsidRDefault="00AA57C7" w:rsidP="00AA57C7">
            <w:pPr>
              <w:spacing w:before="100" w:beforeAutospacing="1" w:after="100" w:afterAutospacing="1"/>
              <w:jc w:val="left"/>
              <w:rPr>
                <w:rFonts w:eastAsia="Times New Roman" w:cs="Times New Roman"/>
                <w:lang w:eastAsia="fr-FR" w:bidi="ar-SA"/>
              </w:rPr>
            </w:pPr>
            <w:r w:rsidRPr="00E8319A">
              <w:rPr>
                <w:rFonts w:eastAsia="Times New Roman" w:cs="Times New Roman"/>
                <w:lang w:eastAsia="fr-FR" w:bidi="ar-SA"/>
              </w:rPr>
              <w:t>Zones H2a</w:t>
            </w:r>
          </w:p>
        </w:tc>
        <w:tc>
          <w:tcPr>
            <w:tcW w:w="984" w:type="pct"/>
            <w:tcBorders>
              <w:top w:val="single" w:sz="4" w:space="0" w:color="auto"/>
              <w:left w:val="single" w:sz="4" w:space="0" w:color="auto"/>
              <w:bottom w:val="single" w:sz="4" w:space="0" w:color="auto"/>
              <w:right w:val="single" w:sz="4" w:space="0" w:color="auto"/>
            </w:tcBorders>
            <w:hideMark/>
          </w:tcPr>
          <w:p w14:paraId="57222505" w14:textId="77777777" w:rsidR="00AA57C7" w:rsidRPr="00E8319A" w:rsidRDefault="00AA57C7" w:rsidP="004E6D76">
            <w:pPr>
              <w:spacing w:before="100" w:beforeAutospacing="1" w:after="100" w:afterAutospacing="1"/>
              <w:jc w:val="center"/>
              <w:rPr>
                <w:rFonts w:eastAsia="Times New Roman" w:cs="Times New Roman"/>
                <w:lang w:eastAsia="fr-FR" w:bidi="ar-SA"/>
              </w:rPr>
            </w:pPr>
            <w:r w:rsidRPr="00E8319A">
              <w:rPr>
                <w:rFonts w:eastAsia="Times New Roman" w:cs="Times New Roman"/>
                <w:lang w:eastAsia="fr-FR" w:bidi="ar-SA"/>
              </w:rPr>
              <w:t>Toutes altitudes</w:t>
            </w:r>
          </w:p>
        </w:tc>
        <w:tc>
          <w:tcPr>
            <w:tcW w:w="1229" w:type="pct"/>
            <w:tcBorders>
              <w:top w:val="single" w:sz="4" w:space="0" w:color="auto"/>
              <w:left w:val="single" w:sz="4" w:space="0" w:color="auto"/>
              <w:bottom w:val="single" w:sz="4" w:space="0" w:color="auto"/>
              <w:right w:val="single" w:sz="4" w:space="0" w:color="auto"/>
            </w:tcBorders>
            <w:hideMark/>
          </w:tcPr>
          <w:p w14:paraId="53F302DD" w14:textId="77777777" w:rsidR="00AA57C7" w:rsidRPr="00E8319A" w:rsidRDefault="00AA57C7" w:rsidP="004E6D76">
            <w:pPr>
              <w:rPr>
                <w:rFonts w:eastAsia="Times New Roman" w:cs="Times New Roman"/>
                <w:lang w:eastAsia="fr-FR" w:bidi="ar-SA"/>
              </w:rPr>
            </w:pPr>
          </w:p>
        </w:tc>
        <w:tc>
          <w:tcPr>
            <w:tcW w:w="1228" w:type="pct"/>
            <w:tcBorders>
              <w:top w:val="single" w:sz="4" w:space="0" w:color="auto"/>
              <w:left w:val="single" w:sz="4" w:space="0" w:color="auto"/>
              <w:bottom w:val="single" w:sz="4" w:space="0" w:color="auto"/>
              <w:right w:val="single" w:sz="4" w:space="0" w:color="auto"/>
            </w:tcBorders>
            <w:hideMark/>
          </w:tcPr>
          <w:p w14:paraId="2CC1AE28" w14:textId="77777777" w:rsidR="00AA57C7" w:rsidRPr="00E8319A" w:rsidRDefault="00AA57C7" w:rsidP="004E6D76">
            <w:pPr>
              <w:jc w:val="left"/>
              <w:rPr>
                <w:sz w:val="20"/>
                <w:szCs w:val="20"/>
                <w:lang w:eastAsia="fr-FR" w:bidi="ar-SA"/>
              </w:rPr>
            </w:pPr>
          </w:p>
        </w:tc>
      </w:tr>
      <w:tr w:rsidR="00AA57C7" w:rsidRPr="00E8319A" w14:paraId="7ACBA52E" w14:textId="77777777" w:rsidTr="004E6D76">
        <w:tc>
          <w:tcPr>
            <w:tcW w:w="1559" w:type="pct"/>
            <w:tcBorders>
              <w:top w:val="single" w:sz="4" w:space="0" w:color="auto"/>
              <w:left w:val="single" w:sz="4" w:space="0" w:color="auto"/>
              <w:bottom w:val="single" w:sz="4" w:space="0" w:color="auto"/>
              <w:right w:val="single" w:sz="4" w:space="0" w:color="auto"/>
            </w:tcBorders>
            <w:hideMark/>
          </w:tcPr>
          <w:p w14:paraId="2BB71BCC" w14:textId="123EDA40" w:rsidR="00AA57C7" w:rsidRPr="00E8319A" w:rsidRDefault="00AA57C7" w:rsidP="004E6D76">
            <w:pPr>
              <w:spacing w:before="100" w:beforeAutospacing="1" w:after="100" w:afterAutospacing="1"/>
              <w:jc w:val="left"/>
              <w:rPr>
                <w:rFonts w:eastAsia="Times New Roman" w:cs="Times New Roman"/>
                <w:lang w:eastAsia="fr-FR" w:bidi="ar-SA"/>
              </w:rPr>
            </w:pPr>
            <w:r w:rsidRPr="00E8319A">
              <w:rPr>
                <w:rFonts w:eastAsia="Times New Roman" w:cs="Times New Roman"/>
                <w:lang w:eastAsia="fr-FR" w:bidi="ar-SA"/>
              </w:rPr>
              <w:t>Zones</w:t>
            </w:r>
            <w:r>
              <w:rPr>
                <w:rFonts w:eastAsia="Times New Roman" w:cs="Times New Roman"/>
                <w:lang w:eastAsia="fr-FR" w:bidi="ar-SA"/>
              </w:rPr>
              <w:t xml:space="preserve"> </w:t>
            </w:r>
            <w:r w:rsidRPr="00E8319A">
              <w:rPr>
                <w:rFonts w:eastAsia="Times New Roman" w:cs="Times New Roman"/>
                <w:lang w:eastAsia="fr-FR" w:bidi="ar-SA"/>
              </w:rPr>
              <w:t>H1a</w:t>
            </w:r>
            <w:r>
              <w:rPr>
                <w:rFonts w:eastAsia="Times New Roman" w:cs="Times New Roman"/>
                <w:lang w:eastAsia="fr-FR" w:bidi="ar-SA"/>
              </w:rPr>
              <w:t>,</w:t>
            </w:r>
            <w:r w:rsidRPr="00E8319A">
              <w:rPr>
                <w:rFonts w:eastAsia="Times New Roman" w:cs="Times New Roman"/>
                <w:lang w:eastAsia="fr-FR" w:bidi="ar-SA"/>
              </w:rPr>
              <w:t xml:space="preserve"> H1b et H2b</w:t>
            </w:r>
          </w:p>
        </w:tc>
        <w:tc>
          <w:tcPr>
            <w:tcW w:w="984" w:type="pct"/>
            <w:tcBorders>
              <w:top w:val="single" w:sz="4" w:space="0" w:color="auto"/>
              <w:left w:val="single" w:sz="4" w:space="0" w:color="auto"/>
              <w:bottom w:val="single" w:sz="4" w:space="0" w:color="auto"/>
              <w:right w:val="single" w:sz="4" w:space="0" w:color="auto"/>
            </w:tcBorders>
            <w:hideMark/>
          </w:tcPr>
          <w:p w14:paraId="2AB21B7B" w14:textId="77777777" w:rsidR="00AA57C7" w:rsidRPr="00E8319A" w:rsidRDefault="00AA57C7" w:rsidP="004E6D76">
            <w:pPr>
              <w:spacing w:before="100" w:beforeAutospacing="1" w:after="100" w:afterAutospacing="1"/>
              <w:jc w:val="center"/>
              <w:rPr>
                <w:rFonts w:eastAsia="Times New Roman" w:cs="Times New Roman"/>
                <w:lang w:eastAsia="fr-FR" w:bidi="ar-SA"/>
              </w:rPr>
            </w:pPr>
            <w:r w:rsidRPr="00E8319A">
              <w:rPr>
                <w:rFonts w:eastAsia="Times New Roman" w:cs="Times New Roman"/>
                <w:lang w:eastAsia="fr-FR" w:bidi="ar-SA"/>
              </w:rPr>
              <w:t>Altitude &gt; 400 m</w:t>
            </w:r>
          </w:p>
        </w:tc>
        <w:tc>
          <w:tcPr>
            <w:tcW w:w="1229" w:type="pct"/>
            <w:tcBorders>
              <w:top w:val="single" w:sz="4" w:space="0" w:color="auto"/>
              <w:left w:val="single" w:sz="4" w:space="0" w:color="auto"/>
              <w:bottom w:val="single" w:sz="4" w:space="0" w:color="auto"/>
              <w:right w:val="single" w:sz="4" w:space="0" w:color="auto"/>
            </w:tcBorders>
            <w:hideMark/>
          </w:tcPr>
          <w:p w14:paraId="0DD50445" w14:textId="77777777" w:rsidR="00AA57C7" w:rsidRPr="00E8319A" w:rsidRDefault="00AA57C7" w:rsidP="004E6D76">
            <w:pPr>
              <w:spacing w:before="100" w:beforeAutospacing="1" w:after="100" w:afterAutospacing="1"/>
              <w:jc w:val="center"/>
              <w:rPr>
                <w:rFonts w:eastAsia="Times New Roman" w:cs="Times New Roman"/>
                <w:lang w:eastAsia="fr-FR" w:bidi="ar-SA"/>
              </w:rPr>
            </w:pPr>
            <w:r w:rsidRPr="00E8319A">
              <w:rPr>
                <w:rFonts w:eastAsia="Times New Roman" w:cs="Times New Roman"/>
                <w:lang w:eastAsia="fr-FR" w:bidi="ar-SA"/>
              </w:rPr>
              <w:t>Altitude &lt; ou = 400 m</w:t>
            </w:r>
          </w:p>
        </w:tc>
        <w:tc>
          <w:tcPr>
            <w:tcW w:w="1228" w:type="pct"/>
            <w:tcBorders>
              <w:top w:val="single" w:sz="4" w:space="0" w:color="auto"/>
              <w:left w:val="single" w:sz="4" w:space="0" w:color="auto"/>
              <w:bottom w:val="single" w:sz="4" w:space="0" w:color="auto"/>
              <w:right w:val="single" w:sz="4" w:space="0" w:color="auto"/>
            </w:tcBorders>
            <w:hideMark/>
          </w:tcPr>
          <w:p w14:paraId="40118297" w14:textId="77777777" w:rsidR="00AA57C7" w:rsidRPr="00E8319A" w:rsidRDefault="00AA57C7" w:rsidP="004E6D76">
            <w:pPr>
              <w:rPr>
                <w:rFonts w:eastAsia="Times New Roman" w:cs="Times New Roman"/>
                <w:lang w:eastAsia="fr-FR" w:bidi="ar-SA"/>
              </w:rPr>
            </w:pPr>
          </w:p>
        </w:tc>
      </w:tr>
      <w:tr w:rsidR="00AA57C7" w:rsidRPr="00E8319A" w14:paraId="0E839668" w14:textId="77777777" w:rsidTr="004E6D76">
        <w:tc>
          <w:tcPr>
            <w:tcW w:w="1559" w:type="pct"/>
            <w:tcBorders>
              <w:top w:val="single" w:sz="4" w:space="0" w:color="auto"/>
              <w:left w:val="single" w:sz="4" w:space="0" w:color="auto"/>
              <w:bottom w:val="single" w:sz="4" w:space="0" w:color="auto"/>
              <w:right w:val="single" w:sz="4" w:space="0" w:color="auto"/>
            </w:tcBorders>
            <w:hideMark/>
          </w:tcPr>
          <w:p w14:paraId="718CDD1B" w14:textId="77777777" w:rsidR="00AA57C7" w:rsidRPr="00E8319A" w:rsidRDefault="00AA57C7" w:rsidP="004E6D76">
            <w:pPr>
              <w:spacing w:before="100" w:beforeAutospacing="1" w:after="100" w:afterAutospacing="1"/>
              <w:jc w:val="left"/>
              <w:rPr>
                <w:rFonts w:eastAsia="Times New Roman" w:cs="Times New Roman"/>
                <w:lang w:eastAsia="fr-FR" w:bidi="ar-SA"/>
              </w:rPr>
            </w:pPr>
            <w:r w:rsidRPr="00E8319A">
              <w:rPr>
                <w:rFonts w:eastAsia="Times New Roman" w:cs="Times New Roman"/>
                <w:lang w:eastAsia="fr-FR" w:bidi="ar-SA"/>
              </w:rPr>
              <w:t>Zones H1c et H2c</w:t>
            </w:r>
          </w:p>
        </w:tc>
        <w:tc>
          <w:tcPr>
            <w:tcW w:w="984" w:type="pct"/>
            <w:tcBorders>
              <w:top w:val="single" w:sz="4" w:space="0" w:color="auto"/>
              <w:left w:val="single" w:sz="4" w:space="0" w:color="auto"/>
              <w:bottom w:val="single" w:sz="4" w:space="0" w:color="auto"/>
              <w:right w:val="single" w:sz="4" w:space="0" w:color="auto"/>
            </w:tcBorders>
            <w:hideMark/>
          </w:tcPr>
          <w:p w14:paraId="440B3757" w14:textId="77777777" w:rsidR="00AA57C7" w:rsidRPr="00E8319A" w:rsidRDefault="00AA57C7" w:rsidP="004E6D76">
            <w:pPr>
              <w:spacing w:before="100" w:beforeAutospacing="1" w:after="100" w:afterAutospacing="1"/>
              <w:jc w:val="center"/>
              <w:rPr>
                <w:rFonts w:eastAsia="Times New Roman" w:cs="Times New Roman"/>
                <w:lang w:eastAsia="fr-FR" w:bidi="ar-SA"/>
              </w:rPr>
            </w:pPr>
            <w:r w:rsidRPr="00E8319A">
              <w:rPr>
                <w:rFonts w:eastAsia="Times New Roman" w:cs="Times New Roman"/>
                <w:lang w:eastAsia="fr-FR" w:bidi="ar-SA"/>
              </w:rPr>
              <w:t>Altitude &gt; 800 m</w:t>
            </w:r>
          </w:p>
        </w:tc>
        <w:tc>
          <w:tcPr>
            <w:tcW w:w="1229" w:type="pct"/>
            <w:tcBorders>
              <w:top w:val="single" w:sz="4" w:space="0" w:color="auto"/>
              <w:left w:val="single" w:sz="4" w:space="0" w:color="auto"/>
              <w:bottom w:val="single" w:sz="4" w:space="0" w:color="auto"/>
              <w:right w:val="single" w:sz="4" w:space="0" w:color="auto"/>
            </w:tcBorders>
            <w:hideMark/>
          </w:tcPr>
          <w:p w14:paraId="7D56D90C" w14:textId="77777777" w:rsidR="00AA57C7" w:rsidRPr="00E8319A" w:rsidRDefault="00AA57C7" w:rsidP="004E6D76">
            <w:pPr>
              <w:spacing w:before="100" w:beforeAutospacing="1" w:after="100" w:afterAutospacing="1"/>
              <w:jc w:val="center"/>
              <w:rPr>
                <w:rFonts w:eastAsia="Times New Roman" w:cs="Times New Roman"/>
                <w:lang w:eastAsia="fr-FR" w:bidi="ar-SA"/>
              </w:rPr>
            </w:pPr>
            <w:r w:rsidRPr="00E8319A">
              <w:rPr>
                <w:rFonts w:eastAsia="Times New Roman" w:cs="Times New Roman"/>
                <w:lang w:eastAsia="fr-FR" w:bidi="ar-SA"/>
              </w:rPr>
              <w:t>Altitude &lt; ou = 800 m</w:t>
            </w:r>
          </w:p>
        </w:tc>
        <w:tc>
          <w:tcPr>
            <w:tcW w:w="1228" w:type="pct"/>
            <w:tcBorders>
              <w:top w:val="single" w:sz="4" w:space="0" w:color="auto"/>
              <w:left w:val="single" w:sz="4" w:space="0" w:color="auto"/>
              <w:bottom w:val="single" w:sz="4" w:space="0" w:color="auto"/>
              <w:right w:val="single" w:sz="4" w:space="0" w:color="auto"/>
            </w:tcBorders>
            <w:hideMark/>
          </w:tcPr>
          <w:p w14:paraId="07D19667" w14:textId="77777777" w:rsidR="00AA57C7" w:rsidRPr="00E8319A" w:rsidRDefault="00AA57C7" w:rsidP="004E6D76">
            <w:pPr>
              <w:rPr>
                <w:rFonts w:eastAsia="Times New Roman" w:cs="Times New Roman"/>
                <w:lang w:eastAsia="fr-FR" w:bidi="ar-SA"/>
              </w:rPr>
            </w:pPr>
          </w:p>
        </w:tc>
      </w:tr>
      <w:tr w:rsidR="00AA57C7" w:rsidRPr="00E8319A" w14:paraId="60197E2E" w14:textId="77777777" w:rsidTr="004E6D76">
        <w:tc>
          <w:tcPr>
            <w:tcW w:w="1559" w:type="pct"/>
            <w:tcBorders>
              <w:top w:val="single" w:sz="4" w:space="0" w:color="auto"/>
              <w:left w:val="single" w:sz="4" w:space="0" w:color="auto"/>
              <w:bottom w:val="single" w:sz="4" w:space="0" w:color="auto"/>
              <w:right w:val="single" w:sz="4" w:space="0" w:color="auto"/>
            </w:tcBorders>
            <w:hideMark/>
          </w:tcPr>
          <w:p w14:paraId="692DD4F7" w14:textId="77777777" w:rsidR="00AA57C7" w:rsidRPr="00E8319A" w:rsidRDefault="00AA57C7" w:rsidP="004E6D76">
            <w:pPr>
              <w:spacing w:before="100" w:beforeAutospacing="1" w:after="100" w:afterAutospacing="1"/>
              <w:jc w:val="left"/>
              <w:rPr>
                <w:rFonts w:eastAsia="Times New Roman" w:cs="Times New Roman"/>
                <w:lang w:eastAsia="fr-FR" w:bidi="ar-SA"/>
              </w:rPr>
            </w:pPr>
            <w:r w:rsidRPr="00E8319A">
              <w:rPr>
                <w:rFonts w:eastAsia="Times New Roman" w:cs="Times New Roman"/>
                <w:lang w:eastAsia="fr-FR" w:bidi="ar-SA"/>
              </w:rPr>
              <w:t>Zones H2d et H3</w:t>
            </w:r>
          </w:p>
        </w:tc>
        <w:tc>
          <w:tcPr>
            <w:tcW w:w="984" w:type="pct"/>
            <w:tcBorders>
              <w:top w:val="single" w:sz="4" w:space="0" w:color="auto"/>
              <w:left w:val="single" w:sz="4" w:space="0" w:color="auto"/>
              <w:bottom w:val="single" w:sz="4" w:space="0" w:color="auto"/>
              <w:right w:val="single" w:sz="4" w:space="0" w:color="auto"/>
            </w:tcBorders>
            <w:hideMark/>
          </w:tcPr>
          <w:p w14:paraId="1E5008FC" w14:textId="77777777" w:rsidR="00AA57C7" w:rsidRPr="00E8319A" w:rsidRDefault="00AA57C7" w:rsidP="004E6D76">
            <w:pPr>
              <w:rPr>
                <w:rFonts w:eastAsia="Times New Roman" w:cs="Times New Roman"/>
                <w:lang w:eastAsia="fr-FR" w:bidi="ar-SA"/>
              </w:rPr>
            </w:pPr>
          </w:p>
        </w:tc>
        <w:tc>
          <w:tcPr>
            <w:tcW w:w="1229" w:type="pct"/>
            <w:tcBorders>
              <w:top w:val="single" w:sz="4" w:space="0" w:color="auto"/>
              <w:left w:val="single" w:sz="4" w:space="0" w:color="auto"/>
              <w:bottom w:val="single" w:sz="4" w:space="0" w:color="auto"/>
              <w:right w:val="single" w:sz="4" w:space="0" w:color="auto"/>
            </w:tcBorders>
            <w:hideMark/>
          </w:tcPr>
          <w:p w14:paraId="7F756BAF" w14:textId="77777777" w:rsidR="00AA57C7" w:rsidRPr="00E8319A" w:rsidRDefault="00AA57C7" w:rsidP="004E6D76">
            <w:pPr>
              <w:spacing w:before="100" w:beforeAutospacing="1" w:after="100" w:afterAutospacing="1"/>
              <w:jc w:val="center"/>
              <w:rPr>
                <w:rFonts w:eastAsia="Times New Roman" w:cs="Times New Roman"/>
                <w:lang w:eastAsia="fr-FR" w:bidi="ar-SA"/>
              </w:rPr>
            </w:pPr>
            <w:r w:rsidRPr="00E8319A">
              <w:rPr>
                <w:rFonts w:eastAsia="Times New Roman" w:cs="Times New Roman"/>
                <w:lang w:eastAsia="fr-FR" w:bidi="ar-SA"/>
              </w:rPr>
              <w:t>Altitude &gt; 400 m</w:t>
            </w:r>
          </w:p>
        </w:tc>
        <w:tc>
          <w:tcPr>
            <w:tcW w:w="1228" w:type="pct"/>
            <w:tcBorders>
              <w:top w:val="single" w:sz="4" w:space="0" w:color="auto"/>
              <w:left w:val="single" w:sz="4" w:space="0" w:color="auto"/>
              <w:bottom w:val="single" w:sz="4" w:space="0" w:color="auto"/>
              <w:right w:val="single" w:sz="4" w:space="0" w:color="auto"/>
            </w:tcBorders>
            <w:hideMark/>
          </w:tcPr>
          <w:p w14:paraId="56B104FF" w14:textId="77777777" w:rsidR="00AA57C7" w:rsidRPr="00E8319A" w:rsidRDefault="00AA57C7" w:rsidP="004E6D76">
            <w:pPr>
              <w:spacing w:before="100" w:beforeAutospacing="1" w:after="100" w:afterAutospacing="1"/>
              <w:jc w:val="center"/>
              <w:rPr>
                <w:rFonts w:eastAsia="Times New Roman" w:cs="Times New Roman"/>
                <w:lang w:eastAsia="fr-FR" w:bidi="ar-SA"/>
              </w:rPr>
            </w:pPr>
            <w:r w:rsidRPr="00E8319A">
              <w:rPr>
                <w:rFonts w:eastAsia="Times New Roman" w:cs="Times New Roman"/>
                <w:lang w:eastAsia="fr-FR" w:bidi="ar-SA"/>
              </w:rPr>
              <w:t>Altitude &lt; ou = 400 m</w:t>
            </w:r>
          </w:p>
        </w:tc>
      </w:tr>
      <w:tr w:rsidR="00AA57C7" w:rsidRPr="00E8319A" w14:paraId="2A96E3D9" w14:textId="77777777" w:rsidTr="004E6D76">
        <w:tc>
          <w:tcPr>
            <w:tcW w:w="5000" w:type="pct"/>
            <w:gridSpan w:val="4"/>
            <w:tcBorders>
              <w:top w:val="single" w:sz="4" w:space="0" w:color="auto"/>
              <w:left w:val="single" w:sz="4" w:space="0" w:color="auto"/>
              <w:bottom w:val="single" w:sz="4" w:space="0" w:color="auto"/>
              <w:right w:val="single" w:sz="4" w:space="0" w:color="auto"/>
            </w:tcBorders>
            <w:hideMark/>
          </w:tcPr>
          <w:p w14:paraId="4D0A98DB" w14:textId="61D3592E" w:rsidR="00AA57C7" w:rsidRPr="00E8319A" w:rsidRDefault="00AA57C7" w:rsidP="00052BCF">
            <w:pPr>
              <w:spacing w:before="100" w:beforeAutospacing="1" w:after="100" w:afterAutospacing="1"/>
              <w:jc w:val="center"/>
              <w:rPr>
                <w:rFonts w:eastAsia="Times New Roman" w:cs="Times New Roman"/>
                <w:lang w:eastAsia="fr-FR" w:bidi="ar-SA"/>
              </w:rPr>
            </w:pPr>
            <w:r w:rsidRPr="00E8319A">
              <w:rPr>
                <w:rFonts w:eastAsia="Times New Roman" w:cs="Times New Roman"/>
                <w:lang w:eastAsia="fr-FR" w:bidi="ar-SA"/>
              </w:rPr>
              <w:t xml:space="preserve">1. Baies exposées BR1 </w:t>
            </w:r>
            <w:r>
              <w:rPr>
                <w:rFonts w:eastAsia="Times New Roman" w:cs="Times New Roman"/>
                <w:lang w:eastAsia="fr-FR" w:bidi="ar-SA"/>
              </w:rPr>
              <w:t>–</w:t>
            </w:r>
            <w:r w:rsidRPr="00AA57C7">
              <w:rPr>
                <w:rFonts w:eastAsia="Times New Roman" w:cs="Times New Roman"/>
                <w:lang w:eastAsia="fr-FR" w:bidi="ar-SA"/>
              </w:rPr>
              <w:t xml:space="preserve"> locaux </w:t>
            </w:r>
            <w:r w:rsidR="00052BCF">
              <w:rPr>
                <w:rFonts w:eastAsia="Times New Roman" w:cs="Times New Roman"/>
                <w:lang w:eastAsia="fr-FR" w:bidi="ar-SA"/>
              </w:rPr>
              <w:t>destinés au</w:t>
            </w:r>
            <w:r w:rsidR="00052BCF" w:rsidRPr="00AA57C7">
              <w:rPr>
                <w:rFonts w:eastAsia="Times New Roman" w:cs="Times New Roman"/>
                <w:lang w:eastAsia="fr-FR" w:bidi="ar-SA"/>
              </w:rPr>
              <w:t xml:space="preserve"> </w:t>
            </w:r>
            <w:r w:rsidRPr="00AA57C7">
              <w:rPr>
                <w:rFonts w:eastAsia="Times New Roman" w:cs="Times New Roman"/>
                <w:lang w:eastAsia="fr-FR" w:bidi="ar-SA"/>
              </w:rPr>
              <w:t>sommeil</w:t>
            </w:r>
            <w:r w:rsidRPr="00AA57C7" w:rsidDel="00AA57C7">
              <w:rPr>
                <w:rFonts w:eastAsia="Times New Roman" w:cs="Times New Roman"/>
                <w:lang w:eastAsia="fr-FR" w:bidi="ar-SA"/>
              </w:rPr>
              <w:t xml:space="preserve"> </w:t>
            </w:r>
          </w:p>
        </w:tc>
      </w:tr>
      <w:tr w:rsidR="00AA57C7" w:rsidRPr="00E8319A" w14:paraId="300B5DC4" w14:textId="77777777" w:rsidTr="004E6D76">
        <w:tc>
          <w:tcPr>
            <w:tcW w:w="1559" w:type="pct"/>
            <w:tcBorders>
              <w:top w:val="single" w:sz="4" w:space="0" w:color="auto"/>
              <w:left w:val="single" w:sz="4" w:space="0" w:color="auto"/>
              <w:bottom w:val="single" w:sz="4" w:space="0" w:color="auto"/>
              <w:right w:val="single" w:sz="4" w:space="0" w:color="auto"/>
            </w:tcBorders>
            <w:hideMark/>
          </w:tcPr>
          <w:p w14:paraId="79AFD0F3" w14:textId="77777777" w:rsidR="00AA57C7" w:rsidRPr="00E8319A" w:rsidRDefault="00AA57C7" w:rsidP="004E6D76">
            <w:pPr>
              <w:spacing w:before="100" w:beforeAutospacing="1" w:after="100" w:afterAutospacing="1"/>
              <w:jc w:val="left"/>
              <w:rPr>
                <w:rFonts w:eastAsia="Times New Roman" w:cs="Times New Roman"/>
                <w:lang w:eastAsia="fr-FR" w:bidi="ar-SA"/>
              </w:rPr>
            </w:pPr>
            <w:r w:rsidRPr="00E8319A">
              <w:rPr>
                <w:rFonts w:eastAsia="Times New Roman" w:cs="Times New Roman"/>
                <w:lang w:eastAsia="fr-FR" w:bidi="ar-SA"/>
              </w:rPr>
              <w:t>Baie verticale nord</w:t>
            </w:r>
          </w:p>
        </w:tc>
        <w:tc>
          <w:tcPr>
            <w:tcW w:w="984" w:type="pct"/>
            <w:tcBorders>
              <w:top w:val="single" w:sz="4" w:space="0" w:color="auto"/>
              <w:left w:val="single" w:sz="4" w:space="0" w:color="auto"/>
              <w:bottom w:val="single" w:sz="4" w:space="0" w:color="auto"/>
              <w:right w:val="single" w:sz="4" w:space="0" w:color="auto"/>
            </w:tcBorders>
            <w:hideMark/>
          </w:tcPr>
          <w:p w14:paraId="68EFE14D" w14:textId="77777777" w:rsidR="00AA57C7" w:rsidRPr="00590A9E" w:rsidRDefault="00AA57C7" w:rsidP="004E6D76">
            <w:pPr>
              <w:spacing w:before="100" w:beforeAutospacing="1" w:after="100" w:afterAutospacing="1"/>
              <w:jc w:val="center"/>
              <w:rPr>
                <w:rFonts w:eastAsia="Times New Roman" w:cs="Times New Roman"/>
                <w:color w:val="000000" w:themeColor="text1"/>
                <w:lang w:eastAsia="fr-FR" w:bidi="ar-SA"/>
              </w:rPr>
            </w:pPr>
            <w:r w:rsidRPr="00590A9E">
              <w:rPr>
                <w:rFonts w:eastAsia="Times New Roman" w:cs="Times New Roman"/>
                <w:color w:val="000000" w:themeColor="text1"/>
                <w:lang w:eastAsia="fr-FR" w:bidi="ar-SA"/>
              </w:rPr>
              <w:t>0,65</w:t>
            </w:r>
          </w:p>
        </w:tc>
        <w:tc>
          <w:tcPr>
            <w:tcW w:w="1229" w:type="pct"/>
            <w:tcBorders>
              <w:top w:val="single" w:sz="4" w:space="0" w:color="auto"/>
              <w:left w:val="single" w:sz="4" w:space="0" w:color="auto"/>
              <w:bottom w:val="single" w:sz="4" w:space="0" w:color="auto"/>
              <w:right w:val="single" w:sz="4" w:space="0" w:color="auto"/>
            </w:tcBorders>
            <w:hideMark/>
          </w:tcPr>
          <w:p w14:paraId="55A33DE2" w14:textId="77777777" w:rsidR="00AA57C7" w:rsidRPr="00590A9E" w:rsidRDefault="00AA57C7" w:rsidP="004E6D76">
            <w:pPr>
              <w:spacing w:before="100" w:beforeAutospacing="1" w:after="100" w:afterAutospacing="1"/>
              <w:jc w:val="center"/>
              <w:rPr>
                <w:rFonts w:eastAsia="Times New Roman" w:cs="Times New Roman"/>
                <w:color w:val="000000" w:themeColor="text1"/>
                <w:lang w:eastAsia="fr-FR" w:bidi="ar-SA"/>
              </w:rPr>
            </w:pPr>
            <w:r w:rsidRPr="00590A9E">
              <w:rPr>
                <w:rFonts w:eastAsia="Times New Roman" w:cs="Times New Roman"/>
                <w:color w:val="000000" w:themeColor="text1"/>
                <w:lang w:eastAsia="fr-FR" w:bidi="ar-SA"/>
              </w:rPr>
              <w:t>0,45</w:t>
            </w:r>
          </w:p>
        </w:tc>
        <w:tc>
          <w:tcPr>
            <w:tcW w:w="1228" w:type="pct"/>
            <w:tcBorders>
              <w:top w:val="single" w:sz="4" w:space="0" w:color="auto"/>
              <w:left w:val="single" w:sz="4" w:space="0" w:color="auto"/>
              <w:bottom w:val="single" w:sz="4" w:space="0" w:color="auto"/>
              <w:right w:val="single" w:sz="4" w:space="0" w:color="auto"/>
            </w:tcBorders>
            <w:hideMark/>
          </w:tcPr>
          <w:p w14:paraId="7289EB0E" w14:textId="77777777" w:rsidR="00AA57C7" w:rsidRPr="00590A9E" w:rsidRDefault="00AA57C7" w:rsidP="004E6D76">
            <w:pPr>
              <w:spacing w:before="100" w:beforeAutospacing="1" w:after="100" w:afterAutospacing="1"/>
              <w:jc w:val="center"/>
              <w:rPr>
                <w:rFonts w:eastAsia="Times New Roman" w:cs="Times New Roman"/>
                <w:color w:val="000000" w:themeColor="text1"/>
                <w:lang w:eastAsia="fr-FR" w:bidi="ar-SA"/>
              </w:rPr>
            </w:pPr>
            <w:r w:rsidRPr="00590A9E">
              <w:rPr>
                <w:rFonts w:eastAsia="Times New Roman" w:cs="Times New Roman"/>
                <w:color w:val="000000" w:themeColor="text1"/>
                <w:lang w:eastAsia="fr-FR" w:bidi="ar-SA"/>
              </w:rPr>
              <w:t>0,25</w:t>
            </w:r>
          </w:p>
        </w:tc>
      </w:tr>
      <w:tr w:rsidR="00AA57C7" w:rsidRPr="00E8319A" w14:paraId="39D4FC01" w14:textId="77777777" w:rsidTr="004E6D76">
        <w:tc>
          <w:tcPr>
            <w:tcW w:w="1559" w:type="pct"/>
            <w:tcBorders>
              <w:top w:val="single" w:sz="4" w:space="0" w:color="auto"/>
              <w:left w:val="single" w:sz="4" w:space="0" w:color="auto"/>
              <w:bottom w:val="single" w:sz="4" w:space="0" w:color="auto"/>
              <w:right w:val="single" w:sz="4" w:space="0" w:color="auto"/>
            </w:tcBorders>
            <w:hideMark/>
          </w:tcPr>
          <w:p w14:paraId="3F18EE69" w14:textId="77777777" w:rsidR="00AA57C7" w:rsidRPr="00E8319A" w:rsidRDefault="00AA57C7" w:rsidP="004E6D76">
            <w:pPr>
              <w:spacing w:before="100" w:beforeAutospacing="1" w:after="100" w:afterAutospacing="1"/>
              <w:jc w:val="left"/>
              <w:rPr>
                <w:rFonts w:eastAsia="Times New Roman" w:cs="Times New Roman"/>
                <w:lang w:eastAsia="fr-FR" w:bidi="ar-SA"/>
              </w:rPr>
            </w:pPr>
            <w:r w:rsidRPr="00E8319A">
              <w:rPr>
                <w:rFonts w:eastAsia="Times New Roman" w:cs="Times New Roman"/>
                <w:lang w:eastAsia="fr-FR" w:bidi="ar-SA"/>
              </w:rPr>
              <w:t>Baie verticale autre que nord</w:t>
            </w:r>
          </w:p>
        </w:tc>
        <w:tc>
          <w:tcPr>
            <w:tcW w:w="984" w:type="pct"/>
            <w:tcBorders>
              <w:top w:val="single" w:sz="4" w:space="0" w:color="auto"/>
              <w:left w:val="single" w:sz="4" w:space="0" w:color="auto"/>
              <w:bottom w:val="single" w:sz="4" w:space="0" w:color="auto"/>
              <w:right w:val="single" w:sz="4" w:space="0" w:color="auto"/>
            </w:tcBorders>
            <w:hideMark/>
          </w:tcPr>
          <w:p w14:paraId="3A7F138D" w14:textId="77777777" w:rsidR="00AA57C7" w:rsidRPr="00590A9E" w:rsidRDefault="00AA57C7" w:rsidP="004E6D76">
            <w:pPr>
              <w:spacing w:before="100" w:beforeAutospacing="1" w:after="100" w:afterAutospacing="1"/>
              <w:jc w:val="center"/>
              <w:rPr>
                <w:rFonts w:eastAsia="Times New Roman" w:cs="Times New Roman"/>
                <w:color w:val="000000" w:themeColor="text1"/>
                <w:lang w:eastAsia="fr-FR" w:bidi="ar-SA"/>
              </w:rPr>
            </w:pPr>
            <w:r w:rsidRPr="00590A9E">
              <w:rPr>
                <w:rFonts w:eastAsia="Times New Roman" w:cs="Times New Roman"/>
                <w:color w:val="000000" w:themeColor="text1"/>
                <w:lang w:eastAsia="fr-FR" w:bidi="ar-SA"/>
              </w:rPr>
              <w:t>0,45</w:t>
            </w:r>
          </w:p>
        </w:tc>
        <w:tc>
          <w:tcPr>
            <w:tcW w:w="1229" w:type="pct"/>
            <w:tcBorders>
              <w:top w:val="single" w:sz="4" w:space="0" w:color="auto"/>
              <w:left w:val="single" w:sz="4" w:space="0" w:color="auto"/>
              <w:bottom w:val="single" w:sz="4" w:space="0" w:color="auto"/>
              <w:right w:val="single" w:sz="4" w:space="0" w:color="auto"/>
            </w:tcBorders>
            <w:hideMark/>
          </w:tcPr>
          <w:p w14:paraId="381DE728" w14:textId="77777777" w:rsidR="00AA57C7" w:rsidRPr="00590A9E" w:rsidRDefault="00AA57C7" w:rsidP="004E6D76">
            <w:pPr>
              <w:spacing w:before="100" w:beforeAutospacing="1" w:after="100" w:afterAutospacing="1"/>
              <w:jc w:val="center"/>
              <w:rPr>
                <w:rFonts w:eastAsia="Times New Roman" w:cs="Times New Roman"/>
                <w:color w:val="000000" w:themeColor="text1"/>
                <w:lang w:eastAsia="fr-FR" w:bidi="ar-SA"/>
              </w:rPr>
            </w:pPr>
            <w:r w:rsidRPr="00590A9E">
              <w:rPr>
                <w:rFonts w:eastAsia="Times New Roman" w:cs="Times New Roman"/>
                <w:color w:val="000000" w:themeColor="text1"/>
                <w:lang w:eastAsia="fr-FR" w:bidi="ar-SA"/>
              </w:rPr>
              <w:t>0,25</w:t>
            </w:r>
          </w:p>
        </w:tc>
        <w:tc>
          <w:tcPr>
            <w:tcW w:w="1228" w:type="pct"/>
            <w:tcBorders>
              <w:top w:val="single" w:sz="4" w:space="0" w:color="auto"/>
              <w:left w:val="single" w:sz="4" w:space="0" w:color="auto"/>
              <w:bottom w:val="single" w:sz="4" w:space="0" w:color="auto"/>
              <w:right w:val="single" w:sz="4" w:space="0" w:color="auto"/>
            </w:tcBorders>
            <w:hideMark/>
          </w:tcPr>
          <w:p w14:paraId="6E39C8B0" w14:textId="77777777" w:rsidR="00AA57C7" w:rsidRPr="00590A9E" w:rsidRDefault="00AA57C7" w:rsidP="004E6D76">
            <w:pPr>
              <w:spacing w:before="100" w:beforeAutospacing="1" w:after="100" w:afterAutospacing="1"/>
              <w:jc w:val="center"/>
              <w:rPr>
                <w:rFonts w:eastAsia="Times New Roman" w:cs="Times New Roman"/>
                <w:color w:val="000000" w:themeColor="text1"/>
                <w:lang w:eastAsia="fr-FR" w:bidi="ar-SA"/>
              </w:rPr>
            </w:pPr>
            <w:r w:rsidRPr="00590A9E">
              <w:rPr>
                <w:rFonts w:eastAsia="Times New Roman" w:cs="Times New Roman"/>
                <w:color w:val="000000" w:themeColor="text1"/>
                <w:lang w:eastAsia="fr-FR" w:bidi="ar-SA"/>
              </w:rPr>
              <w:t>0,15</w:t>
            </w:r>
          </w:p>
        </w:tc>
      </w:tr>
      <w:tr w:rsidR="00AA57C7" w:rsidRPr="00E8319A" w14:paraId="3BF16EDC" w14:textId="77777777" w:rsidTr="004E6D76">
        <w:tc>
          <w:tcPr>
            <w:tcW w:w="1559" w:type="pct"/>
            <w:tcBorders>
              <w:top w:val="single" w:sz="4" w:space="0" w:color="auto"/>
              <w:left w:val="single" w:sz="4" w:space="0" w:color="auto"/>
              <w:bottom w:val="single" w:sz="4" w:space="0" w:color="auto"/>
              <w:right w:val="single" w:sz="4" w:space="0" w:color="auto"/>
            </w:tcBorders>
            <w:hideMark/>
          </w:tcPr>
          <w:p w14:paraId="3AD473C7" w14:textId="77777777" w:rsidR="00AA57C7" w:rsidRPr="00E8319A" w:rsidRDefault="00AA57C7" w:rsidP="004E6D76">
            <w:pPr>
              <w:spacing w:before="100" w:beforeAutospacing="1" w:after="100" w:afterAutospacing="1"/>
              <w:jc w:val="left"/>
              <w:rPr>
                <w:rFonts w:eastAsia="Times New Roman" w:cs="Times New Roman"/>
                <w:lang w:eastAsia="fr-FR" w:bidi="ar-SA"/>
              </w:rPr>
            </w:pPr>
            <w:r w:rsidRPr="00E8319A">
              <w:rPr>
                <w:rFonts w:eastAsia="Times New Roman" w:cs="Times New Roman"/>
                <w:lang w:eastAsia="fr-FR" w:bidi="ar-SA"/>
              </w:rPr>
              <w:t>Baie horizontale</w:t>
            </w:r>
          </w:p>
        </w:tc>
        <w:tc>
          <w:tcPr>
            <w:tcW w:w="984" w:type="pct"/>
            <w:tcBorders>
              <w:top w:val="single" w:sz="4" w:space="0" w:color="auto"/>
              <w:left w:val="single" w:sz="4" w:space="0" w:color="auto"/>
              <w:bottom w:val="single" w:sz="4" w:space="0" w:color="auto"/>
              <w:right w:val="single" w:sz="4" w:space="0" w:color="auto"/>
            </w:tcBorders>
            <w:hideMark/>
          </w:tcPr>
          <w:p w14:paraId="036A62BA" w14:textId="77777777" w:rsidR="00AA57C7" w:rsidRPr="00590A9E" w:rsidRDefault="00AA57C7" w:rsidP="004E6D76">
            <w:pPr>
              <w:spacing w:before="100" w:beforeAutospacing="1" w:after="100" w:afterAutospacing="1"/>
              <w:jc w:val="center"/>
              <w:rPr>
                <w:rFonts w:eastAsia="Times New Roman" w:cs="Times New Roman"/>
                <w:color w:val="000000" w:themeColor="text1"/>
                <w:lang w:eastAsia="fr-FR" w:bidi="ar-SA"/>
              </w:rPr>
            </w:pPr>
            <w:r w:rsidRPr="00590A9E">
              <w:rPr>
                <w:rFonts w:eastAsia="Times New Roman" w:cs="Times New Roman"/>
                <w:color w:val="000000" w:themeColor="text1"/>
                <w:lang w:eastAsia="fr-FR" w:bidi="ar-SA"/>
              </w:rPr>
              <w:t>0,25</w:t>
            </w:r>
          </w:p>
        </w:tc>
        <w:tc>
          <w:tcPr>
            <w:tcW w:w="1229" w:type="pct"/>
            <w:tcBorders>
              <w:top w:val="single" w:sz="4" w:space="0" w:color="auto"/>
              <w:left w:val="single" w:sz="4" w:space="0" w:color="auto"/>
              <w:bottom w:val="single" w:sz="4" w:space="0" w:color="auto"/>
              <w:right w:val="single" w:sz="4" w:space="0" w:color="auto"/>
            </w:tcBorders>
            <w:hideMark/>
          </w:tcPr>
          <w:p w14:paraId="235A2D59" w14:textId="77777777" w:rsidR="00AA57C7" w:rsidRPr="00590A9E" w:rsidRDefault="00AA57C7" w:rsidP="004E6D76">
            <w:pPr>
              <w:spacing w:before="100" w:beforeAutospacing="1" w:after="100" w:afterAutospacing="1"/>
              <w:jc w:val="center"/>
              <w:rPr>
                <w:rFonts w:eastAsia="Times New Roman" w:cs="Times New Roman"/>
                <w:color w:val="000000" w:themeColor="text1"/>
                <w:lang w:eastAsia="fr-FR" w:bidi="ar-SA"/>
              </w:rPr>
            </w:pPr>
            <w:r w:rsidRPr="00590A9E">
              <w:rPr>
                <w:rFonts w:eastAsia="Times New Roman" w:cs="Times New Roman"/>
                <w:color w:val="000000" w:themeColor="text1"/>
                <w:lang w:eastAsia="fr-FR" w:bidi="ar-SA"/>
              </w:rPr>
              <w:t>0,15</w:t>
            </w:r>
          </w:p>
        </w:tc>
        <w:tc>
          <w:tcPr>
            <w:tcW w:w="1228" w:type="pct"/>
            <w:tcBorders>
              <w:top w:val="single" w:sz="4" w:space="0" w:color="auto"/>
              <w:left w:val="single" w:sz="4" w:space="0" w:color="auto"/>
              <w:bottom w:val="single" w:sz="4" w:space="0" w:color="auto"/>
              <w:right w:val="single" w:sz="4" w:space="0" w:color="auto"/>
            </w:tcBorders>
            <w:hideMark/>
          </w:tcPr>
          <w:p w14:paraId="558A7683" w14:textId="77777777" w:rsidR="00AA57C7" w:rsidRPr="00590A9E" w:rsidRDefault="00AA57C7" w:rsidP="004E6D76">
            <w:pPr>
              <w:spacing w:before="100" w:beforeAutospacing="1" w:after="100" w:afterAutospacing="1"/>
              <w:jc w:val="center"/>
              <w:rPr>
                <w:rFonts w:eastAsia="Times New Roman" w:cs="Times New Roman"/>
                <w:color w:val="000000" w:themeColor="text1"/>
                <w:lang w:eastAsia="fr-FR" w:bidi="ar-SA"/>
              </w:rPr>
            </w:pPr>
            <w:r w:rsidRPr="00590A9E">
              <w:rPr>
                <w:rFonts w:eastAsia="Times New Roman" w:cs="Times New Roman"/>
                <w:color w:val="000000" w:themeColor="text1"/>
                <w:lang w:eastAsia="fr-FR" w:bidi="ar-SA"/>
              </w:rPr>
              <w:t>0,10</w:t>
            </w:r>
          </w:p>
        </w:tc>
      </w:tr>
      <w:tr w:rsidR="00AA57C7" w:rsidRPr="00E8319A" w14:paraId="271646F9" w14:textId="77777777" w:rsidTr="004E6D76">
        <w:tc>
          <w:tcPr>
            <w:tcW w:w="5000" w:type="pct"/>
            <w:gridSpan w:val="4"/>
            <w:tcBorders>
              <w:top w:val="single" w:sz="4" w:space="0" w:color="auto"/>
              <w:left w:val="single" w:sz="4" w:space="0" w:color="auto"/>
              <w:bottom w:val="single" w:sz="4" w:space="0" w:color="auto"/>
              <w:right w:val="single" w:sz="4" w:space="0" w:color="auto"/>
            </w:tcBorders>
            <w:hideMark/>
          </w:tcPr>
          <w:p w14:paraId="3836BDA5" w14:textId="04111760" w:rsidR="00AA57C7" w:rsidRPr="00590A9E" w:rsidRDefault="00AA57C7" w:rsidP="00052BCF">
            <w:pPr>
              <w:spacing w:before="100" w:beforeAutospacing="1" w:after="100" w:afterAutospacing="1"/>
              <w:jc w:val="center"/>
              <w:rPr>
                <w:rFonts w:eastAsia="Times New Roman" w:cs="Times New Roman"/>
                <w:color w:val="000000" w:themeColor="text1"/>
                <w:lang w:eastAsia="fr-FR" w:bidi="ar-SA"/>
              </w:rPr>
            </w:pPr>
            <w:r w:rsidRPr="00590A9E">
              <w:rPr>
                <w:rFonts w:eastAsia="Times New Roman" w:cs="Times New Roman"/>
                <w:color w:val="000000" w:themeColor="text1"/>
                <w:lang w:eastAsia="fr-FR" w:bidi="ar-SA"/>
              </w:rPr>
              <w:t xml:space="preserve">2. Baies exposées BR2 ou BR3 </w:t>
            </w:r>
            <w:r>
              <w:rPr>
                <w:rFonts w:eastAsia="Times New Roman" w:cs="Times New Roman"/>
                <w:color w:val="000000" w:themeColor="text1"/>
                <w:lang w:eastAsia="fr-FR" w:bidi="ar-SA"/>
              </w:rPr>
              <w:t xml:space="preserve">– </w:t>
            </w:r>
            <w:r w:rsidRPr="00AA57C7">
              <w:rPr>
                <w:rFonts w:eastAsia="Times New Roman" w:cs="Times New Roman"/>
                <w:lang w:eastAsia="fr-FR" w:bidi="ar-SA"/>
              </w:rPr>
              <w:t xml:space="preserve">locaux </w:t>
            </w:r>
            <w:r w:rsidR="00052BCF">
              <w:rPr>
                <w:rFonts w:eastAsia="Times New Roman" w:cs="Times New Roman"/>
                <w:lang w:eastAsia="fr-FR" w:bidi="ar-SA"/>
              </w:rPr>
              <w:t>destinés au</w:t>
            </w:r>
            <w:r w:rsidR="00052BCF" w:rsidRPr="00AA57C7">
              <w:rPr>
                <w:rFonts w:eastAsia="Times New Roman" w:cs="Times New Roman"/>
                <w:lang w:eastAsia="fr-FR" w:bidi="ar-SA"/>
              </w:rPr>
              <w:t xml:space="preserve"> </w:t>
            </w:r>
            <w:r w:rsidRPr="00AA57C7">
              <w:rPr>
                <w:rFonts w:eastAsia="Times New Roman" w:cs="Times New Roman"/>
                <w:lang w:eastAsia="fr-FR" w:bidi="ar-SA"/>
              </w:rPr>
              <w:t>sommeil</w:t>
            </w:r>
          </w:p>
        </w:tc>
      </w:tr>
      <w:tr w:rsidR="00AA57C7" w:rsidRPr="00E8319A" w14:paraId="6FD8A56F" w14:textId="77777777" w:rsidTr="004E6D76">
        <w:tc>
          <w:tcPr>
            <w:tcW w:w="1559" w:type="pct"/>
            <w:tcBorders>
              <w:top w:val="single" w:sz="4" w:space="0" w:color="auto"/>
              <w:left w:val="single" w:sz="4" w:space="0" w:color="auto"/>
              <w:bottom w:val="single" w:sz="4" w:space="0" w:color="auto"/>
              <w:right w:val="single" w:sz="4" w:space="0" w:color="auto"/>
            </w:tcBorders>
            <w:hideMark/>
          </w:tcPr>
          <w:p w14:paraId="1CAD84BE" w14:textId="77777777" w:rsidR="00AA57C7" w:rsidRPr="00E8319A" w:rsidRDefault="00AA57C7" w:rsidP="004E6D76">
            <w:pPr>
              <w:spacing w:before="100" w:beforeAutospacing="1" w:after="100" w:afterAutospacing="1"/>
              <w:jc w:val="left"/>
              <w:rPr>
                <w:rFonts w:eastAsia="Times New Roman" w:cs="Times New Roman"/>
                <w:lang w:eastAsia="fr-FR" w:bidi="ar-SA"/>
              </w:rPr>
            </w:pPr>
            <w:r w:rsidRPr="00E8319A">
              <w:rPr>
                <w:rFonts w:eastAsia="Times New Roman" w:cs="Times New Roman"/>
                <w:lang w:eastAsia="fr-FR" w:bidi="ar-SA"/>
              </w:rPr>
              <w:t>Baie verticale nord</w:t>
            </w:r>
          </w:p>
        </w:tc>
        <w:tc>
          <w:tcPr>
            <w:tcW w:w="984" w:type="pct"/>
            <w:tcBorders>
              <w:top w:val="single" w:sz="4" w:space="0" w:color="auto"/>
              <w:left w:val="single" w:sz="4" w:space="0" w:color="auto"/>
              <w:bottom w:val="single" w:sz="4" w:space="0" w:color="auto"/>
              <w:right w:val="single" w:sz="4" w:space="0" w:color="auto"/>
            </w:tcBorders>
            <w:hideMark/>
          </w:tcPr>
          <w:p w14:paraId="47CA2F09" w14:textId="77777777" w:rsidR="00AA57C7" w:rsidRPr="00590A9E" w:rsidRDefault="00AA57C7" w:rsidP="004E6D76">
            <w:pPr>
              <w:spacing w:before="100" w:beforeAutospacing="1" w:after="100" w:afterAutospacing="1"/>
              <w:jc w:val="center"/>
              <w:rPr>
                <w:rFonts w:eastAsia="Times New Roman" w:cs="Times New Roman"/>
                <w:color w:val="000000" w:themeColor="text1"/>
                <w:lang w:eastAsia="fr-FR" w:bidi="ar-SA"/>
              </w:rPr>
            </w:pPr>
            <w:r w:rsidRPr="00590A9E">
              <w:rPr>
                <w:rFonts w:eastAsia="Times New Roman" w:cs="Times New Roman"/>
                <w:color w:val="000000" w:themeColor="text1"/>
                <w:lang w:eastAsia="fr-FR" w:bidi="ar-SA"/>
              </w:rPr>
              <w:t>0,45</w:t>
            </w:r>
          </w:p>
        </w:tc>
        <w:tc>
          <w:tcPr>
            <w:tcW w:w="1229" w:type="pct"/>
            <w:tcBorders>
              <w:top w:val="single" w:sz="4" w:space="0" w:color="auto"/>
              <w:left w:val="single" w:sz="4" w:space="0" w:color="auto"/>
              <w:bottom w:val="single" w:sz="4" w:space="0" w:color="auto"/>
              <w:right w:val="single" w:sz="4" w:space="0" w:color="auto"/>
            </w:tcBorders>
            <w:hideMark/>
          </w:tcPr>
          <w:p w14:paraId="327B4715" w14:textId="77777777" w:rsidR="00AA57C7" w:rsidRPr="00590A9E" w:rsidRDefault="00AA57C7" w:rsidP="004E6D76">
            <w:pPr>
              <w:spacing w:before="100" w:beforeAutospacing="1" w:after="100" w:afterAutospacing="1"/>
              <w:jc w:val="center"/>
              <w:rPr>
                <w:rFonts w:eastAsia="Times New Roman" w:cs="Times New Roman"/>
                <w:color w:val="000000" w:themeColor="text1"/>
                <w:lang w:eastAsia="fr-FR" w:bidi="ar-SA"/>
              </w:rPr>
            </w:pPr>
            <w:r w:rsidRPr="00590A9E">
              <w:rPr>
                <w:rFonts w:eastAsia="Times New Roman" w:cs="Times New Roman"/>
                <w:color w:val="000000" w:themeColor="text1"/>
                <w:lang w:eastAsia="fr-FR" w:bidi="ar-SA"/>
              </w:rPr>
              <w:t>0,25</w:t>
            </w:r>
          </w:p>
        </w:tc>
        <w:tc>
          <w:tcPr>
            <w:tcW w:w="1228" w:type="pct"/>
            <w:tcBorders>
              <w:top w:val="single" w:sz="4" w:space="0" w:color="auto"/>
              <w:left w:val="single" w:sz="4" w:space="0" w:color="auto"/>
              <w:bottom w:val="single" w:sz="4" w:space="0" w:color="auto"/>
              <w:right w:val="single" w:sz="4" w:space="0" w:color="auto"/>
            </w:tcBorders>
            <w:hideMark/>
          </w:tcPr>
          <w:p w14:paraId="3E62D02A" w14:textId="77777777" w:rsidR="00AA57C7" w:rsidRPr="00590A9E" w:rsidRDefault="00AA57C7" w:rsidP="004E6D76">
            <w:pPr>
              <w:spacing w:before="100" w:beforeAutospacing="1" w:after="100" w:afterAutospacing="1"/>
              <w:jc w:val="center"/>
              <w:rPr>
                <w:rFonts w:eastAsia="Times New Roman" w:cs="Times New Roman"/>
                <w:color w:val="000000" w:themeColor="text1"/>
                <w:lang w:eastAsia="fr-FR" w:bidi="ar-SA"/>
              </w:rPr>
            </w:pPr>
            <w:r w:rsidRPr="00590A9E">
              <w:rPr>
                <w:rFonts w:eastAsia="Times New Roman" w:cs="Times New Roman"/>
                <w:color w:val="000000" w:themeColor="text1"/>
                <w:lang w:eastAsia="fr-FR" w:bidi="ar-SA"/>
              </w:rPr>
              <w:t>0,25</w:t>
            </w:r>
          </w:p>
        </w:tc>
      </w:tr>
      <w:tr w:rsidR="00AA57C7" w:rsidRPr="00E8319A" w14:paraId="65C7A9E7" w14:textId="77777777" w:rsidTr="004E6D76">
        <w:tc>
          <w:tcPr>
            <w:tcW w:w="1559" w:type="pct"/>
            <w:tcBorders>
              <w:top w:val="single" w:sz="4" w:space="0" w:color="auto"/>
              <w:left w:val="single" w:sz="4" w:space="0" w:color="auto"/>
              <w:bottom w:val="single" w:sz="4" w:space="0" w:color="auto"/>
              <w:right w:val="single" w:sz="4" w:space="0" w:color="auto"/>
            </w:tcBorders>
            <w:hideMark/>
          </w:tcPr>
          <w:p w14:paraId="654F8CC8" w14:textId="77777777" w:rsidR="00AA57C7" w:rsidRPr="00E8319A" w:rsidRDefault="00AA57C7" w:rsidP="004E6D76">
            <w:pPr>
              <w:spacing w:before="100" w:beforeAutospacing="1" w:after="100" w:afterAutospacing="1"/>
              <w:jc w:val="left"/>
              <w:rPr>
                <w:rFonts w:eastAsia="Times New Roman" w:cs="Times New Roman"/>
                <w:lang w:eastAsia="fr-FR" w:bidi="ar-SA"/>
              </w:rPr>
            </w:pPr>
            <w:r w:rsidRPr="00E8319A">
              <w:rPr>
                <w:rFonts w:eastAsia="Times New Roman" w:cs="Times New Roman"/>
                <w:lang w:eastAsia="fr-FR" w:bidi="ar-SA"/>
              </w:rPr>
              <w:t>Baie verticale autre que nord</w:t>
            </w:r>
          </w:p>
        </w:tc>
        <w:tc>
          <w:tcPr>
            <w:tcW w:w="984" w:type="pct"/>
            <w:tcBorders>
              <w:top w:val="single" w:sz="4" w:space="0" w:color="auto"/>
              <w:left w:val="single" w:sz="4" w:space="0" w:color="auto"/>
              <w:bottom w:val="single" w:sz="4" w:space="0" w:color="auto"/>
              <w:right w:val="single" w:sz="4" w:space="0" w:color="auto"/>
            </w:tcBorders>
            <w:hideMark/>
          </w:tcPr>
          <w:p w14:paraId="37D8BF6E" w14:textId="77777777" w:rsidR="00AA57C7" w:rsidRPr="00590A9E" w:rsidRDefault="00AA57C7" w:rsidP="004E6D76">
            <w:pPr>
              <w:spacing w:before="100" w:beforeAutospacing="1" w:after="100" w:afterAutospacing="1"/>
              <w:jc w:val="center"/>
              <w:rPr>
                <w:rFonts w:eastAsia="Times New Roman" w:cs="Times New Roman"/>
                <w:color w:val="000000" w:themeColor="text1"/>
                <w:lang w:eastAsia="fr-FR" w:bidi="ar-SA"/>
              </w:rPr>
            </w:pPr>
            <w:r w:rsidRPr="00590A9E">
              <w:rPr>
                <w:rFonts w:eastAsia="Times New Roman" w:cs="Times New Roman"/>
                <w:color w:val="000000" w:themeColor="text1"/>
                <w:lang w:eastAsia="fr-FR" w:bidi="ar-SA"/>
              </w:rPr>
              <w:t>0,25</w:t>
            </w:r>
          </w:p>
        </w:tc>
        <w:tc>
          <w:tcPr>
            <w:tcW w:w="1229" w:type="pct"/>
            <w:tcBorders>
              <w:top w:val="single" w:sz="4" w:space="0" w:color="auto"/>
              <w:left w:val="single" w:sz="4" w:space="0" w:color="auto"/>
              <w:bottom w:val="single" w:sz="4" w:space="0" w:color="auto"/>
              <w:right w:val="single" w:sz="4" w:space="0" w:color="auto"/>
            </w:tcBorders>
            <w:hideMark/>
          </w:tcPr>
          <w:p w14:paraId="1134B296" w14:textId="77777777" w:rsidR="00AA57C7" w:rsidRPr="00590A9E" w:rsidRDefault="00AA57C7" w:rsidP="004E6D76">
            <w:pPr>
              <w:spacing w:before="100" w:beforeAutospacing="1" w:after="100" w:afterAutospacing="1"/>
              <w:jc w:val="center"/>
              <w:rPr>
                <w:rFonts w:eastAsia="Times New Roman" w:cs="Times New Roman"/>
                <w:color w:val="000000" w:themeColor="text1"/>
                <w:lang w:eastAsia="fr-FR" w:bidi="ar-SA"/>
              </w:rPr>
            </w:pPr>
            <w:r w:rsidRPr="00590A9E">
              <w:rPr>
                <w:rFonts w:eastAsia="Times New Roman" w:cs="Times New Roman"/>
                <w:color w:val="000000" w:themeColor="text1"/>
                <w:lang w:eastAsia="fr-FR" w:bidi="ar-SA"/>
              </w:rPr>
              <w:t>0,15</w:t>
            </w:r>
          </w:p>
        </w:tc>
        <w:tc>
          <w:tcPr>
            <w:tcW w:w="1228" w:type="pct"/>
            <w:tcBorders>
              <w:top w:val="single" w:sz="4" w:space="0" w:color="auto"/>
              <w:left w:val="single" w:sz="4" w:space="0" w:color="auto"/>
              <w:bottom w:val="single" w:sz="4" w:space="0" w:color="auto"/>
              <w:right w:val="single" w:sz="4" w:space="0" w:color="auto"/>
            </w:tcBorders>
            <w:hideMark/>
          </w:tcPr>
          <w:p w14:paraId="2DB3CCE1" w14:textId="77777777" w:rsidR="00AA57C7" w:rsidRPr="00590A9E" w:rsidRDefault="00AA57C7" w:rsidP="004E6D76">
            <w:pPr>
              <w:spacing w:before="100" w:beforeAutospacing="1" w:after="100" w:afterAutospacing="1"/>
              <w:jc w:val="center"/>
              <w:rPr>
                <w:rFonts w:eastAsia="Times New Roman" w:cs="Times New Roman"/>
                <w:color w:val="000000" w:themeColor="text1"/>
                <w:lang w:eastAsia="fr-FR" w:bidi="ar-SA"/>
              </w:rPr>
            </w:pPr>
            <w:r w:rsidRPr="00590A9E">
              <w:rPr>
                <w:rFonts w:eastAsia="Times New Roman" w:cs="Times New Roman"/>
                <w:color w:val="000000" w:themeColor="text1"/>
                <w:lang w:eastAsia="fr-FR" w:bidi="ar-SA"/>
              </w:rPr>
              <w:t>0,15</w:t>
            </w:r>
          </w:p>
        </w:tc>
      </w:tr>
      <w:tr w:rsidR="00AA57C7" w:rsidRPr="00E8319A" w14:paraId="6DB86879" w14:textId="77777777" w:rsidTr="004E6D76">
        <w:tc>
          <w:tcPr>
            <w:tcW w:w="1559" w:type="pct"/>
            <w:tcBorders>
              <w:top w:val="single" w:sz="4" w:space="0" w:color="auto"/>
              <w:left w:val="single" w:sz="4" w:space="0" w:color="auto"/>
              <w:bottom w:val="single" w:sz="4" w:space="0" w:color="auto"/>
              <w:right w:val="single" w:sz="4" w:space="0" w:color="auto"/>
            </w:tcBorders>
            <w:hideMark/>
          </w:tcPr>
          <w:p w14:paraId="37CDFEC6" w14:textId="77777777" w:rsidR="00AA57C7" w:rsidRPr="00E8319A" w:rsidRDefault="00AA57C7" w:rsidP="004E6D76">
            <w:pPr>
              <w:spacing w:before="100" w:beforeAutospacing="1" w:after="100" w:afterAutospacing="1"/>
              <w:jc w:val="left"/>
              <w:rPr>
                <w:rFonts w:eastAsia="Times New Roman" w:cs="Times New Roman"/>
                <w:lang w:eastAsia="fr-FR" w:bidi="ar-SA"/>
              </w:rPr>
            </w:pPr>
            <w:r w:rsidRPr="00E8319A">
              <w:rPr>
                <w:rFonts w:eastAsia="Times New Roman" w:cs="Times New Roman"/>
                <w:lang w:eastAsia="fr-FR" w:bidi="ar-SA"/>
              </w:rPr>
              <w:t>Baie horizontale</w:t>
            </w:r>
          </w:p>
        </w:tc>
        <w:tc>
          <w:tcPr>
            <w:tcW w:w="984" w:type="pct"/>
            <w:tcBorders>
              <w:top w:val="single" w:sz="4" w:space="0" w:color="auto"/>
              <w:left w:val="single" w:sz="4" w:space="0" w:color="auto"/>
              <w:bottom w:val="single" w:sz="4" w:space="0" w:color="auto"/>
              <w:right w:val="single" w:sz="4" w:space="0" w:color="auto"/>
            </w:tcBorders>
            <w:hideMark/>
          </w:tcPr>
          <w:p w14:paraId="74B3D56E" w14:textId="77777777" w:rsidR="00AA57C7" w:rsidRPr="00590A9E" w:rsidRDefault="00AA57C7" w:rsidP="004E6D76">
            <w:pPr>
              <w:spacing w:before="100" w:beforeAutospacing="1" w:after="100" w:afterAutospacing="1"/>
              <w:jc w:val="center"/>
              <w:rPr>
                <w:rFonts w:eastAsia="Times New Roman" w:cs="Times New Roman"/>
                <w:color w:val="000000" w:themeColor="text1"/>
                <w:lang w:eastAsia="fr-FR" w:bidi="ar-SA"/>
              </w:rPr>
            </w:pPr>
            <w:r w:rsidRPr="00590A9E">
              <w:rPr>
                <w:rFonts w:eastAsia="Times New Roman" w:cs="Times New Roman"/>
                <w:color w:val="000000" w:themeColor="text1"/>
                <w:lang w:eastAsia="fr-FR" w:bidi="ar-SA"/>
              </w:rPr>
              <w:t>0,15</w:t>
            </w:r>
          </w:p>
        </w:tc>
        <w:tc>
          <w:tcPr>
            <w:tcW w:w="1229" w:type="pct"/>
            <w:tcBorders>
              <w:top w:val="single" w:sz="4" w:space="0" w:color="auto"/>
              <w:left w:val="single" w:sz="4" w:space="0" w:color="auto"/>
              <w:bottom w:val="single" w:sz="4" w:space="0" w:color="auto"/>
              <w:right w:val="single" w:sz="4" w:space="0" w:color="auto"/>
            </w:tcBorders>
            <w:hideMark/>
          </w:tcPr>
          <w:p w14:paraId="320FE58E" w14:textId="77777777" w:rsidR="00AA57C7" w:rsidRPr="00590A9E" w:rsidRDefault="00AA57C7" w:rsidP="004E6D76">
            <w:pPr>
              <w:spacing w:before="100" w:beforeAutospacing="1" w:after="100" w:afterAutospacing="1"/>
              <w:jc w:val="center"/>
              <w:rPr>
                <w:rFonts w:eastAsia="Times New Roman" w:cs="Times New Roman"/>
                <w:color w:val="000000" w:themeColor="text1"/>
                <w:lang w:eastAsia="fr-FR" w:bidi="ar-SA"/>
              </w:rPr>
            </w:pPr>
            <w:r w:rsidRPr="00590A9E">
              <w:rPr>
                <w:rFonts w:eastAsia="Times New Roman" w:cs="Times New Roman"/>
                <w:color w:val="000000" w:themeColor="text1"/>
                <w:lang w:eastAsia="fr-FR" w:bidi="ar-SA"/>
              </w:rPr>
              <w:t>0,10</w:t>
            </w:r>
          </w:p>
        </w:tc>
        <w:tc>
          <w:tcPr>
            <w:tcW w:w="1228" w:type="pct"/>
            <w:tcBorders>
              <w:top w:val="single" w:sz="4" w:space="0" w:color="auto"/>
              <w:left w:val="single" w:sz="4" w:space="0" w:color="auto"/>
              <w:bottom w:val="single" w:sz="4" w:space="0" w:color="auto"/>
              <w:right w:val="single" w:sz="4" w:space="0" w:color="auto"/>
            </w:tcBorders>
            <w:hideMark/>
          </w:tcPr>
          <w:p w14:paraId="26E65786" w14:textId="77777777" w:rsidR="00AA57C7" w:rsidRPr="00590A9E" w:rsidRDefault="00AA57C7" w:rsidP="004E6D76">
            <w:pPr>
              <w:spacing w:before="100" w:beforeAutospacing="1" w:after="100" w:afterAutospacing="1"/>
              <w:jc w:val="center"/>
              <w:rPr>
                <w:rFonts w:eastAsia="Times New Roman" w:cs="Times New Roman"/>
                <w:color w:val="000000" w:themeColor="text1"/>
                <w:lang w:eastAsia="fr-FR" w:bidi="ar-SA"/>
              </w:rPr>
            </w:pPr>
            <w:r w:rsidRPr="00590A9E">
              <w:rPr>
                <w:rFonts w:eastAsia="Times New Roman" w:cs="Times New Roman"/>
                <w:color w:val="000000" w:themeColor="text1"/>
                <w:lang w:eastAsia="fr-FR" w:bidi="ar-SA"/>
              </w:rPr>
              <w:t>0,10</w:t>
            </w:r>
          </w:p>
        </w:tc>
      </w:tr>
      <w:tr w:rsidR="00AA57C7" w:rsidRPr="00E8319A" w14:paraId="752E4D97" w14:textId="77777777" w:rsidTr="004E6D76">
        <w:tc>
          <w:tcPr>
            <w:tcW w:w="5000" w:type="pct"/>
            <w:gridSpan w:val="4"/>
            <w:tcBorders>
              <w:top w:val="single" w:sz="4" w:space="0" w:color="auto"/>
              <w:left w:val="single" w:sz="4" w:space="0" w:color="auto"/>
              <w:bottom w:val="single" w:sz="4" w:space="0" w:color="auto"/>
              <w:right w:val="single" w:sz="4" w:space="0" w:color="auto"/>
            </w:tcBorders>
            <w:hideMark/>
          </w:tcPr>
          <w:p w14:paraId="568CDE05" w14:textId="1EBA734D" w:rsidR="00AA57C7" w:rsidRPr="00AA57C7" w:rsidRDefault="00AA57C7" w:rsidP="00AA57C7">
            <w:pPr>
              <w:spacing w:before="100" w:beforeAutospacing="1" w:after="100" w:afterAutospacing="1"/>
              <w:jc w:val="center"/>
              <w:rPr>
                <w:rFonts w:eastAsia="Times New Roman" w:cs="Times New Roman"/>
                <w:color w:val="000000" w:themeColor="text1"/>
                <w:lang w:eastAsia="fr-FR" w:bidi="ar-SA"/>
              </w:rPr>
            </w:pPr>
            <w:r w:rsidRPr="00AA57C7">
              <w:rPr>
                <w:rFonts w:eastAsia="Times New Roman" w:cs="Times New Roman"/>
                <w:lang w:eastAsia="fr-FR" w:bidi="ar-SA"/>
              </w:rPr>
              <w:t xml:space="preserve">3. </w:t>
            </w:r>
            <w:r w:rsidRPr="00AA57C7">
              <w:rPr>
                <w:rFonts w:eastAsia="Times New Roman" w:cs="Times New Roman"/>
                <w:color w:val="000000" w:themeColor="text1"/>
                <w:lang w:eastAsia="fr-FR" w:bidi="ar-SA"/>
              </w:rPr>
              <w:t xml:space="preserve">Baies exposées BR1 </w:t>
            </w:r>
            <w:r w:rsidRPr="00AA57C7">
              <w:rPr>
                <w:rFonts w:eastAsia="Times New Roman" w:cs="Times New Roman"/>
                <w:lang w:eastAsia="fr-FR" w:bidi="ar-SA"/>
              </w:rPr>
              <w:t xml:space="preserve">– </w:t>
            </w:r>
            <w:r w:rsidRPr="00AA57C7">
              <w:rPr>
                <w:rFonts w:eastAsia="Times New Roman" w:cs="Times New Roman"/>
                <w:color w:val="000000" w:themeColor="text1"/>
                <w:lang w:eastAsia="fr-FR" w:bidi="ar-SA"/>
              </w:rPr>
              <w:t xml:space="preserve">hors locaux </w:t>
            </w:r>
            <w:r w:rsidR="00052BCF">
              <w:rPr>
                <w:rFonts w:eastAsia="Times New Roman" w:cs="Times New Roman"/>
                <w:lang w:eastAsia="fr-FR" w:bidi="ar-SA"/>
              </w:rPr>
              <w:t>destinés au</w:t>
            </w:r>
            <w:r w:rsidR="00052BCF" w:rsidRPr="00AA57C7">
              <w:rPr>
                <w:rFonts w:eastAsia="Times New Roman" w:cs="Times New Roman"/>
                <w:lang w:eastAsia="fr-FR" w:bidi="ar-SA"/>
              </w:rPr>
              <w:t xml:space="preserve"> </w:t>
            </w:r>
            <w:r w:rsidRPr="00AA57C7">
              <w:rPr>
                <w:rFonts w:eastAsia="Times New Roman" w:cs="Times New Roman"/>
                <w:color w:val="000000" w:themeColor="text1"/>
                <w:lang w:eastAsia="fr-FR" w:bidi="ar-SA"/>
              </w:rPr>
              <w:t>sommeil</w:t>
            </w:r>
            <w:r w:rsidRPr="00AA57C7" w:rsidDel="00AA57C7">
              <w:rPr>
                <w:rFonts w:eastAsia="Times New Roman" w:cs="Times New Roman"/>
                <w:lang w:eastAsia="fr-FR" w:bidi="ar-SA"/>
              </w:rPr>
              <w:t xml:space="preserve"> </w:t>
            </w:r>
          </w:p>
        </w:tc>
      </w:tr>
      <w:tr w:rsidR="00AA57C7" w:rsidRPr="00E8319A" w14:paraId="5668E035" w14:textId="77777777" w:rsidTr="00AA57C7">
        <w:tc>
          <w:tcPr>
            <w:tcW w:w="1559" w:type="pct"/>
            <w:tcBorders>
              <w:top w:val="single" w:sz="4" w:space="0" w:color="auto"/>
              <w:left w:val="single" w:sz="4" w:space="0" w:color="auto"/>
              <w:bottom w:val="single" w:sz="4" w:space="0" w:color="auto"/>
              <w:right w:val="single" w:sz="4" w:space="0" w:color="auto"/>
            </w:tcBorders>
            <w:hideMark/>
          </w:tcPr>
          <w:p w14:paraId="0C6389A7" w14:textId="031127BC" w:rsidR="00AA57C7" w:rsidRPr="00AA57C7" w:rsidRDefault="00AA57C7" w:rsidP="00AA57C7">
            <w:pPr>
              <w:spacing w:before="100" w:beforeAutospacing="1" w:after="100" w:afterAutospacing="1"/>
              <w:jc w:val="left"/>
              <w:rPr>
                <w:rFonts w:eastAsia="Times New Roman" w:cs="Times New Roman"/>
                <w:lang w:eastAsia="fr-FR" w:bidi="ar-SA"/>
              </w:rPr>
            </w:pPr>
            <w:r w:rsidRPr="00AA57C7">
              <w:rPr>
                <w:rFonts w:eastAsia="Times New Roman" w:cs="Times New Roman"/>
                <w:lang w:eastAsia="fr-FR" w:bidi="ar-SA"/>
              </w:rPr>
              <w:t>Baie verticale autre que nord</w:t>
            </w:r>
          </w:p>
        </w:tc>
        <w:tc>
          <w:tcPr>
            <w:tcW w:w="984" w:type="pct"/>
            <w:tcBorders>
              <w:top w:val="single" w:sz="4" w:space="0" w:color="auto"/>
              <w:left w:val="single" w:sz="4" w:space="0" w:color="auto"/>
              <w:bottom w:val="single" w:sz="4" w:space="0" w:color="auto"/>
              <w:right w:val="single" w:sz="4" w:space="0" w:color="auto"/>
            </w:tcBorders>
          </w:tcPr>
          <w:p w14:paraId="61A47F71" w14:textId="4A80F765" w:rsidR="00AA57C7" w:rsidRPr="00AA57C7" w:rsidRDefault="00AA57C7" w:rsidP="00AA57C7">
            <w:pPr>
              <w:spacing w:before="100" w:beforeAutospacing="1" w:after="100" w:afterAutospacing="1"/>
              <w:jc w:val="center"/>
              <w:rPr>
                <w:rFonts w:eastAsia="Times New Roman" w:cs="Times New Roman"/>
                <w:color w:val="000000" w:themeColor="text1"/>
                <w:lang w:eastAsia="fr-FR" w:bidi="ar-SA"/>
              </w:rPr>
            </w:pPr>
            <w:r w:rsidRPr="00AA57C7">
              <w:rPr>
                <w:rFonts w:eastAsia="Times New Roman" w:cs="Times New Roman"/>
                <w:color w:val="000000" w:themeColor="text1"/>
                <w:lang w:eastAsia="fr-FR" w:bidi="ar-SA"/>
              </w:rPr>
              <w:t>0,65</w:t>
            </w:r>
          </w:p>
        </w:tc>
        <w:tc>
          <w:tcPr>
            <w:tcW w:w="1229" w:type="pct"/>
            <w:tcBorders>
              <w:top w:val="single" w:sz="4" w:space="0" w:color="auto"/>
              <w:left w:val="single" w:sz="4" w:space="0" w:color="auto"/>
              <w:bottom w:val="single" w:sz="4" w:space="0" w:color="auto"/>
              <w:right w:val="single" w:sz="4" w:space="0" w:color="auto"/>
            </w:tcBorders>
          </w:tcPr>
          <w:p w14:paraId="7EB9FF98" w14:textId="509FC7B7" w:rsidR="00AA57C7" w:rsidRPr="00AA57C7" w:rsidRDefault="00AA57C7" w:rsidP="00AA57C7">
            <w:pPr>
              <w:spacing w:before="100" w:beforeAutospacing="1" w:after="100" w:afterAutospacing="1"/>
              <w:jc w:val="center"/>
              <w:rPr>
                <w:rFonts w:eastAsia="Times New Roman" w:cs="Times New Roman"/>
                <w:color w:val="000000" w:themeColor="text1"/>
                <w:lang w:eastAsia="fr-FR" w:bidi="ar-SA"/>
              </w:rPr>
            </w:pPr>
            <w:r w:rsidRPr="00AA57C7">
              <w:rPr>
                <w:rFonts w:eastAsia="Times New Roman" w:cs="Times New Roman"/>
                <w:color w:val="000000" w:themeColor="text1"/>
                <w:lang w:eastAsia="fr-FR" w:bidi="ar-SA"/>
              </w:rPr>
              <w:t>0,45</w:t>
            </w:r>
          </w:p>
        </w:tc>
        <w:tc>
          <w:tcPr>
            <w:tcW w:w="1228" w:type="pct"/>
            <w:tcBorders>
              <w:top w:val="single" w:sz="4" w:space="0" w:color="auto"/>
              <w:left w:val="single" w:sz="4" w:space="0" w:color="auto"/>
              <w:bottom w:val="single" w:sz="4" w:space="0" w:color="auto"/>
              <w:right w:val="single" w:sz="4" w:space="0" w:color="auto"/>
            </w:tcBorders>
          </w:tcPr>
          <w:p w14:paraId="408F597D" w14:textId="1CBD9225" w:rsidR="00AA57C7" w:rsidRPr="00AA57C7" w:rsidRDefault="00AA57C7" w:rsidP="00AA57C7">
            <w:pPr>
              <w:spacing w:before="100" w:beforeAutospacing="1" w:after="100" w:afterAutospacing="1"/>
              <w:jc w:val="center"/>
              <w:rPr>
                <w:rFonts w:eastAsia="Times New Roman" w:cs="Times New Roman"/>
                <w:color w:val="000000" w:themeColor="text1"/>
                <w:lang w:eastAsia="fr-FR" w:bidi="ar-SA"/>
              </w:rPr>
            </w:pPr>
            <w:r w:rsidRPr="00AA57C7">
              <w:rPr>
                <w:rFonts w:eastAsia="Times New Roman" w:cs="Times New Roman"/>
                <w:color w:val="000000" w:themeColor="text1"/>
                <w:lang w:eastAsia="fr-FR" w:bidi="ar-SA"/>
              </w:rPr>
              <w:t>0,25</w:t>
            </w:r>
          </w:p>
        </w:tc>
      </w:tr>
      <w:tr w:rsidR="00AA57C7" w14:paraId="7A828C88" w14:textId="77777777" w:rsidTr="00AA57C7">
        <w:tc>
          <w:tcPr>
            <w:tcW w:w="1559" w:type="pct"/>
            <w:tcBorders>
              <w:top w:val="single" w:sz="4" w:space="0" w:color="auto"/>
              <w:left w:val="single" w:sz="4" w:space="0" w:color="auto"/>
              <w:bottom w:val="single" w:sz="4" w:space="0" w:color="auto"/>
              <w:right w:val="single" w:sz="4" w:space="0" w:color="auto"/>
            </w:tcBorders>
            <w:hideMark/>
          </w:tcPr>
          <w:p w14:paraId="106E3C41" w14:textId="77777777" w:rsidR="00AA57C7" w:rsidRPr="00AA57C7" w:rsidRDefault="00AA57C7" w:rsidP="00AA57C7">
            <w:pPr>
              <w:spacing w:before="100" w:beforeAutospacing="1" w:after="100" w:afterAutospacing="1"/>
              <w:jc w:val="left"/>
              <w:rPr>
                <w:rFonts w:eastAsia="Times New Roman" w:cs="Times New Roman"/>
                <w:lang w:eastAsia="fr-FR" w:bidi="ar-SA"/>
              </w:rPr>
            </w:pPr>
            <w:r w:rsidRPr="00AA57C7">
              <w:rPr>
                <w:rFonts w:eastAsia="Times New Roman" w:cs="Times New Roman"/>
                <w:lang w:eastAsia="fr-FR" w:bidi="ar-SA"/>
              </w:rPr>
              <w:t>Baie horizontale</w:t>
            </w:r>
          </w:p>
        </w:tc>
        <w:tc>
          <w:tcPr>
            <w:tcW w:w="984" w:type="pct"/>
            <w:tcBorders>
              <w:top w:val="single" w:sz="4" w:space="0" w:color="auto"/>
              <w:left w:val="single" w:sz="4" w:space="0" w:color="auto"/>
              <w:bottom w:val="single" w:sz="4" w:space="0" w:color="auto"/>
              <w:right w:val="single" w:sz="4" w:space="0" w:color="auto"/>
            </w:tcBorders>
          </w:tcPr>
          <w:p w14:paraId="700A4BC6" w14:textId="2F9C670A" w:rsidR="00AA57C7" w:rsidRPr="00AA57C7" w:rsidRDefault="00AA57C7" w:rsidP="00AA57C7">
            <w:pPr>
              <w:spacing w:before="100" w:beforeAutospacing="1" w:after="100" w:afterAutospacing="1"/>
              <w:jc w:val="center"/>
              <w:rPr>
                <w:rFonts w:eastAsia="Times New Roman" w:cs="Times New Roman"/>
                <w:color w:val="000000" w:themeColor="text1"/>
                <w:lang w:eastAsia="fr-FR" w:bidi="ar-SA"/>
              </w:rPr>
            </w:pPr>
            <w:r w:rsidRPr="00AA57C7">
              <w:rPr>
                <w:rFonts w:eastAsia="Times New Roman" w:cs="Times New Roman"/>
                <w:color w:val="000000" w:themeColor="text1"/>
                <w:lang w:eastAsia="fr-FR" w:bidi="ar-SA"/>
              </w:rPr>
              <w:t>0,45</w:t>
            </w:r>
          </w:p>
        </w:tc>
        <w:tc>
          <w:tcPr>
            <w:tcW w:w="1229" w:type="pct"/>
            <w:tcBorders>
              <w:top w:val="single" w:sz="4" w:space="0" w:color="auto"/>
              <w:left w:val="single" w:sz="4" w:space="0" w:color="auto"/>
              <w:bottom w:val="single" w:sz="4" w:space="0" w:color="auto"/>
              <w:right w:val="single" w:sz="4" w:space="0" w:color="auto"/>
            </w:tcBorders>
          </w:tcPr>
          <w:p w14:paraId="5609D3AE" w14:textId="1E29BD0E" w:rsidR="00AA57C7" w:rsidRPr="00AA57C7" w:rsidRDefault="00AA57C7" w:rsidP="00AA57C7">
            <w:pPr>
              <w:spacing w:before="100" w:beforeAutospacing="1" w:after="100" w:afterAutospacing="1"/>
              <w:jc w:val="center"/>
              <w:rPr>
                <w:rFonts w:eastAsia="Times New Roman" w:cs="Times New Roman"/>
                <w:color w:val="000000" w:themeColor="text1"/>
                <w:lang w:eastAsia="fr-FR" w:bidi="ar-SA"/>
              </w:rPr>
            </w:pPr>
            <w:r w:rsidRPr="00AA57C7">
              <w:rPr>
                <w:rFonts w:eastAsia="Times New Roman" w:cs="Times New Roman"/>
                <w:color w:val="000000" w:themeColor="text1"/>
                <w:lang w:eastAsia="fr-FR" w:bidi="ar-SA"/>
              </w:rPr>
              <w:t>0,25</w:t>
            </w:r>
          </w:p>
        </w:tc>
        <w:tc>
          <w:tcPr>
            <w:tcW w:w="1228" w:type="pct"/>
            <w:tcBorders>
              <w:top w:val="single" w:sz="4" w:space="0" w:color="auto"/>
              <w:left w:val="single" w:sz="4" w:space="0" w:color="auto"/>
              <w:bottom w:val="single" w:sz="4" w:space="0" w:color="auto"/>
              <w:right w:val="single" w:sz="4" w:space="0" w:color="auto"/>
            </w:tcBorders>
          </w:tcPr>
          <w:p w14:paraId="520A91A7" w14:textId="4246946F" w:rsidR="00AA57C7" w:rsidRPr="00AA57C7" w:rsidRDefault="00AA57C7" w:rsidP="00AA57C7">
            <w:pPr>
              <w:spacing w:before="100" w:beforeAutospacing="1" w:after="100" w:afterAutospacing="1"/>
              <w:jc w:val="center"/>
              <w:rPr>
                <w:rFonts w:eastAsia="Times New Roman" w:cs="Times New Roman"/>
                <w:color w:val="000000" w:themeColor="text1"/>
                <w:lang w:eastAsia="fr-FR" w:bidi="ar-SA"/>
              </w:rPr>
            </w:pPr>
            <w:r w:rsidRPr="00AA57C7">
              <w:rPr>
                <w:rFonts w:eastAsia="Times New Roman" w:cs="Times New Roman"/>
                <w:color w:val="000000" w:themeColor="text1"/>
                <w:lang w:eastAsia="fr-FR" w:bidi="ar-SA"/>
              </w:rPr>
              <w:t>0,15</w:t>
            </w:r>
          </w:p>
        </w:tc>
      </w:tr>
      <w:tr w:rsidR="00AA57C7" w:rsidRPr="00E8319A" w14:paraId="6D394170" w14:textId="77777777" w:rsidTr="00AA57C7">
        <w:tc>
          <w:tcPr>
            <w:tcW w:w="5000" w:type="pct"/>
            <w:gridSpan w:val="4"/>
            <w:tcBorders>
              <w:top w:val="single" w:sz="4" w:space="0" w:color="auto"/>
              <w:left w:val="single" w:sz="4" w:space="0" w:color="auto"/>
              <w:bottom w:val="single" w:sz="4" w:space="0" w:color="auto"/>
              <w:right w:val="single" w:sz="4" w:space="0" w:color="auto"/>
            </w:tcBorders>
          </w:tcPr>
          <w:p w14:paraId="7D562794" w14:textId="71E61801" w:rsidR="00AA57C7" w:rsidRPr="00AA57C7" w:rsidRDefault="00AA57C7" w:rsidP="00AA57C7">
            <w:pPr>
              <w:spacing w:before="100" w:beforeAutospacing="1" w:after="100" w:afterAutospacing="1"/>
              <w:jc w:val="center"/>
              <w:rPr>
                <w:rFonts w:eastAsia="Times New Roman" w:cs="Times New Roman"/>
                <w:color w:val="000000" w:themeColor="text1"/>
                <w:lang w:eastAsia="fr-FR" w:bidi="ar-SA"/>
              </w:rPr>
            </w:pPr>
            <w:r w:rsidRPr="00AA57C7">
              <w:rPr>
                <w:rFonts w:eastAsia="Times New Roman" w:cs="Times New Roman"/>
                <w:color w:val="000000" w:themeColor="text1"/>
                <w:lang w:eastAsia="fr-FR" w:bidi="ar-SA"/>
              </w:rPr>
              <w:t xml:space="preserve">4. Baies exposées </w:t>
            </w:r>
            <w:r w:rsidRPr="00AA57C7">
              <w:rPr>
                <w:rFonts w:eastAsia="Times New Roman" w:cs="Times New Roman"/>
                <w:lang w:eastAsia="fr-FR" w:bidi="ar-SA"/>
              </w:rPr>
              <w:t xml:space="preserve">– </w:t>
            </w:r>
            <w:r w:rsidRPr="00AA57C7">
              <w:rPr>
                <w:rFonts w:eastAsia="Times New Roman" w:cs="Times New Roman"/>
                <w:color w:val="000000" w:themeColor="text1"/>
                <w:lang w:eastAsia="fr-FR" w:bidi="ar-SA"/>
              </w:rPr>
              <w:t xml:space="preserve">BR2 ou BR3 hors locaux </w:t>
            </w:r>
            <w:r w:rsidR="00052BCF">
              <w:rPr>
                <w:rFonts w:eastAsia="Times New Roman" w:cs="Times New Roman"/>
                <w:lang w:eastAsia="fr-FR" w:bidi="ar-SA"/>
              </w:rPr>
              <w:t>destinés au</w:t>
            </w:r>
            <w:r w:rsidR="00052BCF" w:rsidRPr="00AA57C7">
              <w:rPr>
                <w:rFonts w:eastAsia="Times New Roman" w:cs="Times New Roman"/>
                <w:lang w:eastAsia="fr-FR" w:bidi="ar-SA"/>
              </w:rPr>
              <w:t xml:space="preserve"> </w:t>
            </w:r>
            <w:r w:rsidRPr="00AA57C7">
              <w:rPr>
                <w:rFonts w:eastAsia="Times New Roman" w:cs="Times New Roman"/>
                <w:color w:val="000000" w:themeColor="text1"/>
                <w:lang w:eastAsia="fr-FR" w:bidi="ar-SA"/>
              </w:rPr>
              <w:t>sommeil</w:t>
            </w:r>
          </w:p>
        </w:tc>
      </w:tr>
      <w:tr w:rsidR="00AA57C7" w:rsidRPr="00E8319A" w14:paraId="45D8898C" w14:textId="77777777" w:rsidTr="00AA57C7">
        <w:tc>
          <w:tcPr>
            <w:tcW w:w="1559" w:type="pct"/>
            <w:tcBorders>
              <w:top w:val="single" w:sz="4" w:space="0" w:color="auto"/>
              <w:left w:val="single" w:sz="4" w:space="0" w:color="auto"/>
              <w:bottom w:val="single" w:sz="4" w:space="0" w:color="auto"/>
              <w:right w:val="single" w:sz="4" w:space="0" w:color="auto"/>
            </w:tcBorders>
          </w:tcPr>
          <w:p w14:paraId="48905C73" w14:textId="4B52AA2D" w:rsidR="00AA57C7" w:rsidRPr="00AA57C7" w:rsidRDefault="00AA57C7" w:rsidP="00AA57C7">
            <w:pPr>
              <w:spacing w:before="100" w:beforeAutospacing="1" w:after="100" w:afterAutospacing="1"/>
              <w:jc w:val="left"/>
              <w:rPr>
                <w:rFonts w:eastAsia="Times New Roman" w:cs="Times New Roman"/>
                <w:lang w:eastAsia="fr-FR" w:bidi="ar-SA"/>
              </w:rPr>
            </w:pPr>
            <w:r w:rsidRPr="00AA57C7">
              <w:rPr>
                <w:rFonts w:eastAsia="Times New Roman" w:cs="Times New Roman"/>
                <w:lang w:eastAsia="fr-FR" w:bidi="ar-SA"/>
              </w:rPr>
              <w:t>Baie verticale autre que nord</w:t>
            </w:r>
          </w:p>
        </w:tc>
        <w:tc>
          <w:tcPr>
            <w:tcW w:w="984" w:type="pct"/>
            <w:tcBorders>
              <w:top w:val="single" w:sz="4" w:space="0" w:color="auto"/>
              <w:left w:val="single" w:sz="4" w:space="0" w:color="auto"/>
              <w:bottom w:val="single" w:sz="4" w:space="0" w:color="auto"/>
              <w:right w:val="single" w:sz="4" w:space="0" w:color="auto"/>
            </w:tcBorders>
          </w:tcPr>
          <w:p w14:paraId="65377DDE" w14:textId="3D57511F" w:rsidR="00AA57C7" w:rsidRPr="00AA57C7" w:rsidRDefault="00AA57C7" w:rsidP="00AA57C7">
            <w:pPr>
              <w:spacing w:before="100" w:beforeAutospacing="1" w:after="100" w:afterAutospacing="1"/>
              <w:jc w:val="center"/>
              <w:rPr>
                <w:rFonts w:eastAsia="Times New Roman" w:cs="Times New Roman"/>
                <w:color w:val="000000" w:themeColor="text1"/>
                <w:lang w:eastAsia="fr-FR" w:bidi="ar-SA"/>
              </w:rPr>
            </w:pPr>
            <w:r w:rsidRPr="00AA57C7">
              <w:rPr>
                <w:rFonts w:eastAsia="Times New Roman" w:cs="Times New Roman"/>
                <w:color w:val="000000" w:themeColor="text1"/>
                <w:lang w:eastAsia="fr-FR" w:bidi="ar-SA"/>
              </w:rPr>
              <w:t>0,45</w:t>
            </w:r>
          </w:p>
        </w:tc>
        <w:tc>
          <w:tcPr>
            <w:tcW w:w="1229" w:type="pct"/>
            <w:tcBorders>
              <w:top w:val="single" w:sz="4" w:space="0" w:color="auto"/>
              <w:left w:val="single" w:sz="4" w:space="0" w:color="auto"/>
              <w:bottom w:val="single" w:sz="4" w:space="0" w:color="auto"/>
              <w:right w:val="single" w:sz="4" w:space="0" w:color="auto"/>
            </w:tcBorders>
          </w:tcPr>
          <w:p w14:paraId="1CE4A28A" w14:textId="59CFE4C2" w:rsidR="00AA57C7" w:rsidRPr="00AA57C7" w:rsidRDefault="00AA57C7" w:rsidP="00AA57C7">
            <w:pPr>
              <w:spacing w:before="100" w:beforeAutospacing="1" w:after="100" w:afterAutospacing="1"/>
              <w:jc w:val="center"/>
              <w:rPr>
                <w:rFonts w:eastAsia="Times New Roman" w:cs="Times New Roman"/>
                <w:color w:val="000000" w:themeColor="text1"/>
                <w:lang w:eastAsia="fr-FR" w:bidi="ar-SA"/>
              </w:rPr>
            </w:pPr>
            <w:r w:rsidRPr="00AA57C7">
              <w:rPr>
                <w:rFonts w:eastAsia="Times New Roman" w:cs="Times New Roman"/>
                <w:color w:val="000000" w:themeColor="text1"/>
                <w:lang w:eastAsia="fr-FR" w:bidi="ar-SA"/>
              </w:rPr>
              <w:t>0,25</w:t>
            </w:r>
          </w:p>
        </w:tc>
        <w:tc>
          <w:tcPr>
            <w:tcW w:w="1228" w:type="pct"/>
            <w:tcBorders>
              <w:top w:val="single" w:sz="4" w:space="0" w:color="auto"/>
              <w:left w:val="single" w:sz="4" w:space="0" w:color="auto"/>
              <w:bottom w:val="single" w:sz="4" w:space="0" w:color="auto"/>
              <w:right w:val="single" w:sz="4" w:space="0" w:color="auto"/>
            </w:tcBorders>
          </w:tcPr>
          <w:p w14:paraId="0A3C4966" w14:textId="1787BFCB" w:rsidR="00AA57C7" w:rsidRPr="00AA57C7" w:rsidRDefault="00AA57C7" w:rsidP="00AA57C7">
            <w:pPr>
              <w:spacing w:before="100" w:beforeAutospacing="1" w:after="100" w:afterAutospacing="1"/>
              <w:jc w:val="center"/>
              <w:rPr>
                <w:rFonts w:eastAsia="Times New Roman" w:cs="Times New Roman"/>
                <w:color w:val="000000" w:themeColor="text1"/>
                <w:lang w:eastAsia="fr-FR" w:bidi="ar-SA"/>
              </w:rPr>
            </w:pPr>
            <w:r w:rsidRPr="00AA57C7">
              <w:rPr>
                <w:rFonts w:eastAsia="Times New Roman" w:cs="Times New Roman"/>
                <w:color w:val="000000" w:themeColor="text1"/>
                <w:lang w:eastAsia="fr-FR" w:bidi="ar-SA"/>
              </w:rPr>
              <w:t>0,25</w:t>
            </w:r>
          </w:p>
        </w:tc>
      </w:tr>
      <w:tr w:rsidR="00AA57C7" w14:paraId="5B19B6E6" w14:textId="77777777" w:rsidTr="00AA57C7">
        <w:tc>
          <w:tcPr>
            <w:tcW w:w="1559" w:type="pct"/>
            <w:tcBorders>
              <w:top w:val="single" w:sz="4" w:space="0" w:color="auto"/>
              <w:left w:val="single" w:sz="4" w:space="0" w:color="auto"/>
              <w:bottom w:val="single" w:sz="4" w:space="0" w:color="auto"/>
              <w:right w:val="single" w:sz="4" w:space="0" w:color="auto"/>
            </w:tcBorders>
          </w:tcPr>
          <w:p w14:paraId="1F21A23E" w14:textId="4DD59601" w:rsidR="00AA57C7" w:rsidRPr="00AA57C7" w:rsidRDefault="00AA57C7" w:rsidP="00AA57C7">
            <w:pPr>
              <w:spacing w:before="100" w:beforeAutospacing="1" w:after="100" w:afterAutospacing="1"/>
              <w:jc w:val="left"/>
              <w:rPr>
                <w:rFonts w:eastAsia="Times New Roman" w:cs="Times New Roman"/>
                <w:lang w:eastAsia="fr-FR" w:bidi="ar-SA"/>
              </w:rPr>
            </w:pPr>
            <w:r w:rsidRPr="00AA57C7">
              <w:rPr>
                <w:rFonts w:eastAsia="Times New Roman" w:cs="Times New Roman"/>
                <w:lang w:eastAsia="fr-FR" w:bidi="ar-SA"/>
              </w:rPr>
              <w:t>Baie horizontale</w:t>
            </w:r>
          </w:p>
        </w:tc>
        <w:tc>
          <w:tcPr>
            <w:tcW w:w="984" w:type="pct"/>
            <w:tcBorders>
              <w:top w:val="single" w:sz="4" w:space="0" w:color="auto"/>
              <w:left w:val="single" w:sz="4" w:space="0" w:color="auto"/>
              <w:bottom w:val="single" w:sz="4" w:space="0" w:color="auto"/>
              <w:right w:val="single" w:sz="4" w:space="0" w:color="auto"/>
            </w:tcBorders>
          </w:tcPr>
          <w:p w14:paraId="6859EAF4" w14:textId="15E8743D" w:rsidR="00AA57C7" w:rsidRPr="00AA57C7" w:rsidRDefault="00AA57C7" w:rsidP="00AA57C7">
            <w:pPr>
              <w:spacing w:before="100" w:beforeAutospacing="1" w:after="100" w:afterAutospacing="1"/>
              <w:jc w:val="center"/>
              <w:rPr>
                <w:rFonts w:eastAsia="Times New Roman" w:cs="Times New Roman"/>
                <w:color w:val="000000" w:themeColor="text1"/>
                <w:lang w:eastAsia="fr-FR" w:bidi="ar-SA"/>
              </w:rPr>
            </w:pPr>
            <w:r w:rsidRPr="00AA57C7">
              <w:rPr>
                <w:rFonts w:eastAsia="Times New Roman" w:cs="Times New Roman"/>
                <w:color w:val="000000" w:themeColor="text1"/>
                <w:lang w:eastAsia="fr-FR" w:bidi="ar-SA"/>
              </w:rPr>
              <w:t>0,25</w:t>
            </w:r>
          </w:p>
        </w:tc>
        <w:tc>
          <w:tcPr>
            <w:tcW w:w="1229" w:type="pct"/>
            <w:tcBorders>
              <w:top w:val="single" w:sz="4" w:space="0" w:color="auto"/>
              <w:left w:val="single" w:sz="4" w:space="0" w:color="auto"/>
              <w:bottom w:val="single" w:sz="4" w:space="0" w:color="auto"/>
              <w:right w:val="single" w:sz="4" w:space="0" w:color="auto"/>
            </w:tcBorders>
          </w:tcPr>
          <w:p w14:paraId="5C9788F3" w14:textId="11C013C4" w:rsidR="00AA57C7" w:rsidRPr="00AA57C7" w:rsidRDefault="00AA57C7" w:rsidP="00AA57C7">
            <w:pPr>
              <w:spacing w:before="100" w:beforeAutospacing="1" w:after="100" w:afterAutospacing="1"/>
              <w:jc w:val="center"/>
              <w:rPr>
                <w:rFonts w:eastAsia="Times New Roman" w:cs="Times New Roman"/>
                <w:color w:val="000000" w:themeColor="text1"/>
                <w:lang w:eastAsia="fr-FR" w:bidi="ar-SA"/>
              </w:rPr>
            </w:pPr>
            <w:r w:rsidRPr="00AA57C7">
              <w:rPr>
                <w:rFonts w:eastAsia="Times New Roman" w:cs="Times New Roman"/>
                <w:color w:val="000000" w:themeColor="text1"/>
                <w:lang w:eastAsia="fr-FR" w:bidi="ar-SA"/>
              </w:rPr>
              <w:t>0,15</w:t>
            </w:r>
          </w:p>
        </w:tc>
        <w:tc>
          <w:tcPr>
            <w:tcW w:w="1228" w:type="pct"/>
            <w:tcBorders>
              <w:top w:val="single" w:sz="4" w:space="0" w:color="auto"/>
              <w:left w:val="single" w:sz="4" w:space="0" w:color="auto"/>
              <w:bottom w:val="single" w:sz="4" w:space="0" w:color="auto"/>
              <w:right w:val="single" w:sz="4" w:space="0" w:color="auto"/>
            </w:tcBorders>
          </w:tcPr>
          <w:p w14:paraId="3C6DCB36" w14:textId="10C3043F" w:rsidR="00AA57C7" w:rsidRPr="00AA57C7" w:rsidRDefault="00AA57C7" w:rsidP="00AA57C7">
            <w:pPr>
              <w:spacing w:before="100" w:beforeAutospacing="1" w:after="100" w:afterAutospacing="1"/>
              <w:jc w:val="center"/>
              <w:rPr>
                <w:rFonts w:eastAsia="Times New Roman" w:cs="Times New Roman"/>
                <w:color w:val="000000" w:themeColor="text1"/>
                <w:lang w:eastAsia="fr-FR" w:bidi="ar-SA"/>
              </w:rPr>
            </w:pPr>
            <w:r w:rsidRPr="00AA57C7">
              <w:rPr>
                <w:rFonts w:eastAsia="Times New Roman" w:cs="Times New Roman"/>
                <w:color w:val="000000" w:themeColor="text1"/>
                <w:lang w:eastAsia="fr-FR" w:bidi="ar-SA"/>
              </w:rPr>
              <w:t>0,15</w:t>
            </w:r>
          </w:p>
        </w:tc>
      </w:tr>
    </w:tbl>
    <w:p w14:paraId="0EFAB4FF" w14:textId="77777777" w:rsidR="00AA57C7" w:rsidRDefault="00AA57C7" w:rsidP="00E8319A"/>
    <w:p w14:paraId="1151A645" w14:textId="77777777" w:rsidR="00E8319A" w:rsidRPr="00E8319A" w:rsidRDefault="00E8319A" w:rsidP="00E8319A"/>
    <w:p w14:paraId="65E4E085" w14:textId="77A78EBF" w:rsidR="00032417" w:rsidRDefault="009F2A30" w:rsidP="00DF0DDD">
      <w:pPr>
        <w:pStyle w:val="Titre3"/>
      </w:pPr>
      <w:r>
        <w:t xml:space="preserve"> </w:t>
      </w:r>
      <w:r w:rsidR="00971927">
        <w:t>(30% ouvrants)</w:t>
      </w:r>
    </w:p>
    <w:p w14:paraId="2CA33C90" w14:textId="77777777" w:rsidR="00971927" w:rsidRDefault="00971927" w:rsidP="00971927">
      <w:r>
        <w:t>Sauf si les règles d'hygiène ou de sécurité l'interdisent, les baies d'un même local autre qu'à occupation passagère s'ouvrent sur au moins 30 % de leur surface totale.</w:t>
      </w:r>
    </w:p>
    <w:p w14:paraId="646328B9" w14:textId="64FA4BE0" w:rsidR="00971927" w:rsidRDefault="00971927" w:rsidP="00971927">
      <w:r>
        <w:t>Cette limite est ramenée à 10 % dans le cas des locaux pour lesquels la différence d'altitude entre le point bas de son ouverture la plus basse et le point haut de son ouverture la plus haute est égale ou supérieure à 4 m.</w:t>
      </w:r>
    </w:p>
    <w:p w14:paraId="305C58CA" w14:textId="77777777" w:rsidR="00FC495C" w:rsidRDefault="00FC495C" w:rsidP="00FC495C">
      <w:pPr>
        <w:pStyle w:val="Titre2"/>
      </w:pPr>
      <w:bookmarkStart w:id="50" w:name="_Ref57918073"/>
      <w:r>
        <w:t>CONSOMMATIONS D’ENERGIE</w:t>
      </w:r>
      <w:bookmarkEnd w:id="50"/>
    </w:p>
    <w:p w14:paraId="61C70E9A" w14:textId="77777777" w:rsidR="00FC495C" w:rsidRDefault="00FC495C" w:rsidP="00FC495C">
      <w:pPr>
        <w:pStyle w:val="Titre3"/>
      </w:pPr>
      <w:r>
        <w:t xml:space="preserve">(limitation du déclenchement automatique des consommations d’énergie) </w:t>
      </w:r>
    </w:p>
    <w:p w14:paraId="2C882641" w14:textId="77777777" w:rsidR="00FC495C" w:rsidRDefault="00FC495C" w:rsidP="00FC495C">
      <w:pPr>
        <w:rPr>
          <w:lang w:eastAsia="fr-FR" w:bidi="ar-SA"/>
        </w:rPr>
      </w:pPr>
      <w:r>
        <w:lastRenderedPageBreak/>
        <w:t>Tout automatisme engendrant une augmentation des consommations énergétiques :</w:t>
      </w:r>
    </w:p>
    <w:p w14:paraId="7E304C33" w14:textId="77777777" w:rsidR="00FC495C" w:rsidRPr="00823E5F" w:rsidRDefault="00FC495C" w:rsidP="00FC495C">
      <w:pPr>
        <w:numPr>
          <w:ilvl w:val="0"/>
          <w:numId w:val="10"/>
        </w:numPr>
        <w:spacing w:after="0" w:line="276" w:lineRule="auto"/>
        <w:rPr>
          <w:color w:val="000000"/>
        </w:rPr>
      </w:pPr>
      <w:r>
        <w:rPr>
          <w:color w:val="000000"/>
        </w:rPr>
        <w:t>est conçu et mis en œuvre de manière à ne présenter un déclenchement de l’automatisme que lorsqu’il est nécessaire ;</w:t>
      </w:r>
    </w:p>
    <w:p w14:paraId="1DE83066" w14:textId="77777777" w:rsidR="00FC495C" w:rsidRDefault="00FC495C" w:rsidP="00FC495C">
      <w:pPr>
        <w:numPr>
          <w:ilvl w:val="0"/>
          <w:numId w:val="10"/>
        </w:numPr>
        <w:spacing w:after="0" w:line="276" w:lineRule="auto"/>
        <w:rPr>
          <w:color w:val="000000"/>
        </w:rPr>
      </w:pPr>
      <w:r>
        <w:rPr>
          <w:color w:val="000000"/>
        </w:rPr>
        <w:t>est soit temporisé, soit programmé de manière à arrêter automatiquement l’augmentation des consommations énergétiques, dès qu’elle n’est plus nécessaire ;</w:t>
      </w:r>
    </w:p>
    <w:p w14:paraId="6F9573DF" w14:textId="77777777" w:rsidR="00FC495C" w:rsidRDefault="00FC495C" w:rsidP="00FC495C">
      <w:pPr>
        <w:numPr>
          <w:ilvl w:val="0"/>
          <w:numId w:val="10"/>
        </w:numPr>
        <w:spacing w:after="200" w:line="276" w:lineRule="auto"/>
        <w:rPr>
          <w:color w:val="000000"/>
        </w:rPr>
      </w:pPr>
      <w:r>
        <w:rPr>
          <w:color w:val="000000"/>
        </w:rPr>
        <w:t>peut être adapté par le futur gestionnaire de bâtiment selon les conditions d’occupation du bâtiment ; il permet notamment un arrêt des consommations énergétiques pilotées par l’automatisme en période d’inoccupation.</w:t>
      </w:r>
    </w:p>
    <w:p w14:paraId="538B2267" w14:textId="77777777" w:rsidR="00FC495C" w:rsidRDefault="00FC495C" w:rsidP="00FC495C">
      <w:pPr>
        <w:spacing w:after="200" w:line="276" w:lineRule="auto"/>
        <w:rPr>
          <w:color w:val="000000"/>
        </w:rPr>
      </w:pPr>
      <w:r>
        <w:rPr>
          <w:color w:val="000000"/>
        </w:rPr>
        <w:t>Les automatismes ne permettent le déclenchement automatique de l’éclairage artificiel dans les logements, les bureaux, les salles de réunion, les salles de classe, les salles polyvalentes, qu’après une action manuelle de l’occupant dans ou à proximité immédiate du local concerné, réalisée moins de 6 heures auparavant.</w:t>
      </w:r>
    </w:p>
    <w:p w14:paraId="1BB3B4F1" w14:textId="77777777" w:rsidR="00FC495C" w:rsidRDefault="00FC495C" w:rsidP="00FC495C">
      <w:pPr>
        <w:pStyle w:val="Titre3"/>
      </w:pPr>
      <w:bookmarkStart w:id="51" w:name="_Ref57918021"/>
      <w:r>
        <w:t>(</w:t>
      </w:r>
      <w:r w:rsidRPr="007F40E5">
        <w:t>mesure ou estimation des consommations d’énergie</w:t>
      </w:r>
      <w:r>
        <w:t xml:space="preserve"> – Bâtiment ou parties de bâtiment à usage d’habitation)</w:t>
      </w:r>
      <w:bookmarkEnd w:id="51"/>
    </w:p>
    <w:p w14:paraId="58314E20" w14:textId="6ED5991C" w:rsidR="00FC495C" w:rsidRDefault="00FC495C" w:rsidP="00FC495C">
      <w:r>
        <w:t xml:space="preserve">Les bâtiments </w:t>
      </w:r>
      <w:r w:rsidRPr="00FC495C">
        <w:t>ou parties de bâtiments</w:t>
      </w:r>
      <w:r>
        <w:t xml:space="preserve"> à usage d’habitation sont équipés de systèmes permettant de mesurer ou d'estimer la consommation d'énergie de chaque logement, excepté pour les consommations des systèmes individuels au bois en maison individuelle ou accolée.</w:t>
      </w:r>
    </w:p>
    <w:p w14:paraId="768F13E3" w14:textId="77777777" w:rsidR="00FC495C" w:rsidRDefault="00FC495C" w:rsidP="00FC495C">
      <w:r>
        <w:t>En cas de production collective d'énergie, on entend par énergie consommée par le logement la part de la consommation totale d'énergie dédiée à ce logement selon une clé de répartition à définir par le maître d'ouvrage lors de la réalisation du bâtiment.</w:t>
      </w:r>
    </w:p>
    <w:p w14:paraId="69FAEBBD" w14:textId="77777777" w:rsidR="00FC495C" w:rsidRDefault="00FC495C" w:rsidP="00FC495C">
      <w:r>
        <w:t>Ces systèmes permettent d'informer les occupants, a minima mensuellement, de leur consommation d'énergie.</w:t>
      </w:r>
    </w:p>
    <w:p w14:paraId="5A32B0AA" w14:textId="77777777" w:rsidR="00FC495C" w:rsidRDefault="00FC495C" w:rsidP="00FC495C">
      <w:r>
        <w:t>Cette information est délivrée dans le volume habitable, par type d'énergie, à minima selon la répartition suivante :</w:t>
      </w:r>
    </w:p>
    <w:p w14:paraId="65B03F06" w14:textId="77777777" w:rsidR="00FC495C" w:rsidRPr="000B79A7" w:rsidRDefault="00FC495C" w:rsidP="00FC495C">
      <w:pPr>
        <w:numPr>
          <w:ilvl w:val="0"/>
          <w:numId w:val="10"/>
        </w:numPr>
        <w:spacing w:after="0" w:line="276" w:lineRule="auto"/>
        <w:rPr>
          <w:color w:val="000000"/>
        </w:rPr>
      </w:pPr>
      <w:r w:rsidRPr="000B79A7">
        <w:rPr>
          <w:color w:val="000000"/>
        </w:rPr>
        <w:t>chauffage ;</w:t>
      </w:r>
    </w:p>
    <w:p w14:paraId="356EBE25" w14:textId="77777777" w:rsidR="00FC495C" w:rsidRPr="000B79A7" w:rsidRDefault="00FC495C" w:rsidP="00FC495C">
      <w:pPr>
        <w:numPr>
          <w:ilvl w:val="0"/>
          <w:numId w:val="10"/>
        </w:numPr>
        <w:spacing w:after="0" w:line="276" w:lineRule="auto"/>
        <w:rPr>
          <w:color w:val="000000"/>
        </w:rPr>
      </w:pPr>
      <w:r w:rsidRPr="000B79A7">
        <w:rPr>
          <w:color w:val="000000"/>
        </w:rPr>
        <w:t>refroidissement ;</w:t>
      </w:r>
    </w:p>
    <w:p w14:paraId="748159AB" w14:textId="77777777" w:rsidR="00FC495C" w:rsidRPr="000B79A7" w:rsidRDefault="00FC495C" w:rsidP="00FC495C">
      <w:pPr>
        <w:numPr>
          <w:ilvl w:val="0"/>
          <w:numId w:val="10"/>
        </w:numPr>
        <w:spacing w:after="0" w:line="276" w:lineRule="auto"/>
        <w:rPr>
          <w:color w:val="000000"/>
        </w:rPr>
      </w:pPr>
      <w:r w:rsidRPr="000B79A7">
        <w:rPr>
          <w:color w:val="000000"/>
        </w:rPr>
        <w:t>production d'eau chaude sanitaire ;</w:t>
      </w:r>
    </w:p>
    <w:p w14:paraId="2159F939" w14:textId="77777777" w:rsidR="00FC495C" w:rsidRPr="000B79A7" w:rsidRDefault="00FC495C" w:rsidP="00FC495C">
      <w:pPr>
        <w:numPr>
          <w:ilvl w:val="0"/>
          <w:numId w:val="10"/>
        </w:numPr>
        <w:spacing w:after="0" w:line="276" w:lineRule="auto"/>
        <w:rPr>
          <w:color w:val="000000"/>
        </w:rPr>
      </w:pPr>
      <w:r w:rsidRPr="000B79A7">
        <w:rPr>
          <w:color w:val="000000"/>
        </w:rPr>
        <w:t>réseau prises électriques ;</w:t>
      </w:r>
    </w:p>
    <w:p w14:paraId="13BABC2D" w14:textId="77777777" w:rsidR="00FC495C" w:rsidRDefault="00FC495C" w:rsidP="00FC495C">
      <w:pPr>
        <w:numPr>
          <w:ilvl w:val="0"/>
          <w:numId w:val="10"/>
        </w:numPr>
        <w:spacing w:after="0" w:line="276" w:lineRule="auto"/>
      </w:pPr>
      <w:r w:rsidRPr="000B79A7">
        <w:rPr>
          <w:color w:val="000000"/>
        </w:rPr>
        <w:t>autres.</w:t>
      </w:r>
    </w:p>
    <w:p w14:paraId="7DD1D439" w14:textId="77777777" w:rsidR="00FC495C" w:rsidRDefault="00FC495C" w:rsidP="00FC495C">
      <w:r>
        <w:t>Cette répartition peut être basée soit sur des données mesurées, soit sur des données estimées à partir d'un paramétrage préalablement défini.</w:t>
      </w:r>
    </w:p>
    <w:p w14:paraId="75C792A7" w14:textId="77777777" w:rsidR="00FC495C" w:rsidRDefault="00FC495C" w:rsidP="00FC495C">
      <w:r>
        <w:t>Toutefois, dans le cas d'un maître d'ouvrage qui est également le futur propriétaire bailleur du bâtiment construit, notamment les maîtres d'ouvrage de logements locatifs sociaux, cette information peut être délivrée aux occupants, a minima mensuellement, par voie électronique ou postale et non pas directement dans le volume habitable.</w:t>
      </w:r>
    </w:p>
    <w:p w14:paraId="04520BEE" w14:textId="77777777" w:rsidR="00FC495C" w:rsidRDefault="00FC495C" w:rsidP="00FC495C">
      <w:r>
        <w:t>La justification de la prise en compte de cet article est effectuée conformément au guide Systèmes de mesure ou estimation des consommations en logement, qui en précise les modalités d'application.</w:t>
      </w:r>
    </w:p>
    <w:p w14:paraId="5AA0554B" w14:textId="1A8CCFC0" w:rsidR="00FC495C" w:rsidRPr="000B79A7" w:rsidRDefault="00FC495C" w:rsidP="00FC495C">
      <w:pPr>
        <w:pStyle w:val="Titre3"/>
        <w:spacing w:line="256" w:lineRule="auto"/>
      </w:pPr>
      <w:bookmarkStart w:id="52" w:name="_Ref57918023"/>
      <w:r w:rsidRPr="000B79A7">
        <w:t>(Mesure ou estimation des consommations d’énergie</w:t>
      </w:r>
      <w:r>
        <w:t xml:space="preserve"> – Bâtiments ou parties de bâtiments à usage autre que </w:t>
      </w:r>
      <w:r w:rsidR="00AB6ABD">
        <w:t>d’</w:t>
      </w:r>
      <w:r>
        <w:t>habitation</w:t>
      </w:r>
      <w:r w:rsidRPr="000B79A7">
        <w:t>)</w:t>
      </w:r>
      <w:bookmarkEnd w:id="52"/>
    </w:p>
    <w:p w14:paraId="53F5020D" w14:textId="77777777" w:rsidR="00FC495C" w:rsidRDefault="00FC495C" w:rsidP="00FC495C">
      <w:r>
        <w:lastRenderedPageBreak/>
        <w:t>Les bâtiments ou parties de bâtiment à usage autre que d'habitation sont équipés de systèmes permettant de mesurer ou de calculer la consommation d'énergie :</w:t>
      </w:r>
    </w:p>
    <w:p w14:paraId="795C8476" w14:textId="77777777" w:rsidR="00FC495C" w:rsidRDefault="00FC495C" w:rsidP="00FC495C">
      <w:pPr>
        <w:numPr>
          <w:ilvl w:val="0"/>
          <w:numId w:val="10"/>
        </w:numPr>
        <w:spacing w:after="0" w:line="276" w:lineRule="auto"/>
      </w:pPr>
      <w:r>
        <w:t>pour le chauffage : par tranche de 500 m² de surface concernée ou par tableau électrique, ou par étage, ou par départ direct ;</w:t>
      </w:r>
    </w:p>
    <w:p w14:paraId="6D52979A" w14:textId="77777777" w:rsidR="00FC495C" w:rsidRDefault="00FC495C" w:rsidP="00FC495C">
      <w:pPr>
        <w:numPr>
          <w:ilvl w:val="0"/>
          <w:numId w:val="10"/>
        </w:numPr>
        <w:spacing w:after="0" w:line="276" w:lineRule="auto"/>
      </w:pPr>
      <w:r>
        <w:t>pour le refroidissement : par tranche de 500 m² de surface concernée ou par tableau électrique, ou par étage, ou par départ direct ;</w:t>
      </w:r>
    </w:p>
    <w:p w14:paraId="148EEF27" w14:textId="77777777" w:rsidR="00FC495C" w:rsidRDefault="00FC495C" w:rsidP="00FC495C">
      <w:pPr>
        <w:numPr>
          <w:ilvl w:val="0"/>
          <w:numId w:val="10"/>
        </w:numPr>
        <w:spacing w:after="0" w:line="276" w:lineRule="auto"/>
      </w:pPr>
      <w:r>
        <w:t>pour la production d'eau chaude sanitaire ;</w:t>
      </w:r>
    </w:p>
    <w:p w14:paraId="4A79568D" w14:textId="77777777" w:rsidR="00FC495C" w:rsidRDefault="00FC495C" w:rsidP="00FC495C">
      <w:pPr>
        <w:numPr>
          <w:ilvl w:val="0"/>
          <w:numId w:val="10"/>
        </w:numPr>
        <w:spacing w:after="0" w:line="276" w:lineRule="auto"/>
      </w:pPr>
      <w:r>
        <w:t>pour l'éclairage : par tranche de 500 m² de surface concernée ou par tableau électrique, ou par étage ;</w:t>
      </w:r>
    </w:p>
    <w:p w14:paraId="2BFA3F95" w14:textId="77777777" w:rsidR="00FC495C" w:rsidRDefault="00FC495C" w:rsidP="00FC495C">
      <w:pPr>
        <w:numPr>
          <w:ilvl w:val="0"/>
          <w:numId w:val="10"/>
        </w:numPr>
        <w:spacing w:after="0" w:line="276" w:lineRule="auto"/>
      </w:pPr>
      <w:r>
        <w:t>pour le réseau des prises de courant : par tranche de 500 m² surface concernée ou par tableau électrique, ou par étage ;</w:t>
      </w:r>
    </w:p>
    <w:p w14:paraId="3A66013C" w14:textId="77777777" w:rsidR="00FC495C" w:rsidRDefault="00FC495C" w:rsidP="00FC495C">
      <w:pPr>
        <w:numPr>
          <w:ilvl w:val="0"/>
          <w:numId w:val="10"/>
        </w:numPr>
        <w:spacing w:after="0" w:line="276" w:lineRule="auto"/>
      </w:pPr>
      <w:r>
        <w:t>pour les centrales de ventilation : par centrale ;</w:t>
      </w:r>
    </w:p>
    <w:p w14:paraId="764A26EC" w14:textId="77777777" w:rsidR="00FC495C" w:rsidRDefault="00FC495C" w:rsidP="00FC495C">
      <w:pPr>
        <w:numPr>
          <w:ilvl w:val="0"/>
          <w:numId w:val="10"/>
        </w:numPr>
        <w:spacing w:after="0" w:line="276" w:lineRule="auto"/>
      </w:pPr>
      <w:r>
        <w:t>par départ direct de plus de 80 ampères.</w:t>
      </w:r>
    </w:p>
    <w:p w14:paraId="15C41A8E" w14:textId="77777777" w:rsidR="00FC495C" w:rsidRPr="003F5F5B" w:rsidRDefault="00FC495C" w:rsidP="00FC495C"/>
    <w:p w14:paraId="1F3B85F1" w14:textId="77777777" w:rsidR="00FC495C" w:rsidRDefault="00FC495C" w:rsidP="00FC495C">
      <w:pPr>
        <w:pStyle w:val="Titre2"/>
      </w:pPr>
      <w:bookmarkStart w:id="53" w:name="_Ref57918078"/>
      <w:r>
        <w:t>CHAUFFAGE ET REFROIDISSEMENT</w:t>
      </w:r>
      <w:bookmarkEnd w:id="53"/>
    </w:p>
    <w:p w14:paraId="498E258C" w14:textId="77777777" w:rsidR="00FC495C" w:rsidRDefault="00FC495C" w:rsidP="00FC495C">
      <w:pPr>
        <w:pStyle w:val="Titre3"/>
      </w:pPr>
      <w:r>
        <w:t>(A</w:t>
      </w:r>
      <w:r w:rsidRPr="007F40E5">
        <w:t>rrêt manuel et réglage automatique du chauffage</w:t>
      </w:r>
      <w:r>
        <w:t>)</w:t>
      </w:r>
    </w:p>
    <w:p w14:paraId="6D435222" w14:textId="77777777" w:rsidR="00FC495C" w:rsidRDefault="00FC495C" w:rsidP="00FC495C">
      <w:r>
        <w:t xml:space="preserve">Une installation de chauffage comporte par local desservi un ou plusieurs dispositifs d'arrêt manuel et de réglage automatique en fonction de la température intérieure de ce local. </w:t>
      </w:r>
    </w:p>
    <w:p w14:paraId="4AB2E03B" w14:textId="77777777" w:rsidR="00FC495C" w:rsidRDefault="00FC495C" w:rsidP="00FC495C">
      <w:r>
        <w:t>Toutefois, lorsque le chauffage est assuré par un plancher chauffant à eau chaude fonctionnant à basse température ou par l'air insufflé ou par un appareil indépendant de chauffage à bois, ce dispositif peut être commun à des locaux d'une surface totale maximum de 100 m².</w:t>
      </w:r>
    </w:p>
    <w:p w14:paraId="4B511744" w14:textId="77777777" w:rsidR="00FC495C" w:rsidRDefault="00FC495C" w:rsidP="00FC495C">
      <w:r>
        <w:t xml:space="preserve">Le </w:t>
      </w:r>
      <w:r w:rsidRPr="000B79A7">
        <w:t xml:space="preserve">réglage automatique </w:t>
      </w:r>
      <w:r>
        <w:t xml:space="preserve">est </w:t>
      </w:r>
      <w:r w:rsidRPr="000B79A7">
        <w:t xml:space="preserve">programmé </w:t>
      </w:r>
      <w:r>
        <w:t xml:space="preserve">de manière à </w:t>
      </w:r>
      <w:r w:rsidRPr="00A40263">
        <w:t>respecte</w:t>
      </w:r>
      <w:r>
        <w:t xml:space="preserve">r </w:t>
      </w:r>
      <w:r w:rsidRPr="00A40263">
        <w:t>l</w:t>
      </w:r>
      <w:r>
        <w:t>es exigences de l’</w:t>
      </w:r>
      <w:r w:rsidRPr="00A40263">
        <w:t>article R</w:t>
      </w:r>
      <w:r>
        <w:t>.</w:t>
      </w:r>
      <w:r w:rsidRPr="00A40263">
        <w:t>241-26 du code de l’énergie</w:t>
      </w:r>
      <w:r>
        <w:t>.</w:t>
      </w:r>
    </w:p>
    <w:p w14:paraId="00F671C2" w14:textId="77777777" w:rsidR="00FC495C" w:rsidRPr="000B79A7" w:rsidRDefault="00FC495C" w:rsidP="00FC495C">
      <w:pPr>
        <w:pStyle w:val="Titre3"/>
        <w:spacing w:line="256" w:lineRule="auto"/>
      </w:pPr>
      <w:r w:rsidRPr="000B79A7">
        <w:t>(Arrêt manuel et programmation automatique du chauffage si occupation discontinue)</w:t>
      </w:r>
    </w:p>
    <w:p w14:paraId="0976E217" w14:textId="77777777" w:rsidR="00FC495C" w:rsidRDefault="00FC495C" w:rsidP="00FC495C">
      <w:r>
        <w:t>Dans le cas des bâtiments ou parties de bâtiment à usage autre que d'habitation, toute installation de chauffage desservant des locaux à occupation discontinue comporte un dispositif de commande manuelle et de programmation automatique au moins par une horloge permettant :</w:t>
      </w:r>
    </w:p>
    <w:p w14:paraId="30CC5231" w14:textId="77777777" w:rsidR="00FC495C" w:rsidRDefault="00FC495C" w:rsidP="00FC495C">
      <w:pPr>
        <w:numPr>
          <w:ilvl w:val="0"/>
          <w:numId w:val="10"/>
        </w:numPr>
        <w:spacing w:after="0" w:line="276" w:lineRule="auto"/>
      </w:pPr>
      <w:r>
        <w:t>une fourniture de chaleur selon les quatre allures suivantes : confort, réduit, hors gel et arrêt ;</w:t>
      </w:r>
    </w:p>
    <w:p w14:paraId="2979EBDE" w14:textId="77777777" w:rsidR="00FC495C" w:rsidRDefault="00FC495C" w:rsidP="00FC495C">
      <w:pPr>
        <w:numPr>
          <w:ilvl w:val="0"/>
          <w:numId w:val="10"/>
        </w:numPr>
        <w:spacing w:after="0" w:line="276" w:lineRule="auto"/>
      </w:pPr>
      <w:r>
        <w:t>une commutation automatique entre ces allures.</w:t>
      </w:r>
    </w:p>
    <w:p w14:paraId="455A7F79" w14:textId="77777777" w:rsidR="00FC495C" w:rsidRDefault="00FC495C" w:rsidP="00FC495C">
      <w:r>
        <w:t>Lors d'une commutation entre deux allures, la puissance de chauffage est nulle ou maximum de façon à minimiser les durées des phases de transition.</w:t>
      </w:r>
    </w:p>
    <w:p w14:paraId="3BD922A8" w14:textId="77777777" w:rsidR="00FC495C" w:rsidRDefault="00FC495C" w:rsidP="00FC495C">
      <w:r>
        <w:t>Un tel dispositif ne peut être commun qu'à des locaux dont les horaires d'occupation sont similaires. Un même dispositif peut desservir au plus une surface de 5 000 m².</w:t>
      </w:r>
    </w:p>
    <w:p w14:paraId="14135329" w14:textId="77777777" w:rsidR="00FC495C" w:rsidRPr="000B79A7" w:rsidRDefault="00FC495C" w:rsidP="00FC495C"/>
    <w:p w14:paraId="446A145A" w14:textId="075D9523" w:rsidR="00FC495C" w:rsidRDefault="00FC495C" w:rsidP="00FC495C">
      <w:pPr>
        <w:pStyle w:val="Titre3"/>
      </w:pPr>
      <w:bookmarkStart w:id="54" w:name="_Ref57976967"/>
      <w:r>
        <w:t>(Equilibrage des colonnes et</w:t>
      </w:r>
      <w:r w:rsidR="005C1BB6">
        <w:t xml:space="preserve"> </w:t>
      </w:r>
      <w:r>
        <w:t>arrêt des pompes : chauffage et refroidissement)</w:t>
      </w:r>
      <w:bookmarkEnd w:id="54"/>
    </w:p>
    <w:p w14:paraId="349B8CF9" w14:textId="77777777" w:rsidR="00FC495C" w:rsidRDefault="00FC495C" w:rsidP="00FC495C">
      <w:r>
        <w:t>Les réseaux collectifs de distribution à eau de chauffage ou de refroidissement sont munis d'un organe d'équilibrage en pied de chaque colonne.</w:t>
      </w:r>
    </w:p>
    <w:p w14:paraId="4E7C02D9" w14:textId="77777777" w:rsidR="00FC495C" w:rsidRDefault="00FC495C" w:rsidP="00FC495C">
      <w:r>
        <w:lastRenderedPageBreak/>
        <w:t>Les pompes des installations de chauffage et des installations de refroidissement sont munies de dispositifs permettant leur arrêt.</w:t>
      </w:r>
    </w:p>
    <w:p w14:paraId="0686293C" w14:textId="77777777" w:rsidR="00FC495C" w:rsidRDefault="00FC495C" w:rsidP="00FC495C"/>
    <w:p w14:paraId="63E89393" w14:textId="77777777" w:rsidR="00FC495C" w:rsidRPr="000B79A7" w:rsidRDefault="00FC495C" w:rsidP="00FC495C">
      <w:pPr>
        <w:pStyle w:val="Titre3"/>
      </w:pPr>
      <w:r>
        <w:t>(</w:t>
      </w:r>
      <w:r w:rsidRPr="000B79A7">
        <w:t>Arrêt manuel et réglage automatique du refroidissement)</w:t>
      </w:r>
    </w:p>
    <w:p w14:paraId="6C7251C1" w14:textId="77777777" w:rsidR="00FC495C" w:rsidRDefault="00FC495C" w:rsidP="00FC495C">
      <w:r>
        <w:t xml:space="preserve">Une installation de refroidissement comporte, par local desservi, un ou plusieurs dispositifs d'arrêt manuel et de réglage automatique de la fourniture de froid en fonction de la température intérieure. </w:t>
      </w:r>
    </w:p>
    <w:p w14:paraId="78B753C5" w14:textId="77777777" w:rsidR="00FC495C" w:rsidRDefault="00FC495C" w:rsidP="00FC495C">
      <w:r>
        <w:t>Toutefois :</w:t>
      </w:r>
    </w:p>
    <w:p w14:paraId="2C1593BF" w14:textId="77777777" w:rsidR="00FC495C" w:rsidRPr="000B79A7" w:rsidRDefault="00FC495C" w:rsidP="00FC495C">
      <w:pPr>
        <w:numPr>
          <w:ilvl w:val="0"/>
          <w:numId w:val="10"/>
        </w:numPr>
        <w:spacing w:after="0" w:line="276" w:lineRule="auto"/>
        <w:rPr>
          <w:color w:val="000000"/>
        </w:rPr>
      </w:pPr>
      <w:r>
        <w:t xml:space="preserve">lorsque le froid est fourni par un système à débit d'air variable, ce dispositif peut être commun à des </w:t>
      </w:r>
      <w:r w:rsidRPr="000B79A7">
        <w:rPr>
          <w:color w:val="000000"/>
        </w:rPr>
        <w:t>locaux d'une surface totale maximale de 100 m² sous réserve que la régulation du débit soufflé total se fasse sans augmentation de la perte de charge ;</w:t>
      </w:r>
    </w:p>
    <w:p w14:paraId="52D1BE82" w14:textId="77777777" w:rsidR="00FC495C" w:rsidRPr="000B79A7" w:rsidRDefault="00FC495C" w:rsidP="00FC495C">
      <w:pPr>
        <w:numPr>
          <w:ilvl w:val="0"/>
          <w:numId w:val="10"/>
        </w:numPr>
        <w:spacing w:after="0" w:line="276" w:lineRule="auto"/>
        <w:rPr>
          <w:color w:val="000000"/>
        </w:rPr>
      </w:pPr>
      <w:r w:rsidRPr="000B79A7">
        <w:rPr>
          <w:color w:val="000000"/>
        </w:rPr>
        <w:t>lorsque le froid est fourni par un plancher rafraîchissant, ce dispositif peut être commun à des locaux d'une surface totale maximale de 100 m² ;</w:t>
      </w:r>
    </w:p>
    <w:p w14:paraId="53865CF0" w14:textId="77777777" w:rsidR="00FC495C" w:rsidRPr="000B79A7" w:rsidRDefault="00FC495C" w:rsidP="00FC495C">
      <w:pPr>
        <w:numPr>
          <w:ilvl w:val="0"/>
          <w:numId w:val="10"/>
        </w:numPr>
        <w:spacing w:after="0" w:line="276" w:lineRule="auto"/>
        <w:rPr>
          <w:color w:val="000000"/>
        </w:rPr>
      </w:pPr>
      <w:r w:rsidRPr="000B79A7">
        <w:rPr>
          <w:color w:val="000000"/>
        </w:rPr>
        <w:t>pour les systèmes de "ventilo-convecteurs deux tubes froid seul", l'obligation du premier alinéa est considérée comme satisfaite lorsque chaque ventilateur est asservi à la température intérieure et que la production et la distribution d'eau froide sont munies d'un dispositif permettant leur programmation ;</w:t>
      </w:r>
    </w:p>
    <w:p w14:paraId="64A8499D" w14:textId="43F0D1AA" w:rsidR="00FC495C" w:rsidRDefault="00FC495C" w:rsidP="00FC495C">
      <w:pPr>
        <w:numPr>
          <w:ilvl w:val="0"/>
          <w:numId w:val="10"/>
        </w:numPr>
        <w:spacing w:after="0" w:line="276" w:lineRule="auto"/>
      </w:pPr>
      <w:r w:rsidRPr="000B79A7">
        <w:rPr>
          <w:color w:val="000000"/>
        </w:rPr>
        <w:t xml:space="preserve">pour les bâtiments ou parties de </w:t>
      </w:r>
      <w:r w:rsidRPr="00FC495C">
        <w:rPr>
          <w:color w:val="000000"/>
        </w:rPr>
        <w:t>bâtiment à usage d’habitation</w:t>
      </w:r>
      <w:r w:rsidRPr="000B79A7">
        <w:rPr>
          <w:color w:val="000000"/>
        </w:rPr>
        <w:t xml:space="preserve"> rafraîchis par refroidissement de l'air neuf sans accroissement</w:t>
      </w:r>
      <w:r>
        <w:t xml:space="preserve"> des débits traités au-delà du double des besoins d'hygiène, l'obligation du premier alinéa est considérée comme satisfaite si la fourniture de froid est, d'une part, régulée au moins en fonction de la température de reprise d'air et la température extérieure et, d'autre part, est interdite en période de chauffage.</w:t>
      </w:r>
      <w:r w:rsidRPr="00A40263">
        <w:t xml:space="preserve"> </w:t>
      </w:r>
    </w:p>
    <w:p w14:paraId="271CF17D" w14:textId="77777777" w:rsidR="00FC495C" w:rsidRDefault="00FC495C" w:rsidP="00FC495C">
      <w:pPr>
        <w:spacing w:after="0" w:line="276" w:lineRule="auto"/>
      </w:pPr>
    </w:p>
    <w:p w14:paraId="1C692001" w14:textId="77777777" w:rsidR="00FC495C" w:rsidRDefault="00FC495C" w:rsidP="00FC495C">
      <w:pPr>
        <w:spacing w:after="0" w:line="276" w:lineRule="auto"/>
      </w:pPr>
      <w:r w:rsidRPr="000B79A7">
        <w:t xml:space="preserve">Le réglage automatique </w:t>
      </w:r>
      <w:r>
        <w:t xml:space="preserve">est </w:t>
      </w:r>
      <w:r w:rsidRPr="000B79A7">
        <w:t xml:space="preserve">programmé </w:t>
      </w:r>
      <w:r>
        <w:t xml:space="preserve">de manière à </w:t>
      </w:r>
      <w:r w:rsidRPr="00A40263">
        <w:t>respecte</w:t>
      </w:r>
      <w:r>
        <w:t>r les exigences de</w:t>
      </w:r>
      <w:r w:rsidRPr="00A40263">
        <w:t xml:space="preserve"> l’article R.241-30 du code de l’énergie.</w:t>
      </w:r>
    </w:p>
    <w:p w14:paraId="07FD86CE" w14:textId="77777777" w:rsidR="00FC495C" w:rsidRDefault="00FC495C" w:rsidP="00FC495C"/>
    <w:p w14:paraId="24294868" w14:textId="77777777" w:rsidR="00FC495C" w:rsidRPr="000B79A7" w:rsidRDefault="00FC495C" w:rsidP="00FC495C">
      <w:pPr>
        <w:pStyle w:val="Titre3"/>
        <w:spacing w:line="256" w:lineRule="auto"/>
      </w:pPr>
      <w:r w:rsidRPr="000B79A7">
        <w:t xml:space="preserve"> (Fermeture automatique des portes d’accès à une zone refroidie)</w:t>
      </w:r>
    </w:p>
    <w:p w14:paraId="5ECB80C4" w14:textId="7F53B833" w:rsidR="00FC495C" w:rsidRDefault="00FC495C" w:rsidP="00FC495C">
      <w:r>
        <w:t>Les portes d'accès à une zone refroidie sont équipées d'un dispositif assurant leur fermeture après passage.</w:t>
      </w:r>
    </w:p>
    <w:p w14:paraId="4017C7E1" w14:textId="77777777" w:rsidR="00FC495C" w:rsidRPr="000B79A7" w:rsidRDefault="00FC495C" w:rsidP="00FC495C">
      <w:pPr>
        <w:pStyle w:val="Titre3"/>
      </w:pPr>
      <w:r w:rsidRPr="000B79A7">
        <w:t>(Interdiction de chauffer puis refroidir l’air)</w:t>
      </w:r>
    </w:p>
    <w:p w14:paraId="6B5BD30F" w14:textId="77777777" w:rsidR="00FC495C" w:rsidRDefault="00FC495C" w:rsidP="00FC495C">
      <w:r>
        <w:t xml:space="preserve">Avant émission finale dans le local, sauf dans le cas où le chauffage est obtenu par récupération sur la production de froid, l'air n'est pas chauffé puis refroidi, ou inversement, par des dispositifs utilisant de l'énergie et destinés par conception au chauffage ou au refroidissement de l'air. </w:t>
      </w:r>
    </w:p>
    <w:p w14:paraId="3CBCDBDD" w14:textId="77777777" w:rsidR="00FC495C" w:rsidRDefault="00FC495C" w:rsidP="00FC495C">
      <w:pPr>
        <w:pStyle w:val="Titre2"/>
      </w:pPr>
      <w:r>
        <w:t>ECLAIRAGE</w:t>
      </w:r>
    </w:p>
    <w:p w14:paraId="344B790A" w14:textId="44D08B98" w:rsidR="00FC495C" w:rsidRPr="000B79A7" w:rsidRDefault="00FC495C" w:rsidP="00FC495C">
      <w:pPr>
        <w:pStyle w:val="Titre3"/>
        <w:spacing w:line="256" w:lineRule="auto"/>
      </w:pPr>
      <w:r w:rsidRPr="000B79A7">
        <w:t>(Extinction et abaissement automatique de l’éclairage des parties communes</w:t>
      </w:r>
      <w:r>
        <w:t xml:space="preserve"> et parcs de stationnement</w:t>
      </w:r>
      <w:r w:rsidRPr="000B79A7">
        <w:t>)</w:t>
      </w:r>
    </w:p>
    <w:p w14:paraId="4CE07AB1" w14:textId="256EA729" w:rsidR="00FC495C" w:rsidRDefault="00FC495C" w:rsidP="00FC495C">
      <w:r>
        <w:t xml:space="preserve">Dans les circulations, les parties communes intérieures verticales et horizontales et les parcs de stationnement, </w:t>
      </w:r>
      <w:r w:rsidR="00D3536F">
        <w:t>toute</w:t>
      </w:r>
      <w:r>
        <w:t xml:space="preserve"> installation d'éclairage comporte</w:t>
      </w:r>
      <w:r w:rsidR="005C1BB6">
        <w:t>, pour chaque local,</w:t>
      </w:r>
      <w:r>
        <w:t xml:space="preserve"> un dispositif automatique permettant, lorsque le local </w:t>
      </w:r>
      <w:r w:rsidR="00BD40F0">
        <w:t xml:space="preserve">ou le parc de stationnement </w:t>
      </w:r>
      <w:r>
        <w:t>est inoccupé :</w:t>
      </w:r>
    </w:p>
    <w:p w14:paraId="6AFB0873" w14:textId="6E3AA222" w:rsidR="00FC495C" w:rsidRDefault="00FC495C" w:rsidP="00FC495C">
      <w:r>
        <w:lastRenderedPageBreak/>
        <w:t>-soit l'abaissement de l'éclairement au niveau minimum réglementaire;</w:t>
      </w:r>
    </w:p>
    <w:p w14:paraId="3B8A019B" w14:textId="77777777" w:rsidR="00FC495C" w:rsidRDefault="00FC495C" w:rsidP="00FC495C">
      <w:r>
        <w:t>-soit l'extinction des sources de lumière artificielle, si aucune réglementation n'impose un niveau minimal.</w:t>
      </w:r>
    </w:p>
    <w:p w14:paraId="555D7BB0" w14:textId="77777777" w:rsidR="00D3536F" w:rsidRDefault="00D3536F" w:rsidP="00D3536F">
      <w:r>
        <w:t>De plus, lorsque le local a accès à l'éclairage naturel, il intègre un dispositif permettant une extinction automatique du système d'éclairage dès que l'éclairement naturel est suffisant.</w:t>
      </w:r>
    </w:p>
    <w:p w14:paraId="386C7738" w14:textId="77777777" w:rsidR="00FC495C" w:rsidRDefault="00FC495C" w:rsidP="00FC495C"/>
    <w:p w14:paraId="4023F2DB" w14:textId="77777777" w:rsidR="00FC495C" w:rsidRDefault="00FC495C" w:rsidP="00FC495C">
      <w:r>
        <w:t>Un même dispositif dessert au plus :</w:t>
      </w:r>
    </w:p>
    <w:p w14:paraId="3307C89B" w14:textId="32F6C7C7" w:rsidR="00FC495C" w:rsidRDefault="00FC495C" w:rsidP="00FC495C">
      <w:r>
        <w:t>-une surface maximale de 100 m2 et un seul niveau pour les circulations horizontales et les parties communes intérieures ;</w:t>
      </w:r>
    </w:p>
    <w:p w14:paraId="5AB5E64B" w14:textId="77777777" w:rsidR="00FC495C" w:rsidRDefault="00FC495C" w:rsidP="00FC495C">
      <w:r>
        <w:t>-trois niveaux pour les circulations verticales ;</w:t>
      </w:r>
    </w:p>
    <w:p w14:paraId="68D1ECA6" w14:textId="77777777" w:rsidR="00FC495C" w:rsidRDefault="00FC495C" w:rsidP="00FC495C">
      <w:r>
        <w:t>-un seul niveau et au plus une surface de 500 m2 pour les espaces de stationnement.</w:t>
      </w:r>
      <w:r w:rsidDel="00FC495C">
        <w:t xml:space="preserve"> </w:t>
      </w:r>
    </w:p>
    <w:p w14:paraId="49A38B59" w14:textId="77777777" w:rsidR="00FC495C" w:rsidRPr="000B79A7" w:rsidRDefault="00FC495C" w:rsidP="00FC495C">
      <w:pPr>
        <w:pStyle w:val="Titre3"/>
      </w:pPr>
      <w:r w:rsidRPr="000B79A7">
        <w:t>(Eclairage : dispositif d’allumage et d’extinction manuel ou automatique)</w:t>
      </w:r>
    </w:p>
    <w:p w14:paraId="2225BE89" w14:textId="77777777" w:rsidR="00FC495C" w:rsidRDefault="00FC495C" w:rsidP="00FC495C">
      <w:r>
        <w:t>Dans les bâtiments ou parties de bâtiment à usage autre que d'habitation, tout local est équipé d'un dispositif d'allumage et d'extinction de l'éclairage manuel, ou automatique en fonction de la présence.</w:t>
      </w:r>
    </w:p>
    <w:p w14:paraId="1D0B4226" w14:textId="77777777" w:rsidR="00FC495C" w:rsidRPr="000B79A7" w:rsidRDefault="00FC495C" w:rsidP="00FC495C">
      <w:pPr>
        <w:pStyle w:val="Titre3"/>
        <w:spacing w:line="256" w:lineRule="auto"/>
      </w:pPr>
      <w:r w:rsidRPr="000B79A7">
        <w:t>(Eclairage : dispositif d’allumage et d’extinction pour les locaux avec commande par le personnel de gestion)</w:t>
      </w:r>
    </w:p>
    <w:p w14:paraId="53F55E01" w14:textId="77777777" w:rsidR="00FC495C" w:rsidRDefault="00FC495C" w:rsidP="00FC495C">
      <w:r>
        <w:t>Dans les bâtiments ou parties de bâtiment à usage autre que d'habitation, tout local dont la commande de l'éclairage est du ressort de son personnel de gestion, même durant les périodes d'occupation, comporte un dispositif permettant allumage et extinction de l'éclairage. Si ce dispositif n'est pas situé dans le local considéré, il permet de visualiser l'état de l'éclairage dans ce local depuis le lieu de commande.</w:t>
      </w:r>
    </w:p>
    <w:p w14:paraId="07244108" w14:textId="77777777" w:rsidR="00FC495C" w:rsidRPr="000B79A7" w:rsidRDefault="00FC495C" w:rsidP="00FC495C">
      <w:pPr>
        <w:pStyle w:val="Titre3"/>
        <w:spacing w:line="256" w:lineRule="auto"/>
      </w:pPr>
      <w:r w:rsidRPr="000B79A7">
        <w:t>(Commande automatique séparée des points d’éclairage placés à moins de 5m des baies)</w:t>
      </w:r>
    </w:p>
    <w:p w14:paraId="14DF7C44" w14:textId="77777777" w:rsidR="00FC495C" w:rsidRDefault="00FC495C" w:rsidP="00FC495C">
      <w:r>
        <w:t xml:space="preserve">Dans les bâtiments ou parties de bâtiment à usage autre que d'habitation, dans un même local, les points éclairés artificiellement, qui sont placés à moins de 5 m d'une baie, sont commandés séparément des autres points d'éclairage dès que la puissance totale installée dans chacune de ces positions est supérieure à 200 W. </w:t>
      </w:r>
    </w:p>
    <w:p w14:paraId="5CAF048F" w14:textId="77777777" w:rsidR="00FC495C" w:rsidRDefault="00FC495C" w:rsidP="00FC495C">
      <w:pPr>
        <w:pStyle w:val="Titre2"/>
      </w:pPr>
      <w:bookmarkStart w:id="55" w:name="_Ref57918002"/>
      <w:r>
        <w:t>VENTILATION</w:t>
      </w:r>
      <w:bookmarkEnd w:id="55"/>
    </w:p>
    <w:p w14:paraId="414EC335" w14:textId="77777777" w:rsidR="00FC495C" w:rsidRPr="000B79A7" w:rsidRDefault="00FC495C" w:rsidP="00FC495C">
      <w:pPr>
        <w:pStyle w:val="Titre3"/>
        <w:spacing w:line="256" w:lineRule="auto"/>
      </w:pPr>
      <w:r w:rsidRPr="000B79A7">
        <w:t xml:space="preserve"> (Ventilation par systèmes indépendants si l’occupation ou l’usage des locaux est nettement différent)</w:t>
      </w:r>
    </w:p>
    <w:p w14:paraId="05A39941" w14:textId="77777777" w:rsidR="00FC495C" w:rsidRDefault="00FC495C" w:rsidP="00FC495C">
      <w:r>
        <w:t>Dans le cas des bâtiments ou parties de bâtiment à usage autre que d'habitation, la ventilation des locaux ou groupes de locaux ayant des occupations ou des usages nettement différents est assurée par des systèmes indépendants.</w:t>
      </w:r>
    </w:p>
    <w:p w14:paraId="703B13A6" w14:textId="5A6AEDD5" w:rsidR="00FC495C" w:rsidRDefault="00FC495C" w:rsidP="00FC495C">
      <w:pPr>
        <w:pStyle w:val="Titre3"/>
        <w:spacing w:line="256" w:lineRule="auto"/>
      </w:pPr>
      <w:r w:rsidRPr="000B79A7">
        <w:t xml:space="preserve"> </w:t>
      </w:r>
      <w:bookmarkStart w:id="56" w:name="_Ref57977017"/>
      <w:r w:rsidRPr="000B79A7">
        <w:t>(Temporisation des débits d’air si possibilité de modification manuelle des débits)</w:t>
      </w:r>
      <w:bookmarkEnd w:id="56"/>
    </w:p>
    <w:p w14:paraId="1C03D1C6" w14:textId="59936714" w:rsidR="00FC495C" w:rsidRPr="00FC495C" w:rsidRDefault="00FC495C" w:rsidP="00FC495C">
      <w:r>
        <w:t>Dans le cas des bâtiments ou parties de bâtiment à usage autre que d'habitation équipé de systèmes mécanisés spécifiques de ventilation, tout dispositif de modification manuelle des débits d'air d'un local est temporisé</w:t>
      </w:r>
    </w:p>
    <w:p w14:paraId="1202E6A0" w14:textId="77777777" w:rsidR="00FC495C" w:rsidRDefault="00FC495C" w:rsidP="00FC495C"/>
    <w:p w14:paraId="1456384F" w14:textId="77777777" w:rsidR="00FC495C" w:rsidRDefault="00FC495C" w:rsidP="00FC495C"/>
    <w:p w14:paraId="2E445F1D" w14:textId="77777777" w:rsidR="00012B57" w:rsidRPr="00012B57" w:rsidRDefault="00012B57" w:rsidP="00012B57"/>
    <w:p w14:paraId="5E686963" w14:textId="77777777" w:rsidR="006921F1" w:rsidRDefault="006921F1" w:rsidP="00DF0DDD"/>
    <w:p w14:paraId="4EA453B3" w14:textId="1F54514A" w:rsidR="00E2614B" w:rsidRDefault="006921F1" w:rsidP="00DF0DDD">
      <w:pPr>
        <w:pStyle w:val="Titre1"/>
      </w:pPr>
      <w:bookmarkStart w:id="57" w:name="_Ref57400734"/>
      <w:r w:rsidRPr="006921F1">
        <w:t>APPROBATION DE MODES D’APPLICATION SIMPLIFIES EN MAISON INDIVIDUELLE</w:t>
      </w:r>
      <w:bookmarkEnd w:id="57"/>
    </w:p>
    <w:p w14:paraId="70E055A3" w14:textId="4553F536" w:rsidR="00E2614B" w:rsidRDefault="004A1D3F" w:rsidP="00DF0DDD">
      <w:pPr>
        <w:pStyle w:val="Titre3"/>
      </w:pPr>
      <w:r>
        <w:t xml:space="preserve"> </w:t>
      </w:r>
      <w:bookmarkStart w:id="58" w:name="_Ref49507613"/>
      <w:r>
        <w:t>(</w:t>
      </w:r>
      <w:r w:rsidR="006921F1">
        <w:t>Définition du mode d’application simplifié ; périmètre</w:t>
      </w:r>
      <w:r>
        <w:t>)</w:t>
      </w:r>
      <w:bookmarkEnd w:id="58"/>
      <w:r>
        <w:t xml:space="preserve"> </w:t>
      </w:r>
    </w:p>
    <w:p w14:paraId="0E60FBC4" w14:textId="0E769278" w:rsidR="004A1D3F" w:rsidRDefault="004A1D3F" w:rsidP="004A1D3F">
      <w:r>
        <w:t xml:space="preserve">Un mode d'application simplifié est une combinaison de caractéristiques architecturales, de performances </w:t>
      </w:r>
      <w:r w:rsidR="00324401">
        <w:t xml:space="preserve">énergétiques et environnementales </w:t>
      </w:r>
      <w:r>
        <w:t xml:space="preserve">des ouvrages et équipements attachée à une famille définie de maisons individuelles, </w:t>
      </w:r>
      <w:r w:rsidR="007361B2">
        <w:t>approuvée par</w:t>
      </w:r>
      <w:r>
        <w:t xml:space="preserve"> le ministre chargé de la construction et de l'habitation et par le ministre chargé de l'énergie</w:t>
      </w:r>
      <w:r w:rsidR="004F123B">
        <w:t xml:space="preserve">. </w:t>
      </w:r>
      <w:r w:rsidR="00324401">
        <w:t xml:space="preserve">Il </w:t>
      </w:r>
      <w:r w:rsidR="004F123B">
        <w:t>constitue</w:t>
      </w:r>
      <w:r w:rsidR="006B19DB">
        <w:t xml:space="preserve"> </w:t>
      </w:r>
      <w:r w:rsidR="006B19DB" w:rsidRPr="00580EBA">
        <w:t xml:space="preserve">une solution </w:t>
      </w:r>
      <w:r w:rsidR="005C1255">
        <w:t xml:space="preserve">technique </w:t>
      </w:r>
      <w:r w:rsidR="00B64F22">
        <w:t xml:space="preserve">au sens du II. de l’article </w:t>
      </w:r>
      <w:r w:rsidR="00B64F22" w:rsidRPr="00B64F22">
        <w:rPr>
          <w:highlight w:val="yellow"/>
        </w:rPr>
        <w:t>[L.112-4]</w:t>
      </w:r>
      <w:r w:rsidR="00B64F22">
        <w:t xml:space="preserve"> du code de la construction et de l’habitation</w:t>
      </w:r>
      <w:r w:rsidR="006B19DB" w:rsidRPr="00580EBA">
        <w:t xml:space="preserve"> aux</w:t>
      </w:r>
      <w:r w:rsidRPr="00580EBA">
        <w:t xml:space="preserve"> dispositions</w:t>
      </w:r>
      <w:r>
        <w:t xml:space="preserve"> du présent arrêté pour tous les bâtiments de cette famille.</w:t>
      </w:r>
    </w:p>
    <w:p w14:paraId="39A7559C" w14:textId="77777777" w:rsidR="004A1D3F" w:rsidRDefault="004A1D3F" w:rsidP="004A1D3F">
      <w:r>
        <w:t>Le recours à un mode d'application simplifié ne peut se faire qu'en l'utilisant sous sa forme intégrale.</w:t>
      </w:r>
    </w:p>
    <w:p w14:paraId="3B0B8E04" w14:textId="08054125" w:rsidR="004A1D3F" w:rsidRPr="004A1D3F" w:rsidRDefault="004A1D3F" w:rsidP="004A1D3F"/>
    <w:p w14:paraId="29154376" w14:textId="434C7A9F" w:rsidR="006921F1" w:rsidRDefault="00697894" w:rsidP="00DF0DDD">
      <w:pPr>
        <w:pStyle w:val="Titre3"/>
      </w:pPr>
      <w:r>
        <w:t xml:space="preserve"> (</w:t>
      </w:r>
      <w:r w:rsidR="006921F1">
        <w:t xml:space="preserve">Demande </w:t>
      </w:r>
      <w:r w:rsidR="00FC495C">
        <w:t>d’approbation</w:t>
      </w:r>
      <w:r>
        <w:t xml:space="preserve">) </w:t>
      </w:r>
    </w:p>
    <w:p w14:paraId="1B1FF8BE" w14:textId="28CECF5E" w:rsidR="00697894" w:rsidRDefault="00697894" w:rsidP="00697894">
      <w:r>
        <w:t xml:space="preserve">La demande </w:t>
      </w:r>
      <w:r w:rsidR="00FC495C">
        <w:t xml:space="preserve">d’approbation </w:t>
      </w:r>
      <w:r w:rsidR="005C1255">
        <w:t xml:space="preserve">d’un </w:t>
      </w:r>
      <w:r>
        <w:t xml:space="preserve">mode d'application simplifié est adressée </w:t>
      </w:r>
      <w:r w:rsidRPr="00AA57C7">
        <w:t>au ministre chargé de l'énergie et au ministre chargé de la construction</w:t>
      </w:r>
      <w:r w:rsidR="005C1255">
        <w:t>,</w:t>
      </w:r>
      <w:r w:rsidRPr="00697894">
        <w:t xml:space="preserve"> </w:t>
      </w:r>
      <w:r>
        <w:t xml:space="preserve">accompagnée d'un dossier d'études composé comme indiqué en </w:t>
      </w:r>
      <w:r w:rsidR="00866253">
        <w:fldChar w:fldCharType="begin"/>
      </w:r>
      <w:r w:rsidR="00866253">
        <w:instrText xml:space="preserve"> REF _Ref49508336 \r </w:instrText>
      </w:r>
      <w:r w:rsidR="00866253">
        <w:fldChar w:fldCharType="separate"/>
      </w:r>
      <w:r w:rsidR="00003F58">
        <w:t>ANNEXE IX</w:t>
      </w:r>
      <w:r w:rsidR="00866253">
        <w:fldChar w:fldCharType="end"/>
      </w:r>
      <w:r w:rsidR="00003F58">
        <w:t>.</w:t>
      </w:r>
    </w:p>
    <w:p w14:paraId="44D6E8BF" w14:textId="31FCC90A" w:rsidR="006921F1" w:rsidRDefault="00697894" w:rsidP="00DF0DDD">
      <w:pPr>
        <w:pStyle w:val="Titre3"/>
      </w:pPr>
      <w:r>
        <w:t>(</w:t>
      </w:r>
      <w:r w:rsidR="006921F1">
        <w:t>conditions d’</w:t>
      </w:r>
      <w:r w:rsidR="00210944">
        <w:t>approbation</w:t>
      </w:r>
      <w:r>
        <w:t xml:space="preserve">) </w:t>
      </w:r>
    </w:p>
    <w:p w14:paraId="410A9D3A" w14:textId="00C96D3E" w:rsidR="00697894" w:rsidRDefault="00697894" w:rsidP="00697894">
      <w:r>
        <w:t xml:space="preserve">Le ministre chargé </w:t>
      </w:r>
      <w:r w:rsidRPr="00AA57C7">
        <w:t>de l'énergie et le ministre chargé de</w:t>
      </w:r>
      <w:r w:rsidRPr="00697894">
        <w:t xml:space="preserve"> la construction </w:t>
      </w:r>
      <w:r w:rsidR="009E18E5" w:rsidRPr="00AA57C7">
        <w:t xml:space="preserve">peuvent </w:t>
      </w:r>
      <w:r w:rsidR="00FC495C">
        <w:t xml:space="preserve">approuver </w:t>
      </w:r>
      <w:r>
        <w:t>le mode d'application simplifié pour une durée déterminée après avis d'une commission d'experts constituée à cet effet.</w:t>
      </w:r>
    </w:p>
    <w:p w14:paraId="2B32FEAE" w14:textId="77777777" w:rsidR="00697894" w:rsidRDefault="00697894" w:rsidP="00697894">
      <w:r>
        <w:t>La commission émet un avis consigné dans un procès-verbal après examen du mode d'application simplifié proposé et en prenant en compte notamment les éléments suivants :</w:t>
      </w:r>
    </w:p>
    <w:p w14:paraId="621F5EB9" w14:textId="0D9D78DB" w:rsidR="00697894" w:rsidRDefault="007F40E5" w:rsidP="007F40E5">
      <w:pPr>
        <w:pStyle w:val="Paragraphedeliste"/>
        <w:numPr>
          <w:ilvl w:val="0"/>
          <w:numId w:val="1"/>
        </w:numPr>
      </w:pPr>
      <w:r>
        <w:t xml:space="preserve">la </w:t>
      </w:r>
      <w:r w:rsidR="00697894">
        <w:t xml:space="preserve">définition des </w:t>
      </w:r>
      <w:r w:rsidR="00697894" w:rsidRPr="00B64F22">
        <w:t>maisons individuelles</w:t>
      </w:r>
      <w:r w:rsidR="00697894">
        <w:t xml:space="preserve"> visées ;</w:t>
      </w:r>
    </w:p>
    <w:p w14:paraId="3DCD6D3F" w14:textId="622E4485" w:rsidR="00697894" w:rsidRDefault="007F40E5" w:rsidP="007F40E5">
      <w:pPr>
        <w:pStyle w:val="Paragraphedeliste"/>
        <w:numPr>
          <w:ilvl w:val="0"/>
          <w:numId w:val="1"/>
        </w:numPr>
      </w:pPr>
      <w:r>
        <w:t xml:space="preserve">la </w:t>
      </w:r>
      <w:r w:rsidR="00697894">
        <w:t>définition et pertinence de l'échantillon sur lequel s'effectue la vérification de la fiabilité du mode d'application simplifié ;</w:t>
      </w:r>
    </w:p>
    <w:p w14:paraId="4D604104" w14:textId="2CB90704" w:rsidR="00697894" w:rsidRDefault="007F40E5" w:rsidP="007F40E5">
      <w:pPr>
        <w:pStyle w:val="Paragraphedeliste"/>
        <w:numPr>
          <w:ilvl w:val="0"/>
          <w:numId w:val="1"/>
        </w:numPr>
      </w:pPr>
      <w:r>
        <w:t xml:space="preserve">la </w:t>
      </w:r>
      <w:r w:rsidR="005C1255">
        <w:t xml:space="preserve">description du fonctionnement </w:t>
      </w:r>
      <w:r w:rsidR="00697894">
        <w:t>du mode d'application simplifié ;</w:t>
      </w:r>
    </w:p>
    <w:p w14:paraId="769F5D89" w14:textId="558AD7B8" w:rsidR="00697894" w:rsidRDefault="007F40E5" w:rsidP="007F40E5">
      <w:pPr>
        <w:pStyle w:val="Paragraphedeliste"/>
        <w:numPr>
          <w:ilvl w:val="0"/>
          <w:numId w:val="1"/>
        </w:numPr>
      </w:pPr>
      <w:r>
        <w:t xml:space="preserve">le </w:t>
      </w:r>
      <w:r w:rsidR="00697894">
        <w:t>respect des caractéristiques indiquées au titre III ;</w:t>
      </w:r>
    </w:p>
    <w:p w14:paraId="3A674439" w14:textId="076A1BD9" w:rsidR="000C3CCD" w:rsidRDefault="007F40E5" w:rsidP="007F40E5">
      <w:pPr>
        <w:pStyle w:val="Paragraphedeliste"/>
        <w:numPr>
          <w:ilvl w:val="0"/>
          <w:numId w:val="1"/>
        </w:numPr>
      </w:pPr>
      <w:r>
        <w:t xml:space="preserve">la </w:t>
      </w:r>
      <w:r w:rsidR="00697894">
        <w:t xml:space="preserve">variation </w:t>
      </w:r>
      <w:r w:rsidR="000C3CCD">
        <w:t>entre les valeurs obtenues avec le mode d’application simplifié et celles obtenues avec la méthode de calcul fixée à l’</w:t>
      </w:r>
      <w:r w:rsidR="00866253">
        <w:fldChar w:fldCharType="begin"/>
      </w:r>
      <w:r w:rsidR="00866253">
        <w:instrText xml:space="preserve"> REF _Ref49446041 \r </w:instrText>
      </w:r>
      <w:r w:rsidR="00866253">
        <w:fldChar w:fldCharType="separate"/>
      </w:r>
      <w:r w:rsidR="00E9780A">
        <w:t>Article 17</w:t>
      </w:r>
      <w:r w:rsidR="00866253">
        <w:fldChar w:fldCharType="end"/>
      </w:r>
      <w:r w:rsidR="000C3CCD">
        <w:t>,</w:t>
      </w:r>
      <w:r w:rsidR="00697894">
        <w:t xml:space="preserve"> sur </w:t>
      </w:r>
      <w:r w:rsidR="005C1255">
        <w:t xml:space="preserve">un échantillon </w:t>
      </w:r>
      <w:r w:rsidR="00697894">
        <w:t>représe</w:t>
      </w:r>
      <w:r w:rsidR="000C3CCD">
        <w:t xml:space="preserve">ntatif du domaine d'application, pour les indicateurs fixés aux </w:t>
      </w:r>
      <w:r w:rsidR="00866253">
        <w:fldChar w:fldCharType="begin"/>
      </w:r>
      <w:r w:rsidR="00866253">
        <w:instrText xml:space="preserve"> REF _Ref49445983 \r </w:instrText>
      </w:r>
      <w:r w:rsidR="00866253">
        <w:fldChar w:fldCharType="separate"/>
      </w:r>
      <w:r w:rsidR="00E9780A">
        <w:t>Article 6</w:t>
      </w:r>
      <w:r w:rsidR="00866253">
        <w:fldChar w:fldCharType="end"/>
      </w:r>
      <w:r w:rsidR="000C3CCD">
        <w:t xml:space="preserve"> à </w:t>
      </w:r>
      <w:r w:rsidR="00866253">
        <w:fldChar w:fldCharType="begin"/>
      </w:r>
      <w:r w:rsidR="00866253">
        <w:instrText xml:space="preserve"> REF _Ref49445</w:instrText>
      </w:r>
      <w:r w:rsidR="00866253">
        <w:instrText xml:space="preserve">995 \r </w:instrText>
      </w:r>
      <w:r w:rsidR="00866253">
        <w:fldChar w:fldCharType="separate"/>
      </w:r>
      <w:r w:rsidR="00E9780A">
        <w:t>Article 8</w:t>
      </w:r>
      <w:r w:rsidR="00866253">
        <w:fldChar w:fldCharType="end"/>
      </w:r>
      <w:r w:rsidR="000C3CCD">
        <w:t xml:space="preserve"> et pour les exigences de performance fixées au </w:t>
      </w:r>
      <w:r w:rsidR="00866253">
        <w:fldChar w:fldCharType="begin"/>
      </w:r>
      <w:r w:rsidR="00866253">
        <w:instrText xml:space="preserve"> REF _Ref49509178 \r </w:instrText>
      </w:r>
      <w:r w:rsidR="00866253">
        <w:fldChar w:fldCharType="separate"/>
      </w:r>
      <w:r w:rsidR="00E9780A">
        <w:t>CHAPITRE V</w:t>
      </w:r>
      <w:r w:rsidR="00866253">
        <w:fldChar w:fldCharType="end"/>
      </w:r>
      <w:r w:rsidR="000C3CCD">
        <w:t>.</w:t>
      </w:r>
    </w:p>
    <w:p w14:paraId="2013B69C" w14:textId="77777777" w:rsidR="000C3CCD" w:rsidRDefault="000C3CCD" w:rsidP="000C3CCD"/>
    <w:p w14:paraId="717684D7" w14:textId="3F801CC4" w:rsidR="006921F1" w:rsidRDefault="006921F1" w:rsidP="00DF0DDD">
      <w:pPr>
        <w:pStyle w:val="Titre1"/>
      </w:pPr>
      <w:bookmarkStart w:id="59" w:name="_Ref57884999"/>
      <w:r>
        <w:t>CAS PARTICULIERS</w:t>
      </w:r>
      <w:bookmarkEnd w:id="59"/>
    </w:p>
    <w:p w14:paraId="67D40398" w14:textId="1F5BA484" w:rsidR="00E04AE5" w:rsidRDefault="00E04AE5" w:rsidP="00E04AE5">
      <w:pPr>
        <w:pStyle w:val="Titre3"/>
      </w:pPr>
      <w:r>
        <w:lastRenderedPageBreak/>
        <w:t xml:space="preserve"> </w:t>
      </w:r>
      <w:bookmarkStart w:id="60" w:name="_Ref57885378"/>
      <w:r>
        <w:t>(</w:t>
      </w:r>
      <w:r w:rsidR="006921F1">
        <w:t>Périmètre, demande de prise en compte des spécificités</w:t>
      </w:r>
      <w:r>
        <w:t>)</w:t>
      </w:r>
      <w:bookmarkEnd w:id="60"/>
      <w:r>
        <w:t xml:space="preserve"> </w:t>
      </w:r>
    </w:p>
    <w:p w14:paraId="5BC33F66" w14:textId="7CBE22C2" w:rsidR="0074061C" w:rsidRDefault="00E04AE5" w:rsidP="00E04AE5">
      <w:r>
        <w:t>Dans le cas où la méthode de calcul mentionnée à l’</w:t>
      </w:r>
      <w:r w:rsidR="00866253">
        <w:fldChar w:fldCharType="begin"/>
      </w:r>
      <w:r w:rsidR="00866253">
        <w:instrText xml:space="preserve"> REF _Ref49446041 \r </w:instrText>
      </w:r>
      <w:r w:rsidR="00866253">
        <w:fldChar w:fldCharType="separate"/>
      </w:r>
      <w:r w:rsidR="00E9780A">
        <w:t>Article 17</w:t>
      </w:r>
      <w:r w:rsidR="00866253">
        <w:fldChar w:fldCharType="end"/>
      </w:r>
      <w:r>
        <w:t xml:space="preserve"> ne prend pas en compte les spécificités d'un projet de construction, une demande </w:t>
      </w:r>
      <w:r w:rsidR="00FC495C">
        <w:t xml:space="preserve">d’approbation </w:t>
      </w:r>
      <w:r>
        <w:t xml:space="preserve">du projet </w:t>
      </w:r>
      <w:r w:rsidR="007F40E5">
        <w:t>est</w:t>
      </w:r>
      <w:r>
        <w:t xml:space="preserve"> adressée </w:t>
      </w:r>
      <w:r w:rsidR="0074061C">
        <w:t>au</w:t>
      </w:r>
      <w:r w:rsidR="0074061C" w:rsidRPr="00697894">
        <w:t xml:space="preserve"> ministre </w:t>
      </w:r>
      <w:r w:rsidR="0074061C" w:rsidRPr="00AA57C7">
        <w:t>chargé de l'énergie</w:t>
      </w:r>
      <w:r w:rsidR="009E18E5" w:rsidRPr="00AA57C7">
        <w:t xml:space="preserve"> </w:t>
      </w:r>
      <w:r w:rsidR="0074061C" w:rsidRPr="00AA57C7">
        <w:t>et au ministre chargé de</w:t>
      </w:r>
      <w:r w:rsidR="0074061C" w:rsidRPr="00697894">
        <w:t xml:space="preserve"> la construction</w:t>
      </w:r>
      <w:r>
        <w:t xml:space="preserve">. </w:t>
      </w:r>
    </w:p>
    <w:p w14:paraId="655EB8EC" w14:textId="0B47D116" w:rsidR="002A23D0" w:rsidRPr="00324401" w:rsidRDefault="0074061C" w:rsidP="00E04AE5">
      <w:r w:rsidRPr="0074061C">
        <w:t>Dans le</w:t>
      </w:r>
      <w:r w:rsidR="002A23D0">
        <w:t>s</w:t>
      </w:r>
      <w:r w:rsidRPr="0074061C">
        <w:t xml:space="preserve"> cas </w:t>
      </w:r>
      <w:r w:rsidR="002A23D0">
        <w:t>suivants,</w:t>
      </w:r>
      <w:r w:rsidR="002A23D0" w:rsidRPr="002A23D0">
        <w:t xml:space="preserve"> une demande </w:t>
      </w:r>
      <w:r w:rsidR="00FC495C">
        <w:t>d’approbation</w:t>
      </w:r>
      <w:r w:rsidR="00FC495C" w:rsidRPr="002A23D0">
        <w:t xml:space="preserve"> </w:t>
      </w:r>
      <w:r w:rsidR="002A23D0" w:rsidRPr="002A23D0">
        <w:t xml:space="preserve">du projet ou de la méthode de justification de la performance du système ou du réseau de chaleur ou de froid </w:t>
      </w:r>
      <w:r w:rsidR="002A23D0">
        <w:t>peut</w:t>
      </w:r>
      <w:r w:rsidR="002A23D0" w:rsidRPr="002A23D0">
        <w:t xml:space="preserve"> être adressée au ministre chargé de </w:t>
      </w:r>
      <w:r w:rsidR="002A23D0" w:rsidRPr="00AA57C7">
        <w:t>l'énergie</w:t>
      </w:r>
      <w:r w:rsidR="009E18E5" w:rsidRPr="00AA57C7">
        <w:t xml:space="preserve"> </w:t>
      </w:r>
      <w:r w:rsidR="002A23D0" w:rsidRPr="00AA57C7">
        <w:t>et au ministre</w:t>
      </w:r>
      <w:r w:rsidR="002A23D0">
        <w:t xml:space="preserve"> chargé de la </w:t>
      </w:r>
      <w:r w:rsidR="002A23D0" w:rsidRPr="00324401">
        <w:t>construction :</w:t>
      </w:r>
    </w:p>
    <w:p w14:paraId="5BE12FC6" w14:textId="652DD029" w:rsidR="002A23D0" w:rsidRPr="00324401" w:rsidRDefault="002A23D0" w:rsidP="007F40E5">
      <w:pPr>
        <w:pStyle w:val="Paragraphedeliste"/>
        <w:numPr>
          <w:ilvl w:val="0"/>
          <w:numId w:val="1"/>
        </w:numPr>
      </w:pPr>
      <w:r w:rsidRPr="00324401">
        <w:t>Si</w:t>
      </w:r>
      <w:r w:rsidR="0074061C" w:rsidRPr="00324401">
        <w:t xml:space="preserve"> la méthode de calcul mentionnée à l’</w:t>
      </w:r>
      <w:r w:rsidR="00580EBA" w:rsidRPr="00324401">
        <w:fldChar w:fldCharType="begin"/>
      </w:r>
      <w:r w:rsidR="00580EBA" w:rsidRPr="00324401">
        <w:instrText xml:space="preserve"> REF _Ref49446041 \r \h </w:instrText>
      </w:r>
      <w:r w:rsidR="00324401">
        <w:instrText xml:space="preserve"> \* MERGEFORMAT </w:instrText>
      </w:r>
      <w:r w:rsidR="00580EBA" w:rsidRPr="00324401">
        <w:fldChar w:fldCharType="separate"/>
      </w:r>
      <w:r w:rsidR="00E9780A">
        <w:t>Article 17</w:t>
      </w:r>
      <w:r w:rsidR="00580EBA" w:rsidRPr="00324401">
        <w:fldChar w:fldCharType="end"/>
      </w:r>
      <w:r w:rsidR="00324401">
        <w:t xml:space="preserve"> </w:t>
      </w:r>
      <w:r w:rsidR="0074061C" w:rsidRPr="00324401">
        <w:t xml:space="preserve">ne prend pas en compte les spécificités </w:t>
      </w:r>
      <w:r w:rsidR="00E04AE5" w:rsidRPr="00324401">
        <w:t>d'un système</w:t>
      </w:r>
      <w:r w:rsidRPr="00324401">
        <w:t> ;</w:t>
      </w:r>
    </w:p>
    <w:p w14:paraId="4E4B0BBD" w14:textId="2F927814" w:rsidR="002A23D0" w:rsidRPr="00324401" w:rsidRDefault="002A23D0" w:rsidP="007F40E5">
      <w:pPr>
        <w:pStyle w:val="Paragraphedeliste"/>
        <w:numPr>
          <w:ilvl w:val="0"/>
          <w:numId w:val="1"/>
        </w:numPr>
      </w:pPr>
      <w:r w:rsidRPr="00324401">
        <w:t xml:space="preserve">Si </w:t>
      </w:r>
      <w:r w:rsidR="00E04AE5" w:rsidRPr="00324401">
        <w:t>un réseau de chaleur ou de froid</w:t>
      </w:r>
      <w:r w:rsidR="0074061C" w:rsidRPr="00324401">
        <w:t xml:space="preserve"> </w:t>
      </w:r>
      <w:r w:rsidRPr="00324401">
        <w:t xml:space="preserve">urbain </w:t>
      </w:r>
      <w:r w:rsidR="0074061C" w:rsidRPr="00324401">
        <w:t>est créé</w:t>
      </w:r>
      <w:r w:rsidRPr="00324401">
        <w:t> ;</w:t>
      </w:r>
    </w:p>
    <w:p w14:paraId="6E05A6D8" w14:textId="2E2B0694" w:rsidR="0074061C" w:rsidRPr="00324401" w:rsidRDefault="002A23D0" w:rsidP="007F40E5">
      <w:pPr>
        <w:pStyle w:val="Paragraphedeliste"/>
        <w:numPr>
          <w:ilvl w:val="0"/>
          <w:numId w:val="1"/>
        </w:numPr>
      </w:pPr>
      <w:r w:rsidRPr="00324401">
        <w:t>Si des travaux de modification d’un réseau de chaleur ou de froid sont susceptible</w:t>
      </w:r>
      <w:r w:rsidR="00142788" w:rsidRPr="00324401">
        <w:t>s</w:t>
      </w:r>
      <w:r w:rsidRPr="00324401">
        <w:t xml:space="preserve"> d’engendrer une évolution importante de </w:t>
      </w:r>
      <w:r w:rsidR="004F123B" w:rsidRPr="00324401">
        <w:t xml:space="preserve">son </w:t>
      </w:r>
      <w:r w:rsidR="007E0C63" w:rsidRPr="00324401">
        <w:t xml:space="preserve">facteur d’émission ou de son ratio d’énergie renouvelable et de récupération </w:t>
      </w:r>
      <w:r w:rsidR="004F123B" w:rsidRPr="00324401">
        <w:t>prévus</w:t>
      </w:r>
      <w:r w:rsidR="007E0C63" w:rsidRPr="00324401">
        <w:t xml:space="preserve"> </w:t>
      </w:r>
      <w:r w:rsidR="00324401" w:rsidRPr="00324401">
        <w:t xml:space="preserve">aux </w:t>
      </w:r>
      <w:r w:rsidR="00324401" w:rsidRPr="00324401">
        <w:fldChar w:fldCharType="begin"/>
      </w:r>
      <w:r w:rsidR="00324401" w:rsidRPr="00324401">
        <w:instrText xml:space="preserve"> REF _Ref57897368 \r \h </w:instrText>
      </w:r>
      <w:r w:rsidR="00324401">
        <w:instrText xml:space="preserve"> \* MERGEFORMAT </w:instrText>
      </w:r>
      <w:r w:rsidR="00324401" w:rsidRPr="00324401">
        <w:fldChar w:fldCharType="separate"/>
      </w:r>
      <w:r w:rsidR="00E9780A">
        <w:t>Article 18</w:t>
      </w:r>
      <w:r w:rsidR="00324401" w:rsidRPr="00324401">
        <w:fldChar w:fldCharType="end"/>
      </w:r>
      <w:r w:rsidR="00324401" w:rsidRPr="00324401">
        <w:t xml:space="preserve"> et </w:t>
      </w:r>
      <w:r w:rsidR="00003F58">
        <w:fldChar w:fldCharType="begin"/>
      </w:r>
      <w:r w:rsidR="00003F58">
        <w:instrText xml:space="preserve"> REF _Ref57989590 \r \h </w:instrText>
      </w:r>
      <w:r w:rsidR="00003F58">
        <w:fldChar w:fldCharType="separate"/>
      </w:r>
      <w:r w:rsidR="00003F58">
        <w:t>Article 19</w:t>
      </w:r>
      <w:r w:rsidR="00003F58">
        <w:fldChar w:fldCharType="end"/>
      </w:r>
      <w:r w:rsidRPr="00324401">
        <w:t xml:space="preserve">. </w:t>
      </w:r>
    </w:p>
    <w:p w14:paraId="1E289180" w14:textId="1976315A" w:rsidR="00E04AE5" w:rsidRDefault="002A23D0" w:rsidP="00E04AE5">
      <w:r w:rsidRPr="00324401">
        <w:t xml:space="preserve">Les demandes </w:t>
      </w:r>
      <w:r w:rsidR="00FC495C">
        <w:t>d’approbation</w:t>
      </w:r>
      <w:r w:rsidR="00FC495C" w:rsidRPr="00324401">
        <w:t xml:space="preserve"> </w:t>
      </w:r>
      <w:r w:rsidRPr="00324401">
        <w:t xml:space="preserve">sont accompagnées d'un dossier d'études composé comme indiqué en </w:t>
      </w:r>
      <w:r w:rsidR="00003F58">
        <w:fldChar w:fldCharType="begin"/>
      </w:r>
      <w:r w:rsidR="00003F58">
        <w:instrText xml:space="preserve"> REF _Ref49508336 \r \h </w:instrText>
      </w:r>
      <w:r w:rsidR="00003F58">
        <w:fldChar w:fldCharType="separate"/>
      </w:r>
      <w:r w:rsidR="00003F58">
        <w:t>ANNEXE IX</w:t>
      </w:r>
      <w:r w:rsidR="00003F58">
        <w:fldChar w:fldCharType="end"/>
      </w:r>
      <w:r w:rsidR="00003F58">
        <w:t xml:space="preserve"> </w:t>
      </w:r>
      <w:r w:rsidRPr="00324401">
        <w:t xml:space="preserve">qui établit notamment en quoi </w:t>
      </w:r>
      <w:r w:rsidR="00324401" w:rsidRPr="00324401">
        <w:t xml:space="preserve">la </w:t>
      </w:r>
      <w:r w:rsidRPr="00324401">
        <w:t>méthode de calcul</w:t>
      </w:r>
      <w:r w:rsidR="00324401" w:rsidRPr="00324401">
        <w:t xml:space="preserve"> mentionnée à l’</w:t>
      </w:r>
      <w:r w:rsidR="00324401" w:rsidRPr="00324401">
        <w:fldChar w:fldCharType="begin"/>
      </w:r>
      <w:r w:rsidR="00324401" w:rsidRPr="00324401">
        <w:instrText xml:space="preserve"> REF _Ref49446041 \r \h </w:instrText>
      </w:r>
      <w:r w:rsidR="00324401">
        <w:instrText xml:space="preserve"> \* MERGEFORMAT </w:instrText>
      </w:r>
      <w:r w:rsidR="00324401" w:rsidRPr="00324401">
        <w:fldChar w:fldCharType="separate"/>
      </w:r>
      <w:r w:rsidR="00E9780A">
        <w:t>Article 17</w:t>
      </w:r>
      <w:r w:rsidR="00324401" w:rsidRPr="00324401">
        <w:fldChar w:fldCharType="end"/>
      </w:r>
      <w:r w:rsidRPr="002A23D0">
        <w:t xml:space="preserve"> ne prend pas en compte les spécificités du projet de construction</w:t>
      </w:r>
      <w:r>
        <w:t xml:space="preserve"> ou du système, le cas échéant</w:t>
      </w:r>
      <w:r w:rsidRPr="002A23D0">
        <w:t xml:space="preserve">. </w:t>
      </w:r>
    </w:p>
    <w:p w14:paraId="77FC03CD" w14:textId="19B00D6E" w:rsidR="006921F1" w:rsidRDefault="00E04AE5" w:rsidP="00DF0DDD">
      <w:pPr>
        <w:pStyle w:val="Titre3"/>
      </w:pPr>
      <w:r>
        <w:t>(</w:t>
      </w:r>
      <w:r w:rsidR="00AB6ABD">
        <w:t>Conditions d’</w:t>
      </w:r>
      <w:r w:rsidR="00FC495C">
        <w:t xml:space="preserve">approbation </w:t>
      </w:r>
      <w:r>
        <w:t xml:space="preserve">) </w:t>
      </w:r>
    </w:p>
    <w:p w14:paraId="177624FB" w14:textId="11FFF8A0" w:rsidR="009547F1" w:rsidRDefault="009547F1" w:rsidP="009547F1">
      <w:r w:rsidRPr="009547F1">
        <w:t xml:space="preserve">Le ministre chargé de </w:t>
      </w:r>
      <w:r w:rsidRPr="00AA57C7">
        <w:t>l'énergie</w:t>
      </w:r>
      <w:r w:rsidR="009E18E5" w:rsidRPr="00AA57C7">
        <w:t xml:space="preserve"> </w:t>
      </w:r>
      <w:r w:rsidRPr="00AA57C7">
        <w:t>et le ministre chargé</w:t>
      </w:r>
      <w:r w:rsidRPr="009547F1">
        <w:t xml:space="preserve"> de la construction </w:t>
      </w:r>
      <w:r w:rsidR="00B64F22">
        <w:t xml:space="preserve">peuvent </w:t>
      </w:r>
      <w:r w:rsidR="00324401">
        <w:t>approuver</w:t>
      </w:r>
      <w:r w:rsidR="00324401" w:rsidRPr="009547F1">
        <w:t xml:space="preserve"> </w:t>
      </w:r>
      <w:r>
        <w:t>la proposition</w:t>
      </w:r>
      <w:r w:rsidR="009E1060">
        <w:t xml:space="preserve"> de prise en compte du projet de construction, du système ou du réseau de chaleur ou de froid,</w:t>
      </w:r>
      <w:r>
        <w:t xml:space="preserve"> après avis d'une commission d'experts constituée à cet effet. Pour les réseaux de chaleur ou de froid urbains </w:t>
      </w:r>
      <w:r w:rsidR="005C1BB6">
        <w:t xml:space="preserve">l’approbation est valable pour </w:t>
      </w:r>
      <w:r>
        <w:t xml:space="preserve">une durée </w:t>
      </w:r>
      <w:r w:rsidR="005C1255">
        <w:t>maximale de trois ans</w:t>
      </w:r>
      <w:r>
        <w:t>.</w:t>
      </w:r>
    </w:p>
    <w:p w14:paraId="0CD7AA43" w14:textId="0E5AA77F" w:rsidR="006921F1" w:rsidRDefault="006921F1" w:rsidP="00DF0DDD">
      <w:pPr>
        <w:pStyle w:val="Titre1"/>
      </w:pPr>
      <w:bookmarkStart w:id="61" w:name="_Ref57884985"/>
      <w:r>
        <w:t>DISPOSITIONS DIVERSES</w:t>
      </w:r>
      <w:bookmarkEnd w:id="61"/>
      <w:r>
        <w:t xml:space="preserve"> </w:t>
      </w:r>
    </w:p>
    <w:p w14:paraId="4D5ACA75" w14:textId="55DDCF4A" w:rsidR="006921F1" w:rsidRDefault="00825713" w:rsidP="00DF0DDD">
      <w:pPr>
        <w:pStyle w:val="Titre3"/>
      </w:pPr>
      <w:r>
        <w:t xml:space="preserve"> (</w:t>
      </w:r>
      <w:r w:rsidR="006921F1">
        <w:t>bâtiment livré sans système de chauffage</w:t>
      </w:r>
      <w:r>
        <w:t xml:space="preserve">) </w:t>
      </w:r>
    </w:p>
    <w:p w14:paraId="2263486A" w14:textId="167CB1E2" w:rsidR="00825713" w:rsidRPr="00825713" w:rsidRDefault="00825713" w:rsidP="00825713">
      <w:r w:rsidRPr="00825713">
        <w:t xml:space="preserve">Lorsqu'un bâtiment ou une partie de bâtiment est livré sans système de chauffage, </w:t>
      </w:r>
      <w:r w:rsidRPr="003F747A">
        <w:t>il est évalué avec un système de chauffage par défaut tel que prévu dans la méthode mentionnée à l’</w:t>
      </w:r>
      <w:r w:rsidRPr="003F747A">
        <w:fldChar w:fldCharType="begin"/>
      </w:r>
      <w:r w:rsidRPr="003F747A">
        <w:instrText xml:space="preserve"> REF _Ref49446041 \r </w:instrText>
      </w:r>
      <w:r w:rsidR="0028268A" w:rsidRPr="003F747A">
        <w:instrText xml:space="preserve"> \* MERGEFORMAT </w:instrText>
      </w:r>
      <w:r w:rsidRPr="003F747A">
        <w:fldChar w:fldCharType="separate"/>
      </w:r>
      <w:r w:rsidR="00E9780A">
        <w:t>Article 17</w:t>
      </w:r>
      <w:r w:rsidRPr="003F747A">
        <w:fldChar w:fldCharType="end"/>
      </w:r>
      <w:r w:rsidRPr="003F747A">
        <w:t xml:space="preserve">. Si aucun système de chauffage </w:t>
      </w:r>
      <w:r w:rsidR="0028268A" w:rsidRPr="003F747A">
        <w:t>par défaut n’est prévu</w:t>
      </w:r>
      <w:r w:rsidR="0028268A">
        <w:t xml:space="preserve"> dans la méthode pour le bâtiment considéré,</w:t>
      </w:r>
      <w:r>
        <w:t xml:space="preserve"> </w:t>
      </w:r>
      <w:r w:rsidRPr="00825713">
        <w:t>il peut ne respecter que les exigences de moyens définies au titre III, et l</w:t>
      </w:r>
      <w:r w:rsidR="00FC495C">
        <w:t xml:space="preserve">es </w:t>
      </w:r>
      <w:r w:rsidRPr="00825713">
        <w:t>exigence</w:t>
      </w:r>
      <w:r w:rsidR="00FC495C">
        <w:t>s</w:t>
      </w:r>
      <w:r w:rsidRPr="00825713">
        <w:t xml:space="preserve"> définie</w:t>
      </w:r>
      <w:r w:rsidR="00FC495C">
        <w:t>s</w:t>
      </w:r>
      <w:r w:rsidRPr="00825713">
        <w:t xml:space="preserve"> </w:t>
      </w:r>
      <w:r w:rsidR="00FC495C">
        <w:t xml:space="preserve">aux </w:t>
      </w:r>
      <w:r w:rsidR="00FC495C">
        <w:fldChar w:fldCharType="begin"/>
      </w:r>
      <w:r w:rsidR="00FC495C">
        <w:instrText xml:space="preserve"> REF _Ref57311083 \r \h </w:instrText>
      </w:r>
      <w:r w:rsidR="00FC495C">
        <w:fldChar w:fldCharType="separate"/>
      </w:r>
      <w:r w:rsidR="00E9780A">
        <w:t>Article 12</w:t>
      </w:r>
      <w:r w:rsidR="00FC495C">
        <w:fldChar w:fldCharType="end"/>
      </w:r>
      <w:r w:rsidR="005C1BB6">
        <w:t xml:space="preserve">, </w:t>
      </w:r>
      <w:r w:rsidR="005C1BB6">
        <w:fldChar w:fldCharType="begin"/>
      </w:r>
      <w:r w:rsidR="005C1BB6">
        <w:instrText xml:space="preserve"> REF _Ref57398791 \r \h </w:instrText>
      </w:r>
      <w:r w:rsidR="005C1BB6">
        <w:fldChar w:fldCharType="separate"/>
      </w:r>
      <w:r w:rsidR="00E9780A">
        <w:t>Article 14</w:t>
      </w:r>
      <w:r w:rsidR="005C1BB6">
        <w:fldChar w:fldCharType="end"/>
      </w:r>
      <w:r w:rsidR="005C1BB6">
        <w:t xml:space="preserve"> et </w:t>
      </w:r>
      <w:r w:rsidR="005C1BB6">
        <w:fldChar w:fldCharType="begin"/>
      </w:r>
      <w:r w:rsidR="005C1BB6">
        <w:instrText xml:space="preserve"> REF _Ref57823895 \r \h </w:instrText>
      </w:r>
      <w:r w:rsidR="005C1BB6">
        <w:fldChar w:fldCharType="separate"/>
      </w:r>
      <w:r w:rsidR="00E9780A">
        <w:t>Article 15</w:t>
      </w:r>
      <w:r w:rsidR="005C1BB6">
        <w:fldChar w:fldCharType="end"/>
      </w:r>
      <w:r w:rsidR="00FC495C">
        <w:t xml:space="preserve"> </w:t>
      </w:r>
      <w:r w:rsidRPr="00825713">
        <w:t>du présent arrêté.</w:t>
      </w:r>
    </w:p>
    <w:p w14:paraId="7F0E0B76" w14:textId="6AAF1F00" w:rsidR="006921F1" w:rsidRDefault="0032392B" w:rsidP="00DF0DDD">
      <w:pPr>
        <w:pStyle w:val="Titre3"/>
      </w:pPr>
      <w:r>
        <w:t xml:space="preserve"> (</w:t>
      </w:r>
      <w:r w:rsidR="00CE44A8">
        <w:t xml:space="preserve">respect de la </w:t>
      </w:r>
      <w:r>
        <w:t>RE2020</w:t>
      </w:r>
      <w:r w:rsidR="00CE44A8">
        <w:t xml:space="preserve"> vaut </w:t>
      </w:r>
      <w:r w:rsidR="00A3740F">
        <w:t>respect de la RT2012</w:t>
      </w:r>
      <w:r w:rsidR="001D2511">
        <w:t xml:space="preserve"> et de la RTex</w:t>
      </w:r>
      <w:r w:rsidR="00A3740F">
        <w:t>)</w:t>
      </w:r>
    </w:p>
    <w:p w14:paraId="123F3876" w14:textId="5B452109" w:rsidR="00A3740F" w:rsidRDefault="00A3740F" w:rsidP="00E8319A">
      <w:pPr>
        <w:pStyle w:val="Paragraphedeliste"/>
        <w:numPr>
          <w:ilvl w:val="0"/>
          <w:numId w:val="13"/>
        </w:numPr>
      </w:pPr>
      <w:r w:rsidRPr="00A3740F">
        <w:t>Les exigences définies dans l</w:t>
      </w:r>
      <w:r>
        <w:t xml:space="preserve">es </w:t>
      </w:r>
      <w:r w:rsidRPr="00A3740F">
        <w:t>arrêté</w:t>
      </w:r>
      <w:r>
        <w:t>s</w:t>
      </w:r>
      <w:r w:rsidRPr="00A3740F">
        <w:t xml:space="preserve"> du </w:t>
      </w:r>
      <w:r>
        <w:t>26 octobre 2010 et du 28 décembre 2012</w:t>
      </w:r>
      <w:r w:rsidRPr="00A3740F">
        <w:t xml:space="preserve"> susvisé</w:t>
      </w:r>
      <w:r>
        <w:t>s</w:t>
      </w:r>
      <w:r w:rsidRPr="00A3740F">
        <w:t xml:space="preserve"> sont </w:t>
      </w:r>
      <w:r>
        <w:t xml:space="preserve">présumées </w:t>
      </w:r>
      <w:r w:rsidRPr="00A3740F">
        <w:t xml:space="preserve">respectées </w:t>
      </w:r>
      <w:r>
        <w:t>dès lors que</w:t>
      </w:r>
      <w:r w:rsidRPr="00A3740F">
        <w:t xml:space="preserve"> les exigences définies par le présent arrêté sont satisfaites.</w:t>
      </w:r>
    </w:p>
    <w:p w14:paraId="06112E8A" w14:textId="05B560EB" w:rsidR="001D2511" w:rsidRPr="00A3740F" w:rsidRDefault="001D2511" w:rsidP="00E8319A">
      <w:pPr>
        <w:pStyle w:val="Paragraphedeliste"/>
        <w:numPr>
          <w:ilvl w:val="0"/>
          <w:numId w:val="13"/>
        </w:numPr>
      </w:pPr>
      <w:r w:rsidRPr="00A3740F">
        <w:t>Les exigences définies dans l</w:t>
      </w:r>
      <w:r>
        <w:t xml:space="preserve">es </w:t>
      </w:r>
      <w:r w:rsidRPr="00A3740F">
        <w:t>arrêté</w:t>
      </w:r>
      <w:r>
        <w:t>s</w:t>
      </w:r>
      <w:r w:rsidRPr="001D2511">
        <w:t xml:space="preserve"> du 13 juin 2008</w:t>
      </w:r>
      <w:r>
        <w:t xml:space="preserve"> et </w:t>
      </w:r>
      <w:r w:rsidRPr="001D2511">
        <w:t>du 3 mai 2007</w:t>
      </w:r>
      <w:r>
        <w:t xml:space="preserve"> </w:t>
      </w:r>
      <w:r w:rsidRPr="00A3740F">
        <w:t>susvisé</w:t>
      </w:r>
      <w:r>
        <w:t>s</w:t>
      </w:r>
      <w:r w:rsidRPr="00A3740F">
        <w:t xml:space="preserve"> sont </w:t>
      </w:r>
      <w:r>
        <w:t xml:space="preserve">présumées </w:t>
      </w:r>
      <w:r w:rsidRPr="00A3740F">
        <w:t xml:space="preserve">respectées </w:t>
      </w:r>
      <w:r>
        <w:t>dès lors que</w:t>
      </w:r>
      <w:r w:rsidRPr="00A3740F">
        <w:t xml:space="preserve"> les exigences définies par le présent arrêté sont satisfaites.</w:t>
      </w:r>
    </w:p>
    <w:p w14:paraId="27CAAC4B" w14:textId="52A0B131" w:rsidR="00CE44A8" w:rsidRDefault="00A3740F" w:rsidP="00DF0DDD">
      <w:pPr>
        <w:pStyle w:val="Titre3"/>
      </w:pPr>
      <w:r>
        <w:t>(</w:t>
      </w:r>
      <w:r w:rsidR="0016067B">
        <w:t>prévalence des règles sanitaires, salubrité, hygiène, sécurité en vigueur</w:t>
      </w:r>
      <w:r>
        <w:t xml:space="preserve">) </w:t>
      </w:r>
    </w:p>
    <w:p w14:paraId="0D2F0D6B" w14:textId="089A5BFC" w:rsidR="00A3740F" w:rsidRPr="00A3740F" w:rsidRDefault="00A3740F" w:rsidP="00A3740F">
      <w:r w:rsidRPr="00A3740F">
        <w:t>Les dispositions du présent arrêté ne peuvent compromettre les mesures législatives et réglementaires prises en matière de santé, de salubrité, d'hygiène et de sécurité en vigueur.</w:t>
      </w:r>
    </w:p>
    <w:p w14:paraId="5ADDCCDF" w14:textId="04BDFD98" w:rsidR="0016067B" w:rsidRDefault="00A3740F" w:rsidP="00DF0DDD">
      <w:pPr>
        <w:pStyle w:val="Titre3"/>
      </w:pPr>
      <w:r>
        <w:lastRenderedPageBreak/>
        <w:t xml:space="preserve"> (</w:t>
      </w:r>
      <w:r w:rsidR="0016067B">
        <w:t>publication JORF</w:t>
      </w:r>
      <w:r>
        <w:t>)</w:t>
      </w:r>
    </w:p>
    <w:p w14:paraId="126340EA" w14:textId="6BA0D84F" w:rsidR="00A3740F" w:rsidRPr="00A3740F" w:rsidRDefault="00A3740F" w:rsidP="00A3740F">
      <w:r w:rsidRPr="00A3740F">
        <w:t>Le présent arrêté sera publié au Journal officiel de la République française.</w:t>
      </w:r>
    </w:p>
    <w:p w14:paraId="7319FA0E" w14:textId="1EA77E33" w:rsidR="00814CEF" w:rsidRDefault="00814CEF" w:rsidP="00DF0DDD"/>
    <w:p w14:paraId="1AA11B88" w14:textId="31AA024E" w:rsidR="00814CEF" w:rsidRDefault="00814CEF" w:rsidP="00DF0DDD"/>
    <w:p w14:paraId="62273244" w14:textId="14C042EE" w:rsidR="00814CEF" w:rsidRDefault="00814CEF" w:rsidP="00DF0DDD"/>
    <w:p w14:paraId="2ED47157" w14:textId="270CD805" w:rsidR="00814CEF" w:rsidRDefault="00814CEF" w:rsidP="00DF0DDD"/>
    <w:p w14:paraId="32C8013F" w14:textId="3DE4A807" w:rsidR="00814CEF" w:rsidRDefault="00814CEF" w:rsidP="00DF0DDD"/>
    <w:p w14:paraId="080EDBBB" w14:textId="3D10377A" w:rsidR="00814CEF" w:rsidRDefault="00814CEF" w:rsidP="00DF0DDD"/>
    <w:p w14:paraId="322D130C" w14:textId="77777777" w:rsidR="00814CEF" w:rsidRDefault="00814CEF" w:rsidP="00DF0DDD"/>
    <w:p w14:paraId="796BC17A" w14:textId="77777777" w:rsidR="00814CEF" w:rsidRDefault="00814CEF" w:rsidP="00814CEF">
      <w:r>
        <w:t>La ministre de la transition écologique,</w:t>
      </w:r>
    </w:p>
    <w:p w14:paraId="35EA568A" w14:textId="77777777" w:rsidR="00814CEF" w:rsidRDefault="00814CEF" w:rsidP="00814CEF"/>
    <w:p w14:paraId="7A06B14A" w14:textId="77777777" w:rsidR="00814CEF" w:rsidRDefault="00814CEF" w:rsidP="00814CEF">
      <w:r>
        <w:t>Barbara POMPILI</w:t>
      </w:r>
    </w:p>
    <w:p w14:paraId="6DCC56D2" w14:textId="77777777" w:rsidR="00814CEF" w:rsidRDefault="00814CEF" w:rsidP="00814CEF"/>
    <w:p w14:paraId="532BA8B4" w14:textId="77777777" w:rsidR="00814CEF" w:rsidRDefault="00814CEF" w:rsidP="00814CEF"/>
    <w:p w14:paraId="4CF3E951" w14:textId="77777777" w:rsidR="00814CEF" w:rsidRDefault="00814CEF" w:rsidP="00814CEF">
      <w:pPr>
        <w:jc w:val="right"/>
      </w:pPr>
    </w:p>
    <w:p w14:paraId="444A9FCB" w14:textId="77777777" w:rsidR="00814CEF" w:rsidRDefault="00814CEF" w:rsidP="00814CEF">
      <w:pPr>
        <w:jc w:val="right"/>
      </w:pPr>
      <w:r>
        <w:t>La ministre déléguée auprès de la ministre de la transition écologique,</w:t>
      </w:r>
    </w:p>
    <w:p w14:paraId="7DE100A4" w14:textId="77777777" w:rsidR="00814CEF" w:rsidRDefault="00814CEF" w:rsidP="00814CEF">
      <w:pPr>
        <w:jc w:val="right"/>
      </w:pPr>
      <w:r>
        <w:t>chargée du logement</w:t>
      </w:r>
    </w:p>
    <w:p w14:paraId="3BE281E0" w14:textId="77777777" w:rsidR="00814CEF" w:rsidRDefault="00814CEF" w:rsidP="00814CEF">
      <w:pPr>
        <w:jc w:val="right"/>
      </w:pPr>
    </w:p>
    <w:p w14:paraId="7B9D303C" w14:textId="77777777" w:rsidR="00814CEF" w:rsidRDefault="00814CEF" w:rsidP="00814CEF">
      <w:pPr>
        <w:jc w:val="right"/>
      </w:pPr>
      <w:r>
        <w:t>Emmanuelle Wargon</w:t>
      </w:r>
    </w:p>
    <w:p w14:paraId="58506109" w14:textId="77777777" w:rsidR="00814CEF" w:rsidRDefault="00814CEF" w:rsidP="00814CEF"/>
    <w:p w14:paraId="41212F6C" w14:textId="3E58E36F" w:rsidR="00814CEF" w:rsidRDefault="00593497" w:rsidP="00DF0DDD">
      <w:r>
        <w:br w:type="page"/>
      </w:r>
    </w:p>
    <w:p w14:paraId="45194ABC" w14:textId="43FB3D17" w:rsidR="006921F1" w:rsidRDefault="00990003" w:rsidP="00B64F22">
      <w:pPr>
        <w:pStyle w:val="Titre4"/>
      </w:pPr>
      <w:bookmarkStart w:id="62" w:name="_Ref49444345"/>
      <w:r>
        <w:lastRenderedPageBreak/>
        <w:t xml:space="preserve"> </w:t>
      </w:r>
      <w:bookmarkStart w:id="63" w:name="_Ref57296081"/>
      <w:r>
        <w:t>(</w:t>
      </w:r>
      <w:r w:rsidR="000523B4">
        <w:rPr>
          <w:rFonts w:hint="eastAsia"/>
        </w:rPr>
        <w:t>D</w:t>
      </w:r>
      <w:r w:rsidR="000523B4">
        <w:t>É</w:t>
      </w:r>
      <w:r w:rsidR="000523B4" w:rsidRPr="00611FC7">
        <w:rPr>
          <w:rFonts w:hint="eastAsia"/>
        </w:rPr>
        <w:t>FINITI</w:t>
      </w:r>
      <w:r w:rsidR="000523B4">
        <w:rPr>
          <w:rFonts w:hint="eastAsia"/>
        </w:rPr>
        <w:t>ONS</w:t>
      </w:r>
      <w:bookmarkEnd w:id="62"/>
      <w:r>
        <w:t>)</w:t>
      </w:r>
      <w:bookmarkEnd w:id="63"/>
      <w:r>
        <w:t xml:space="preserve"> </w:t>
      </w:r>
    </w:p>
    <w:p w14:paraId="315621D6" w14:textId="77777777" w:rsidR="0053472A" w:rsidRDefault="0053472A" w:rsidP="00DF0DDD"/>
    <w:p w14:paraId="2244B085" w14:textId="619B0E73" w:rsidR="00BC21DF" w:rsidRDefault="0053472A" w:rsidP="00DF0DDD">
      <w:r>
        <w:t>Altitude : l</w:t>
      </w:r>
      <w:r w:rsidR="00BC21DF">
        <w:t>’altitude d’un bâtiment correspond à l’altitude du seuil de la porte d’entrée principale du bâtiment.</w:t>
      </w:r>
    </w:p>
    <w:p w14:paraId="6C649F24" w14:textId="77777777" w:rsidR="0053472A" w:rsidRDefault="0053472A" w:rsidP="00DF0DDD"/>
    <w:p w14:paraId="2231401B" w14:textId="14863E5A" w:rsidR="00BC21DF" w:rsidRDefault="00BC21DF" w:rsidP="00DF0DDD">
      <w:r>
        <w:t>Bâtiment : bien immeuble couvert et destiné à accueillir une occupation, une activité ou tout autre usage humain.</w:t>
      </w:r>
    </w:p>
    <w:p w14:paraId="7D12BDBC" w14:textId="77777777" w:rsidR="0053472A" w:rsidRDefault="0053472A" w:rsidP="00DF0DDD"/>
    <w:p w14:paraId="6EF6B169" w14:textId="325EAD8A" w:rsidR="00BC21DF" w:rsidRDefault="00BC21DF" w:rsidP="00DF0DDD">
      <w:r>
        <w:t>Partie de bâtiment à usage d’habitation : au sens du présent arrêté, on entend par partie de bâtiment à usage d’habitation une partie de bâtiment comportant des logements, ainsi éventuellement que des parties communes.</w:t>
      </w:r>
    </w:p>
    <w:p w14:paraId="6F9E5D4D" w14:textId="5305DA98" w:rsidR="00BC21DF" w:rsidRDefault="00BC21DF" w:rsidP="00BC21DF">
      <w:r>
        <w:t>L</w:t>
      </w:r>
      <w:r w:rsidRPr="003B7761">
        <w:t xml:space="preserve">es résidences de tourisme disposant d’un local de sommeil, d’une cuisine et de sanitaires sont soumises aux règles applicables aux bâtiments à usage d’habitation fixées par </w:t>
      </w:r>
      <w:r>
        <w:t>le présent arrêté.</w:t>
      </w:r>
    </w:p>
    <w:p w14:paraId="229FD874" w14:textId="77777777" w:rsidR="0053472A" w:rsidRDefault="0053472A" w:rsidP="00BC21DF"/>
    <w:p w14:paraId="332FC662" w14:textId="6BCE36E0" w:rsidR="00AA57C7" w:rsidRDefault="00AA57C7" w:rsidP="00AA57C7">
      <w:r>
        <w:t>Bâtiment d'habitation collectif, aussi appelé « logement collectif » : bâtiment à usage principal d'habitation regroupant strictement plus de deux logements partiellement ou totalement superposés.</w:t>
      </w:r>
    </w:p>
    <w:p w14:paraId="611C3100" w14:textId="77777777" w:rsidR="0053472A" w:rsidRDefault="0053472A" w:rsidP="00AA57C7"/>
    <w:p w14:paraId="76C1C7BD" w14:textId="77777777" w:rsidR="0053472A" w:rsidRDefault="0053472A" w:rsidP="00AA57C7"/>
    <w:p w14:paraId="39C61FFE" w14:textId="77777777" w:rsidR="00AA57C7" w:rsidRDefault="00AA57C7" w:rsidP="00AA57C7">
      <w:r>
        <w:t>Bâtiments accolés : Deux bâtiments sont dits accolés s'ils sont juxtaposés et liés par des parois mitoyennes, dont la surface de contact est d'au moins 15 m² pour les maisons et 50 m² pour les autres bâtiments. Au sens du présent règlement, les bâtiments accolés sont considérés comme un bâtiment unique, sans que cela ne puisse modifier l’usage à considérer pour chaque partie de bâtiment.</w:t>
      </w:r>
    </w:p>
    <w:p w14:paraId="0267D7D3" w14:textId="77777777" w:rsidR="0053472A" w:rsidRDefault="0053472A" w:rsidP="00702F49"/>
    <w:p w14:paraId="469A729B" w14:textId="35330C33" w:rsidR="00702F49" w:rsidRPr="00906764" w:rsidRDefault="00702F49" w:rsidP="00702F49">
      <w:r>
        <w:t>Composant : le terme « composant » s’entend au sens de l’article R.111-20-3 du code de la construction et de l’habitation.</w:t>
      </w:r>
    </w:p>
    <w:p w14:paraId="00D45142" w14:textId="77777777" w:rsidR="00AB6ABD" w:rsidRDefault="00AB6ABD" w:rsidP="00AB6ABD"/>
    <w:p w14:paraId="62475260" w14:textId="2A6122DA" w:rsidR="00AB6ABD" w:rsidRDefault="00AB6ABD" w:rsidP="00AB6ABD">
      <w:r>
        <w:t>Ecart majeur à la méthode de calcul : écart obtenu, pour au moins un des indicateurs réglementaires calculés à partir de la méthode de calcul mentionnée à l’</w:t>
      </w:r>
      <w:r>
        <w:fldChar w:fldCharType="begin"/>
      </w:r>
      <w:r>
        <w:instrText xml:space="preserve"> REF _Ref49446041 \r \h  \* MERGEFORMAT </w:instrText>
      </w:r>
      <w:r>
        <w:fldChar w:fldCharType="separate"/>
      </w:r>
      <w:r w:rsidR="00E9780A">
        <w:t>Article 17</w:t>
      </w:r>
      <w:r>
        <w:fldChar w:fldCharType="end"/>
      </w:r>
      <w:r>
        <w:t xml:space="preserve"> donnant une valeur plus favorable d’au moins 2 % par rapport à la valeur obtenue à partir des mêmes données descriptives, à l’issue de l’application correcte de cette méthode de calcul.</w:t>
      </w:r>
    </w:p>
    <w:p w14:paraId="4371BC97" w14:textId="77777777" w:rsidR="0053472A" w:rsidRDefault="0053472A" w:rsidP="007A5D47"/>
    <w:p w14:paraId="40559DA0" w14:textId="03189121" w:rsidR="007A5D47" w:rsidRDefault="007A5D47" w:rsidP="007A5D47">
      <w:r>
        <w:t>Local</w:t>
      </w:r>
      <w:r w:rsidR="00D97C91">
        <w:t xml:space="preserve"> : </w:t>
      </w:r>
      <w:r>
        <w:t>Un local est un volume totalement séparé de l'extérieur ou d'autres volumes par des parois horizontales et verticales, fixes ou mobiles.</w:t>
      </w:r>
    </w:p>
    <w:p w14:paraId="60844F04" w14:textId="77777777" w:rsidR="0053472A" w:rsidRDefault="0053472A" w:rsidP="007A5D47"/>
    <w:p w14:paraId="03EB249D" w14:textId="1FD99376" w:rsidR="007A5D47" w:rsidRDefault="007A5D47" w:rsidP="00DF0DDD">
      <w:r>
        <w:t>Local traversan</w:t>
      </w:r>
      <w:r w:rsidR="00D97C91">
        <w:t xml:space="preserve">t : </w:t>
      </w:r>
      <w:r>
        <w:t xml:space="preserve">Un local est dit traversant, au sens du confort d'été de la méthode de calcul mentionnée à </w:t>
      </w:r>
      <w:r w:rsidR="006100F0">
        <w:t>l’</w:t>
      </w:r>
      <w:r w:rsidR="006100F0">
        <w:fldChar w:fldCharType="begin"/>
      </w:r>
      <w:r w:rsidR="006100F0">
        <w:instrText xml:space="preserve"> REF _Ref49446041 \r \h </w:instrText>
      </w:r>
      <w:r w:rsidR="006100F0">
        <w:fldChar w:fldCharType="separate"/>
      </w:r>
      <w:r w:rsidR="00E9780A">
        <w:t>Article 17</w:t>
      </w:r>
      <w:r w:rsidR="006100F0">
        <w:fldChar w:fldCharType="end"/>
      </w:r>
      <w:r>
        <w:t xml:space="preserve">, si, pour chaque orientation (verticale nord, verticale est, verticale sud, </w:t>
      </w:r>
      <w:r>
        <w:lastRenderedPageBreak/>
        <w:t>verticale ouest, horizontale) la surface des baies est inférieure à 75 % de la surface totale des baies du local.</w:t>
      </w:r>
    </w:p>
    <w:p w14:paraId="5495E8F3" w14:textId="77777777" w:rsidR="00AB6ABD" w:rsidRDefault="00AB6ABD" w:rsidP="00DF0DDD"/>
    <w:p w14:paraId="0AC5A1DB" w14:textId="77777777" w:rsidR="00AB6ABD" w:rsidRDefault="00AB6ABD" w:rsidP="00AB6ABD">
      <w:r>
        <w:t>Maison individuelle : une maison individuelle est un bâtiment à usage d’habitation qui n’est pas un bâtiment d’habitation collectif.</w:t>
      </w:r>
    </w:p>
    <w:p w14:paraId="5ADF1630" w14:textId="77777777" w:rsidR="00AB6ABD" w:rsidRDefault="00AB6ABD" w:rsidP="00AB6ABD"/>
    <w:p w14:paraId="3B632227" w14:textId="77777777" w:rsidR="00AB6ABD" w:rsidRDefault="00AB6ABD" w:rsidP="00AB6ABD">
      <w:r>
        <w:t>Partie de bâtiment thermiquement homogène : ensemble de locaux présentant une évolution de la température intérieure similaire. En particulier, des locaux raccordés à des systèmes de refroidissement différents ne sont pas considérés thermiquement homogènes. Des locaux traversants et des locaux non traversants ne sont pas considérés thermiquement homogènes.</w:t>
      </w:r>
    </w:p>
    <w:p w14:paraId="57BD3757" w14:textId="77777777" w:rsidR="0053472A" w:rsidRDefault="0053472A" w:rsidP="00DF0DDD"/>
    <w:p w14:paraId="66A5E431" w14:textId="4A13C6FA" w:rsidR="00BC21DF" w:rsidRDefault="00BC21DF" w:rsidP="00BC21DF">
      <w:r>
        <w:t>Occupation passagère d'un local : Un local à occupation passagère est un local qui par destination n'implique pas une durée de séjour pour un occupant supérieure à une demi-heure.</w:t>
      </w:r>
    </w:p>
    <w:p w14:paraId="09AFC408" w14:textId="6C7CB8C8" w:rsidR="00BC21DF" w:rsidRDefault="00BC21DF" w:rsidP="00BC21DF">
      <w:r>
        <w:t>C'est le cas par exemple des circulations, des salles de bains et de douches, et des cabinets d'aisance. En revanche, une cuisine ou un hall comportant un poste de travail ne sont pas considérés comme un local à occupation passagère.</w:t>
      </w:r>
    </w:p>
    <w:p w14:paraId="0B4FEC0C" w14:textId="77777777" w:rsidR="00AB6ABD" w:rsidRDefault="00AB6ABD" w:rsidP="00AB6ABD"/>
    <w:p w14:paraId="080B0C0A" w14:textId="30E2E3F5" w:rsidR="00AB6ABD" w:rsidRDefault="00AB6ABD" w:rsidP="00AB6ABD">
      <w:r>
        <w:t>Orientations :</w:t>
      </w:r>
    </w:p>
    <w:p w14:paraId="2AD98BBD" w14:textId="77777777" w:rsidR="00AB6ABD" w:rsidRDefault="00AB6ABD" w:rsidP="00AB6ABD">
      <w:r>
        <w:t>L'orientation nord est toute orientation comprise entre le nord-est et le nord-ouest en passant par le nord, y compris les orientations nord-est et nord-ouest.</w:t>
      </w:r>
    </w:p>
    <w:p w14:paraId="76D29CA9" w14:textId="77777777" w:rsidR="00AB6ABD" w:rsidRDefault="00AB6ABD" w:rsidP="00AB6ABD">
      <w:r>
        <w:t>L'orientation est est toute orientation comprise entre le nord-est et le sud-est en passant par l'est, non compris les orientations nord-est et sud-est.</w:t>
      </w:r>
    </w:p>
    <w:p w14:paraId="08D0F8C8" w14:textId="77777777" w:rsidR="00AB6ABD" w:rsidRDefault="00AB6ABD" w:rsidP="00AB6ABD">
      <w:r>
        <w:t>L'orientation sud est toute orientation comprise entre le sud-est et le sud-ouest en passant par le sud, y compris les orientations sud-est et sud-ouest.</w:t>
      </w:r>
    </w:p>
    <w:p w14:paraId="07C9BAAF" w14:textId="5EE3B617" w:rsidR="00BC21DF" w:rsidRDefault="00AB6ABD" w:rsidP="00AB6ABD">
      <w:r>
        <w:t>L'orientation ouest est toute orientation comprise entre le sud-ouest et le nord-ouest en passant par l'ouest, non compris les orientations sud-ouest et nord-ouest.</w:t>
      </w:r>
    </w:p>
    <w:p w14:paraId="60CD86AA" w14:textId="77777777" w:rsidR="00AB6ABD" w:rsidRDefault="00AB6ABD" w:rsidP="00AB6ABD"/>
    <w:p w14:paraId="4E050021" w14:textId="6FA88106" w:rsidR="00AB6ABD" w:rsidRDefault="00AB6ABD" w:rsidP="00AB6ABD">
      <w:r>
        <w:t>Paroi verticale ou horizontale : Une paroi est dite verticale lorsque l'angle de cette paroi avec le plan horizontal est égal ou supérieur à 60 degrés, elle est dite horizontale lorsque cet angle est inférieur à 60 degrés.</w:t>
      </w:r>
    </w:p>
    <w:p w14:paraId="2E6AC089" w14:textId="77777777" w:rsidR="00AB6ABD" w:rsidRDefault="00AB6ABD" w:rsidP="00AB6ABD"/>
    <w:p w14:paraId="682141BC" w14:textId="7E81E3BD" w:rsidR="00AB6ABD" w:rsidRDefault="00AB6ABD" w:rsidP="00AB6ABD">
      <w:r>
        <w:t>Plancher bas : Un plancher bas est une paroi horizontale dont seule la face supérieure donne sur un local chauffé.</w:t>
      </w:r>
    </w:p>
    <w:p w14:paraId="580AD7B9" w14:textId="3302BD08" w:rsidR="00AB6ABD" w:rsidRDefault="00AB6ABD" w:rsidP="00AB6ABD"/>
    <w:p w14:paraId="0B1ABA2B" w14:textId="73F24F10" w:rsidR="00AB6ABD" w:rsidRDefault="00AB6ABD" w:rsidP="00AB6ABD">
      <w:r>
        <w:t>Plancher intermédiaire : Un plancher intermédiaire est une paroi horizontale dont les faces inférieure et supérieure donnent sur un local chauffé.</w:t>
      </w:r>
    </w:p>
    <w:p w14:paraId="31D01BB7" w14:textId="77777777" w:rsidR="00AB6ABD" w:rsidRDefault="00AB6ABD" w:rsidP="00AB6ABD"/>
    <w:p w14:paraId="71DB92BC" w14:textId="77777777" w:rsidR="00AB6ABD" w:rsidRDefault="00AB6ABD" w:rsidP="00AB6ABD">
      <w:r>
        <w:lastRenderedPageBreak/>
        <w:t>Réseau de chaleur ou de froid urbain : réseau permettant la distribution de chaleur ou de froid à plusieurs bâtiments situés sur des parcelles différentes. Dans le cas de la construction concomitante de bâtiments et d’un réseau de chaleur alimentant ces bâtiments, ce réseau de chaleur n’est considéré comme un réseau de chaleur urbain, au sens du présent arrêté, que si le ou les maîtres d’ouvrage des bâtiments construits et alimentés par le réseau ne peuvent pas avoir accès aux caractéristiques techniques des bâtiments et du réseau construits. Lorsque le maître d’ouvrage de la construction de bâtiments appartient à la même entité que le maître d’ouvrage du réseau de chaleur les alimentant, le réseau n’est pas considéré comme un réseau de chaleur urbain au sens du présent arrêté.</w:t>
      </w:r>
    </w:p>
    <w:p w14:paraId="76F35248" w14:textId="77777777" w:rsidR="00AB6ABD" w:rsidRDefault="00AB6ABD" w:rsidP="00AB6ABD"/>
    <w:p w14:paraId="1C1EB5D0" w14:textId="2A8FB2C6" w:rsidR="00BC21DF" w:rsidRDefault="00BC21DF" w:rsidP="00AA57C7">
      <w:r>
        <w:t>Surface de référence d'un bâtiment ou d'une partie de bâtiment :</w:t>
      </w:r>
    </w:p>
    <w:p w14:paraId="65CA250D" w14:textId="5691D6A3" w:rsidR="00BC21DF" w:rsidRDefault="00BC21DF" w:rsidP="00AA57C7">
      <w:pPr>
        <w:pStyle w:val="Paragraphedeliste"/>
        <w:numPr>
          <w:ilvl w:val="0"/>
          <w:numId w:val="27"/>
        </w:numPr>
      </w:pPr>
      <w:r>
        <w:t>Pour un bâtiment ou une partie de bâtiment à usage d’habitation, surface habitable du bâtiment ou de la partie de bâtiment ;</w:t>
      </w:r>
    </w:p>
    <w:p w14:paraId="33E419CF" w14:textId="63627DC0" w:rsidR="00BC21DF" w:rsidRDefault="00BC21DF" w:rsidP="00AA57C7">
      <w:pPr>
        <w:pStyle w:val="Paragraphedeliste"/>
        <w:numPr>
          <w:ilvl w:val="0"/>
          <w:numId w:val="27"/>
        </w:numPr>
      </w:pPr>
      <w:r>
        <w:t>Pour les autres cas : surface utile du bâtiment ou de la partie de bâtiment </w:t>
      </w:r>
    </w:p>
    <w:p w14:paraId="547F23C9" w14:textId="77777777" w:rsidR="00BC21DF" w:rsidRDefault="00BC21DF" w:rsidP="00AA57C7"/>
    <w:p w14:paraId="6AB79C5B" w14:textId="6FAB5D14" w:rsidR="00BC21DF" w:rsidRDefault="00BC21DF" w:rsidP="00AA57C7">
      <w:r>
        <w:t>Surface habitable d'un bâtiment ou d'une partie de bâtiment : Cette surface est définie pour tout bâtiment ou partie de bâtiment à usage d'habitation.</w:t>
      </w:r>
    </w:p>
    <w:p w14:paraId="0DB59602" w14:textId="23F3B340" w:rsidR="00BC21DF" w:rsidRDefault="00BC21DF" w:rsidP="00AA57C7">
      <w:r>
        <w:t>La surface habitable d'un logement</w:t>
      </w:r>
      <w:r w:rsidR="00AA38CA">
        <w:t xml:space="preserve"> au sens du présent arrêté</w:t>
      </w:r>
      <w:r>
        <w:t xml:space="preserve"> est </w:t>
      </w:r>
      <w:r w:rsidR="00AA38CA">
        <w:t xml:space="preserve">celle </w:t>
      </w:r>
      <w:r>
        <w:t>définie par l'article R.* 111-2 du code de la construction et de l'habitation</w:t>
      </w:r>
      <w:r w:rsidR="00AA38CA">
        <w:t>, en incluant la superficie de vérandas chauffées écartée par le 3</w:t>
      </w:r>
      <w:r w:rsidR="00AA38CA" w:rsidRPr="00AA38CA">
        <w:rPr>
          <w:vertAlign w:val="superscript"/>
        </w:rPr>
        <w:t>e</w:t>
      </w:r>
      <w:r w:rsidR="00AA38CA">
        <w:t xml:space="preserve"> alinéa de ce même article</w:t>
      </w:r>
      <w:r>
        <w:t>. La surface habitable d'un bâtiment ou d'une partie de bâtiment est la somme des surfaces habitables des logements le constituant.</w:t>
      </w:r>
    </w:p>
    <w:p w14:paraId="21F2EB65" w14:textId="77777777" w:rsidR="00BC21DF" w:rsidRDefault="00BC21DF" w:rsidP="00AA57C7"/>
    <w:p w14:paraId="334BB048" w14:textId="334DF16C" w:rsidR="00BC21DF" w:rsidRDefault="00BC21DF" w:rsidP="00AA57C7">
      <w:r>
        <w:t>Surface utile d'un bâtiment ou d'une partie de bâtiment :</w:t>
      </w:r>
    </w:p>
    <w:p w14:paraId="79B698B6" w14:textId="77777777" w:rsidR="00BC21DF" w:rsidRDefault="00BC21DF" w:rsidP="00AA57C7">
      <w:r>
        <w:t>Cette surface est définie pour tout bâtiment ou partie de bâtiment à usage autre que d'habitation.</w:t>
      </w:r>
    </w:p>
    <w:p w14:paraId="6D0D8729" w14:textId="531BC817" w:rsidR="00BC21DF" w:rsidRDefault="00BC21DF" w:rsidP="00AA57C7">
      <w:r>
        <w:t xml:space="preserve">La surface utile d'un bâtiment ou d'une partie de bâtiment au sens </w:t>
      </w:r>
      <w:r w:rsidR="005C1BB6">
        <w:t xml:space="preserve">du présent arrêté, </w:t>
      </w:r>
      <w:r>
        <w:t>est la surface de plancher construite des locaux soumis à la réglementation thermique, après déduction des :</w:t>
      </w:r>
    </w:p>
    <w:p w14:paraId="3B071247" w14:textId="100293D6" w:rsidR="00BC21DF" w:rsidRDefault="00BC21DF" w:rsidP="00AA57C7">
      <w:pPr>
        <w:pStyle w:val="Paragraphedeliste"/>
        <w:numPr>
          <w:ilvl w:val="0"/>
          <w:numId w:val="28"/>
        </w:numPr>
        <w:spacing w:before="0" w:after="0"/>
      </w:pPr>
      <w:r>
        <w:t>surfaces occupées par les murs, y compris l'isolation ;</w:t>
      </w:r>
    </w:p>
    <w:p w14:paraId="1954F44E" w14:textId="2B4798AC" w:rsidR="00BC21DF" w:rsidRDefault="00BC21DF" w:rsidP="00AA57C7">
      <w:pPr>
        <w:pStyle w:val="Paragraphedeliste"/>
        <w:numPr>
          <w:ilvl w:val="0"/>
          <w:numId w:val="28"/>
        </w:numPr>
        <w:spacing w:before="0" w:after="0"/>
      </w:pPr>
      <w:r>
        <w:t>cloisons fixes prévues aux plans ;</w:t>
      </w:r>
    </w:p>
    <w:p w14:paraId="6B2D04E3" w14:textId="6B5BF793" w:rsidR="00BC21DF" w:rsidRDefault="00BC21DF" w:rsidP="00AA57C7">
      <w:pPr>
        <w:pStyle w:val="Paragraphedeliste"/>
        <w:numPr>
          <w:ilvl w:val="0"/>
          <w:numId w:val="28"/>
        </w:numPr>
        <w:spacing w:before="0" w:after="0"/>
      </w:pPr>
      <w:r>
        <w:t>poteaux ;</w:t>
      </w:r>
    </w:p>
    <w:p w14:paraId="39216D47" w14:textId="68B9703D" w:rsidR="00BC21DF" w:rsidRDefault="00BC21DF" w:rsidP="00AA57C7">
      <w:pPr>
        <w:pStyle w:val="Paragraphedeliste"/>
        <w:numPr>
          <w:ilvl w:val="0"/>
          <w:numId w:val="28"/>
        </w:numPr>
        <w:spacing w:before="0" w:after="0"/>
      </w:pPr>
      <w:r>
        <w:t>marches et cages d'escaliers ;</w:t>
      </w:r>
    </w:p>
    <w:p w14:paraId="526A1D86" w14:textId="75851F2C" w:rsidR="00BC21DF" w:rsidRDefault="00BC21DF" w:rsidP="00AA57C7">
      <w:pPr>
        <w:pStyle w:val="Paragraphedeliste"/>
        <w:numPr>
          <w:ilvl w:val="0"/>
          <w:numId w:val="28"/>
        </w:numPr>
        <w:spacing w:before="0" w:after="0"/>
      </w:pPr>
      <w:r>
        <w:t>gaines ;</w:t>
      </w:r>
    </w:p>
    <w:p w14:paraId="4BFB8AA0" w14:textId="049283CA" w:rsidR="00BC21DF" w:rsidRDefault="00BC21DF" w:rsidP="00AA57C7">
      <w:pPr>
        <w:pStyle w:val="Paragraphedeliste"/>
        <w:numPr>
          <w:ilvl w:val="0"/>
          <w:numId w:val="28"/>
        </w:numPr>
        <w:spacing w:before="0" w:after="0"/>
      </w:pPr>
      <w:r>
        <w:t>ébrasements de portes et de fenêtres ;</w:t>
      </w:r>
    </w:p>
    <w:p w14:paraId="0C01FA03" w14:textId="0943C1B0" w:rsidR="00BC21DF" w:rsidRDefault="00BC21DF" w:rsidP="00AA57C7">
      <w:pPr>
        <w:pStyle w:val="Paragraphedeliste"/>
        <w:numPr>
          <w:ilvl w:val="0"/>
          <w:numId w:val="28"/>
        </w:numPr>
        <w:spacing w:before="0" w:after="0"/>
      </w:pPr>
      <w:r>
        <w:t>parties des locaux d'une hauteur inférieure à 1,80 m ;</w:t>
      </w:r>
    </w:p>
    <w:p w14:paraId="42E10F6B" w14:textId="63D76D8D" w:rsidR="00BC21DF" w:rsidRDefault="00BC21DF" w:rsidP="00AA57C7">
      <w:pPr>
        <w:pStyle w:val="Paragraphedeliste"/>
        <w:numPr>
          <w:ilvl w:val="0"/>
          <w:numId w:val="28"/>
        </w:numPr>
        <w:spacing w:before="0" w:after="0"/>
      </w:pPr>
      <w:r>
        <w:t>parties du niveau inférieur servant d'emprise à un escalier, à une rampe d'accès ou les parties du niveau inférieur auquel s'arrêtent les trémies des ascenseurs, des monte-charges, des gaines et des conduits de fumée ou de ventilation ;</w:t>
      </w:r>
    </w:p>
    <w:p w14:paraId="412EEEF5" w14:textId="7C81E137" w:rsidR="00BC21DF" w:rsidRDefault="00BC21DF" w:rsidP="00AA57C7">
      <w:pPr>
        <w:pStyle w:val="Paragraphedeliste"/>
        <w:numPr>
          <w:ilvl w:val="0"/>
          <w:numId w:val="28"/>
        </w:numPr>
        <w:spacing w:before="0" w:after="0"/>
      </w:pPr>
      <w:r>
        <w:t>locaux techniques exclusivement affectés au fonctionnement général du bâtiment et à occupation passagère.</w:t>
      </w:r>
    </w:p>
    <w:p w14:paraId="007B6DF1" w14:textId="77777777" w:rsidR="0053472A" w:rsidRDefault="0053472A" w:rsidP="00AA57C7"/>
    <w:p w14:paraId="6973CC4F" w14:textId="77777777" w:rsidR="0053472A" w:rsidRDefault="0053472A" w:rsidP="00AA57C7"/>
    <w:p w14:paraId="1CBA850C" w14:textId="77777777" w:rsidR="0053472A" w:rsidRDefault="0053472A" w:rsidP="00AA57C7"/>
    <w:p w14:paraId="2C28A2B9" w14:textId="0E4E189C" w:rsidR="0001250E" w:rsidRDefault="0001250E" w:rsidP="00AA57C7">
      <w:r>
        <w:lastRenderedPageBreak/>
        <w:t xml:space="preserve">Système : </w:t>
      </w:r>
      <w:r w:rsidR="004305B4">
        <w:t>composant ou ensemble de composants</w:t>
      </w:r>
      <w:r>
        <w:t xml:space="preserve"> permettant de remplir une ou plusieurs fonctions du bâtiment. Ces fonctions peuvent notamment être la production de chaleur, d’eau chaude sanitaire ou de froid, une régulation de telles production, ou l’isolation du bâtiment vis-à-vis des conditions climatiques extérieur</w:t>
      </w:r>
      <w:r w:rsidR="00CB2BA6">
        <w:t>e</w:t>
      </w:r>
      <w:r>
        <w:t>s.</w:t>
      </w:r>
    </w:p>
    <w:p w14:paraId="6512DBE1" w14:textId="77777777" w:rsidR="00AB6ABD" w:rsidRDefault="00AB6ABD" w:rsidP="00AA57C7"/>
    <w:p w14:paraId="4D95679D" w14:textId="3EF4B2EC" w:rsidR="00E76A8B" w:rsidRDefault="00AB6ABD" w:rsidP="00AA57C7">
      <w:r>
        <w:t>Système de climatisation : Un système de climatisation est un équipement de production de froid associé à des émetteurs de froid destiné au confort des personnes, permettant d’atteindre une température de consigne de 26°C en conditions estivales.</w:t>
      </w:r>
    </w:p>
    <w:p w14:paraId="4C80EF36" w14:textId="77777777" w:rsidR="00AB6ABD" w:rsidRDefault="00AB6ABD" w:rsidP="00AA57C7"/>
    <w:p w14:paraId="69FC919F" w14:textId="1D2B6D32" w:rsidR="005671F2" w:rsidRDefault="005671F2" w:rsidP="00AA57C7">
      <w:r>
        <w:t xml:space="preserve">Usage d’une partie de bâtiment : il s’agit de </w:t>
      </w:r>
      <w:r w:rsidR="00D97C91">
        <w:t xml:space="preserve">la fonction de la partie de bâtiment, ou </w:t>
      </w:r>
      <w:r>
        <w:t>des locaux spécifiques qui la composent. Dans le cas d’une extension, en l’absence de locaux spécifiques, l’usage de cette extension est celui du bâtiment existant.</w:t>
      </w:r>
    </w:p>
    <w:p w14:paraId="2608D3A2" w14:textId="77777777" w:rsidR="008E1467" w:rsidRDefault="008E1467" w:rsidP="00AA57C7"/>
    <w:p w14:paraId="0C448E3B" w14:textId="2D568060" w:rsidR="00BC21DF" w:rsidRDefault="008E1467" w:rsidP="00AA57C7">
      <w:r>
        <w:t>U</w:t>
      </w:r>
      <w:r w:rsidR="00BC21DF">
        <w:t>sage principal d’un bâtiment : l'usage auquel est affectée la plus grande surface de plancher du bâtiment.</w:t>
      </w:r>
    </w:p>
    <w:p w14:paraId="6A87B9DD" w14:textId="77777777" w:rsidR="00AB6ABD" w:rsidRDefault="00AB6ABD" w:rsidP="00AA57C7"/>
    <w:p w14:paraId="6D007A10" w14:textId="31E1187F" w:rsidR="00E76A8B" w:rsidRDefault="00AB6ABD" w:rsidP="00AB6ABD">
      <w:r>
        <w:t>Zone de bâtiment : Une zone de bâtiment, parfois désignée « zone », est une partie de bâtiment comportant un unique usage.</w:t>
      </w:r>
    </w:p>
    <w:p w14:paraId="2F34A933" w14:textId="3815E1E7" w:rsidR="000523B4" w:rsidRDefault="000523B4" w:rsidP="00AA57C7">
      <w:pPr>
        <w:rPr>
          <w:rFonts w:ascii="Liberation Serif" w:eastAsia="SimSun" w:hAnsi="Liberation Serif" w:cs="Mangal"/>
          <w:b/>
          <w:smallCaps/>
          <w:sz w:val="28"/>
          <w:szCs w:val="24"/>
        </w:rPr>
      </w:pPr>
      <w:r>
        <w:rPr>
          <w:rFonts w:hint="eastAsia"/>
        </w:rPr>
        <w:br w:type="page"/>
      </w:r>
    </w:p>
    <w:p w14:paraId="37928EFC" w14:textId="14076252" w:rsidR="000523B4" w:rsidRDefault="00990003" w:rsidP="00B64F22">
      <w:pPr>
        <w:pStyle w:val="Titre4"/>
      </w:pPr>
      <w:bookmarkStart w:id="64" w:name="_Ref49444555"/>
      <w:r>
        <w:lastRenderedPageBreak/>
        <w:t xml:space="preserve"> (</w:t>
      </w:r>
      <w:r w:rsidR="000523B4" w:rsidRPr="008E32DB">
        <w:rPr>
          <w:rFonts w:hint="eastAsia"/>
        </w:rPr>
        <w:t>D</w:t>
      </w:r>
      <w:r w:rsidR="000523B4" w:rsidRPr="008E32DB">
        <w:t>É</w:t>
      </w:r>
      <w:r w:rsidR="000523B4" w:rsidRPr="008E32DB">
        <w:rPr>
          <w:rFonts w:hint="eastAsia"/>
        </w:rPr>
        <w:t>FINITION</w:t>
      </w:r>
      <w:r w:rsidR="000523B4">
        <w:rPr>
          <w:rFonts w:hint="eastAsia"/>
        </w:rPr>
        <w:t xml:space="preserve"> DES ZONES G</w:t>
      </w:r>
      <w:r w:rsidR="000523B4">
        <w:t>É</w:t>
      </w:r>
      <w:r w:rsidR="000523B4" w:rsidRPr="000523B4">
        <w:rPr>
          <w:rFonts w:hint="eastAsia"/>
        </w:rPr>
        <w:t>OGRAPHIQUE</w:t>
      </w:r>
      <w:r>
        <w:t xml:space="preserve">S) </w:t>
      </w:r>
      <w:bookmarkEnd w:id="64"/>
    </w:p>
    <w:p w14:paraId="77E10F34" w14:textId="77777777" w:rsidR="00A93FE3" w:rsidRPr="002523E6" w:rsidRDefault="00A93FE3" w:rsidP="00A93FE3">
      <w:r w:rsidRPr="002523E6">
        <w:t>Les huit zones climatiques (H1a, H1b, H1c, H2a, H2b, H2c, H2d et H3) sont définies selon le tableau ci-dessous.</w:t>
      </w:r>
    </w:p>
    <w:tbl>
      <w:tblPr>
        <w:tblStyle w:val="Grilledutableau"/>
        <w:tblW w:w="2970" w:type="pct"/>
        <w:jc w:val="center"/>
        <w:tblLook w:val="04A0" w:firstRow="1" w:lastRow="0" w:firstColumn="1" w:lastColumn="0" w:noHBand="0" w:noVBand="1"/>
      </w:tblPr>
      <w:tblGrid>
        <w:gridCol w:w="3397"/>
        <w:gridCol w:w="1986"/>
      </w:tblGrid>
      <w:tr w:rsidR="00A93FE3" w:rsidRPr="00F3781A" w14:paraId="3784C9B5" w14:textId="77777777" w:rsidTr="00511F7F">
        <w:trPr>
          <w:tblHeader/>
          <w:jc w:val="center"/>
        </w:trPr>
        <w:tc>
          <w:tcPr>
            <w:tcW w:w="3155" w:type="pct"/>
            <w:hideMark/>
          </w:tcPr>
          <w:p w14:paraId="1011304F" w14:textId="77777777" w:rsidR="00A93FE3" w:rsidRPr="007A5D47" w:rsidRDefault="00A93FE3" w:rsidP="00511F7F">
            <w:pPr>
              <w:jc w:val="center"/>
              <w:rPr>
                <w:rFonts w:eastAsia="Times New Roman" w:cs="Times New Roman"/>
                <w:b/>
                <w:bCs/>
                <w:lang w:eastAsia="fr-FR" w:bidi="ar-SA"/>
              </w:rPr>
            </w:pPr>
            <w:r w:rsidRPr="007A5D47">
              <w:rPr>
                <w:rFonts w:eastAsia="Times New Roman" w:cs="Times New Roman"/>
                <w:b/>
                <w:bCs/>
                <w:lang w:eastAsia="fr-FR" w:bidi="ar-SA"/>
              </w:rPr>
              <w:t>DÉPARTEMENT</w:t>
            </w:r>
          </w:p>
        </w:tc>
        <w:tc>
          <w:tcPr>
            <w:tcW w:w="1845" w:type="pct"/>
            <w:hideMark/>
          </w:tcPr>
          <w:p w14:paraId="7E770842" w14:textId="77777777" w:rsidR="00A93FE3" w:rsidRPr="007A5D47" w:rsidRDefault="00A93FE3" w:rsidP="00511F7F">
            <w:pPr>
              <w:jc w:val="center"/>
              <w:rPr>
                <w:rFonts w:eastAsia="Times New Roman" w:cs="Times New Roman"/>
                <w:b/>
                <w:bCs/>
                <w:lang w:eastAsia="fr-FR" w:bidi="ar-SA"/>
              </w:rPr>
            </w:pPr>
            <w:r w:rsidRPr="007A5D47">
              <w:rPr>
                <w:rFonts w:eastAsia="Times New Roman" w:cs="Times New Roman"/>
                <w:b/>
                <w:bCs/>
                <w:lang w:eastAsia="fr-FR" w:bidi="ar-SA"/>
              </w:rPr>
              <w:t>Zone climatique</w:t>
            </w:r>
          </w:p>
        </w:tc>
      </w:tr>
      <w:tr w:rsidR="00A93FE3" w:rsidRPr="00F3781A" w14:paraId="0CE9A5BE" w14:textId="77777777" w:rsidTr="00511F7F">
        <w:trPr>
          <w:jc w:val="center"/>
        </w:trPr>
        <w:tc>
          <w:tcPr>
            <w:tcW w:w="3155" w:type="pct"/>
            <w:hideMark/>
          </w:tcPr>
          <w:p w14:paraId="7C3AF6CC" w14:textId="77777777" w:rsidR="00A93FE3" w:rsidRPr="007A5D47" w:rsidRDefault="00A93FE3" w:rsidP="00511F7F">
            <w:pPr>
              <w:spacing w:before="100" w:beforeAutospacing="1" w:after="100" w:afterAutospacing="1"/>
              <w:jc w:val="left"/>
              <w:rPr>
                <w:rFonts w:eastAsia="Times New Roman" w:cs="Times New Roman"/>
                <w:lang w:eastAsia="fr-FR" w:bidi="ar-SA"/>
              </w:rPr>
            </w:pPr>
            <w:r w:rsidRPr="007A5D47">
              <w:rPr>
                <w:rFonts w:eastAsia="Times New Roman" w:cs="Times New Roman"/>
                <w:lang w:eastAsia="fr-FR" w:bidi="ar-SA"/>
              </w:rPr>
              <w:t>01 ― Ain</w:t>
            </w:r>
          </w:p>
        </w:tc>
        <w:tc>
          <w:tcPr>
            <w:tcW w:w="1845" w:type="pct"/>
            <w:hideMark/>
          </w:tcPr>
          <w:p w14:paraId="7D1AEC56" w14:textId="77777777" w:rsidR="00A93FE3" w:rsidRPr="007A5D47" w:rsidRDefault="00A93FE3" w:rsidP="00511F7F">
            <w:pPr>
              <w:jc w:val="center"/>
              <w:rPr>
                <w:rFonts w:eastAsia="Times New Roman" w:cs="Times New Roman"/>
                <w:lang w:eastAsia="fr-FR" w:bidi="ar-SA"/>
              </w:rPr>
            </w:pPr>
            <w:r w:rsidRPr="007A5D47">
              <w:rPr>
                <w:rFonts w:eastAsia="Times New Roman" w:cs="Times New Roman"/>
                <w:lang w:eastAsia="fr-FR" w:bidi="ar-SA"/>
              </w:rPr>
              <w:t>H1c</w:t>
            </w:r>
          </w:p>
        </w:tc>
      </w:tr>
      <w:tr w:rsidR="00A93FE3" w:rsidRPr="00F3781A" w14:paraId="619523E6" w14:textId="77777777" w:rsidTr="00511F7F">
        <w:trPr>
          <w:jc w:val="center"/>
        </w:trPr>
        <w:tc>
          <w:tcPr>
            <w:tcW w:w="3155" w:type="pct"/>
            <w:hideMark/>
          </w:tcPr>
          <w:p w14:paraId="7A881F4B" w14:textId="77777777" w:rsidR="00A93FE3" w:rsidRPr="007A5D47" w:rsidRDefault="00A93FE3" w:rsidP="00511F7F">
            <w:pPr>
              <w:spacing w:before="100" w:beforeAutospacing="1" w:after="100" w:afterAutospacing="1"/>
              <w:jc w:val="left"/>
              <w:rPr>
                <w:rFonts w:eastAsia="Times New Roman" w:cs="Times New Roman"/>
                <w:lang w:eastAsia="fr-FR" w:bidi="ar-SA"/>
              </w:rPr>
            </w:pPr>
            <w:r w:rsidRPr="007A5D47">
              <w:rPr>
                <w:rFonts w:eastAsia="Times New Roman" w:cs="Times New Roman"/>
                <w:lang w:eastAsia="fr-FR" w:bidi="ar-SA"/>
              </w:rPr>
              <w:t>02 ― Aisne</w:t>
            </w:r>
          </w:p>
        </w:tc>
        <w:tc>
          <w:tcPr>
            <w:tcW w:w="1845" w:type="pct"/>
            <w:hideMark/>
          </w:tcPr>
          <w:p w14:paraId="53258611" w14:textId="77777777" w:rsidR="00A93FE3" w:rsidRPr="007A5D47" w:rsidRDefault="00A93FE3" w:rsidP="00511F7F">
            <w:pPr>
              <w:jc w:val="center"/>
              <w:rPr>
                <w:rFonts w:eastAsia="Times New Roman" w:cs="Times New Roman"/>
                <w:lang w:eastAsia="fr-FR" w:bidi="ar-SA"/>
              </w:rPr>
            </w:pPr>
            <w:r w:rsidRPr="007A5D47">
              <w:rPr>
                <w:rFonts w:eastAsia="Times New Roman" w:cs="Times New Roman"/>
                <w:lang w:eastAsia="fr-FR" w:bidi="ar-SA"/>
              </w:rPr>
              <w:t>H1a</w:t>
            </w:r>
          </w:p>
        </w:tc>
      </w:tr>
      <w:tr w:rsidR="00A93FE3" w:rsidRPr="00F3781A" w14:paraId="20382AAB" w14:textId="77777777" w:rsidTr="00511F7F">
        <w:trPr>
          <w:jc w:val="center"/>
        </w:trPr>
        <w:tc>
          <w:tcPr>
            <w:tcW w:w="3155" w:type="pct"/>
            <w:hideMark/>
          </w:tcPr>
          <w:p w14:paraId="318F13B6" w14:textId="77777777" w:rsidR="00A93FE3" w:rsidRPr="007A5D47" w:rsidRDefault="00A93FE3" w:rsidP="00511F7F">
            <w:pPr>
              <w:spacing w:before="100" w:beforeAutospacing="1" w:after="100" w:afterAutospacing="1"/>
              <w:jc w:val="left"/>
              <w:rPr>
                <w:rFonts w:eastAsia="Times New Roman" w:cs="Times New Roman"/>
                <w:lang w:eastAsia="fr-FR" w:bidi="ar-SA"/>
              </w:rPr>
            </w:pPr>
            <w:r w:rsidRPr="007A5D47">
              <w:rPr>
                <w:rFonts w:eastAsia="Times New Roman" w:cs="Times New Roman"/>
                <w:lang w:eastAsia="fr-FR" w:bidi="ar-SA"/>
              </w:rPr>
              <w:t>03 ― Allier</w:t>
            </w:r>
          </w:p>
        </w:tc>
        <w:tc>
          <w:tcPr>
            <w:tcW w:w="1845" w:type="pct"/>
            <w:hideMark/>
          </w:tcPr>
          <w:p w14:paraId="58F3E8D5" w14:textId="77777777" w:rsidR="00A93FE3" w:rsidRPr="007A5D47" w:rsidRDefault="00A93FE3" w:rsidP="00511F7F">
            <w:pPr>
              <w:jc w:val="center"/>
              <w:rPr>
                <w:rFonts w:eastAsia="Times New Roman" w:cs="Times New Roman"/>
                <w:lang w:eastAsia="fr-FR" w:bidi="ar-SA"/>
              </w:rPr>
            </w:pPr>
            <w:r w:rsidRPr="007A5D47">
              <w:rPr>
                <w:rFonts w:eastAsia="Times New Roman" w:cs="Times New Roman"/>
                <w:lang w:eastAsia="fr-FR" w:bidi="ar-SA"/>
              </w:rPr>
              <w:t>H1c</w:t>
            </w:r>
          </w:p>
        </w:tc>
      </w:tr>
      <w:tr w:rsidR="00A93FE3" w:rsidRPr="00F3781A" w14:paraId="56E85D61" w14:textId="77777777" w:rsidTr="00511F7F">
        <w:trPr>
          <w:jc w:val="center"/>
        </w:trPr>
        <w:tc>
          <w:tcPr>
            <w:tcW w:w="3155" w:type="pct"/>
            <w:hideMark/>
          </w:tcPr>
          <w:p w14:paraId="25C99C31" w14:textId="77777777" w:rsidR="00A93FE3" w:rsidRPr="007A5D47" w:rsidRDefault="00A93FE3" w:rsidP="00511F7F">
            <w:pPr>
              <w:spacing w:before="100" w:beforeAutospacing="1" w:after="100" w:afterAutospacing="1"/>
              <w:jc w:val="left"/>
              <w:rPr>
                <w:rFonts w:eastAsia="Times New Roman" w:cs="Times New Roman"/>
                <w:lang w:eastAsia="fr-FR" w:bidi="ar-SA"/>
              </w:rPr>
            </w:pPr>
            <w:r w:rsidRPr="007A5D47">
              <w:rPr>
                <w:rFonts w:eastAsia="Times New Roman" w:cs="Times New Roman"/>
                <w:lang w:eastAsia="fr-FR" w:bidi="ar-SA"/>
              </w:rPr>
              <w:t>04 ― Alpes-de-Haute-Provence</w:t>
            </w:r>
          </w:p>
        </w:tc>
        <w:tc>
          <w:tcPr>
            <w:tcW w:w="1845" w:type="pct"/>
            <w:hideMark/>
          </w:tcPr>
          <w:p w14:paraId="4279D4E0" w14:textId="77777777" w:rsidR="00A93FE3" w:rsidRPr="007A5D47" w:rsidRDefault="00A93FE3" w:rsidP="00511F7F">
            <w:pPr>
              <w:jc w:val="center"/>
              <w:rPr>
                <w:rFonts w:eastAsia="Times New Roman" w:cs="Times New Roman"/>
                <w:lang w:eastAsia="fr-FR" w:bidi="ar-SA"/>
              </w:rPr>
            </w:pPr>
            <w:r w:rsidRPr="007A5D47">
              <w:rPr>
                <w:rFonts w:eastAsia="Times New Roman" w:cs="Times New Roman"/>
                <w:lang w:eastAsia="fr-FR" w:bidi="ar-SA"/>
              </w:rPr>
              <w:t>H2d</w:t>
            </w:r>
          </w:p>
        </w:tc>
      </w:tr>
      <w:tr w:rsidR="00A93FE3" w:rsidRPr="00F3781A" w14:paraId="4CFCCF6A" w14:textId="77777777" w:rsidTr="00511F7F">
        <w:trPr>
          <w:jc w:val="center"/>
        </w:trPr>
        <w:tc>
          <w:tcPr>
            <w:tcW w:w="3155" w:type="pct"/>
            <w:hideMark/>
          </w:tcPr>
          <w:p w14:paraId="2B53416F" w14:textId="77777777" w:rsidR="00A93FE3" w:rsidRPr="007A5D47" w:rsidRDefault="00A93FE3" w:rsidP="00511F7F">
            <w:pPr>
              <w:spacing w:before="100" w:beforeAutospacing="1" w:after="100" w:afterAutospacing="1"/>
              <w:jc w:val="left"/>
              <w:rPr>
                <w:rFonts w:eastAsia="Times New Roman" w:cs="Times New Roman"/>
                <w:lang w:eastAsia="fr-FR" w:bidi="ar-SA"/>
              </w:rPr>
            </w:pPr>
            <w:r w:rsidRPr="007A5D47">
              <w:rPr>
                <w:rFonts w:eastAsia="Times New Roman" w:cs="Times New Roman"/>
                <w:lang w:eastAsia="fr-FR" w:bidi="ar-SA"/>
              </w:rPr>
              <w:t>05 ― Hautes-Alpes</w:t>
            </w:r>
          </w:p>
        </w:tc>
        <w:tc>
          <w:tcPr>
            <w:tcW w:w="1845" w:type="pct"/>
            <w:hideMark/>
          </w:tcPr>
          <w:p w14:paraId="34020815" w14:textId="77777777" w:rsidR="00A93FE3" w:rsidRPr="007A5D47" w:rsidRDefault="00A93FE3" w:rsidP="00511F7F">
            <w:pPr>
              <w:jc w:val="center"/>
              <w:rPr>
                <w:rFonts w:eastAsia="Times New Roman" w:cs="Times New Roman"/>
                <w:lang w:eastAsia="fr-FR" w:bidi="ar-SA"/>
              </w:rPr>
            </w:pPr>
            <w:r w:rsidRPr="007A5D47">
              <w:rPr>
                <w:rFonts w:eastAsia="Times New Roman" w:cs="Times New Roman"/>
                <w:lang w:eastAsia="fr-FR" w:bidi="ar-SA"/>
              </w:rPr>
              <w:t>H1c</w:t>
            </w:r>
          </w:p>
        </w:tc>
      </w:tr>
      <w:tr w:rsidR="00A93FE3" w:rsidRPr="00F3781A" w14:paraId="312AEFDB" w14:textId="77777777" w:rsidTr="00511F7F">
        <w:trPr>
          <w:jc w:val="center"/>
        </w:trPr>
        <w:tc>
          <w:tcPr>
            <w:tcW w:w="3155" w:type="pct"/>
            <w:hideMark/>
          </w:tcPr>
          <w:p w14:paraId="19AE01C8" w14:textId="77777777" w:rsidR="00A93FE3" w:rsidRPr="007A5D47" w:rsidRDefault="00A93FE3" w:rsidP="00511F7F">
            <w:pPr>
              <w:spacing w:before="100" w:beforeAutospacing="1" w:after="100" w:afterAutospacing="1"/>
              <w:jc w:val="left"/>
              <w:rPr>
                <w:rFonts w:eastAsia="Times New Roman" w:cs="Times New Roman"/>
                <w:lang w:eastAsia="fr-FR" w:bidi="ar-SA"/>
              </w:rPr>
            </w:pPr>
            <w:r w:rsidRPr="007A5D47">
              <w:rPr>
                <w:rFonts w:eastAsia="Times New Roman" w:cs="Times New Roman"/>
                <w:lang w:eastAsia="fr-FR" w:bidi="ar-SA"/>
              </w:rPr>
              <w:t>06 ― Alpes-Maritimes</w:t>
            </w:r>
          </w:p>
        </w:tc>
        <w:tc>
          <w:tcPr>
            <w:tcW w:w="1845" w:type="pct"/>
            <w:hideMark/>
          </w:tcPr>
          <w:p w14:paraId="43871B31" w14:textId="77777777" w:rsidR="00A93FE3" w:rsidRPr="007A5D47" w:rsidRDefault="00A93FE3" w:rsidP="00511F7F">
            <w:pPr>
              <w:jc w:val="center"/>
              <w:rPr>
                <w:rFonts w:eastAsia="Times New Roman" w:cs="Times New Roman"/>
                <w:lang w:eastAsia="fr-FR" w:bidi="ar-SA"/>
              </w:rPr>
            </w:pPr>
            <w:r w:rsidRPr="007A5D47">
              <w:rPr>
                <w:rFonts w:eastAsia="Times New Roman" w:cs="Times New Roman"/>
                <w:lang w:eastAsia="fr-FR" w:bidi="ar-SA"/>
              </w:rPr>
              <w:t>H3</w:t>
            </w:r>
          </w:p>
        </w:tc>
      </w:tr>
      <w:tr w:rsidR="00A93FE3" w:rsidRPr="00F3781A" w14:paraId="38EA3162" w14:textId="77777777" w:rsidTr="00511F7F">
        <w:trPr>
          <w:jc w:val="center"/>
        </w:trPr>
        <w:tc>
          <w:tcPr>
            <w:tcW w:w="3155" w:type="pct"/>
            <w:hideMark/>
          </w:tcPr>
          <w:p w14:paraId="57408238" w14:textId="77777777" w:rsidR="00A93FE3" w:rsidRPr="007A5D47" w:rsidRDefault="00A93FE3" w:rsidP="00511F7F">
            <w:pPr>
              <w:spacing w:before="100" w:beforeAutospacing="1" w:after="100" w:afterAutospacing="1"/>
              <w:jc w:val="left"/>
              <w:rPr>
                <w:rFonts w:eastAsia="Times New Roman" w:cs="Times New Roman"/>
                <w:lang w:eastAsia="fr-FR" w:bidi="ar-SA"/>
              </w:rPr>
            </w:pPr>
            <w:r w:rsidRPr="007A5D47">
              <w:rPr>
                <w:rFonts w:eastAsia="Times New Roman" w:cs="Times New Roman"/>
                <w:lang w:eastAsia="fr-FR" w:bidi="ar-SA"/>
              </w:rPr>
              <w:t>07 ― Ardèche</w:t>
            </w:r>
          </w:p>
        </w:tc>
        <w:tc>
          <w:tcPr>
            <w:tcW w:w="1845" w:type="pct"/>
            <w:hideMark/>
          </w:tcPr>
          <w:p w14:paraId="60D07A21" w14:textId="77777777" w:rsidR="00A93FE3" w:rsidRPr="007A5D47" w:rsidRDefault="00A93FE3" w:rsidP="00511F7F">
            <w:pPr>
              <w:jc w:val="center"/>
              <w:rPr>
                <w:rFonts w:eastAsia="Times New Roman" w:cs="Times New Roman"/>
                <w:lang w:eastAsia="fr-FR" w:bidi="ar-SA"/>
              </w:rPr>
            </w:pPr>
            <w:r w:rsidRPr="007A5D47">
              <w:rPr>
                <w:rFonts w:eastAsia="Times New Roman" w:cs="Times New Roman"/>
                <w:lang w:eastAsia="fr-FR" w:bidi="ar-SA"/>
              </w:rPr>
              <w:t>H2d</w:t>
            </w:r>
          </w:p>
        </w:tc>
      </w:tr>
      <w:tr w:rsidR="00A93FE3" w:rsidRPr="00F3781A" w14:paraId="3C9735AA" w14:textId="77777777" w:rsidTr="00511F7F">
        <w:trPr>
          <w:jc w:val="center"/>
        </w:trPr>
        <w:tc>
          <w:tcPr>
            <w:tcW w:w="3155" w:type="pct"/>
            <w:hideMark/>
          </w:tcPr>
          <w:p w14:paraId="0B755DF0" w14:textId="77777777" w:rsidR="00A93FE3" w:rsidRPr="007A5D47" w:rsidRDefault="00A93FE3" w:rsidP="00511F7F">
            <w:pPr>
              <w:spacing w:before="100" w:beforeAutospacing="1" w:after="100" w:afterAutospacing="1"/>
              <w:jc w:val="left"/>
              <w:rPr>
                <w:rFonts w:eastAsia="Times New Roman" w:cs="Times New Roman"/>
                <w:lang w:eastAsia="fr-FR" w:bidi="ar-SA"/>
              </w:rPr>
            </w:pPr>
            <w:r w:rsidRPr="007A5D47">
              <w:rPr>
                <w:rFonts w:eastAsia="Times New Roman" w:cs="Times New Roman"/>
                <w:lang w:eastAsia="fr-FR" w:bidi="ar-SA"/>
              </w:rPr>
              <w:t>08 ― Ardennes</w:t>
            </w:r>
          </w:p>
        </w:tc>
        <w:tc>
          <w:tcPr>
            <w:tcW w:w="1845" w:type="pct"/>
            <w:hideMark/>
          </w:tcPr>
          <w:p w14:paraId="30A171CB" w14:textId="77777777" w:rsidR="00A93FE3" w:rsidRPr="007A5D47" w:rsidRDefault="00A93FE3" w:rsidP="00511F7F">
            <w:pPr>
              <w:jc w:val="center"/>
              <w:rPr>
                <w:rFonts w:eastAsia="Times New Roman" w:cs="Times New Roman"/>
                <w:lang w:eastAsia="fr-FR" w:bidi="ar-SA"/>
              </w:rPr>
            </w:pPr>
            <w:r w:rsidRPr="007A5D47">
              <w:rPr>
                <w:rFonts w:eastAsia="Times New Roman" w:cs="Times New Roman"/>
                <w:lang w:eastAsia="fr-FR" w:bidi="ar-SA"/>
              </w:rPr>
              <w:t>H1b</w:t>
            </w:r>
          </w:p>
        </w:tc>
      </w:tr>
      <w:tr w:rsidR="00A93FE3" w:rsidRPr="00F3781A" w14:paraId="5E381A43" w14:textId="77777777" w:rsidTr="00511F7F">
        <w:trPr>
          <w:jc w:val="center"/>
        </w:trPr>
        <w:tc>
          <w:tcPr>
            <w:tcW w:w="3155" w:type="pct"/>
            <w:hideMark/>
          </w:tcPr>
          <w:p w14:paraId="0FF28816" w14:textId="77777777" w:rsidR="00A93FE3" w:rsidRPr="007A5D47" w:rsidRDefault="00A93FE3" w:rsidP="00511F7F">
            <w:pPr>
              <w:spacing w:before="100" w:beforeAutospacing="1" w:after="100" w:afterAutospacing="1"/>
              <w:jc w:val="left"/>
              <w:rPr>
                <w:rFonts w:eastAsia="Times New Roman" w:cs="Times New Roman"/>
                <w:lang w:eastAsia="fr-FR" w:bidi="ar-SA"/>
              </w:rPr>
            </w:pPr>
            <w:r w:rsidRPr="007A5D47">
              <w:rPr>
                <w:rFonts w:eastAsia="Times New Roman" w:cs="Times New Roman"/>
                <w:lang w:eastAsia="fr-FR" w:bidi="ar-SA"/>
              </w:rPr>
              <w:t>09 ― Ariège</w:t>
            </w:r>
          </w:p>
        </w:tc>
        <w:tc>
          <w:tcPr>
            <w:tcW w:w="1845" w:type="pct"/>
            <w:hideMark/>
          </w:tcPr>
          <w:p w14:paraId="665B78D9" w14:textId="77777777" w:rsidR="00A93FE3" w:rsidRPr="007A5D47" w:rsidRDefault="00A93FE3" w:rsidP="00511F7F">
            <w:pPr>
              <w:jc w:val="center"/>
              <w:rPr>
                <w:rFonts w:eastAsia="Times New Roman" w:cs="Times New Roman"/>
                <w:lang w:eastAsia="fr-FR" w:bidi="ar-SA"/>
              </w:rPr>
            </w:pPr>
            <w:r w:rsidRPr="007A5D47">
              <w:rPr>
                <w:rFonts w:eastAsia="Times New Roman" w:cs="Times New Roman"/>
                <w:lang w:eastAsia="fr-FR" w:bidi="ar-SA"/>
              </w:rPr>
              <w:t>H2c</w:t>
            </w:r>
          </w:p>
        </w:tc>
      </w:tr>
      <w:tr w:rsidR="00A93FE3" w:rsidRPr="00F3781A" w14:paraId="64583D46" w14:textId="77777777" w:rsidTr="00511F7F">
        <w:trPr>
          <w:jc w:val="center"/>
        </w:trPr>
        <w:tc>
          <w:tcPr>
            <w:tcW w:w="3155" w:type="pct"/>
            <w:hideMark/>
          </w:tcPr>
          <w:p w14:paraId="295458BA" w14:textId="77777777" w:rsidR="00A93FE3" w:rsidRPr="007A5D47" w:rsidRDefault="00A93FE3" w:rsidP="00511F7F">
            <w:pPr>
              <w:spacing w:before="100" w:beforeAutospacing="1" w:after="100" w:afterAutospacing="1"/>
              <w:jc w:val="left"/>
              <w:rPr>
                <w:rFonts w:eastAsia="Times New Roman" w:cs="Times New Roman"/>
                <w:lang w:eastAsia="fr-FR" w:bidi="ar-SA"/>
              </w:rPr>
            </w:pPr>
            <w:r w:rsidRPr="007A5D47">
              <w:rPr>
                <w:rFonts w:eastAsia="Times New Roman" w:cs="Times New Roman"/>
                <w:lang w:eastAsia="fr-FR" w:bidi="ar-SA"/>
              </w:rPr>
              <w:t>10 ― Aube</w:t>
            </w:r>
          </w:p>
        </w:tc>
        <w:tc>
          <w:tcPr>
            <w:tcW w:w="1845" w:type="pct"/>
            <w:hideMark/>
          </w:tcPr>
          <w:p w14:paraId="23DCAFFD" w14:textId="77777777" w:rsidR="00A93FE3" w:rsidRPr="007A5D47" w:rsidRDefault="00A93FE3" w:rsidP="00511F7F">
            <w:pPr>
              <w:jc w:val="center"/>
              <w:rPr>
                <w:rFonts w:eastAsia="Times New Roman" w:cs="Times New Roman"/>
                <w:lang w:eastAsia="fr-FR" w:bidi="ar-SA"/>
              </w:rPr>
            </w:pPr>
            <w:r w:rsidRPr="007A5D47">
              <w:rPr>
                <w:rFonts w:eastAsia="Times New Roman" w:cs="Times New Roman"/>
                <w:lang w:eastAsia="fr-FR" w:bidi="ar-SA"/>
              </w:rPr>
              <w:t>H1b</w:t>
            </w:r>
          </w:p>
        </w:tc>
      </w:tr>
      <w:tr w:rsidR="00A93FE3" w:rsidRPr="00F3781A" w14:paraId="6E926868" w14:textId="77777777" w:rsidTr="00511F7F">
        <w:trPr>
          <w:jc w:val="center"/>
        </w:trPr>
        <w:tc>
          <w:tcPr>
            <w:tcW w:w="3155" w:type="pct"/>
            <w:hideMark/>
          </w:tcPr>
          <w:p w14:paraId="28338165" w14:textId="77777777" w:rsidR="00A93FE3" w:rsidRPr="007A5D47" w:rsidRDefault="00A93FE3" w:rsidP="00511F7F">
            <w:pPr>
              <w:spacing w:before="100" w:beforeAutospacing="1" w:after="100" w:afterAutospacing="1"/>
              <w:jc w:val="left"/>
              <w:rPr>
                <w:rFonts w:eastAsia="Times New Roman" w:cs="Times New Roman"/>
                <w:lang w:eastAsia="fr-FR" w:bidi="ar-SA"/>
              </w:rPr>
            </w:pPr>
            <w:r w:rsidRPr="007A5D47">
              <w:rPr>
                <w:rFonts w:eastAsia="Times New Roman" w:cs="Times New Roman"/>
                <w:lang w:eastAsia="fr-FR" w:bidi="ar-SA"/>
              </w:rPr>
              <w:t>11 ― Aude</w:t>
            </w:r>
          </w:p>
        </w:tc>
        <w:tc>
          <w:tcPr>
            <w:tcW w:w="1845" w:type="pct"/>
            <w:hideMark/>
          </w:tcPr>
          <w:p w14:paraId="5AF7C6CC" w14:textId="77777777" w:rsidR="00A93FE3" w:rsidRPr="007A5D47" w:rsidRDefault="00A93FE3" w:rsidP="00511F7F">
            <w:pPr>
              <w:jc w:val="center"/>
              <w:rPr>
                <w:rFonts w:eastAsia="Times New Roman" w:cs="Times New Roman"/>
                <w:lang w:eastAsia="fr-FR" w:bidi="ar-SA"/>
              </w:rPr>
            </w:pPr>
            <w:r w:rsidRPr="007A5D47">
              <w:rPr>
                <w:rFonts w:eastAsia="Times New Roman" w:cs="Times New Roman"/>
                <w:lang w:eastAsia="fr-FR" w:bidi="ar-SA"/>
              </w:rPr>
              <w:t>H3</w:t>
            </w:r>
          </w:p>
        </w:tc>
      </w:tr>
      <w:tr w:rsidR="00A93FE3" w:rsidRPr="00F3781A" w14:paraId="59232C5A" w14:textId="77777777" w:rsidTr="00511F7F">
        <w:trPr>
          <w:jc w:val="center"/>
        </w:trPr>
        <w:tc>
          <w:tcPr>
            <w:tcW w:w="3155" w:type="pct"/>
            <w:hideMark/>
          </w:tcPr>
          <w:p w14:paraId="01BC57FE" w14:textId="77777777" w:rsidR="00A93FE3" w:rsidRPr="007A5D47" w:rsidRDefault="00A93FE3" w:rsidP="00511F7F">
            <w:pPr>
              <w:spacing w:before="100" w:beforeAutospacing="1" w:after="100" w:afterAutospacing="1"/>
              <w:jc w:val="left"/>
              <w:rPr>
                <w:rFonts w:eastAsia="Times New Roman" w:cs="Times New Roman"/>
                <w:lang w:eastAsia="fr-FR" w:bidi="ar-SA"/>
              </w:rPr>
            </w:pPr>
            <w:r w:rsidRPr="007A5D47">
              <w:rPr>
                <w:rFonts w:eastAsia="Times New Roman" w:cs="Times New Roman"/>
                <w:lang w:eastAsia="fr-FR" w:bidi="ar-SA"/>
              </w:rPr>
              <w:t>12 ― Aveyron</w:t>
            </w:r>
          </w:p>
        </w:tc>
        <w:tc>
          <w:tcPr>
            <w:tcW w:w="1845" w:type="pct"/>
            <w:hideMark/>
          </w:tcPr>
          <w:p w14:paraId="318868A4" w14:textId="77777777" w:rsidR="00A93FE3" w:rsidRPr="007A5D47" w:rsidRDefault="00A93FE3" w:rsidP="00511F7F">
            <w:pPr>
              <w:jc w:val="center"/>
              <w:rPr>
                <w:rFonts w:eastAsia="Times New Roman" w:cs="Times New Roman"/>
                <w:lang w:eastAsia="fr-FR" w:bidi="ar-SA"/>
              </w:rPr>
            </w:pPr>
            <w:r w:rsidRPr="007A5D47">
              <w:rPr>
                <w:rFonts w:eastAsia="Times New Roman" w:cs="Times New Roman"/>
                <w:lang w:eastAsia="fr-FR" w:bidi="ar-SA"/>
              </w:rPr>
              <w:t>H2c</w:t>
            </w:r>
          </w:p>
        </w:tc>
      </w:tr>
      <w:tr w:rsidR="00A93FE3" w:rsidRPr="00F3781A" w14:paraId="5028F297" w14:textId="77777777" w:rsidTr="00511F7F">
        <w:trPr>
          <w:jc w:val="center"/>
        </w:trPr>
        <w:tc>
          <w:tcPr>
            <w:tcW w:w="3155" w:type="pct"/>
            <w:hideMark/>
          </w:tcPr>
          <w:p w14:paraId="35696232" w14:textId="77777777" w:rsidR="00A93FE3" w:rsidRPr="007A5D47" w:rsidRDefault="00A93FE3" w:rsidP="00511F7F">
            <w:pPr>
              <w:spacing w:before="100" w:beforeAutospacing="1" w:after="100" w:afterAutospacing="1"/>
              <w:jc w:val="left"/>
              <w:rPr>
                <w:rFonts w:eastAsia="Times New Roman" w:cs="Times New Roman"/>
                <w:lang w:eastAsia="fr-FR" w:bidi="ar-SA"/>
              </w:rPr>
            </w:pPr>
            <w:r w:rsidRPr="007A5D47">
              <w:rPr>
                <w:rFonts w:eastAsia="Times New Roman" w:cs="Times New Roman"/>
                <w:lang w:eastAsia="fr-FR" w:bidi="ar-SA"/>
              </w:rPr>
              <w:t>13 ― Bouches-du-Rhône</w:t>
            </w:r>
          </w:p>
        </w:tc>
        <w:tc>
          <w:tcPr>
            <w:tcW w:w="1845" w:type="pct"/>
            <w:hideMark/>
          </w:tcPr>
          <w:p w14:paraId="26E8E86A" w14:textId="77777777" w:rsidR="00A93FE3" w:rsidRPr="007A5D47" w:rsidRDefault="00A93FE3" w:rsidP="00511F7F">
            <w:pPr>
              <w:jc w:val="center"/>
              <w:rPr>
                <w:rFonts w:eastAsia="Times New Roman" w:cs="Times New Roman"/>
                <w:lang w:eastAsia="fr-FR" w:bidi="ar-SA"/>
              </w:rPr>
            </w:pPr>
            <w:r w:rsidRPr="007A5D47">
              <w:rPr>
                <w:rFonts w:eastAsia="Times New Roman" w:cs="Times New Roman"/>
                <w:lang w:eastAsia="fr-FR" w:bidi="ar-SA"/>
              </w:rPr>
              <w:t>H3</w:t>
            </w:r>
          </w:p>
        </w:tc>
      </w:tr>
      <w:tr w:rsidR="00A93FE3" w:rsidRPr="00F3781A" w14:paraId="26149949" w14:textId="77777777" w:rsidTr="00511F7F">
        <w:trPr>
          <w:jc w:val="center"/>
        </w:trPr>
        <w:tc>
          <w:tcPr>
            <w:tcW w:w="3155" w:type="pct"/>
            <w:hideMark/>
          </w:tcPr>
          <w:p w14:paraId="4DEF5AA7" w14:textId="77777777" w:rsidR="00A93FE3" w:rsidRPr="007A5D47" w:rsidRDefault="00A93FE3" w:rsidP="00511F7F">
            <w:pPr>
              <w:spacing w:before="100" w:beforeAutospacing="1" w:after="100" w:afterAutospacing="1"/>
              <w:jc w:val="left"/>
              <w:rPr>
                <w:rFonts w:eastAsia="Times New Roman" w:cs="Times New Roman"/>
                <w:lang w:eastAsia="fr-FR" w:bidi="ar-SA"/>
              </w:rPr>
            </w:pPr>
            <w:r w:rsidRPr="007A5D47">
              <w:rPr>
                <w:rFonts w:eastAsia="Times New Roman" w:cs="Times New Roman"/>
                <w:lang w:eastAsia="fr-FR" w:bidi="ar-SA"/>
              </w:rPr>
              <w:t>14 ― Calvados</w:t>
            </w:r>
          </w:p>
        </w:tc>
        <w:tc>
          <w:tcPr>
            <w:tcW w:w="1845" w:type="pct"/>
            <w:hideMark/>
          </w:tcPr>
          <w:p w14:paraId="7275A3AA" w14:textId="77777777" w:rsidR="00A93FE3" w:rsidRPr="007A5D47" w:rsidRDefault="00A93FE3" w:rsidP="00511F7F">
            <w:pPr>
              <w:jc w:val="center"/>
              <w:rPr>
                <w:rFonts w:eastAsia="Times New Roman" w:cs="Times New Roman"/>
                <w:lang w:eastAsia="fr-FR" w:bidi="ar-SA"/>
              </w:rPr>
            </w:pPr>
            <w:r w:rsidRPr="007A5D47">
              <w:rPr>
                <w:rFonts w:eastAsia="Times New Roman" w:cs="Times New Roman"/>
                <w:lang w:eastAsia="fr-FR" w:bidi="ar-SA"/>
              </w:rPr>
              <w:t>H1a</w:t>
            </w:r>
          </w:p>
        </w:tc>
      </w:tr>
      <w:tr w:rsidR="00A93FE3" w:rsidRPr="00F3781A" w14:paraId="7DAA4A5E" w14:textId="77777777" w:rsidTr="00511F7F">
        <w:trPr>
          <w:jc w:val="center"/>
        </w:trPr>
        <w:tc>
          <w:tcPr>
            <w:tcW w:w="3155" w:type="pct"/>
            <w:hideMark/>
          </w:tcPr>
          <w:p w14:paraId="7F4947FA" w14:textId="77777777" w:rsidR="00A93FE3" w:rsidRPr="007A5D47" w:rsidRDefault="00A93FE3" w:rsidP="00511F7F">
            <w:pPr>
              <w:spacing w:before="100" w:beforeAutospacing="1" w:after="100" w:afterAutospacing="1"/>
              <w:jc w:val="left"/>
              <w:rPr>
                <w:rFonts w:eastAsia="Times New Roman" w:cs="Times New Roman"/>
                <w:lang w:eastAsia="fr-FR" w:bidi="ar-SA"/>
              </w:rPr>
            </w:pPr>
            <w:r w:rsidRPr="007A5D47">
              <w:rPr>
                <w:rFonts w:eastAsia="Times New Roman" w:cs="Times New Roman"/>
                <w:lang w:eastAsia="fr-FR" w:bidi="ar-SA"/>
              </w:rPr>
              <w:t>15 ― Cantal</w:t>
            </w:r>
          </w:p>
        </w:tc>
        <w:tc>
          <w:tcPr>
            <w:tcW w:w="1845" w:type="pct"/>
            <w:hideMark/>
          </w:tcPr>
          <w:p w14:paraId="395B4672" w14:textId="77777777" w:rsidR="00A93FE3" w:rsidRPr="007A5D47" w:rsidRDefault="00A93FE3" w:rsidP="00511F7F">
            <w:pPr>
              <w:jc w:val="center"/>
              <w:rPr>
                <w:rFonts w:eastAsia="Times New Roman" w:cs="Times New Roman"/>
                <w:lang w:eastAsia="fr-FR" w:bidi="ar-SA"/>
              </w:rPr>
            </w:pPr>
            <w:r w:rsidRPr="007A5D47">
              <w:rPr>
                <w:rFonts w:eastAsia="Times New Roman" w:cs="Times New Roman"/>
                <w:lang w:eastAsia="fr-FR" w:bidi="ar-SA"/>
              </w:rPr>
              <w:t>H1c</w:t>
            </w:r>
          </w:p>
        </w:tc>
      </w:tr>
      <w:tr w:rsidR="00A93FE3" w:rsidRPr="00F3781A" w14:paraId="0CD5A284" w14:textId="77777777" w:rsidTr="00511F7F">
        <w:trPr>
          <w:jc w:val="center"/>
        </w:trPr>
        <w:tc>
          <w:tcPr>
            <w:tcW w:w="3155" w:type="pct"/>
            <w:hideMark/>
          </w:tcPr>
          <w:p w14:paraId="08F3F8E1" w14:textId="77777777" w:rsidR="00A93FE3" w:rsidRPr="007A5D47" w:rsidRDefault="00A93FE3" w:rsidP="00511F7F">
            <w:pPr>
              <w:spacing w:before="100" w:beforeAutospacing="1" w:after="100" w:afterAutospacing="1"/>
              <w:jc w:val="left"/>
              <w:rPr>
                <w:rFonts w:eastAsia="Times New Roman" w:cs="Times New Roman"/>
                <w:lang w:eastAsia="fr-FR" w:bidi="ar-SA"/>
              </w:rPr>
            </w:pPr>
            <w:r w:rsidRPr="007A5D47">
              <w:rPr>
                <w:rFonts w:eastAsia="Times New Roman" w:cs="Times New Roman"/>
                <w:lang w:eastAsia="fr-FR" w:bidi="ar-SA"/>
              </w:rPr>
              <w:t>16 ― Charente</w:t>
            </w:r>
          </w:p>
        </w:tc>
        <w:tc>
          <w:tcPr>
            <w:tcW w:w="1845" w:type="pct"/>
            <w:hideMark/>
          </w:tcPr>
          <w:p w14:paraId="129F859D" w14:textId="77777777" w:rsidR="00A93FE3" w:rsidRPr="007A5D47" w:rsidRDefault="00A93FE3" w:rsidP="00511F7F">
            <w:pPr>
              <w:jc w:val="center"/>
              <w:rPr>
                <w:rFonts w:eastAsia="Times New Roman" w:cs="Times New Roman"/>
                <w:lang w:eastAsia="fr-FR" w:bidi="ar-SA"/>
              </w:rPr>
            </w:pPr>
            <w:r w:rsidRPr="007A5D47">
              <w:rPr>
                <w:rFonts w:eastAsia="Times New Roman" w:cs="Times New Roman"/>
                <w:lang w:eastAsia="fr-FR" w:bidi="ar-SA"/>
              </w:rPr>
              <w:t>H2b</w:t>
            </w:r>
          </w:p>
        </w:tc>
      </w:tr>
      <w:tr w:rsidR="00A93FE3" w:rsidRPr="00F3781A" w14:paraId="00D47B6A" w14:textId="77777777" w:rsidTr="00511F7F">
        <w:trPr>
          <w:jc w:val="center"/>
        </w:trPr>
        <w:tc>
          <w:tcPr>
            <w:tcW w:w="3155" w:type="pct"/>
            <w:hideMark/>
          </w:tcPr>
          <w:p w14:paraId="7AC86A8E" w14:textId="77777777" w:rsidR="00A93FE3" w:rsidRPr="007A5D47" w:rsidRDefault="00A93FE3" w:rsidP="00511F7F">
            <w:pPr>
              <w:spacing w:before="100" w:beforeAutospacing="1" w:after="100" w:afterAutospacing="1"/>
              <w:jc w:val="left"/>
              <w:rPr>
                <w:rFonts w:eastAsia="Times New Roman" w:cs="Times New Roman"/>
                <w:lang w:eastAsia="fr-FR" w:bidi="ar-SA"/>
              </w:rPr>
            </w:pPr>
            <w:r w:rsidRPr="007A5D47">
              <w:rPr>
                <w:rFonts w:eastAsia="Times New Roman" w:cs="Times New Roman"/>
                <w:lang w:eastAsia="fr-FR" w:bidi="ar-SA"/>
              </w:rPr>
              <w:t>17 ― Charente-Maritime</w:t>
            </w:r>
          </w:p>
        </w:tc>
        <w:tc>
          <w:tcPr>
            <w:tcW w:w="1845" w:type="pct"/>
            <w:hideMark/>
          </w:tcPr>
          <w:p w14:paraId="75ACCA29" w14:textId="77777777" w:rsidR="00A93FE3" w:rsidRPr="007A5D47" w:rsidRDefault="00A93FE3" w:rsidP="00511F7F">
            <w:pPr>
              <w:jc w:val="center"/>
              <w:rPr>
                <w:rFonts w:eastAsia="Times New Roman" w:cs="Times New Roman"/>
                <w:lang w:eastAsia="fr-FR" w:bidi="ar-SA"/>
              </w:rPr>
            </w:pPr>
            <w:r w:rsidRPr="007A5D47">
              <w:rPr>
                <w:rFonts w:eastAsia="Times New Roman" w:cs="Times New Roman"/>
                <w:lang w:eastAsia="fr-FR" w:bidi="ar-SA"/>
              </w:rPr>
              <w:t>H2b</w:t>
            </w:r>
          </w:p>
        </w:tc>
      </w:tr>
      <w:tr w:rsidR="00A93FE3" w:rsidRPr="00F3781A" w14:paraId="553FFCE3" w14:textId="77777777" w:rsidTr="00511F7F">
        <w:trPr>
          <w:jc w:val="center"/>
        </w:trPr>
        <w:tc>
          <w:tcPr>
            <w:tcW w:w="3155" w:type="pct"/>
            <w:hideMark/>
          </w:tcPr>
          <w:p w14:paraId="728F3000" w14:textId="77777777" w:rsidR="00A93FE3" w:rsidRPr="007A5D47" w:rsidRDefault="00A93FE3" w:rsidP="00511F7F">
            <w:pPr>
              <w:spacing w:before="100" w:beforeAutospacing="1" w:after="100" w:afterAutospacing="1"/>
              <w:jc w:val="left"/>
              <w:rPr>
                <w:rFonts w:eastAsia="Times New Roman" w:cs="Times New Roman"/>
                <w:lang w:eastAsia="fr-FR" w:bidi="ar-SA"/>
              </w:rPr>
            </w:pPr>
            <w:r w:rsidRPr="007A5D47">
              <w:rPr>
                <w:rFonts w:eastAsia="Times New Roman" w:cs="Times New Roman"/>
                <w:lang w:eastAsia="fr-FR" w:bidi="ar-SA"/>
              </w:rPr>
              <w:t>18 ― Cher</w:t>
            </w:r>
          </w:p>
        </w:tc>
        <w:tc>
          <w:tcPr>
            <w:tcW w:w="1845" w:type="pct"/>
            <w:hideMark/>
          </w:tcPr>
          <w:p w14:paraId="7A316D6E" w14:textId="77777777" w:rsidR="00A93FE3" w:rsidRPr="007A5D47" w:rsidRDefault="00A93FE3" w:rsidP="00511F7F">
            <w:pPr>
              <w:jc w:val="center"/>
              <w:rPr>
                <w:rFonts w:eastAsia="Times New Roman" w:cs="Times New Roman"/>
                <w:lang w:eastAsia="fr-FR" w:bidi="ar-SA"/>
              </w:rPr>
            </w:pPr>
            <w:r w:rsidRPr="007A5D47">
              <w:rPr>
                <w:rFonts w:eastAsia="Times New Roman" w:cs="Times New Roman"/>
                <w:lang w:eastAsia="fr-FR" w:bidi="ar-SA"/>
              </w:rPr>
              <w:t>H2b</w:t>
            </w:r>
          </w:p>
        </w:tc>
      </w:tr>
      <w:tr w:rsidR="00A93FE3" w:rsidRPr="00F3781A" w14:paraId="3C455D9E" w14:textId="77777777" w:rsidTr="00511F7F">
        <w:trPr>
          <w:jc w:val="center"/>
        </w:trPr>
        <w:tc>
          <w:tcPr>
            <w:tcW w:w="3155" w:type="pct"/>
            <w:hideMark/>
          </w:tcPr>
          <w:p w14:paraId="12D567E9" w14:textId="77777777" w:rsidR="00A93FE3" w:rsidRPr="007A5D47" w:rsidRDefault="00A93FE3" w:rsidP="00511F7F">
            <w:pPr>
              <w:spacing w:before="100" w:beforeAutospacing="1" w:after="100" w:afterAutospacing="1"/>
              <w:jc w:val="left"/>
              <w:rPr>
                <w:rFonts w:eastAsia="Times New Roman" w:cs="Times New Roman"/>
                <w:lang w:eastAsia="fr-FR" w:bidi="ar-SA"/>
              </w:rPr>
            </w:pPr>
            <w:r w:rsidRPr="007A5D47">
              <w:rPr>
                <w:rFonts w:eastAsia="Times New Roman" w:cs="Times New Roman"/>
                <w:lang w:eastAsia="fr-FR" w:bidi="ar-SA"/>
              </w:rPr>
              <w:t>19 ― Corrèze</w:t>
            </w:r>
          </w:p>
        </w:tc>
        <w:tc>
          <w:tcPr>
            <w:tcW w:w="1845" w:type="pct"/>
            <w:hideMark/>
          </w:tcPr>
          <w:p w14:paraId="20000826" w14:textId="77777777" w:rsidR="00A93FE3" w:rsidRPr="007A5D47" w:rsidRDefault="00A93FE3" w:rsidP="00511F7F">
            <w:pPr>
              <w:jc w:val="center"/>
              <w:rPr>
                <w:rFonts w:eastAsia="Times New Roman" w:cs="Times New Roman"/>
                <w:lang w:eastAsia="fr-FR" w:bidi="ar-SA"/>
              </w:rPr>
            </w:pPr>
            <w:r w:rsidRPr="007A5D47">
              <w:rPr>
                <w:rFonts w:eastAsia="Times New Roman" w:cs="Times New Roman"/>
                <w:lang w:eastAsia="fr-FR" w:bidi="ar-SA"/>
              </w:rPr>
              <w:t>H1c</w:t>
            </w:r>
          </w:p>
        </w:tc>
      </w:tr>
      <w:tr w:rsidR="00A93FE3" w:rsidRPr="00F3781A" w14:paraId="093C4A37" w14:textId="77777777" w:rsidTr="00511F7F">
        <w:trPr>
          <w:jc w:val="center"/>
        </w:trPr>
        <w:tc>
          <w:tcPr>
            <w:tcW w:w="3155" w:type="pct"/>
            <w:hideMark/>
          </w:tcPr>
          <w:p w14:paraId="4C2538A2" w14:textId="77777777" w:rsidR="00A93FE3" w:rsidRPr="007A5D47" w:rsidRDefault="00A93FE3" w:rsidP="00511F7F">
            <w:pPr>
              <w:spacing w:before="100" w:beforeAutospacing="1" w:after="100" w:afterAutospacing="1"/>
              <w:jc w:val="left"/>
              <w:rPr>
                <w:rFonts w:eastAsia="Times New Roman" w:cs="Times New Roman"/>
                <w:lang w:eastAsia="fr-FR" w:bidi="ar-SA"/>
              </w:rPr>
            </w:pPr>
            <w:r w:rsidRPr="007A5D47">
              <w:rPr>
                <w:rFonts w:eastAsia="Times New Roman" w:cs="Times New Roman"/>
                <w:lang w:eastAsia="fr-FR" w:bidi="ar-SA"/>
              </w:rPr>
              <w:t>2A ― Corse-du-Sud</w:t>
            </w:r>
          </w:p>
        </w:tc>
        <w:tc>
          <w:tcPr>
            <w:tcW w:w="1845" w:type="pct"/>
            <w:hideMark/>
          </w:tcPr>
          <w:p w14:paraId="4AFA8E92" w14:textId="77777777" w:rsidR="00A93FE3" w:rsidRPr="007A5D47" w:rsidRDefault="00A93FE3" w:rsidP="00511F7F">
            <w:pPr>
              <w:jc w:val="center"/>
              <w:rPr>
                <w:rFonts w:eastAsia="Times New Roman" w:cs="Times New Roman"/>
                <w:lang w:eastAsia="fr-FR" w:bidi="ar-SA"/>
              </w:rPr>
            </w:pPr>
            <w:r w:rsidRPr="007A5D47">
              <w:rPr>
                <w:rFonts w:eastAsia="Times New Roman" w:cs="Times New Roman"/>
                <w:lang w:eastAsia="fr-FR" w:bidi="ar-SA"/>
              </w:rPr>
              <w:t>H3</w:t>
            </w:r>
          </w:p>
        </w:tc>
      </w:tr>
      <w:tr w:rsidR="00A93FE3" w:rsidRPr="00F3781A" w14:paraId="3375B5F3" w14:textId="77777777" w:rsidTr="00511F7F">
        <w:trPr>
          <w:jc w:val="center"/>
        </w:trPr>
        <w:tc>
          <w:tcPr>
            <w:tcW w:w="3155" w:type="pct"/>
            <w:hideMark/>
          </w:tcPr>
          <w:p w14:paraId="68F7C4EB" w14:textId="77777777" w:rsidR="00A93FE3" w:rsidRPr="007A5D47" w:rsidRDefault="00A93FE3" w:rsidP="00511F7F">
            <w:pPr>
              <w:spacing w:before="100" w:beforeAutospacing="1" w:after="100" w:afterAutospacing="1"/>
              <w:jc w:val="left"/>
              <w:rPr>
                <w:rFonts w:eastAsia="Times New Roman" w:cs="Times New Roman"/>
                <w:lang w:eastAsia="fr-FR" w:bidi="ar-SA"/>
              </w:rPr>
            </w:pPr>
            <w:r w:rsidRPr="007A5D47">
              <w:rPr>
                <w:rFonts w:eastAsia="Times New Roman" w:cs="Times New Roman"/>
                <w:lang w:eastAsia="fr-FR" w:bidi="ar-SA"/>
              </w:rPr>
              <w:t>2B ― Haute-Corse</w:t>
            </w:r>
          </w:p>
        </w:tc>
        <w:tc>
          <w:tcPr>
            <w:tcW w:w="1845" w:type="pct"/>
            <w:hideMark/>
          </w:tcPr>
          <w:p w14:paraId="044A5A45" w14:textId="77777777" w:rsidR="00A93FE3" w:rsidRPr="007A5D47" w:rsidRDefault="00A93FE3" w:rsidP="00511F7F">
            <w:pPr>
              <w:jc w:val="center"/>
              <w:rPr>
                <w:rFonts w:eastAsia="Times New Roman" w:cs="Times New Roman"/>
                <w:lang w:eastAsia="fr-FR" w:bidi="ar-SA"/>
              </w:rPr>
            </w:pPr>
            <w:r w:rsidRPr="007A5D47">
              <w:rPr>
                <w:rFonts w:eastAsia="Times New Roman" w:cs="Times New Roman"/>
                <w:lang w:eastAsia="fr-FR" w:bidi="ar-SA"/>
              </w:rPr>
              <w:t>H3</w:t>
            </w:r>
          </w:p>
        </w:tc>
      </w:tr>
      <w:tr w:rsidR="00A93FE3" w:rsidRPr="00F3781A" w14:paraId="1B1BF079" w14:textId="77777777" w:rsidTr="00511F7F">
        <w:trPr>
          <w:jc w:val="center"/>
        </w:trPr>
        <w:tc>
          <w:tcPr>
            <w:tcW w:w="3155" w:type="pct"/>
            <w:hideMark/>
          </w:tcPr>
          <w:p w14:paraId="45D1FD8C" w14:textId="77777777" w:rsidR="00A93FE3" w:rsidRPr="007A5D47" w:rsidRDefault="00A93FE3" w:rsidP="00511F7F">
            <w:pPr>
              <w:spacing w:before="100" w:beforeAutospacing="1" w:after="100" w:afterAutospacing="1"/>
              <w:jc w:val="left"/>
              <w:rPr>
                <w:rFonts w:eastAsia="Times New Roman" w:cs="Times New Roman"/>
                <w:lang w:eastAsia="fr-FR" w:bidi="ar-SA"/>
              </w:rPr>
            </w:pPr>
            <w:r>
              <w:rPr>
                <w:rFonts w:eastAsia="Times New Roman" w:cs="Times New Roman"/>
                <w:lang w:eastAsia="fr-FR" w:bidi="ar-SA"/>
              </w:rPr>
              <w:t>21 ― Côte</w:t>
            </w:r>
            <w:r w:rsidRPr="007A5D47">
              <w:rPr>
                <w:rFonts w:eastAsia="Times New Roman" w:cs="Times New Roman"/>
                <w:lang w:eastAsia="fr-FR" w:bidi="ar-SA"/>
              </w:rPr>
              <w:t>-d'Or</w:t>
            </w:r>
          </w:p>
        </w:tc>
        <w:tc>
          <w:tcPr>
            <w:tcW w:w="1845" w:type="pct"/>
            <w:hideMark/>
          </w:tcPr>
          <w:p w14:paraId="23F8CEA2" w14:textId="77777777" w:rsidR="00A93FE3" w:rsidRPr="007A5D47" w:rsidRDefault="00A93FE3" w:rsidP="00511F7F">
            <w:pPr>
              <w:jc w:val="center"/>
              <w:rPr>
                <w:rFonts w:eastAsia="Times New Roman" w:cs="Times New Roman"/>
                <w:lang w:eastAsia="fr-FR" w:bidi="ar-SA"/>
              </w:rPr>
            </w:pPr>
            <w:r w:rsidRPr="007A5D47">
              <w:rPr>
                <w:rFonts w:eastAsia="Times New Roman" w:cs="Times New Roman"/>
                <w:lang w:eastAsia="fr-FR" w:bidi="ar-SA"/>
              </w:rPr>
              <w:t>H1c</w:t>
            </w:r>
          </w:p>
        </w:tc>
      </w:tr>
      <w:tr w:rsidR="00A93FE3" w:rsidRPr="00F3781A" w14:paraId="4498543A" w14:textId="77777777" w:rsidTr="00511F7F">
        <w:trPr>
          <w:jc w:val="center"/>
        </w:trPr>
        <w:tc>
          <w:tcPr>
            <w:tcW w:w="3155" w:type="pct"/>
            <w:hideMark/>
          </w:tcPr>
          <w:p w14:paraId="19E520B6" w14:textId="77777777" w:rsidR="00A93FE3" w:rsidRPr="007A5D47" w:rsidRDefault="00A93FE3" w:rsidP="00511F7F">
            <w:pPr>
              <w:spacing w:before="100" w:beforeAutospacing="1" w:after="100" w:afterAutospacing="1"/>
              <w:jc w:val="left"/>
              <w:rPr>
                <w:rFonts w:eastAsia="Times New Roman" w:cs="Times New Roman"/>
                <w:lang w:eastAsia="fr-FR" w:bidi="ar-SA"/>
              </w:rPr>
            </w:pPr>
            <w:r w:rsidRPr="007A5D47">
              <w:rPr>
                <w:rFonts w:eastAsia="Times New Roman" w:cs="Times New Roman"/>
                <w:lang w:eastAsia="fr-FR" w:bidi="ar-SA"/>
              </w:rPr>
              <w:t>22 ― Côtes-d'Armor</w:t>
            </w:r>
          </w:p>
        </w:tc>
        <w:tc>
          <w:tcPr>
            <w:tcW w:w="1845" w:type="pct"/>
            <w:hideMark/>
          </w:tcPr>
          <w:p w14:paraId="062495ED" w14:textId="77777777" w:rsidR="00A93FE3" w:rsidRPr="007A5D47" w:rsidRDefault="00A93FE3" w:rsidP="00511F7F">
            <w:pPr>
              <w:jc w:val="center"/>
              <w:rPr>
                <w:rFonts w:eastAsia="Times New Roman" w:cs="Times New Roman"/>
                <w:lang w:eastAsia="fr-FR" w:bidi="ar-SA"/>
              </w:rPr>
            </w:pPr>
            <w:r w:rsidRPr="007A5D47">
              <w:rPr>
                <w:rFonts w:eastAsia="Times New Roman" w:cs="Times New Roman"/>
                <w:lang w:eastAsia="fr-FR" w:bidi="ar-SA"/>
              </w:rPr>
              <w:t>H2a</w:t>
            </w:r>
          </w:p>
        </w:tc>
      </w:tr>
      <w:tr w:rsidR="00A93FE3" w:rsidRPr="00F3781A" w14:paraId="5838A2B6" w14:textId="77777777" w:rsidTr="00511F7F">
        <w:trPr>
          <w:jc w:val="center"/>
        </w:trPr>
        <w:tc>
          <w:tcPr>
            <w:tcW w:w="3155" w:type="pct"/>
            <w:hideMark/>
          </w:tcPr>
          <w:p w14:paraId="22E41894" w14:textId="77777777" w:rsidR="00A93FE3" w:rsidRPr="007A5D47" w:rsidRDefault="00A93FE3" w:rsidP="00511F7F">
            <w:pPr>
              <w:spacing w:before="100" w:beforeAutospacing="1" w:after="100" w:afterAutospacing="1"/>
              <w:jc w:val="left"/>
              <w:rPr>
                <w:rFonts w:eastAsia="Times New Roman" w:cs="Times New Roman"/>
                <w:lang w:eastAsia="fr-FR" w:bidi="ar-SA"/>
              </w:rPr>
            </w:pPr>
            <w:r w:rsidRPr="007A5D47">
              <w:rPr>
                <w:rFonts w:eastAsia="Times New Roman" w:cs="Times New Roman"/>
                <w:lang w:eastAsia="fr-FR" w:bidi="ar-SA"/>
              </w:rPr>
              <w:t>23 ― Creuse</w:t>
            </w:r>
          </w:p>
        </w:tc>
        <w:tc>
          <w:tcPr>
            <w:tcW w:w="1845" w:type="pct"/>
            <w:hideMark/>
          </w:tcPr>
          <w:p w14:paraId="238FA1A3" w14:textId="77777777" w:rsidR="00A93FE3" w:rsidRPr="007A5D47" w:rsidRDefault="00A93FE3" w:rsidP="00511F7F">
            <w:pPr>
              <w:jc w:val="center"/>
              <w:rPr>
                <w:rFonts w:eastAsia="Times New Roman" w:cs="Times New Roman"/>
                <w:lang w:eastAsia="fr-FR" w:bidi="ar-SA"/>
              </w:rPr>
            </w:pPr>
            <w:r w:rsidRPr="007A5D47">
              <w:rPr>
                <w:rFonts w:eastAsia="Times New Roman" w:cs="Times New Roman"/>
                <w:lang w:eastAsia="fr-FR" w:bidi="ar-SA"/>
              </w:rPr>
              <w:t>H1c</w:t>
            </w:r>
          </w:p>
        </w:tc>
      </w:tr>
      <w:tr w:rsidR="00A93FE3" w:rsidRPr="00F3781A" w14:paraId="6C5695A4" w14:textId="77777777" w:rsidTr="00511F7F">
        <w:trPr>
          <w:jc w:val="center"/>
        </w:trPr>
        <w:tc>
          <w:tcPr>
            <w:tcW w:w="3155" w:type="pct"/>
            <w:hideMark/>
          </w:tcPr>
          <w:p w14:paraId="0FC6F850" w14:textId="77777777" w:rsidR="00A93FE3" w:rsidRPr="007A5D47" w:rsidRDefault="00A93FE3" w:rsidP="00511F7F">
            <w:pPr>
              <w:spacing w:before="100" w:beforeAutospacing="1" w:after="100" w:afterAutospacing="1"/>
              <w:jc w:val="left"/>
              <w:rPr>
                <w:rFonts w:eastAsia="Times New Roman" w:cs="Times New Roman"/>
                <w:lang w:eastAsia="fr-FR" w:bidi="ar-SA"/>
              </w:rPr>
            </w:pPr>
            <w:r w:rsidRPr="007A5D47">
              <w:rPr>
                <w:rFonts w:eastAsia="Times New Roman" w:cs="Times New Roman"/>
                <w:lang w:eastAsia="fr-FR" w:bidi="ar-SA"/>
              </w:rPr>
              <w:t>24 ― Dordogne</w:t>
            </w:r>
          </w:p>
        </w:tc>
        <w:tc>
          <w:tcPr>
            <w:tcW w:w="1845" w:type="pct"/>
            <w:hideMark/>
          </w:tcPr>
          <w:p w14:paraId="5F30C085" w14:textId="77777777" w:rsidR="00A93FE3" w:rsidRPr="007A5D47" w:rsidRDefault="00A93FE3" w:rsidP="00511F7F">
            <w:pPr>
              <w:jc w:val="center"/>
              <w:rPr>
                <w:rFonts w:eastAsia="Times New Roman" w:cs="Times New Roman"/>
                <w:lang w:eastAsia="fr-FR" w:bidi="ar-SA"/>
              </w:rPr>
            </w:pPr>
            <w:r w:rsidRPr="007A5D47">
              <w:rPr>
                <w:rFonts w:eastAsia="Times New Roman" w:cs="Times New Roman"/>
                <w:lang w:eastAsia="fr-FR" w:bidi="ar-SA"/>
              </w:rPr>
              <w:t>H2c</w:t>
            </w:r>
          </w:p>
        </w:tc>
      </w:tr>
      <w:tr w:rsidR="00A93FE3" w:rsidRPr="00F3781A" w14:paraId="78E3489E" w14:textId="77777777" w:rsidTr="00511F7F">
        <w:trPr>
          <w:jc w:val="center"/>
        </w:trPr>
        <w:tc>
          <w:tcPr>
            <w:tcW w:w="3155" w:type="pct"/>
            <w:hideMark/>
          </w:tcPr>
          <w:p w14:paraId="50B7A0EC" w14:textId="77777777" w:rsidR="00A93FE3" w:rsidRPr="007A5D47" w:rsidRDefault="00A93FE3" w:rsidP="00511F7F">
            <w:pPr>
              <w:spacing w:before="100" w:beforeAutospacing="1" w:after="100" w:afterAutospacing="1"/>
              <w:jc w:val="left"/>
              <w:rPr>
                <w:rFonts w:eastAsia="Times New Roman" w:cs="Times New Roman"/>
                <w:lang w:eastAsia="fr-FR" w:bidi="ar-SA"/>
              </w:rPr>
            </w:pPr>
            <w:r w:rsidRPr="007A5D47">
              <w:rPr>
                <w:rFonts w:eastAsia="Times New Roman" w:cs="Times New Roman"/>
                <w:lang w:eastAsia="fr-FR" w:bidi="ar-SA"/>
              </w:rPr>
              <w:t>25 ― Doubs</w:t>
            </w:r>
          </w:p>
        </w:tc>
        <w:tc>
          <w:tcPr>
            <w:tcW w:w="1845" w:type="pct"/>
            <w:hideMark/>
          </w:tcPr>
          <w:p w14:paraId="2FA570C0" w14:textId="77777777" w:rsidR="00A93FE3" w:rsidRPr="007A5D47" w:rsidRDefault="00A93FE3" w:rsidP="00511F7F">
            <w:pPr>
              <w:jc w:val="center"/>
              <w:rPr>
                <w:rFonts w:eastAsia="Times New Roman" w:cs="Times New Roman"/>
                <w:lang w:eastAsia="fr-FR" w:bidi="ar-SA"/>
              </w:rPr>
            </w:pPr>
            <w:r w:rsidRPr="007A5D47">
              <w:rPr>
                <w:rFonts w:eastAsia="Times New Roman" w:cs="Times New Roman"/>
                <w:lang w:eastAsia="fr-FR" w:bidi="ar-SA"/>
              </w:rPr>
              <w:t>H1c</w:t>
            </w:r>
          </w:p>
        </w:tc>
      </w:tr>
      <w:tr w:rsidR="00A93FE3" w:rsidRPr="00F3781A" w14:paraId="438A7E90" w14:textId="77777777" w:rsidTr="00511F7F">
        <w:trPr>
          <w:jc w:val="center"/>
        </w:trPr>
        <w:tc>
          <w:tcPr>
            <w:tcW w:w="3155" w:type="pct"/>
            <w:hideMark/>
          </w:tcPr>
          <w:p w14:paraId="4265D18E" w14:textId="77777777" w:rsidR="00A93FE3" w:rsidRPr="007A5D47" w:rsidRDefault="00A93FE3" w:rsidP="00511F7F">
            <w:pPr>
              <w:spacing w:before="100" w:beforeAutospacing="1" w:after="100" w:afterAutospacing="1"/>
              <w:jc w:val="left"/>
              <w:rPr>
                <w:rFonts w:eastAsia="Times New Roman" w:cs="Times New Roman"/>
                <w:lang w:eastAsia="fr-FR" w:bidi="ar-SA"/>
              </w:rPr>
            </w:pPr>
            <w:r w:rsidRPr="007A5D47">
              <w:rPr>
                <w:rFonts w:eastAsia="Times New Roman" w:cs="Times New Roman"/>
                <w:lang w:eastAsia="fr-FR" w:bidi="ar-SA"/>
              </w:rPr>
              <w:t>26 ― Drôme</w:t>
            </w:r>
          </w:p>
        </w:tc>
        <w:tc>
          <w:tcPr>
            <w:tcW w:w="1845" w:type="pct"/>
            <w:hideMark/>
          </w:tcPr>
          <w:p w14:paraId="57250DAD" w14:textId="77777777" w:rsidR="00A93FE3" w:rsidRPr="007A5D47" w:rsidRDefault="00A93FE3" w:rsidP="00511F7F">
            <w:pPr>
              <w:jc w:val="center"/>
              <w:rPr>
                <w:rFonts w:eastAsia="Times New Roman" w:cs="Times New Roman"/>
                <w:lang w:eastAsia="fr-FR" w:bidi="ar-SA"/>
              </w:rPr>
            </w:pPr>
            <w:r w:rsidRPr="007A5D47">
              <w:rPr>
                <w:rFonts w:eastAsia="Times New Roman" w:cs="Times New Roman"/>
                <w:lang w:eastAsia="fr-FR" w:bidi="ar-SA"/>
              </w:rPr>
              <w:t>H2d</w:t>
            </w:r>
          </w:p>
        </w:tc>
      </w:tr>
      <w:tr w:rsidR="00A93FE3" w:rsidRPr="00F3781A" w14:paraId="283A86FF" w14:textId="77777777" w:rsidTr="00511F7F">
        <w:trPr>
          <w:jc w:val="center"/>
        </w:trPr>
        <w:tc>
          <w:tcPr>
            <w:tcW w:w="3155" w:type="pct"/>
            <w:hideMark/>
          </w:tcPr>
          <w:p w14:paraId="3326368D" w14:textId="77777777" w:rsidR="00A93FE3" w:rsidRPr="007A5D47" w:rsidRDefault="00A93FE3" w:rsidP="00511F7F">
            <w:pPr>
              <w:spacing w:before="100" w:beforeAutospacing="1" w:after="100" w:afterAutospacing="1"/>
              <w:jc w:val="left"/>
              <w:rPr>
                <w:rFonts w:eastAsia="Times New Roman" w:cs="Times New Roman"/>
                <w:lang w:eastAsia="fr-FR" w:bidi="ar-SA"/>
              </w:rPr>
            </w:pPr>
            <w:r w:rsidRPr="007A5D47">
              <w:rPr>
                <w:rFonts w:eastAsia="Times New Roman" w:cs="Times New Roman"/>
                <w:lang w:eastAsia="fr-FR" w:bidi="ar-SA"/>
              </w:rPr>
              <w:t>27 ― Eure</w:t>
            </w:r>
          </w:p>
        </w:tc>
        <w:tc>
          <w:tcPr>
            <w:tcW w:w="1845" w:type="pct"/>
            <w:hideMark/>
          </w:tcPr>
          <w:p w14:paraId="5C0789B3" w14:textId="77777777" w:rsidR="00A93FE3" w:rsidRPr="007A5D47" w:rsidRDefault="00A93FE3" w:rsidP="00511F7F">
            <w:pPr>
              <w:jc w:val="center"/>
              <w:rPr>
                <w:rFonts w:eastAsia="Times New Roman" w:cs="Times New Roman"/>
                <w:lang w:eastAsia="fr-FR" w:bidi="ar-SA"/>
              </w:rPr>
            </w:pPr>
            <w:r w:rsidRPr="007A5D47">
              <w:rPr>
                <w:rFonts w:eastAsia="Times New Roman" w:cs="Times New Roman"/>
                <w:lang w:eastAsia="fr-FR" w:bidi="ar-SA"/>
              </w:rPr>
              <w:t>H1a</w:t>
            </w:r>
          </w:p>
        </w:tc>
      </w:tr>
      <w:tr w:rsidR="00A93FE3" w:rsidRPr="00F3781A" w14:paraId="2C513E1E" w14:textId="77777777" w:rsidTr="00511F7F">
        <w:trPr>
          <w:jc w:val="center"/>
        </w:trPr>
        <w:tc>
          <w:tcPr>
            <w:tcW w:w="3155" w:type="pct"/>
            <w:hideMark/>
          </w:tcPr>
          <w:p w14:paraId="6859BED9" w14:textId="77777777" w:rsidR="00A93FE3" w:rsidRPr="007A5D47" w:rsidRDefault="00A93FE3" w:rsidP="00511F7F">
            <w:pPr>
              <w:spacing w:before="100" w:beforeAutospacing="1" w:after="100" w:afterAutospacing="1"/>
              <w:jc w:val="left"/>
              <w:rPr>
                <w:rFonts w:eastAsia="Times New Roman" w:cs="Times New Roman"/>
                <w:lang w:eastAsia="fr-FR" w:bidi="ar-SA"/>
              </w:rPr>
            </w:pPr>
            <w:r w:rsidRPr="007A5D47">
              <w:rPr>
                <w:rFonts w:eastAsia="Times New Roman" w:cs="Times New Roman"/>
                <w:lang w:eastAsia="fr-FR" w:bidi="ar-SA"/>
              </w:rPr>
              <w:t>28 ― Eure-et-Loir</w:t>
            </w:r>
          </w:p>
        </w:tc>
        <w:tc>
          <w:tcPr>
            <w:tcW w:w="1845" w:type="pct"/>
            <w:hideMark/>
          </w:tcPr>
          <w:p w14:paraId="55FB7F58" w14:textId="77777777" w:rsidR="00A93FE3" w:rsidRPr="007A5D47" w:rsidRDefault="00A93FE3" w:rsidP="00511F7F">
            <w:pPr>
              <w:jc w:val="center"/>
              <w:rPr>
                <w:rFonts w:eastAsia="Times New Roman" w:cs="Times New Roman"/>
                <w:lang w:eastAsia="fr-FR" w:bidi="ar-SA"/>
              </w:rPr>
            </w:pPr>
            <w:r w:rsidRPr="007A5D47">
              <w:rPr>
                <w:rFonts w:eastAsia="Times New Roman" w:cs="Times New Roman"/>
                <w:lang w:eastAsia="fr-FR" w:bidi="ar-SA"/>
              </w:rPr>
              <w:t>H1a</w:t>
            </w:r>
          </w:p>
        </w:tc>
      </w:tr>
      <w:tr w:rsidR="00A93FE3" w:rsidRPr="00F3781A" w14:paraId="3B3E327C" w14:textId="77777777" w:rsidTr="00511F7F">
        <w:trPr>
          <w:jc w:val="center"/>
        </w:trPr>
        <w:tc>
          <w:tcPr>
            <w:tcW w:w="3155" w:type="pct"/>
            <w:hideMark/>
          </w:tcPr>
          <w:p w14:paraId="43C8D4FF" w14:textId="77777777" w:rsidR="00A93FE3" w:rsidRPr="007A5D47" w:rsidRDefault="00A93FE3" w:rsidP="00511F7F">
            <w:pPr>
              <w:spacing w:before="100" w:beforeAutospacing="1" w:after="100" w:afterAutospacing="1"/>
              <w:jc w:val="left"/>
              <w:rPr>
                <w:rFonts w:eastAsia="Times New Roman" w:cs="Times New Roman"/>
                <w:lang w:eastAsia="fr-FR" w:bidi="ar-SA"/>
              </w:rPr>
            </w:pPr>
            <w:r w:rsidRPr="007A5D47">
              <w:rPr>
                <w:rFonts w:eastAsia="Times New Roman" w:cs="Times New Roman"/>
                <w:lang w:eastAsia="fr-FR" w:bidi="ar-SA"/>
              </w:rPr>
              <w:t>29 ― Finistère</w:t>
            </w:r>
          </w:p>
        </w:tc>
        <w:tc>
          <w:tcPr>
            <w:tcW w:w="1845" w:type="pct"/>
            <w:hideMark/>
          </w:tcPr>
          <w:p w14:paraId="0AA01B26" w14:textId="77777777" w:rsidR="00A93FE3" w:rsidRPr="007A5D47" w:rsidRDefault="00A93FE3" w:rsidP="00511F7F">
            <w:pPr>
              <w:jc w:val="center"/>
              <w:rPr>
                <w:rFonts w:eastAsia="Times New Roman" w:cs="Times New Roman"/>
                <w:lang w:eastAsia="fr-FR" w:bidi="ar-SA"/>
              </w:rPr>
            </w:pPr>
            <w:r w:rsidRPr="007A5D47">
              <w:rPr>
                <w:rFonts w:eastAsia="Times New Roman" w:cs="Times New Roman"/>
                <w:lang w:eastAsia="fr-FR" w:bidi="ar-SA"/>
              </w:rPr>
              <w:t>H2a</w:t>
            </w:r>
          </w:p>
        </w:tc>
      </w:tr>
      <w:tr w:rsidR="00A93FE3" w:rsidRPr="00F3781A" w14:paraId="3F6CFC24" w14:textId="77777777" w:rsidTr="00511F7F">
        <w:trPr>
          <w:jc w:val="center"/>
        </w:trPr>
        <w:tc>
          <w:tcPr>
            <w:tcW w:w="3155" w:type="pct"/>
            <w:hideMark/>
          </w:tcPr>
          <w:p w14:paraId="5C2382EE" w14:textId="77777777" w:rsidR="00A93FE3" w:rsidRPr="007A5D47" w:rsidRDefault="00A93FE3" w:rsidP="00511F7F">
            <w:pPr>
              <w:spacing w:before="100" w:beforeAutospacing="1" w:after="100" w:afterAutospacing="1"/>
              <w:jc w:val="left"/>
              <w:rPr>
                <w:rFonts w:eastAsia="Times New Roman" w:cs="Times New Roman"/>
                <w:lang w:eastAsia="fr-FR" w:bidi="ar-SA"/>
              </w:rPr>
            </w:pPr>
            <w:r w:rsidRPr="007A5D47">
              <w:rPr>
                <w:rFonts w:eastAsia="Times New Roman" w:cs="Times New Roman"/>
                <w:lang w:eastAsia="fr-FR" w:bidi="ar-SA"/>
              </w:rPr>
              <w:t>30 ― Gard</w:t>
            </w:r>
          </w:p>
        </w:tc>
        <w:tc>
          <w:tcPr>
            <w:tcW w:w="1845" w:type="pct"/>
            <w:hideMark/>
          </w:tcPr>
          <w:p w14:paraId="5962D407" w14:textId="77777777" w:rsidR="00A93FE3" w:rsidRPr="007A5D47" w:rsidRDefault="00A93FE3" w:rsidP="00511F7F">
            <w:pPr>
              <w:jc w:val="center"/>
              <w:rPr>
                <w:rFonts w:eastAsia="Times New Roman" w:cs="Times New Roman"/>
                <w:lang w:eastAsia="fr-FR" w:bidi="ar-SA"/>
              </w:rPr>
            </w:pPr>
            <w:r w:rsidRPr="007A5D47">
              <w:rPr>
                <w:rFonts w:eastAsia="Times New Roman" w:cs="Times New Roman"/>
                <w:lang w:eastAsia="fr-FR" w:bidi="ar-SA"/>
              </w:rPr>
              <w:t>H3</w:t>
            </w:r>
          </w:p>
        </w:tc>
      </w:tr>
      <w:tr w:rsidR="00A93FE3" w:rsidRPr="00F3781A" w14:paraId="7ED69F91" w14:textId="77777777" w:rsidTr="00511F7F">
        <w:trPr>
          <w:jc w:val="center"/>
        </w:trPr>
        <w:tc>
          <w:tcPr>
            <w:tcW w:w="3155" w:type="pct"/>
            <w:hideMark/>
          </w:tcPr>
          <w:p w14:paraId="5311C49F" w14:textId="77777777" w:rsidR="00A93FE3" w:rsidRPr="007A5D47" w:rsidRDefault="00A93FE3" w:rsidP="00511F7F">
            <w:pPr>
              <w:spacing w:before="100" w:beforeAutospacing="1" w:after="100" w:afterAutospacing="1"/>
              <w:jc w:val="left"/>
              <w:rPr>
                <w:rFonts w:eastAsia="Times New Roman" w:cs="Times New Roman"/>
                <w:lang w:eastAsia="fr-FR" w:bidi="ar-SA"/>
              </w:rPr>
            </w:pPr>
            <w:r w:rsidRPr="007A5D47">
              <w:rPr>
                <w:rFonts w:eastAsia="Times New Roman" w:cs="Times New Roman"/>
                <w:lang w:eastAsia="fr-FR" w:bidi="ar-SA"/>
              </w:rPr>
              <w:t>31 ― Haute-Garonne</w:t>
            </w:r>
          </w:p>
        </w:tc>
        <w:tc>
          <w:tcPr>
            <w:tcW w:w="1845" w:type="pct"/>
            <w:hideMark/>
          </w:tcPr>
          <w:p w14:paraId="6BB0F5E7" w14:textId="77777777" w:rsidR="00A93FE3" w:rsidRPr="007A5D47" w:rsidRDefault="00A93FE3" w:rsidP="00511F7F">
            <w:pPr>
              <w:jc w:val="center"/>
              <w:rPr>
                <w:rFonts w:eastAsia="Times New Roman" w:cs="Times New Roman"/>
                <w:lang w:eastAsia="fr-FR" w:bidi="ar-SA"/>
              </w:rPr>
            </w:pPr>
            <w:r w:rsidRPr="007A5D47">
              <w:rPr>
                <w:rFonts w:eastAsia="Times New Roman" w:cs="Times New Roman"/>
                <w:lang w:eastAsia="fr-FR" w:bidi="ar-SA"/>
              </w:rPr>
              <w:t>H2c</w:t>
            </w:r>
          </w:p>
        </w:tc>
      </w:tr>
      <w:tr w:rsidR="00A93FE3" w:rsidRPr="00F3781A" w14:paraId="194EBA30" w14:textId="77777777" w:rsidTr="00511F7F">
        <w:trPr>
          <w:jc w:val="center"/>
        </w:trPr>
        <w:tc>
          <w:tcPr>
            <w:tcW w:w="3155" w:type="pct"/>
            <w:hideMark/>
          </w:tcPr>
          <w:p w14:paraId="0AB4793C" w14:textId="77777777" w:rsidR="00A93FE3" w:rsidRPr="007A5D47" w:rsidRDefault="00A93FE3" w:rsidP="00511F7F">
            <w:pPr>
              <w:spacing w:before="100" w:beforeAutospacing="1" w:after="100" w:afterAutospacing="1"/>
              <w:jc w:val="left"/>
              <w:rPr>
                <w:rFonts w:eastAsia="Times New Roman" w:cs="Times New Roman"/>
                <w:lang w:eastAsia="fr-FR" w:bidi="ar-SA"/>
              </w:rPr>
            </w:pPr>
            <w:r w:rsidRPr="007A5D47">
              <w:rPr>
                <w:rFonts w:eastAsia="Times New Roman" w:cs="Times New Roman"/>
                <w:lang w:eastAsia="fr-FR" w:bidi="ar-SA"/>
              </w:rPr>
              <w:t>32 ― Gers</w:t>
            </w:r>
          </w:p>
        </w:tc>
        <w:tc>
          <w:tcPr>
            <w:tcW w:w="1845" w:type="pct"/>
            <w:hideMark/>
          </w:tcPr>
          <w:p w14:paraId="489BBA81" w14:textId="77777777" w:rsidR="00A93FE3" w:rsidRPr="007A5D47" w:rsidRDefault="00A93FE3" w:rsidP="00511F7F">
            <w:pPr>
              <w:jc w:val="center"/>
              <w:rPr>
                <w:rFonts w:eastAsia="Times New Roman" w:cs="Times New Roman"/>
                <w:lang w:eastAsia="fr-FR" w:bidi="ar-SA"/>
              </w:rPr>
            </w:pPr>
            <w:r w:rsidRPr="007A5D47">
              <w:rPr>
                <w:rFonts w:eastAsia="Times New Roman" w:cs="Times New Roman"/>
                <w:lang w:eastAsia="fr-FR" w:bidi="ar-SA"/>
              </w:rPr>
              <w:t>H2c</w:t>
            </w:r>
          </w:p>
        </w:tc>
      </w:tr>
      <w:tr w:rsidR="00A93FE3" w:rsidRPr="00F3781A" w14:paraId="00B05DA1" w14:textId="77777777" w:rsidTr="00511F7F">
        <w:trPr>
          <w:jc w:val="center"/>
        </w:trPr>
        <w:tc>
          <w:tcPr>
            <w:tcW w:w="3155" w:type="pct"/>
            <w:hideMark/>
          </w:tcPr>
          <w:p w14:paraId="7C49764F" w14:textId="77777777" w:rsidR="00A93FE3" w:rsidRPr="007A5D47" w:rsidRDefault="00A93FE3" w:rsidP="00511F7F">
            <w:pPr>
              <w:spacing w:before="100" w:beforeAutospacing="1" w:after="100" w:afterAutospacing="1"/>
              <w:jc w:val="left"/>
              <w:rPr>
                <w:rFonts w:eastAsia="Times New Roman" w:cs="Times New Roman"/>
                <w:lang w:eastAsia="fr-FR" w:bidi="ar-SA"/>
              </w:rPr>
            </w:pPr>
            <w:r w:rsidRPr="007A5D47">
              <w:rPr>
                <w:rFonts w:eastAsia="Times New Roman" w:cs="Times New Roman"/>
                <w:lang w:eastAsia="fr-FR" w:bidi="ar-SA"/>
              </w:rPr>
              <w:t>33 ― Gironde</w:t>
            </w:r>
          </w:p>
        </w:tc>
        <w:tc>
          <w:tcPr>
            <w:tcW w:w="1845" w:type="pct"/>
            <w:hideMark/>
          </w:tcPr>
          <w:p w14:paraId="294CC1B7" w14:textId="77777777" w:rsidR="00A93FE3" w:rsidRPr="007A5D47" w:rsidRDefault="00A93FE3" w:rsidP="00511F7F">
            <w:pPr>
              <w:jc w:val="center"/>
              <w:rPr>
                <w:rFonts w:eastAsia="Times New Roman" w:cs="Times New Roman"/>
                <w:lang w:eastAsia="fr-FR" w:bidi="ar-SA"/>
              </w:rPr>
            </w:pPr>
            <w:r w:rsidRPr="007A5D47">
              <w:rPr>
                <w:rFonts w:eastAsia="Times New Roman" w:cs="Times New Roman"/>
                <w:lang w:eastAsia="fr-FR" w:bidi="ar-SA"/>
              </w:rPr>
              <w:t>H2c</w:t>
            </w:r>
          </w:p>
        </w:tc>
      </w:tr>
      <w:tr w:rsidR="00A93FE3" w:rsidRPr="00F3781A" w14:paraId="6125784B" w14:textId="77777777" w:rsidTr="00511F7F">
        <w:trPr>
          <w:jc w:val="center"/>
        </w:trPr>
        <w:tc>
          <w:tcPr>
            <w:tcW w:w="3155" w:type="pct"/>
            <w:hideMark/>
          </w:tcPr>
          <w:p w14:paraId="09049C4B" w14:textId="77777777" w:rsidR="00A93FE3" w:rsidRPr="007A5D47" w:rsidRDefault="00A93FE3" w:rsidP="00511F7F">
            <w:pPr>
              <w:spacing w:before="100" w:beforeAutospacing="1" w:after="100" w:afterAutospacing="1"/>
              <w:jc w:val="left"/>
              <w:rPr>
                <w:rFonts w:eastAsia="Times New Roman" w:cs="Times New Roman"/>
                <w:lang w:eastAsia="fr-FR" w:bidi="ar-SA"/>
              </w:rPr>
            </w:pPr>
            <w:r w:rsidRPr="007A5D47">
              <w:rPr>
                <w:rFonts w:eastAsia="Times New Roman" w:cs="Times New Roman"/>
                <w:lang w:eastAsia="fr-FR" w:bidi="ar-SA"/>
              </w:rPr>
              <w:t>34 ― Hérault</w:t>
            </w:r>
          </w:p>
        </w:tc>
        <w:tc>
          <w:tcPr>
            <w:tcW w:w="1845" w:type="pct"/>
            <w:hideMark/>
          </w:tcPr>
          <w:p w14:paraId="10ECA292" w14:textId="77777777" w:rsidR="00A93FE3" w:rsidRPr="007A5D47" w:rsidRDefault="00A93FE3" w:rsidP="00511F7F">
            <w:pPr>
              <w:jc w:val="center"/>
              <w:rPr>
                <w:rFonts w:eastAsia="Times New Roman" w:cs="Times New Roman"/>
                <w:lang w:eastAsia="fr-FR" w:bidi="ar-SA"/>
              </w:rPr>
            </w:pPr>
            <w:r w:rsidRPr="007A5D47">
              <w:rPr>
                <w:rFonts w:eastAsia="Times New Roman" w:cs="Times New Roman"/>
                <w:lang w:eastAsia="fr-FR" w:bidi="ar-SA"/>
              </w:rPr>
              <w:t>H3</w:t>
            </w:r>
          </w:p>
        </w:tc>
      </w:tr>
      <w:tr w:rsidR="00A93FE3" w:rsidRPr="00F3781A" w14:paraId="2F73D693" w14:textId="77777777" w:rsidTr="00511F7F">
        <w:trPr>
          <w:jc w:val="center"/>
        </w:trPr>
        <w:tc>
          <w:tcPr>
            <w:tcW w:w="3155" w:type="pct"/>
            <w:hideMark/>
          </w:tcPr>
          <w:p w14:paraId="7584AEBF" w14:textId="77777777" w:rsidR="00A93FE3" w:rsidRPr="007A5D47" w:rsidRDefault="00A93FE3" w:rsidP="00511F7F">
            <w:pPr>
              <w:spacing w:before="100" w:beforeAutospacing="1" w:after="100" w:afterAutospacing="1"/>
              <w:jc w:val="left"/>
              <w:rPr>
                <w:rFonts w:eastAsia="Times New Roman" w:cs="Times New Roman"/>
                <w:lang w:eastAsia="fr-FR" w:bidi="ar-SA"/>
              </w:rPr>
            </w:pPr>
            <w:r w:rsidRPr="007A5D47">
              <w:rPr>
                <w:rFonts w:eastAsia="Times New Roman" w:cs="Times New Roman"/>
                <w:lang w:eastAsia="fr-FR" w:bidi="ar-SA"/>
              </w:rPr>
              <w:t>35 ― Ille-et-Vilaine</w:t>
            </w:r>
          </w:p>
        </w:tc>
        <w:tc>
          <w:tcPr>
            <w:tcW w:w="1845" w:type="pct"/>
            <w:hideMark/>
          </w:tcPr>
          <w:p w14:paraId="7E30C148" w14:textId="77777777" w:rsidR="00A93FE3" w:rsidRPr="007A5D47" w:rsidRDefault="00A93FE3" w:rsidP="00511F7F">
            <w:pPr>
              <w:jc w:val="center"/>
              <w:rPr>
                <w:rFonts w:eastAsia="Times New Roman" w:cs="Times New Roman"/>
                <w:lang w:eastAsia="fr-FR" w:bidi="ar-SA"/>
              </w:rPr>
            </w:pPr>
            <w:r w:rsidRPr="007A5D47">
              <w:rPr>
                <w:rFonts w:eastAsia="Times New Roman" w:cs="Times New Roman"/>
                <w:lang w:eastAsia="fr-FR" w:bidi="ar-SA"/>
              </w:rPr>
              <w:t>H2a</w:t>
            </w:r>
          </w:p>
        </w:tc>
      </w:tr>
      <w:tr w:rsidR="00A93FE3" w:rsidRPr="00F3781A" w14:paraId="5C84DCDE" w14:textId="77777777" w:rsidTr="00511F7F">
        <w:trPr>
          <w:jc w:val="center"/>
        </w:trPr>
        <w:tc>
          <w:tcPr>
            <w:tcW w:w="3155" w:type="pct"/>
            <w:hideMark/>
          </w:tcPr>
          <w:p w14:paraId="09FBA324" w14:textId="77777777" w:rsidR="00A93FE3" w:rsidRPr="007A5D47" w:rsidRDefault="00A93FE3" w:rsidP="00511F7F">
            <w:pPr>
              <w:spacing w:before="100" w:beforeAutospacing="1" w:after="100" w:afterAutospacing="1"/>
              <w:jc w:val="left"/>
              <w:rPr>
                <w:rFonts w:eastAsia="Times New Roman" w:cs="Times New Roman"/>
                <w:lang w:eastAsia="fr-FR" w:bidi="ar-SA"/>
              </w:rPr>
            </w:pPr>
            <w:r w:rsidRPr="007A5D47">
              <w:rPr>
                <w:rFonts w:eastAsia="Times New Roman" w:cs="Times New Roman"/>
                <w:lang w:eastAsia="fr-FR" w:bidi="ar-SA"/>
              </w:rPr>
              <w:t>36 ― Indre</w:t>
            </w:r>
          </w:p>
        </w:tc>
        <w:tc>
          <w:tcPr>
            <w:tcW w:w="1845" w:type="pct"/>
            <w:hideMark/>
          </w:tcPr>
          <w:p w14:paraId="15AE5879" w14:textId="77777777" w:rsidR="00A93FE3" w:rsidRPr="007A5D47" w:rsidRDefault="00A93FE3" w:rsidP="00511F7F">
            <w:pPr>
              <w:jc w:val="center"/>
              <w:rPr>
                <w:rFonts w:eastAsia="Times New Roman" w:cs="Times New Roman"/>
                <w:lang w:eastAsia="fr-FR" w:bidi="ar-SA"/>
              </w:rPr>
            </w:pPr>
            <w:r w:rsidRPr="007A5D47">
              <w:rPr>
                <w:rFonts w:eastAsia="Times New Roman" w:cs="Times New Roman"/>
                <w:lang w:eastAsia="fr-FR" w:bidi="ar-SA"/>
              </w:rPr>
              <w:t>H2b</w:t>
            </w:r>
          </w:p>
        </w:tc>
      </w:tr>
      <w:tr w:rsidR="00A93FE3" w:rsidRPr="00F3781A" w14:paraId="1329809E" w14:textId="77777777" w:rsidTr="00511F7F">
        <w:trPr>
          <w:jc w:val="center"/>
        </w:trPr>
        <w:tc>
          <w:tcPr>
            <w:tcW w:w="3155" w:type="pct"/>
            <w:hideMark/>
          </w:tcPr>
          <w:p w14:paraId="701A125A" w14:textId="77777777" w:rsidR="00A93FE3" w:rsidRPr="007A5D47" w:rsidRDefault="00A93FE3" w:rsidP="00511F7F">
            <w:pPr>
              <w:spacing w:before="100" w:beforeAutospacing="1" w:after="100" w:afterAutospacing="1"/>
              <w:jc w:val="left"/>
              <w:rPr>
                <w:rFonts w:eastAsia="Times New Roman" w:cs="Times New Roman"/>
                <w:lang w:eastAsia="fr-FR" w:bidi="ar-SA"/>
              </w:rPr>
            </w:pPr>
            <w:r w:rsidRPr="007A5D47">
              <w:rPr>
                <w:rFonts w:eastAsia="Times New Roman" w:cs="Times New Roman"/>
                <w:lang w:eastAsia="fr-FR" w:bidi="ar-SA"/>
              </w:rPr>
              <w:t>37 ― Indre-et-Loire</w:t>
            </w:r>
          </w:p>
        </w:tc>
        <w:tc>
          <w:tcPr>
            <w:tcW w:w="1845" w:type="pct"/>
            <w:hideMark/>
          </w:tcPr>
          <w:p w14:paraId="333F0181" w14:textId="77777777" w:rsidR="00A93FE3" w:rsidRPr="007A5D47" w:rsidRDefault="00A93FE3" w:rsidP="00511F7F">
            <w:pPr>
              <w:jc w:val="center"/>
              <w:rPr>
                <w:rFonts w:eastAsia="Times New Roman" w:cs="Times New Roman"/>
                <w:lang w:eastAsia="fr-FR" w:bidi="ar-SA"/>
              </w:rPr>
            </w:pPr>
            <w:r w:rsidRPr="007A5D47">
              <w:rPr>
                <w:rFonts w:eastAsia="Times New Roman" w:cs="Times New Roman"/>
                <w:lang w:eastAsia="fr-FR" w:bidi="ar-SA"/>
              </w:rPr>
              <w:t>H2b</w:t>
            </w:r>
          </w:p>
        </w:tc>
      </w:tr>
      <w:tr w:rsidR="00A93FE3" w:rsidRPr="00F3781A" w14:paraId="585F381B" w14:textId="77777777" w:rsidTr="00511F7F">
        <w:trPr>
          <w:jc w:val="center"/>
        </w:trPr>
        <w:tc>
          <w:tcPr>
            <w:tcW w:w="3155" w:type="pct"/>
            <w:hideMark/>
          </w:tcPr>
          <w:p w14:paraId="3A37DD34" w14:textId="77777777" w:rsidR="00A93FE3" w:rsidRPr="007A5D47" w:rsidRDefault="00A93FE3" w:rsidP="00511F7F">
            <w:pPr>
              <w:spacing w:before="100" w:beforeAutospacing="1" w:after="100" w:afterAutospacing="1"/>
              <w:jc w:val="left"/>
              <w:rPr>
                <w:rFonts w:eastAsia="Times New Roman" w:cs="Times New Roman"/>
                <w:lang w:eastAsia="fr-FR" w:bidi="ar-SA"/>
              </w:rPr>
            </w:pPr>
            <w:r w:rsidRPr="007A5D47">
              <w:rPr>
                <w:rFonts w:eastAsia="Times New Roman" w:cs="Times New Roman"/>
                <w:lang w:eastAsia="fr-FR" w:bidi="ar-SA"/>
              </w:rPr>
              <w:t>38 ― Isère</w:t>
            </w:r>
          </w:p>
        </w:tc>
        <w:tc>
          <w:tcPr>
            <w:tcW w:w="1845" w:type="pct"/>
            <w:hideMark/>
          </w:tcPr>
          <w:p w14:paraId="0C2DE963" w14:textId="77777777" w:rsidR="00A93FE3" w:rsidRPr="007A5D47" w:rsidRDefault="00A93FE3" w:rsidP="00511F7F">
            <w:pPr>
              <w:jc w:val="center"/>
              <w:rPr>
                <w:rFonts w:eastAsia="Times New Roman" w:cs="Times New Roman"/>
                <w:lang w:eastAsia="fr-FR" w:bidi="ar-SA"/>
              </w:rPr>
            </w:pPr>
            <w:r w:rsidRPr="007A5D47">
              <w:rPr>
                <w:rFonts w:eastAsia="Times New Roman" w:cs="Times New Roman"/>
                <w:lang w:eastAsia="fr-FR" w:bidi="ar-SA"/>
              </w:rPr>
              <w:t>H1c</w:t>
            </w:r>
          </w:p>
        </w:tc>
      </w:tr>
      <w:tr w:rsidR="00A93FE3" w:rsidRPr="00F3781A" w14:paraId="28E8D5F7" w14:textId="77777777" w:rsidTr="00511F7F">
        <w:trPr>
          <w:jc w:val="center"/>
        </w:trPr>
        <w:tc>
          <w:tcPr>
            <w:tcW w:w="3155" w:type="pct"/>
            <w:hideMark/>
          </w:tcPr>
          <w:p w14:paraId="57F8460A" w14:textId="77777777" w:rsidR="00A93FE3" w:rsidRPr="007A5D47" w:rsidRDefault="00A93FE3" w:rsidP="00511F7F">
            <w:pPr>
              <w:spacing w:before="100" w:beforeAutospacing="1" w:after="100" w:afterAutospacing="1"/>
              <w:jc w:val="left"/>
              <w:rPr>
                <w:rFonts w:eastAsia="Times New Roman" w:cs="Times New Roman"/>
                <w:lang w:eastAsia="fr-FR" w:bidi="ar-SA"/>
              </w:rPr>
            </w:pPr>
            <w:r w:rsidRPr="007A5D47">
              <w:rPr>
                <w:rFonts w:eastAsia="Times New Roman" w:cs="Times New Roman"/>
                <w:lang w:eastAsia="fr-FR" w:bidi="ar-SA"/>
              </w:rPr>
              <w:t>39 ― Jura</w:t>
            </w:r>
          </w:p>
        </w:tc>
        <w:tc>
          <w:tcPr>
            <w:tcW w:w="1845" w:type="pct"/>
            <w:hideMark/>
          </w:tcPr>
          <w:p w14:paraId="6AA3CC7D" w14:textId="77777777" w:rsidR="00A93FE3" w:rsidRPr="007A5D47" w:rsidRDefault="00A93FE3" w:rsidP="00511F7F">
            <w:pPr>
              <w:jc w:val="center"/>
              <w:rPr>
                <w:rFonts w:eastAsia="Times New Roman" w:cs="Times New Roman"/>
                <w:lang w:eastAsia="fr-FR" w:bidi="ar-SA"/>
              </w:rPr>
            </w:pPr>
            <w:r w:rsidRPr="007A5D47">
              <w:rPr>
                <w:rFonts w:eastAsia="Times New Roman" w:cs="Times New Roman"/>
                <w:lang w:eastAsia="fr-FR" w:bidi="ar-SA"/>
              </w:rPr>
              <w:t>H1c</w:t>
            </w:r>
          </w:p>
        </w:tc>
      </w:tr>
      <w:tr w:rsidR="00A93FE3" w:rsidRPr="00F3781A" w14:paraId="55043534" w14:textId="77777777" w:rsidTr="00511F7F">
        <w:trPr>
          <w:jc w:val="center"/>
        </w:trPr>
        <w:tc>
          <w:tcPr>
            <w:tcW w:w="3155" w:type="pct"/>
            <w:hideMark/>
          </w:tcPr>
          <w:p w14:paraId="0765368E" w14:textId="77777777" w:rsidR="00A93FE3" w:rsidRPr="007A5D47" w:rsidRDefault="00A93FE3" w:rsidP="00511F7F">
            <w:pPr>
              <w:spacing w:before="100" w:beforeAutospacing="1" w:after="100" w:afterAutospacing="1"/>
              <w:jc w:val="left"/>
              <w:rPr>
                <w:rFonts w:eastAsia="Times New Roman" w:cs="Times New Roman"/>
                <w:lang w:eastAsia="fr-FR" w:bidi="ar-SA"/>
              </w:rPr>
            </w:pPr>
            <w:r w:rsidRPr="007A5D47">
              <w:rPr>
                <w:rFonts w:eastAsia="Times New Roman" w:cs="Times New Roman"/>
                <w:lang w:eastAsia="fr-FR" w:bidi="ar-SA"/>
              </w:rPr>
              <w:t>40 ― Landes</w:t>
            </w:r>
          </w:p>
        </w:tc>
        <w:tc>
          <w:tcPr>
            <w:tcW w:w="1845" w:type="pct"/>
            <w:hideMark/>
          </w:tcPr>
          <w:p w14:paraId="50EAA68C" w14:textId="77777777" w:rsidR="00A93FE3" w:rsidRPr="007A5D47" w:rsidRDefault="00A93FE3" w:rsidP="00511F7F">
            <w:pPr>
              <w:jc w:val="center"/>
              <w:rPr>
                <w:rFonts w:eastAsia="Times New Roman" w:cs="Times New Roman"/>
                <w:lang w:eastAsia="fr-FR" w:bidi="ar-SA"/>
              </w:rPr>
            </w:pPr>
            <w:r w:rsidRPr="007A5D47">
              <w:rPr>
                <w:rFonts w:eastAsia="Times New Roman" w:cs="Times New Roman"/>
                <w:lang w:eastAsia="fr-FR" w:bidi="ar-SA"/>
              </w:rPr>
              <w:t>H2c</w:t>
            </w:r>
          </w:p>
        </w:tc>
      </w:tr>
      <w:tr w:rsidR="00A93FE3" w:rsidRPr="00F3781A" w14:paraId="6688232D" w14:textId="77777777" w:rsidTr="00511F7F">
        <w:trPr>
          <w:jc w:val="center"/>
        </w:trPr>
        <w:tc>
          <w:tcPr>
            <w:tcW w:w="3155" w:type="pct"/>
            <w:hideMark/>
          </w:tcPr>
          <w:p w14:paraId="1D79FEC2" w14:textId="77777777" w:rsidR="00A93FE3" w:rsidRPr="007A5D47" w:rsidRDefault="00A93FE3" w:rsidP="00511F7F">
            <w:pPr>
              <w:spacing w:before="100" w:beforeAutospacing="1" w:after="100" w:afterAutospacing="1"/>
              <w:jc w:val="left"/>
              <w:rPr>
                <w:rFonts w:eastAsia="Times New Roman" w:cs="Times New Roman"/>
                <w:lang w:eastAsia="fr-FR" w:bidi="ar-SA"/>
              </w:rPr>
            </w:pPr>
            <w:r w:rsidRPr="007A5D47">
              <w:rPr>
                <w:rFonts w:eastAsia="Times New Roman" w:cs="Times New Roman"/>
                <w:lang w:eastAsia="fr-FR" w:bidi="ar-SA"/>
              </w:rPr>
              <w:t>41 ― Loir-et-Cher</w:t>
            </w:r>
          </w:p>
        </w:tc>
        <w:tc>
          <w:tcPr>
            <w:tcW w:w="1845" w:type="pct"/>
            <w:hideMark/>
          </w:tcPr>
          <w:p w14:paraId="6C2F1D69" w14:textId="77777777" w:rsidR="00A93FE3" w:rsidRPr="007A5D47" w:rsidRDefault="00A93FE3" w:rsidP="00511F7F">
            <w:pPr>
              <w:jc w:val="center"/>
              <w:rPr>
                <w:rFonts w:eastAsia="Times New Roman" w:cs="Times New Roman"/>
                <w:lang w:eastAsia="fr-FR" w:bidi="ar-SA"/>
              </w:rPr>
            </w:pPr>
            <w:r w:rsidRPr="007A5D47">
              <w:rPr>
                <w:rFonts w:eastAsia="Times New Roman" w:cs="Times New Roman"/>
                <w:lang w:eastAsia="fr-FR" w:bidi="ar-SA"/>
              </w:rPr>
              <w:t>H2b</w:t>
            </w:r>
          </w:p>
        </w:tc>
      </w:tr>
      <w:tr w:rsidR="00A93FE3" w:rsidRPr="00F3781A" w14:paraId="2FB6ABC5" w14:textId="77777777" w:rsidTr="00511F7F">
        <w:trPr>
          <w:jc w:val="center"/>
        </w:trPr>
        <w:tc>
          <w:tcPr>
            <w:tcW w:w="3155" w:type="pct"/>
            <w:hideMark/>
          </w:tcPr>
          <w:p w14:paraId="0FBA740E" w14:textId="77777777" w:rsidR="00A93FE3" w:rsidRPr="007A5D47" w:rsidRDefault="00A93FE3" w:rsidP="00511F7F">
            <w:pPr>
              <w:spacing w:before="100" w:beforeAutospacing="1" w:after="100" w:afterAutospacing="1"/>
              <w:jc w:val="left"/>
              <w:rPr>
                <w:rFonts w:eastAsia="Times New Roman" w:cs="Times New Roman"/>
                <w:lang w:eastAsia="fr-FR" w:bidi="ar-SA"/>
              </w:rPr>
            </w:pPr>
            <w:r w:rsidRPr="007A5D47">
              <w:rPr>
                <w:rFonts w:eastAsia="Times New Roman" w:cs="Times New Roman"/>
                <w:lang w:eastAsia="fr-FR" w:bidi="ar-SA"/>
              </w:rPr>
              <w:t>42 ― Loire</w:t>
            </w:r>
          </w:p>
        </w:tc>
        <w:tc>
          <w:tcPr>
            <w:tcW w:w="1845" w:type="pct"/>
            <w:hideMark/>
          </w:tcPr>
          <w:p w14:paraId="7F02F67A" w14:textId="77777777" w:rsidR="00A93FE3" w:rsidRPr="007A5D47" w:rsidRDefault="00A93FE3" w:rsidP="00511F7F">
            <w:pPr>
              <w:jc w:val="center"/>
              <w:rPr>
                <w:rFonts w:eastAsia="Times New Roman" w:cs="Times New Roman"/>
                <w:lang w:eastAsia="fr-FR" w:bidi="ar-SA"/>
              </w:rPr>
            </w:pPr>
            <w:r w:rsidRPr="007A5D47">
              <w:rPr>
                <w:rFonts w:eastAsia="Times New Roman" w:cs="Times New Roman"/>
                <w:lang w:eastAsia="fr-FR" w:bidi="ar-SA"/>
              </w:rPr>
              <w:t>H1c</w:t>
            </w:r>
          </w:p>
        </w:tc>
      </w:tr>
      <w:tr w:rsidR="00A93FE3" w:rsidRPr="00F3781A" w14:paraId="546D844D" w14:textId="77777777" w:rsidTr="00511F7F">
        <w:trPr>
          <w:jc w:val="center"/>
        </w:trPr>
        <w:tc>
          <w:tcPr>
            <w:tcW w:w="3155" w:type="pct"/>
            <w:hideMark/>
          </w:tcPr>
          <w:p w14:paraId="0DE86B61" w14:textId="77777777" w:rsidR="00A93FE3" w:rsidRPr="007A5D47" w:rsidRDefault="00A93FE3" w:rsidP="00511F7F">
            <w:pPr>
              <w:spacing w:before="100" w:beforeAutospacing="1" w:after="100" w:afterAutospacing="1"/>
              <w:jc w:val="left"/>
              <w:rPr>
                <w:rFonts w:eastAsia="Times New Roman" w:cs="Times New Roman"/>
                <w:lang w:eastAsia="fr-FR" w:bidi="ar-SA"/>
              </w:rPr>
            </w:pPr>
            <w:r w:rsidRPr="007A5D47">
              <w:rPr>
                <w:rFonts w:eastAsia="Times New Roman" w:cs="Times New Roman"/>
                <w:lang w:eastAsia="fr-FR" w:bidi="ar-SA"/>
              </w:rPr>
              <w:t>43 ― Haute-Loire</w:t>
            </w:r>
          </w:p>
        </w:tc>
        <w:tc>
          <w:tcPr>
            <w:tcW w:w="1845" w:type="pct"/>
            <w:hideMark/>
          </w:tcPr>
          <w:p w14:paraId="286C0E4E" w14:textId="77777777" w:rsidR="00A93FE3" w:rsidRPr="007A5D47" w:rsidRDefault="00A93FE3" w:rsidP="00511F7F">
            <w:pPr>
              <w:jc w:val="center"/>
              <w:rPr>
                <w:rFonts w:eastAsia="Times New Roman" w:cs="Times New Roman"/>
                <w:lang w:eastAsia="fr-FR" w:bidi="ar-SA"/>
              </w:rPr>
            </w:pPr>
            <w:r w:rsidRPr="007A5D47">
              <w:rPr>
                <w:rFonts w:eastAsia="Times New Roman" w:cs="Times New Roman"/>
                <w:lang w:eastAsia="fr-FR" w:bidi="ar-SA"/>
              </w:rPr>
              <w:t>H1c</w:t>
            </w:r>
          </w:p>
        </w:tc>
      </w:tr>
      <w:tr w:rsidR="00A93FE3" w:rsidRPr="00F3781A" w14:paraId="77A6F90C" w14:textId="77777777" w:rsidTr="00511F7F">
        <w:trPr>
          <w:jc w:val="center"/>
        </w:trPr>
        <w:tc>
          <w:tcPr>
            <w:tcW w:w="3155" w:type="pct"/>
            <w:hideMark/>
          </w:tcPr>
          <w:p w14:paraId="08796022" w14:textId="77777777" w:rsidR="00A93FE3" w:rsidRPr="007A5D47" w:rsidRDefault="00A93FE3" w:rsidP="00511F7F">
            <w:pPr>
              <w:spacing w:before="100" w:beforeAutospacing="1" w:after="100" w:afterAutospacing="1"/>
              <w:jc w:val="left"/>
              <w:rPr>
                <w:rFonts w:eastAsia="Times New Roman" w:cs="Times New Roman"/>
                <w:lang w:eastAsia="fr-FR" w:bidi="ar-SA"/>
              </w:rPr>
            </w:pPr>
            <w:r w:rsidRPr="007A5D47">
              <w:rPr>
                <w:rFonts w:eastAsia="Times New Roman" w:cs="Times New Roman"/>
                <w:lang w:eastAsia="fr-FR" w:bidi="ar-SA"/>
              </w:rPr>
              <w:lastRenderedPageBreak/>
              <w:t>44 ― Loire-Atlantique</w:t>
            </w:r>
          </w:p>
        </w:tc>
        <w:tc>
          <w:tcPr>
            <w:tcW w:w="1845" w:type="pct"/>
            <w:hideMark/>
          </w:tcPr>
          <w:p w14:paraId="3369A9E1" w14:textId="77777777" w:rsidR="00A93FE3" w:rsidRPr="007A5D47" w:rsidRDefault="00A93FE3" w:rsidP="00511F7F">
            <w:pPr>
              <w:jc w:val="center"/>
              <w:rPr>
                <w:rFonts w:eastAsia="Times New Roman" w:cs="Times New Roman"/>
                <w:lang w:eastAsia="fr-FR" w:bidi="ar-SA"/>
              </w:rPr>
            </w:pPr>
            <w:r w:rsidRPr="007A5D47">
              <w:rPr>
                <w:rFonts w:eastAsia="Times New Roman" w:cs="Times New Roman"/>
                <w:lang w:eastAsia="fr-FR" w:bidi="ar-SA"/>
              </w:rPr>
              <w:t>H2b</w:t>
            </w:r>
          </w:p>
        </w:tc>
      </w:tr>
      <w:tr w:rsidR="00A93FE3" w:rsidRPr="00F3781A" w14:paraId="35E8E30E" w14:textId="77777777" w:rsidTr="00511F7F">
        <w:trPr>
          <w:jc w:val="center"/>
        </w:trPr>
        <w:tc>
          <w:tcPr>
            <w:tcW w:w="3155" w:type="pct"/>
            <w:hideMark/>
          </w:tcPr>
          <w:p w14:paraId="5BAD392B" w14:textId="77777777" w:rsidR="00A93FE3" w:rsidRPr="007A5D47" w:rsidRDefault="00A93FE3" w:rsidP="00511F7F">
            <w:pPr>
              <w:spacing w:before="100" w:beforeAutospacing="1" w:after="100" w:afterAutospacing="1"/>
              <w:jc w:val="left"/>
              <w:rPr>
                <w:rFonts w:eastAsia="Times New Roman" w:cs="Times New Roman"/>
                <w:lang w:eastAsia="fr-FR" w:bidi="ar-SA"/>
              </w:rPr>
            </w:pPr>
            <w:r w:rsidRPr="007A5D47">
              <w:rPr>
                <w:rFonts w:eastAsia="Times New Roman" w:cs="Times New Roman"/>
                <w:lang w:eastAsia="fr-FR" w:bidi="ar-SA"/>
              </w:rPr>
              <w:t>45 ― Loiret</w:t>
            </w:r>
          </w:p>
        </w:tc>
        <w:tc>
          <w:tcPr>
            <w:tcW w:w="1845" w:type="pct"/>
            <w:hideMark/>
          </w:tcPr>
          <w:p w14:paraId="1F77118C" w14:textId="77777777" w:rsidR="00A93FE3" w:rsidRPr="007A5D47" w:rsidRDefault="00A93FE3" w:rsidP="00511F7F">
            <w:pPr>
              <w:jc w:val="center"/>
              <w:rPr>
                <w:rFonts w:eastAsia="Times New Roman" w:cs="Times New Roman"/>
                <w:lang w:eastAsia="fr-FR" w:bidi="ar-SA"/>
              </w:rPr>
            </w:pPr>
            <w:r w:rsidRPr="007A5D47">
              <w:rPr>
                <w:rFonts w:eastAsia="Times New Roman" w:cs="Times New Roman"/>
                <w:lang w:eastAsia="fr-FR" w:bidi="ar-SA"/>
              </w:rPr>
              <w:t>H1b</w:t>
            </w:r>
          </w:p>
        </w:tc>
      </w:tr>
      <w:tr w:rsidR="00A93FE3" w:rsidRPr="00F3781A" w14:paraId="72AAF929" w14:textId="77777777" w:rsidTr="00511F7F">
        <w:trPr>
          <w:jc w:val="center"/>
        </w:trPr>
        <w:tc>
          <w:tcPr>
            <w:tcW w:w="3155" w:type="pct"/>
            <w:hideMark/>
          </w:tcPr>
          <w:p w14:paraId="425B5698" w14:textId="77777777" w:rsidR="00A93FE3" w:rsidRPr="007A5D47" w:rsidRDefault="00A93FE3" w:rsidP="00511F7F">
            <w:pPr>
              <w:spacing w:before="100" w:beforeAutospacing="1" w:after="100" w:afterAutospacing="1"/>
              <w:jc w:val="left"/>
              <w:rPr>
                <w:rFonts w:eastAsia="Times New Roman" w:cs="Times New Roman"/>
                <w:lang w:eastAsia="fr-FR" w:bidi="ar-SA"/>
              </w:rPr>
            </w:pPr>
            <w:r w:rsidRPr="007A5D47">
              <w:rPr>
                <w:rFonts w:eastAsia="Times New Roman" w:cs="Times New Roman"/>
                <w:lang w:eastAsia="fr-FR" w:bidi="ar-SA"/>
              </w:rPr>
              <w:t>46 ― Lot</w:t>
            </w:r>
          </w:p>
        </w:tc>
        <w:tc>
          <w:tcPr>
            <w:tcW w:w="1845" w:type="pct"/>
            <w:hideMark/>
          </w:tcPr>
          <w:p w14:paraId="4515DC23" w14:textId="77777777" w:rsidR="00A93FE3" w:rsidRPr="007A5D47" w:rsidRDefault="00A93FE3" w:rsidP="00511F7F">
            <w:pPr>
              <w:jc w:val="center"/>
              <w:rPr>
                <w:rFonts w:eastAsia="Times New Roman" w:cs="Times New Roman"/>
                <w:lang w:eastAsia="fr-FR" w:bidi="ar-SA"/>
              </w:rPr>
            </w:pPr>
            <w:r w:rsidRPr="007A5D47">
              <w:rPr>
                <w:rFonts w:eastAsia="Times New Roman" w:cs="Times New Roman"/>
                <w:lang w:eastAsia="fr-FR" w:bidi="ar-SA"/>
              </w:rPr>
              <w:t>H2c</w:t>
            </w:r>
          </w:p>
        </w:tc>
      </w:tr>
      <w:tr w:rsidR="00A93FE3" w:rsidRPr="00F3781A" w14:paraId="22D3634C" w14:textId="77777777" w:rsidTr="00511F7F">
        <w:trPr>
          <w:jc w:val="center"/>
        </w:trPr>
        <w:tc>
          <w:tcPr>
            <w:tcW w:w="3155" w:type="pct"/>
            <w:hideMark/>
          </w:tcPr>
          <w:p w14:paraId="2425A0EB" w14:textId="77777777" w:rsidR="00A93FE3" w:rsidRPr="007A5D47" w:rsidRDefault="00A93FE3" w:rsidP="00511F7F">
            <w:pPr>
              <w:spacing w:before="100" w:beforeAutospacing="1" w:after="100" w:afterAutospacing="1"/>
              <w:jc w:val="left"/>
              <w:rPr>
                <w:rFonts w:eastAsia="Times New Roman" w:cs="Times New Roman"/>
                <w:lang w:eastAsia="fr-FR" w:bidi="ar-SA"/>
              </w:rPr>
            </w:pPr>
            <w:r w:rsidRPr="007A5D47">
              <w:rPr>
                <w:rFonts w:eastAsia="Times New Roman" w:cs="Times New Roman"/>
                <w:lang w:eastAsia="fr-FR" w:bidi="ar-SA"/>
              </w:rPr>
              <w:t>47 ― Lot-et-Garonne</w:t>
            </w:r>
          </w:p>
        </w:tc>
        <w:tc>
          <w:tcPr>
            <w:tcW w:w="1845" w:type="pct"/>
            <w:hideMark/>
          </w:tcPr>
          <w:p w14:paraId="529B1722" w14:textId="77777777" w:rsidR="00A93FE3" w:rsidRPr="007A5D47" w:rsidRDefault="00A93FE3" w:rsidP="00511F7F">
            <w:pPr>
              <w:jc w:val="center"/>
              <w:rPr>
                <w:rFonts w:eastAsia="Times New Roman" w:cs="Times New Roman"/>
                <w:lang w:eastAsia="fr-FR" w:bidi="ar-SA"/>
              </w:rPr>
            </w:pPr>
            <w:r w:rsidRPr="007A5D47">
              <w:rPr>
                <w:rFonts w:eastAsia="Times New Roman" w:cs="Times New Roman"/>
                <w:lang w:eastAsia="fr-FR" w:bidi="ar-SA"/>
              </w:rPr>
              <w:t>H2c</w:t>
            </w:r>
          </w:p>
        </w:tc>
      </w:tr>
      <w:tr w:rsidR="00A93FE3" w:rsidRPr="00F3781A" w14:paraId="50EF715F" w14:textId="77777777" w:rsidTr="00511F7F">
        <w:trPr>
          <w:jc w:val="center"/>
        </w:trPr>
        <w:tc>
          <w:tcPr>
            <w:tcW w:w="3155" w:type="pct"/>
            <w:hideMark/>
          </w:tcPr>
          <w:p w14:paraId="22951C53" w14:textId="77777777" w:rsidR="00A93FE3" w:rsidRPr="007A5D47" w:rsidRDefault="00A93FE3" w:rsidP="00511F7F">
            <w:pPr>
              <w:spacing w:before="100" w:beforeAutospacing="1" w:after="100" w:afterAutospacing="1"/>
              <w:jc w:val="left"/>
              <w:rPr>
                <w:rFonts w:eastAsia="Times New Roman" w:cs="Times New Roman"/>
                <w:lang w:eastAsia="fr-FR" w:bidi="ar-SA"/>
              </w:rPr>
            </w:pPr>
            <w:r w:rsidRPr="007A5D47">
              <w:rPr>
                <w:rFonts w:eastAsia="Times New Roman" w:cs="Times New Roman"/>
                <w:lang w:eastAsia="fr-FR" w:bidi="ar-SA"/>
              </w:rPr>
              <w:t>48 ― Lozère</w:t>
            </w:r>
          </w:p>
        </w:tc>
        <w:tc>
          <w:tcPr>
            <w:tcW w:w="1845" w:type="pct"/>
            <w:hideMark/>
          </w:tcPr>
          <w:p w14:paraId="4D6C5B17" w14:textId="77777777" w:rsidR="00A93FE3" w:rsidRPr="007A5D47" w:rsidRDefault="00A93FE3" w:rsidP="00511F7F">
            <w:pPr>
              <w:jc w:val="center"/>
              <w:rPr>
                <w:rFonts w:eastAsia="Times New Roman" w:cs="Times New Roman"/>
                <w:lang w:eastAsia="fr-FR" w:bidi="ar-SA"/>
              </w:rPr>
            </w:pPr>
            <w:r w:rsidRPr="007A5D47">
              <w:rPr>
                <w:rFonts w:eastAsia="Times New Roman" w:cs="Times New Roman"/>
                <w:lang w:eastAsia="fr-FR" w:bidi="ar-SA"/>
              </w:rPr>
              <w:t>H2d</w:t>
            </w:r>
          </w:p>
        </w:tc>
      </w:tr>
      <w:tr w:rsidR="00A93FE3" w:rsidRPr="00F3781A" w14:paraId="3C8BCF99" w14:textId="77777777" w:rsidTr="00511F7F">
        <w:trPr>
          <w:jc w:val="center"/>
        </w:trPr>
        <w:tc>
          <w:tcPr>
            <w:tcW w:w="3155" w:type="pct"/>
            <w:hideMark/>
          </w:tcPr>
          <w:p w14:paraId="0CDD388F" w14:textId="77777777" w:rsidR="00A93FE3" w:rsidRPr="007A5D47" w:rsidRDefault="00A93FE3" w:rsidP="00511F7F">
            <w:pPr>
              <w:spacing w:before="100" w:beforeAutospacing="1" w:after="100" w:afterAutospacing="1"/>
              <w:jc w:val="left"/>
              <w:rPr>
                <w:rFonts w:eastAsia="Times New Roman" w:cs="Times New Roman"/>
                <w:lang w:eastAsia="fr-FR" w:bidi="ar-SA"/>
              </w:rPr>
            </w:pPr>
            <w:r w:rsidRPr="007A5D47">
              <w:rPr>
                <w:rFonts w:eastAsia="Times New Roman" w:cs="Times New Roman"/>
                <w:lang w:eastAsia="fr-FR" w:bidi="ar-SA"/>
              </w:rPr>
              <w:t>49 ― Maine-et-Loire</w:t>
            </w:r>
          </w:p>
        </w:tc>
        <w:tc>
          <w:tcPr>
            <w:tcW w:w="1845" w:type="pct"/>
            <w:hideMark/>
          </w:tcPr>
          <w:p w14:paraId="1DCF80C5" w14:textId="77777777" w:rsidR="00A93FE3" w:rsidRPr="007A5D47" w:rsidRDefault="00A93FE3" w:rsidP="00511F7F">
            <w:pPr>
              <w:jc w:val="center"/>
              <w:rPr>
                <w:rFonts w:eastAsia="Times New Roman" w:cs="Times New Roman"/>
                <w:lang w:eastAsia="fr-FR" w:bidi="ar-SA"/>
              </w:rPr>
            </w:pPr>
            <w:r w:rsidRPr="007A5D47">
              <w:rPr>
                <w:rFonts w:eastAsia="Times New Roman" w:cs="Times New Roman"/>
                <w:lang w:eastAsia="fr-FR" w:bidi="ar-SA"/>
              </w:rPr>
              <w:t>H2b</w:t>
            </w:r>
          </w:p>
        </w:tc>
      </w:tr>
      <w:tr w:rsidR="00A93FE3" w:rsidRPr="00F3781A" w14:paraId="1643BDDA" w14:textId="77777777" w:rsidTr="00511F7F">
        <w:trPr>
          <w:jc w:val="center"/>
        </w:trPr>
        <w:tc>
          <w:tcPr>
            <w:tcW w:w="3155" w:type="pct"/>
            <w:hideMark/>
          </w:tcPr>
          <w:p w14:paraId="5AA7E5BD" w14:textId="77777777" w:rsidR="00A93FE3" w:rsidRPr="007A5D47" w:rsidRDefault="00A93FE3" w:rsidP="00511F7F">
            <w:pPr>
              <w:spacing w:before="100" w:beforeAutospacing="1" w:after="100" w:afterAutospacing="1"/>
              <w:jc w:val="left"/>
              <w:rPr>
                <w:rFonts w:eastAsia="Times New Roman" w:cs="Times New Roman"/>
                <w:lang w:eastAsia="fr-FR" w:bidi="ar-SA"/>
              </w:rPr>
            </w:pPr>
            <w:r w:rsidRPr="007A5D47">
              <w:rPr>
                <w:rFonts w:eastAsia="Times New Roman" w:cs="Times New Roman"/>
                <w:lang w:eastAsia="fr-FR" w:bidi="ar-SA"/>
              </w:rPr>
              <w:t>50 ― Manche</w:t>
            </w:r>
          </w:p>
        </w:tc>
        <w:tc>
          <w:tcPr>
            <w:tcW w:w="1845" w:type="pct"/>
            <w:hideMark/>
          </w:tcPr>
          <w:p w14:paraId="76257699" w14:textId="77777777" w:rsidR="00A93FE3" w:rsidRPr="007A5D47" w:rsidRDefault="00A93FE3" w:rsidP="00511F7F">
            <w:pPr>
              <w:jc w:val="center"/>
              <w:rPr>
                <w:rFonts w:eastAsia="Times New Roman" w:cs="Times New Roman"/>
                <w:lang w:eastAsia="fr-FR" w:bidi="ar-SA"/>
              </w:rPr>
            </w:pPr>
            <w:r w:rsidRPr="007A5D47">
              <w:rPr>
                <w:rFonts w:eastAsia="Times New Roman" w:cs="Times New Roman"/>
                <w:lang w:eastAsia="fr-FR" w:bidi="ar-SA"/>
              </w:rPr>
              <w:t>H2a</w:t>
            </w:r>
          </w:p>
        </w:tc>
      </w:tr>
      <w:tr w:rsidR="00A93FE3" w:rsidRPr="00F3781A" w14:paraId="283462B4" w14:textId="77777777" w:rsidTr="00511F7F">
        <w:trPr>
          <w:jc w:val="center"/>
        </w:trPr>
        <w:tc>
          <w:tcPr>
            <w:tcW w:w="3155" w:type="pct"/>
            <w:hideMark/>
          </w:tcPr>
          <w:p w14:paraId="3FD707D2" w14:textId="77777777" w:rsidR="00A93FE3" w:rsidRPr="007A5D47" w:rsidRDefault="00A93FE3" w:rsidP="00511F7F">
            <w:pPr>
              <w:spacing w:before="100" w:beforeAutospacing="1" w:after="100" w:afterAutospacing="1"/>
              <w:jc w:val="left"/>
              <w:rPr>
                <w:rFonts w:eastAsia="Times New Roman" w:cs="Times New Roman"/>
                <w:lang w:eastAsia="fr-FR" w:bidi="ar-SA"/>
              </w:rPr>
            </w:pPr>
            <w:r w:rsidRPr="007A5D47">
              <w:rPr>
                <w:rFonts w:eastAsia="Times New Roman" w:cs="Times New Roman"/>
                <w:lang w:eastAsia="fr-FR" w:bidi="ar-SA"/>
              </w:rPr>
              <w:t>51 ― Marne</w:t>
            </w:r>
          </w:p>
        </w:tc>
        <w:tc>
          <w:tcPr>
            <w:tcW w:w="1845" w:type="pct"/>
            <w:hideMark/>
          </w:tcPr>
          <w:p w14:paraId="3753E2E6" w14:textId="77777777" w:rsidR="00A93FE3" w:rsidRPr="007A5D47" w:rsidRDefault="00A93FE3" w:rsidP="00511F7F">
            <w:pPr>
              <w:jc w:val="center"/>
              <w:rPr>
                <w:rFonts w:eastAsia="Times New Roman" w:cs="Times New Roman"/>
                <w:lang w:eastAsia="fr-FR" w:bidi="ar-SA"/>
              </w:rPr>
            </w:pPr>
            <w:r w:rsidRPr="007A5D47">
              <w:rPr>
                <w:rFonts w:eastAsia="Times New Roman" w:cs="Times New Roman"/>
                <w:lang w:eastAsia="fr-FR" w:bidi="ar-SA"/>
              </w:rPr>
              <w:t>H1b</w:t>
            </w:r>
          </w:p>
        </w:tc>
      </w:tr>
      <w:tr w:rsidR="00A93FE3" w:rsidRPr="00F3781A" w14:paraId="54C4E520" w14:textId="77777777" w:rsidTr="00511F7F">
        <w:trPr>
          <w:jc w:val="center"/>
        </w:trPr>
        <w:tc>
          <w:tcPr>
            <w:tcW w:w="3155" w:type="pct"/>
            <w:hideMark/>
          </w:tcPr>
          <w:p w14:paraId="7CBB625D" w14:textId="77777777" w:rsidR="00A93FE3" w:rsidRPr="007A5D47" w:rsidRDefault="00A93FE3" w:rsidP="00511F7F">
            <w:pPr>
              <w:spacing w:before="100" w:beforeAutospacing="1" w:after="100" w:afterAutospacing="1"/>
              <w:jc w:val="left"/>
              <w:rPr>
                <w:rFonts w:eastAsia="Times New Roman" w:cs="Times New Roman"/>
                <w:lang w:eastAsia="fr-FR" w:bidi="ar-SA"/>
              </w:rPr>
            </w:pPr>
            <w:r w:rsidRPr="007A5D47">
              <w:rPr>
                <w:rFonts w:eastAsia="Times New Roman" w:cs="Times New Roman"/>
                <w:lang w:eastAsia="fr-FR" w:bidi="ar-SA"/>
              </w:rPr>
              <w:t>52 ― Haute-Marne</w:t>
            </w:r>
          </w:p>
        </w:tc>
        <w:tc>
          <w:tcPr>
            <w:tcW w:w="1845" w:type="pct"/>
            <w:hideMark/>
          </w:tcPr>
          <w:p w14:paraId="3BB974DC" w14:textId="77777777" w:rsidR="00A93FE3" w:rsidRPr="007A5D47" w:rsidRDefault="00A93FE3" w:rsidP="00511F7F">
            <w:pPr>
              <w:jc w:val="center"/>
              <w:rPr>
                <w:rFonts w:eastAsia="Times New Roman" w:cs="Times New Roman"/>
                <w:lang w:eastAsia="fr-FR" w:bidi="ar-SA"/>
              </w:rPr>
            </w:pPr>
            <w:r w:rsidRPr="007A5D47">
              <w:rPr>
                <w:rFonts w:eastAsia="Times New Roman" w:cs="Times New Roman"/>
                <w:lang w:eastAsia="fr-FR" w:bidi="ar-SA"/>
              </w:rPr>
              <w:t>H1b</w:t>
            </w:r>
          </w:p>
        </w:tc>
      </w:tr>
      <w:tr w:rsidR="00A93FE3" w:rsidRPr="00F3781A" w14:paraId="3591D365" w14:textId="77777777" w:rsidTr="00511F7F">
        <w:trPr>
          <w:jc w:val="center"/>
        </w:trPr>
        <w:tc>
          <w:tcPr>
            <w:tcW w:w="3155" w:type="pct"/>
            <w:hideMark/>
          </w:tcPr>
          <w:p w14:paraId="2096E839" w14:textId="77777777" w:rsidR="00A93FE3" w:rsidRPr="007A5D47" w:rsidRDefault="00A93FE3" w:rsidP="00511F7F">
            <w:pPr>
              <w:spacing w:before="100" w:beforeAutospacing="1" w:after="100" w:afterAutospacing="1"/>
              <w:jc w:val="left"/>
              <w:rPr>
                <w:rFonts w:eastAsia="Times New Roman" w:cs="Times New Roman"/>
                <w:lang w:eastAsia="fr-FR" w:bidi="ar-SA"/>
              </w:rPr>
            </w:pPr>
            <w:r w:rsidRPr="007A5D47">
              <w:rPr>
                <w:rFonts w:eastAsia="Times New Roman" w:cs="Times New Roman"/>
                <w:lang w:eastAsia="fr-FR" w:bidi="ar-SA"/>
              </w:rPr>
              <w:t>53 ― Mayenne</w:t>
            </w:r>
          </w:p>
        </w:tc>
        <w:tc>
          <w:tcPr>
            <w:tcW w:w="1845" w:type="pct"/>
            <w:hideMark/>
          </w:tcPr>
          <w:p w14:paraId="5857A640" w14:textId="77777777" w:rsidR="00A93FE3" w:rsidRPr="007A5D47" w:rsidRDefault="00A93FE3" w:rsidP="00511F7F">
            <w:pPr>
              <w:jc w:val="center"/>
              <w:rPr>
                <w:rFonts w:eastAsia="Times New Roman" w:cs="Times New Roman"/>
                <w:lang w:eastAsia="fr-FR" w:bidi="ar-SA"/>
              </w:rPr>
            </w:pPr>
            <w:r w:rsidRPr="007A5D47">
              <w:rPr>
                <w:rFonts w:eastAsia="Times New Roman" w:cs="Times New Roman"/>
                <w:lang w:eastAsia="fr-FR" w:bidi="ar-SA"/>
              </w:rPr>
              <w:t>H2b</w:t>
            </w:r>
          </w:p>
        </w:tc>
      </w:tr>
      <w:tr w:rsidR="00A93FE3" w:rsidRPr="00F3781A" w14:paraId="510DD600" w14:textId="77777777" w:rsidTr="00511F7F">
        <w:trPr>
          <w:jc w:val="center"/>
        </w:trPr>
        <w:tc>
          <w:tcPr>
            <w:tcW w:w="3155" w:type="pct"/>
            <w:hideMark/>
          </w:tcPr>
          <w:p w14:paraId="3667A3FB" w14:textId="77777777" w:rsidR="00A93FE3" w:rsidRPr="007A5D47" w:rsidRDefault="00A93FE3" w:rsidP="00511F7F">
            <w:pPr>
              <w:spacing w:before="100" w:beforeAutospacing="1" w:after="100" w:afterAutospacing="1"/>
              <w:jc w:val="left"/>
              <w:rPr>
                <w:rFonts w:eastAsia="Times New Roman" w:cs="Times New Roman"/>
                <w:lang w:eastAsia="fr-FR" w:bidi="ar-SA"/>
              </w:rPr>
            </w:pPr>
            <w:r w:rsidRPr="007A5D47">
              <w:rPr>
                <w:rFonts w:eastAsia="Times New Roman" w:cs="Times New Roman"/>
                <w:lang w:eastAsia="fr-FR" w:bidi="ar-SA"/>
              </w:rPr>
              <w:t>54 ― Meurthe-et-Moselle</w:t>
            </w:r>
          </w:p>
        </w:tc>
        <w:tc>
          <w:tcPr>
            <w:tcW w:w="1845" w:type="pct"/>
            <w:hideMark/>
          </w:tcPr>
          <w:p w14:paraId="410AA94D" w14:textId="77777777" w:rsidR="00A93FE3" w:rsidRPr="007A5D47" w:rsidRDefault="00A93FE3" w:rsidP="00511F7F">
            <w:pPr>
              <w:jc w:val="center"/>
              <w:rPr>
                <w:rFonts w:eastAsia="Times New Roman" w:cs="Times New Roman"/>
                <w:lang w:eastAsia="fr-FR" w:bidi="ar-SA"/>
              </w:rPr>
            </w:pPr>
            <w:r w:rsidRPr="007A5D47">
              <w:rPr>
                <w:rFonts w:eastAsia="Times New Roman" w:cs="Times New Roman"/>
                <w:lang w:eastAsia="fr-FR" w:bidi="ar-SA"/>
              </w:rPr>
              <w:t>H1b</w:t>
            </w:r>
          </w:p>
        </w:tc>
      </w:tr>
      <w:tr w:rsidR="00A93FE3" w:rsidRPr="00F3781A" w14:paraId="383BCB5A" w14:textId="77777777" w:rsidTr="00511F7F">
        <w:trPr>
          <w:jc w:val="center"/>
        </w:trPr>
        <w:tc>
          <w:tcPr>
            <w:tcW w:w="3155" w:type="pct"/>
            <w:hideMark/>
          </w:tcPr>
          <w:p w14:paraId="1AD78E7A" w14:textId="77777777" w:rsidR="00A93FE3" w:rsidRPr="007A5D47" w:rsidRDefault="00A93FE3" w:rsidP="00511F7F">
            <w:pPr>
              <w:spacing w:before="100" w:beforeAutospacing="1" w:after="100" w:afterAutospacing="1"/>
              <w:jc w:val="left"/>
              <w:rPr>
                <w:rFonts w:eastAsia="Times New Roman" w:cs="Times New Roman"/>
                <w:lang w:eastAsia="fr-FR" w:bidi="ar-SA"/>
              </w:rPr>
            </w:pPr>
            <w:r w:rsidRPr="007A5D47">
              <w:rPr>
                <w:rFonts w:eastAsia="Times New Roman" w:cs="Times New Roman"/>
                <w:lang w:eastAsia="fr-FR" w:bidi="ar-SA"/>
              </w:rPr>
              <w:t>55 ― Meuse</w:t>
            </w:r>
          </w:p>
        </w:tc>
        <w:tc>
          <w:tcPr>
            <w:tcW w:w="1845" w:type="pct"/>
            <w:hideMark/>
          </w:tcPr>
          <w:p w14:paraId="5A8194F1" w14:textId="77777777" w:rsidR="00A93FE3" w:rsidRPr="007A5D47" w:rsidRDefault="00A93FE3" w:rsidP="00511F7F">
            <w:pPr>
              <w:jc w:val="center"/>
              <w:rPr>
                <w:rFonts w:eastAsia="Times New Roman" w:cs="Times New Roman"/>
                <w:lang w:eastAsia="fr-FR" w:bidi="ar-SA"/>
              </w:rPr>
            </w:pPr>
            <w:r w:rsidRPr="007A5D47">
              <w:rPr>
                <w:rFonts w:eastAsia="Times New Roman" w:cs="Times New Roman"/>
                <w:lang w:eastAsia="fr-FR" w:bidi="ar-SA"/>
              </w:rPr>
              <w:t>H1b</w:t>
            </w:r>
          </w:p>
        </w:tc>
      </w:tr>
      <w:tr w:rsidR="00A93FE3" w:rsidRPr="00F3781A" w14:paraId="7BA8BFBD" w14:textId="77777777" w:rsidTr="00511F7F">
        <w:trPr>
          <w:jc w:val="center"/>
        </w:trPr>
        <w:tc>
          <w:tcPr>
            <w:tcW w:w="3155" w:type="pct"/>
            <w:hideMark/>
          </w:tcPr>
          <w:p w14:paraId="68F50174" w14:textId="77777777" w:rsidR="00A93FE3" w:rsidRPr="007A5D47" w:rsidRDefault="00A93FE3" w:rsidP="00511F7F">
            <w:pPr>
              <w:spacing w:before="100" w:beforeAutospacing="1" w:after="100" w:afterAutospacing="1"/>
              <w:jc w:val="left"/>
              <w:rPr>
                <w:rFonts w:eastAsia="Times New Roman" w:cs="Times New Roman"/>
                <w:lang w:eastAsia="fr-FR" w:bidi="ar-SA"/>
              </w:rPr>
            </w:pPr>
            <w:r w:rsidRPr="007A5D47">
              <w:rPr>
                <w:rFonts w:eastAsia="Times New Roman" w:cs="Times New Roman"/>
                <w:lang w:eastAsia="fr-FR" w:bidi="ar-SA"/>
              </w:rPr>
              <w:t>56 ― Morbihan</w:t>
            </w:r>
          </w:p>
        </w:tc>
        <w:tc>
          <w:tcPr>
            <w:tcW w:w="1845" w:type="pct"/>
            <w:hideMark/>
          </w:tcPr>
          <w:p w14:paraId="1A459D1A" w14:textId="77777777" w:rsidR="00A93FE3" w:rsidRPr="007A5D47" w:rsidRDefault="00A93FE3" w:rsidP="00511F7F">
            <w:pPr>
              <w:jc w:val="center"/>
              <w:rPr>
                <w:rFonts w:eastAsia="Times New Roman" w:cs="Times New Roman"/>
                <w:lang w:eastAsia="fr-FR" w:bidi="ar-SA"/>
              </w:rPr>
            </w:pPr>
            <w:r w:rsidRPr="007A5D47">
              <w:rPr>
                <w:rFonts w:eastAsia="Times New Roman" w:cs="Times New Roman"/>
                <w:lang w:eastAsia="fr-FR" w:bidi="ar-SA"/>
              </w:rPr>
              <w:t>H2a</w:t>
            </w:r>
          </w:p>
        </w:tc>
      </w:tr>
      <w:tr w:rsidR="00A93FE3" w:rsidRPr="00F3781A" w14:paraId="252175EA" w14:textId="77777777" w:rsidTr="00511F7F">
        <w:trPr>
          <w:jc w:val="center"/>
        </w:trPr>
        <w:tc>
          <w:tcPr>
            <w:tcW w:w="3155" w:type="pct"/>
            <w:hideMark/>
          </w:tcPr>
          <w:p w14:paraId="13D0B8F0" w14:textId="77777777" w:rsidR="00A93FE3" w:rsidRPr="007A5D47" w:rsidRDefault="00A93FE3" w:rsidP="00511F7F">
            <w:pPr>
              <w:spacing w:before="100" w:beforeAutospacing="1" w:after="100" w:afterAutospacing="1"/>
              <w:jc w:val="left"/>
              <w:rPr>
                <w:rFonts w:eastAsia="Times New Roman" w:cs="Times New Roman"/>
                <w:lang w:eastAsia="fr-FR" w:bidi="ar-SA"/>
              </w:rPr>
            </w:pPr>
            <w:r w:rsidRPr="007A5D47">
              <w:rPr>
                <w:rFonts w:eastAsia="Times New Roman" w:cs="Times New Roman"/>
                <w:lang w:eastAsia="fr-FR" w:bidi="ar-SA"/>
              </w:rPr>
              <w:t>57 ― Moselle</w:t>
            </w:r>
          </w:p>
        </w:tc>
        <w:tc>
          <w:tcPr>
            <w:tcW w:w="1845" w:type="pct"/>
            <w:hideMark/>
          </w:tcPr>
          <w:p w14:paraId="49538BA8" w14:textId="77777777" w:rsidR="00A93FE3" w:rsidRPr="007A5D47" w:rsidRDefault="00A93FE3" w:rsidP="00511F7F">
            <w:pPr>
              <w:jc w:val="center"/>
              <w:rPr>
                <w:rFonts w:eastAsia="Times New Roman" w:cs="Times New Roman"/>
                <w:lang w:eastAsia="fr-FR" w:bidi="ar-SA"/>
              </w:rPr>
            </w:pPr>
            <w:r w:rsidRPr="007A5D47">
              <w:rPr>
                <w:rFonts w:eastAsia="Times New Roman" w:cs="Times New Roman"/>
                <w:lang w:eastAsia="fr-FR" w:bidi="ar-SA"/>
              </w:rPr>
              <w:t>H1b</w:t>
            </w:r>
          </w:p>
        </w:tc>
      </w:tr>
      <w:tr w:rsidR="00A93FE3" w:rsidRPr="00F3781A" w14:paraId="4CB955C4" w14:textId="77777777" w:rsidTr="00511F7F">
        <w:trPr>
          <w:jc w:val="center"/>
        </w:trPr>
        <w:tc>
          <w:tcPr>
            <w:tcW w:w="3155" w:type="pct"/>
            <w:hideMark/>
          </w:tcPr>
          <w:p w14:paraId="0FB5493C" w14:textId="77777777" w:rsidR="00A93FE3" w:rsidRPr="007A5D47" w:rsidRDefault="00A93FE3" w:rsidP="00511F7F">
            <w:pPr>
              <w:spacing w:before="100" w:beforeAutospacing="1" w:after="100" w:afterAutospacing="1"/>
              <w:jc w:val="left"/>
              <w:rPr>
                <w:rFonts w:eastAsia="Times New Roman" w:cs="Times New Roman"/>
                <w:lang w:eastAsia="fr-FR" w:bidi="ar-SA"/>
              </w:rPr>
            </w:pPr>
            <w:r w:rsidRPr="007A5D47">
              <w:rPr>
                <w:rFonts w:eastAsia="Times New Roman" w:cs="Times New Roman"/>
                <w:lang w:eastAsia="fr-FR" w:bidi="ar-SA"/>
              </w:rPr>
              <w:t>58 ― Nièvre</w:t>
            </w:r>
          </w:p>
        </w:tc>
        <w:tc>
          <w:tcPr>
            <w:tcW w:w="1845" w:type="pct"/>
            <w:hideMark/>
          </w:tcPr>
          <w:p w14:paraId="38C73141" w14:textId="77777777" w:rsidR="00A93FE3" w:rsidRPr="007A5D47" w:rsidRDefault="00A93FE3" w:rsidP="00511F7F">
            <w:pPr>
              <w:jc w:val="center"/>
              <w:rPr>
                <w:rFonts w:eastAsia="Times New Roman" w:cs="Times New Roman"/>
                <w:lang w:eastAsia="fr-FR" w:bidi="ar-SA"/>
              </w:rPr>
            </w:pPr>
            <w:r w:rsidRPr="007A5D47">
              <w:rPr>
                <w:rFonts w:eastAsia="Times New Roman" w:cs="Times New Roman"/>
                <w:lang w:eastAsia="fr-FR" w:bidi="ar-SA"/>
              </w:rPr>
              <w:t>H1b</w:t>
            </w:r>
          </w:p>
        </w:tc>
      </w:tr>
      <w:tr w:rsidR="00A93FE3" w:rsidRPr="00F3781A" w14:paraId="61756A32" w14:textId="77777777" w:rsidTr="00511F7F">
        <w:trPr>
          <w:jc w:val="center"/>
        </w:trPr>
        <w:tc>
          <w:tcPr>
            <w:tcW w:w="3155" w:type="pct"/>
            <w:hideMark/>
          </w:tcPr>
          <w:p w14:paraId="7D1C2128" w14:textId="77777777" w:rsidR="00A93FE3" w:rsidRPr="007A5D47" w:rsidRDefault="00A93FE3" w:rsidP="00511F7F">
            <w:pPr>
              <w:spacing w:before="100" w:beforeAutospacing="1" w:after="100" w:afterAutospacing="1"/>
              <w:jc w:val="left"/>
              <w:rPr>
                <w:rFonts w:eastAsia="Times New Roman" w:cs="Times New Roman"/>
                <w:lang w:eastAsia="fr-FR" w:bidi="ar-SA"/>
              </w:rPr>
            </w:pPr>
            <w:r w:rsidRPr="007A5D47">
              <w:rPr>
                <w:rFonts w:eastAsia="Times New Roman" w:cs="Times New Roman"/>
                <w:lang w:eastAsia="fr-FR" w:bidi="ar-SA"/>
              </w:rPr>
              <w:t>59 ― Nord</w:t>
            </w:r>
          </w:p>
        </w:tc>
        <w:tc>
          <w:tcPr>
            <w:tcW w:w="1845" w:type="pct"/>
            <w:hideMark/>
          </w:tcPr>
          <w:p w14:paraId="3B30FD62" w14:textId="77777777" w:rsidR="00A93FE3" w:rsidRPr="007A5D47" w:rsidRDefault="00A93FE3" w:rsidP="00511F7F">
            <w:pPr>
              <w:jc w:val="center"/>
              <w:rPr>
                <w:rFonts w:eastAsia="Times New Roman" w:cs="Times New Roman"/>
                <w:lang w:eastAsia="fr-FR" w:bidi="ar-SA"/>
              </w:rPr>
            </w:pPr>
            <w:r w:rsidRPr="007A5D47">
              <w:rPr>
                <w:rFonts w:eastAsia="Times New Roman" w:cs="Times New Roman"/>
                <w:lang w:eastAsia="fr-FR" w:bidi="ar-SA"/>
              </w:rPr>
              <w:t>H1a</w:t>
            </w:r>
          </w:p>
        </w:tc>
      </w:tr>
      <w:tr w:rsidR="00A93FE3" w:rsidRPr="00F3781A" w14:paraId="33394994" w14:textId="77777777" w:rsidTr="00511F7F">
        <w:trPr>
          <w:jc w:val="center"/>
        </w:trPr>
        <w:tc>
          <w:tcPr>
            <w:tcW w:w="3155" w:type="pct"/>
            <w:hideMark/>
          </w:tcPr>
          <w:p w14:paraId="7077F8F2" w14:textId="77777777" w:rsidR="00A93FE3" w:rsidRPr="007A5D47" w:rsidRDefault="00A93FE3" w:rsidP="00511F7F">
            <w:pPr>
              <w:spacing w:before="100" w:beforeAutospacing="1" w:after="100" w:afterAutospacing="1"/>
              <w:jc w:val="left"/>
              <w:rPr>
                <w:rFonts w:eastAsia="Times New Roman" w:cs="Times New Roman"/>
                <w:lang w:eastAsia="fr-FR" w:bidi="ar-SA"/>
              </w:rPr>
            </w:pPr>
            <w:r w:rsidRPr="007A5D47">
              <w:rPr>
                <w:rFonts w:eastAsia="Times New Roman" w:cs="Times New Roman"/>
                <w:lang w:eastAsia="fr-FR" w:bidi="ar-SA"/>
              </w:rPr>
              <w:t>60 ― Oise</w:t>
            </w:r>
          </w:p>
        </w:tc>
        <w:tc>
          <w:tcPr>
            <w:tcW w:w="1845" w:type="pct"/>
            <w:hideMark/>
          </w:tcPr>
          <w:p w14:paraId="459654A0" w14:textId="77777777" w:rsidR="00A93FE3" w:rsidRPr="007A5D47" w:rsidRDefault="00A93FE3" w:rsidP="00511F7F">
            <w:pPr>
              <w:jc w:val="center"/>
              <w:rPr>
                <w:rFonts w:eastAsia="Times New Roman" w:cs="Times New Roman"/>
                <w:lang w:eastAsia="fr-FR" w:bidi="ar-SA"/>
              </w:rPr>
            </w:pPr>
            <w:r w:rsidRPr="007A5D47">
              <w:rPr>
                <w:rFonts w:eastAsia="Times New Roman" w:cs="Times New Roman"/>
                <w:lang w:eastAsia="fr-FR" w:bidi="ar-SA"/>
              </w:rPr>
              <w:t>H1a</w:t>
            </w:r>
          </w:p>
        </w:tc>
      </w:tr>
      <w:tr w:rsidR="00A93FE3" w:rsidRPr="00F3781A" w14:paraId="3E5DC47E" w14:textId="77777777" w:rsidTr="00511F7F">
        <w:trPr>
          <w:jc w:val="center"/>
        </w:trPr>
        <w:tc>
          <w:tcPr>
            <w:tcW w:w="3155" w:type="pct"/>
            <w:hideMark/>
          </w:tcPr>
          <w:p w14:paraId="37C8893C" w14:textId="77777777" w:rsidR="00A93FE3" w:rsidRPr="007A5D47" w:rsidRDefault="00A93FE3" w:rsidP="00511F7F">
            <w:pPr>
              <w:spacing w:before="100" w:beforeAutospacing="1" w:after="100" w:afterAutospacing="1"/>
              <w:jc w:val="left"/>
              <w:rPr>
                <w:rFonts w:eastAsia="Times New Roman" w:cs="Times New Roman"/>
                <w:lang w:eastAsia="fr-FR" w:bidi="ar-SA"/>
              </w:rPr>
            </w:pPr>
            <w:r w:rsidRPr="007A5D47">
              <w:rPr>
                <w:rFonts w:eastAsia="Times New Roman" w:cs="Times New Roman"/>
                <w:lang w:eastAsia="fr-FR" w:bidi="ar-SA"/>
              </w:rPr>
              <w:t>61 ― Orne</w:t>
            </w:r>
          </w:p>
        </w:tc>
        <w:tc>
          <w:tcPr>
            <w:tcW w:w="1845" w:type="pct"/>
            <w:hideMark/>
          </w:tcPr>
          <w:p w14:paraId="23458DCD" w14:textId="77777777" w:rsidR="00A93FE3" w:rsidRPr="007A5D47" w:rsidRDefault="00A93FE3" w:rsidP="00511F7F">
            <w:pPr>
              <w:jc w:val="center"/>
              <w:rPr>
                <w:rFonts w:eastAsia="Times New Roman" w:cs="Times New Roman"/>
                <w:lang w:eastAsia="fr-FR" w:bidi="ar-SA"/>
              </w:rPr>
            </w:pPr>
            <w:r w:rsidRPr="007A5D47">
              <w:rPr>
                <w:rFonts w:eastAsia="Times New Roman" w:cs="Times New Roman"/>
                <w:lang w:eastAsia="fr-FR" w:bidi="ar-SA"/>
              </w:rPr>
              <w:t>H1a</w:t>
            </w:r>
          </w:p>
        </w:tc>
      </w:tr>
      <w:tr w:rsidR="00A93FE3" w:rsidRPr="00F3781A" w14:paraId="7BA831B5" w14:textId="77777777" w:rsidTr="00511F7F">
        <w:trPr>
          <w:jc w:val="center"/>
        </w:trPr>
        <w:tc>
          <w:tcPr>
            <w:tcW w:w="3155" w:type="pct"/>
            <w:hideMark/>
          </w:tcPr>
          <w:p w14:paraId="2E47F981" w14:textId="77777777" w:rsidR="00A93FE3" w:rsidRPr="007A5D47" w:rsidRDefault="00A93FE3" w:rsidP="00511F7F">
            <w:pPr>
              <w:spacing w:before="100" w:beforeAutospacing="1" w:after="100" w:afterAutospacing="1"/>
              <w:jc w:val="left"/>
              <w:rPr>
                <w:rFonts w:eastAsia="Times New Roman" w:cs="Times New Roman"/>
                <w:lang w:eastAsia="fr-FR" w:bidi="ar-SA"/>
              </w:rPr>
            </w:pPr>
            <w:r w:rsidRPr="007A5D47">
              <w:rPr>
                <w:rFonts w:eastAsia="Times New Roman" w:cs="Times New Roman"/>
                <w:lang w:eastAsia="fr-FR" w:bidi="ar-SA"/>
              </w:rPr>
              <w:t>62 ― Pas-de-Calais</w:t>
            </w:r>
          </w:p>
        </w:tc>
        <w:tc>
          <w:tcPr>
            <w:tcW w:w="1845" w:type="pct"/>
            <w:hideMark/>
          </w:tcPr>
          <w:p w14:paraId="1A3B9AA3" w14:textId="77777777" w:rsidR="00A93FE3" w:rsidRPr="007A5D47" w:rsidRDefault="00A93FE3" w:rsidP="00511F7F">
            <w:pPr>
              <w:jc w:val="center"/>
              <w:rPr>
                <w:rFonts w:eastAsia="Times New Roman" w:cs="Times New Roman"/>
                <w:lang w:eastAsia="fr-FR" w:bidi="ar-SA"/>
              </w:rPr>
            </w:pPr>
            <w:r w:rsidRPr="007A5D47">
              <w:rPr>
                <w:rFonts w:eastAsia="Times New Roman" w:cs="Times New Roman"/>
                <w:lang w:eastAsia="fr-FR" w:bidi="ar-SA"/>
              </w:rPr>
              <w:t>H1a</w:t>
            </w:r>
          </w:p>
        </w:tc>
      </w:tr>
      <w:tr w:rsidR="00A93FE3" w:rsidRPr="00F3781A" w14:paraId="185C9515" w14:textId="77777777" w:rsidTr="00511F7F">
        <w:trPr>
          <w:jc w:val="center"/>
        </w:trPr>
        <w:tc>
          <w:tcPr>
            <w:tcW w:w="3155" w:type="pct"/>
            <w:hideMark/>
          </w:tcPr>
          <w:p w14:paraId="7E87EC6E" w14:textId="77777777" w:rsidR="00A93FE3" w:rsidRPr="007A5D47" w:rsidRDefault="00A93FE3" w:rsidP="00511F7F">
            <w:pPr>
              <w:spacing w:before="100" w:beforeAutospacing="1" w:after="100" w:afterAutospacing="1"/>
              <w:jc w:val="left"/>
              <w:rPr>
                <w:rFonts w:eastAsia="Times New Roman" w:cs="Times New Roman"/>
                <w:lang w:eastAsia="fr-FR" w:bidi="ar-SA"/>
              </w:rPr>
            </w:pPr>
            <w:r w:rsidRPr="007A5D47">
              <w:rPr>
                <w:rFonts w:eastAsia="Times New Roman" w:cs="Times New Roman"/>
                <w:lang w:eastAsia="fr-FR" w:bidi="ar-SA"/>
              </w:rPr>
              <w:t>63 ― Puy-de Dôme</w:t>
            </w:r>
          </w:p>
        </w:tc>
        <w:tc>
          <w:tcPr>
            <w:tcW w:w="1845" w:type="pct"/>
            <w:hideMark/>
          </w:tcPr>
          <w:p w14:paraId="3F862595" w14:textId="77777777" w:rsidR="00A93FE3" w:rsidRPr="007A5D47" w:rsidRDefault="00A93FE3" w:rsidP="00511F7F">
            <w:pPr>
              <w:jc w:val="center"/>
              <w:rPr>
                <w:rFonts w:eastAsia="Times New Roman" w:cs="Times New Roman"/>
                <w:lang w:eastAsia="fr-FR" w:bidi="ar-SA"/>
              </w:rPr>
            </w:pPr>
            <w:r w:rsidRPr="007A5D47">
              <w:rPr>
                <w:rFonts w:eastAsia="Times New Roman" w:cs="Times New Roman"/>
                <w:lang w:eastAsia="fr-FR" w:bidi="ar-SA"/>
              </w:rPr>
              <w:t>H1c</w:t>
            </w:r>
          </w:p>
        </w:tc>
      </w:tr>
      <w:tr w:rsidR="00A93FE3" w:rsidRPr="00F3781A" w14:paraId="1F3CBBAE" w14:textId="77777777" w:rsidTr="00511F7F">
        <w:trPr>
          <w:jc w:val="center"/>
        </w:trPr>
        <w:tc>
          <w:tcPr>
            <w:tcW w:w="3155" w:type="pct"/>
            <w:hideMark/>
          </w:tcPr>
          <w:p w14:paraId="32CFF2D6" w14:textId="77777777" w:rsidR="00A93FE3" w:rsidRPr="007A5D47" w:rsidRDefault="00A93FE3" w:rsidP="00511F7F">
            <w:pPr>
              <w:spacing w:before="100" w:beforeAutospacing="1" w:after="100" w:afterAutospacing="1"/>
              <w:jc w:val="left"/>
              <w:rPr>
                <w:rFonts w:eastAsia="Times New Roman" w:cs="Times New Roman"/>
                <w:lang w:eastAsia="fr-FR" w:bidi="ar-SA"/>
              </w:rPr>
            </w:pPr>
            <w:r w:rsidRPr="007A5D47">
              <w:rPr>
                <w:rFonts w:eastAsia="Times New Roman" w:cs="Times New Roman"/>
                <w:lang w:eastAsia="fr-FR" w:bidi="ar-SA"/>
              </w:rPr>
              <w:t>64 ― Pyrénées-Atlantiques</w:t>
            </w:r>
          </w:p>
        </w:tc>
        <w:tc>
          <w:tcPr>
            <w:tcW w:w="1845" w:type="pct"/>
            <w:hideMark/>
          </w:tcPr>
          <w:p w14:paraId="6EA3DC06" w14:textId="77777777" w:rsidR="00A93FE3" w:rsidRPr="007A5D47" w:rsidRDefault="00A93FE3" w:rsidP="00511F7F">
            <w:pPr>
              <w:jc w:val="center"/>
              <w:rPr>
                <w:rFonts w:eastAsia="Times New Roman" w:cs="Times New Roman"/>
                <w:lang w:eastAsia="fr-FR" w:bidi="ar-SA"/>
              </w:rPr>
            </w:pPr>
            <w:r w:rsidRPr="007A5D47">
              <w:rPr>
                <w:rFonts w:eastAsia="Times New Roman" w:cs="Times New Roman"/>
                <w:lang w:eastAsia="fr-FR" w:bidi="ar-SA"/>
              </w:rPr>
              <w:t>H2c</w:t>
            </w:r>
          </w:p>
        </w:tc>
      </w:tr>
      <w:tr w:rsidR="00A93FE3" w:rsidRPr="00F3781A" w14:paraId="0E2CFA3B" w14:textId="77777777" w:rsidTr="00511F7F">
        <w:trPr>
          <w:jc w:val="center"/>
        </w:trPr>
        <w:tc>
          <w:tcPr>
            <w:tcW w:w="3155" w:type="pct"/>
            <w:hideMark/>
          </w:tcPr>
          <w:p w14:paraId="77F8D275" w14:textId="77777777" w:rsidR="00A93FE3" w:rsidRPr="007A5D47" w:rsidRDefault="00A93FE3" w:rsidP="00511F7F">
            <w:pPr>
              <w:spacing w:before="100" w:beforeAutospacing="1" w:after="100" w:afterAutospacing="1"/>
              <w:jc w:val="left"/>
              <w:rPr>
                <w:rFonts w:eastAsia="Times New Roman" w:cs="Times New Roman"/>
                <w:lang w:eastAsia="fr-FR" w:bidi="ar-SA"/>
              </w:rPr>
            </w:pPr>
            <w:r w:rsidRPr="007A5D47">
              <w:rPr>
                <w:rFonts w:eastAsia="Times New Roman" w:cs="Times New Roman"/>
                <w:lang w:eastAsia="fr-FR" w:bidi="ar-SA"/>
              </w:rPr>
              <w:t>65 ― Hautes-Pyrénées</w:t>
            </w:r>
          </w:p>
        </w:tc>
        <w:tc>
          <w:tcPr>
            <w:tcW w:w="1845" w:type="pct"/>
            <w:hideMark/>
          </w:tcPr>
          <w:p w14:paraId="1FAEC0F3" w14:textId="77777777" w:rsidR="00A93FE3" w:rsidRPr="007A5D47" w:rsidRDefault="00A93FE3" w:rsidP="00511F7F">
            <w:pPr>
              <w:jc w:val="center"/>
              <w:rPr>
                <w:rFonts w:eastAsia="Times New Roman" w:cs="Times New Roman"/>
                <w:lang w:eastAsia="fr-FR" w:bidi="ar-SA"/>
              </w:rPr>
            </w:pPr>
            <w:r w:rsidRPr="007A5D47">
              <w:rPr>
                <w:rFonts w:eastAsia="Times New Roman" w:cs="Times New Roman"/>
                <w:lang w:eastAsia="fr-FR" w:bidi="ar-SA"/>
              </w:rPr>
              <w:t>H2c</w:t>
            </w:r>
          </w:p>
        </w:tc>
      </w:tr>
      <w:tr w:rsidR="00A93FE3" w:rsidRPr="00F3781A" w14:paraId="61A6657E" w14:textId="77777777" w:rsidTr="00511F7F">
        <w:trPr>
          <w:jc w:val="center"/>
        </w:trPr>
        <w:tc>
          <w:tcPr>
            <w:tcW w:w="3155" w:type="pct"/>
            <w:hideMark/>
          </w:tcPr>
          <w:p w14:paraId="6E8855A4" w14:textId="77777777" w:rsidR="00A93FE3" w:rsidRPr="007A5D47" w:rsidRDefault="00A93FE3" w:rsidP="00511F7F">
            <w:pPr>
              <w:spacing w:before="100" w:beforeAutospacing="1" w:after="100" w:afterAutospacing="1"/>
              <w:jc w:val="left"/>
              <w:rPr>
                <w:rFonts w:eastAsia="Times New Roman" w:cs="Times New Roman"/>
                <w:lang w:eastAsia="fr-FR" w:bidi="ar-SA"/>
              </w:rPr>
            </w:pPr>
            <w:r w:rsidRPr="007A5D47">
              <w:rPr>
                <w:rFonts w:eastAsia="Times New Roman" w:cs="Times New Roman"/>
                <w:lang w:eastAsia="fr-FR" w:bidi="ar-SA"/>
              </w:rPr>
              <w:t>66 ― Pyrénées-Orientales</w:t>
            </w:r>
          </w:p>
        </w:tc>
        <w:tc>
          <w:tcPr>
            <w:tcW w:w="1845" w:type="pct"/>
            <w:hideMark/>
          </w:tcPr>
          <w:p w14:paraId="7F4A54DC" w14:textId="77777777" w:rsidR="00A93FE3" w:rsidRPr="007A5D47" w:rsidRDefault="00A93FE3" w:rsidP="00511F7F">
            <w:pPr>
              <w:jc w:val="center"/>
              <w:rPr>
                <w:rFonts w:eastAsia="Times New Roman" w:cs="Times New Roman"/>
                <w:lang w:eastAsia="fr-FR" w:bidi="ar-SA"/>
              </w:rPr>
            </w:pPr>
            <w:r w:rsidRPr="007A5D47">
              <w:rPr>
                <w:rFonts w:eastAsia="Times New Roman" w:cs="Times New Roman"/>
                <w:lang w:eastAsia="fr-FR" w:bidi="ar-SA"/>
              </w:rPr>
              <w:t>H3</w:t>
            </w:r>
          </w:p>
        </w:tc>
      </w:tr>
      <w:tr w:rsidR="00A93FE3" w:rsidRPr="00F3781A" w14:paraId="280674E2" w14:textId="77777777" w:rsidTr="00511F7F">
        <w:trPr>
          <w:jc w:val="center"/>
        </w:trPr>
        <w:tc>
          <w:tcPr>
            <w:tcW w:w="3155" w:type="pct"/>
            <w:hideMark/>
          </w:tcPr>
          <w:p w14:paraId="4790906E" w14:textId="77777777" w:rsidR="00A93FE3" w:rsidRPr="007A5D47" w:rsidRDefault="00A93FE3" w:rsidP="00511F7F">
            <w:pPr>
              <w:spacing w:before="100" w:beforeAutospacing="1" w:after="100" w:afterAutospacing="1"/>
              <w:jc w:val="left"/>
              <w:rPr>
                <w:rFonts w:eastAsia="Times New Roman" w:cs="Times New Roman"/>
                <w:lang w:eastAsia="fr-FR" w:bidi="ar-SA"/>
              </w:rPr>
            </w:pPr>
            <w:r w:rsidRPr="007A5D47">
              <w:rPr>
                <w:rFonts w:eastAsia="Times New Roman" w:cs="Times New Roman"/>
                <w:lang w:eastAsia="fr-FR" w:bidi="ar-SA"/>
              </w:rPr>
              <w:t>67 ― Bas-Rhin</w:t>
            </w:r>
          </w:p>
        </w:tc>
        <w:tc>
          <w:tcPr>
            <w:tcW w:w="1845" w:type="pct"/>
            <w:hideMark/>
          </w:tcPr>
          <w:p w14:paraId="100196E4" w14:textId="77777777" w:rsidR="00A93FE3" w:rsidRPr="007A5D47" w:rsidRDefault="00A93FE3" w:rsidP="00511F7F">
            <w:pPr>
              <w:jc w:val="center"/>
              <w:rPr>
                <w:rFonts w:eastAsia="Times New Roman" w:cs="Times New Roman"/>
                <w:lang w:eastAsia="fr-FR" w:bidi="ar-SA"/>
              </w:rPr>
            </w:pPr>
            <w:r w:rsidRPr="007A5D47">
              <w:rPr>
                <w:rFonts w:eastAsia="Times New Roman" w:cs="Times New Roman"/>
                <w:lang w:eastAsia="fr-FR" w:bidi="ar-SA"/>
              </w:rPr>
              <w:t>H1b</w:t>
            </w:r>
          </w:p>
        </w:tc>
      </w:tr>
      <w:tr w:rsidR="00A93FE3" w:rsidRPr="00F3781A" w14:paraId="0C7ABBA2" w14:textId="77777777" w:rsidTr="00511F7F">
        <w:trPr>
          <w:jc w:val="center"/>
        </w:trPr>
        <w:tc>
          <w:tcPr>
            <w:tcW w:w="3155" w:type="pct"/>
            <w:hideMark/>
          </w:tcPr>
          <w:p w14:paraId="1ABEC397" w14:textId="77777777" w:rsidR="00A93FE3" w:rsidRPr="007A5D47" w:rsidRDefault="00A93FE3" w:rsidP="00511F7F">
            <w:pPr>
              <w:spacing w:before="100" w:beforeAutospacing="1" w:after="100" w:afterAutospacing="1"/>
              <w:jc w:val="left"/>
              <w:rPr>
                <w:rFonts w:eastAsia="Times New Roman" w:cs="Times New Roman"/>
                <w:lang w:eastAsia="fr-FR" w:bidi="ar-SA"/>
              </w:rPr>
            </w:pPr>
            <w:r w:rsidRPr="007A5D47">
              <w:rPr>
                <w:rFonts w:eastAsia="Times New Roman" w:cs="Times New Roman"/>
                <w:lang w:eastAsia="fr-FR" w:bidi="ar-SA"/>
              </w:rPr>
              <w:t>68 ― Haut-Rhin</w:t>
            </w:r>
          </w:p>
        </w:tc>
        <w:tc>
          <w:tcPr>
            <w:tcW w:w="1845" w:type="pct"/>
            <w:hideMark/>
          </w:tcPr>
          <w:p w14:paraId="23624841" w14:textId="77777777" w:rsidR="00A93FE3" w:rsidRPr="007A5D47" w:rsidRDefault="00A93FE3" w:rsidP="00511F7F">
            <w:pPr>
              <w:jc w:val="center"/>
              <w:rPr>
                <w:rFonts w:eastAsia="Times New Roman" w:cs="Times New Roman"/>
                <w:lang w:eastAsia="fr-FR" w:bidi="ar-SA"/>
              </w:rPr>
            </w:pPr>
            <w:r w:rsidRPr="007A5D47">
              <w:rPr>
                <w:rFonts w:eastAsia="Times New Roman" w:cs="Times New Roman"/>
                <w:lang w:eastAsia="fr-FR" w:bidi="ar-SA"/>
              </w:rPr>
              <w:t>H1b</w:t>
            </w:r>
          </w:p>
        </w:tc>
      </w:tr>
      <w:tr w:rsidR="00A93FE3" w:rsidRPr="00F3781A" w14:paraId="0E8D9E87" w14:textId="77777777" w:rsidTr="00511F7F">
        <w:trPr>
          <w:jc w:val="center"/>
        </w:trPr>
        <w:tc>
          <w:tcPr>
            <w:tcW w:w="3155" w:type="pct"/>
            <w:hideMark/>
          </w:tcPr>
          <w:p w14:paraId="5B7CFD68" w14:textId="77777777" w:rsidR="00A93FE3" w:rsidRPr="007A5D47" w:rsidRDefault="00A93FE3" w:rsidP="00511F7F">
            <w:pPr>
              <w:spacing w:before="100" w:beforeAutospacing="1" w:after="100" w:afterAutospacing="1"/>
              <w:jc w:val="left"/>
              <w:rPr>
                <w:rFonts w:eastAsia="Times New Roman" w:cs="Times New Roman"/>
                <w:lang w:eastAsia="fr-FR" w:bidi="ar-SA"/>
              </w:rPr>
            </w:pPr>
            <w:r w:rsidRPr="007A5D47">
              <w:rPr>
                <w:rFonts w:eastAsia="Times New Roman" w:cs="Times New Roman"/>
                <w:lang w:eastAsia="fr-FR" w:bidi="ar-SA"/>
              </w:rPr>
              <w:t>69 ― Rhône</w:t>
            </w:r>
          </w:p>
        </w:tc>
        <w:tc>
          <w:tcPr>
            <w:tcW w:w="1845" w:type="pct"/>
            <w:hideMark/>
          </w:tcPr>
          <w:p w14:paraId="65126A87" w14:textId="77777777" w:rsidR="00A93FE3" w:rsidRPr="007A5D47" w:rsidRDefault="00A93FE3" w:rsidP="00511F7F">
            <w:pPr>
              <w:jc w:val="center"/>
              <w:rPr>
                <w:rFonts w:eastAsia="Times New Roman" w:cs="Times New Roman"/>
                <w:lang w:eastAsia="fr-FR" w:bidi="ar-SA"/>
              </w:rPr>
            </w:pPr>
            <w:r w:rsidRPr="007A5D47">
              <w:rPr>
                <w:rFonts w:eastAsia="Times New Roman" w:cs="Times New Roman"/>
                <w:lang w:eastAsia="fr-FR" w:bidi="ar-SA"/>
              </w:rPr>
              <w:t>H1c</w:t>
            </w:r>
          </w:p>
        </w:tc>
      </w:tr>
      <w:tr w:rsidR="00A93FE3" w:rsidRPr="00F3781A" w14:paraId="017FB2B3" w14:textId="77777777" w:rsidTr="00511F7F">
        <w:trPr>
          <w:jc w:val="center"/>
        </w:trPr>
        <w:tc>
          <w:tcPr>
            <w:tcW w:w="3155" w:type="pct"/>
            <w:hideMark/>
          </w:tcPr>
          <w:p w14:paraId="6A076094" w14:textId="77777777" w:rsidR="00A93FE3" w:rsidRPr="007A5D47" w:rsidRDefault="00A93FE3" w:rsidP="00511F7F">
            <w:pPr>
              <w:spacing w:before="100" w:beforeAutospacing="1" w:after="100" w:afterAutospacing="1"/>
              <w:jc w:val="left"/>
              <w:rPr>
                <w:rFonts w:eastAsia="Times New Roman" w:cs="Times New Roman"/>
                <w:lang w:eastAsia="fr-FR" w:bidi="ar-SA"/>
              </w:rPr>
            </w:pPr>
            <w:r w:rsidRPr="007A5D47">
              <w:rPr>
                <w:rFonts w:eastAsia="Times New Roman" w:cs="Times New Roman"/>
                <w:lang w:eastAsia="fr-FR" w:bidi="ar-SA"/>
              </w:rPr>
              <w:t>70 ― Haute-Saône</w:t>
            </w:r>
          </w:p>
        </w:tc>
        <w:tc>
          <w:tcPr>
            <w:tcW w:w="1845" w:type="pct"/>
            <w:hideMark/>
          </w:tcPr>
          <w:p w14:paraId="38110F2B" w14:textId="77777777" w:rsidR="00A93FE3" w:rsidRPr="007A5D47" w:rsidRDefault="00A93FE3" w:rsidP="00511F7F">
            <w:pPr>
              <w:jc w:val="center"/>
              <w:rPr>
                <w:rFonts w:eastAsia="Times New Roman" w:cs="Times New Roman"/>
                <w:lang w:eastAsia="fr-FR" w:bidi="ar-SA"/>
              </w:rPr>
            </w:pPr>
            <w:r w:rsidRPr="007A5D47">
              <w:rPr>
                <w:rFonts w:eastAsia="Times New Roman" w:cs="Times New Roman"/>
                <w:lang w:eastAsia="fr-FR" w:bidi="ar-SA"/>
              </w:rPr>
              <w:t>H1b</w:t>
            </w:r>
          </w:p>
        </w:tc>
      </w:tr>
      <w:tr w:rsidR="00A93FE3" w:rsidRPr="00F3781A" w14:paraId="27ECFF93" w14:textId="77777777" w:rsidTr="00511F7F">
        <w:trPr>
          <w:jc w:val="center"/>
        </w:trPr>
        <w:tc>
          <w:tcPr>
            <w:tcW w:w="3155" w:type="pct"/>
            <w:hideMark/>
          </w:tcPr>
          <w:p w14:paraId="1AF73AD9" w14:textId="77777777" w:rsidR="00A93FE3" w:rsidRPr="007A5D47" w:rsidRDefault="00A93FE3" w:rsidP="00511F7F">
            <w:pPr>
              <w:spacing w:before="100" w:beforeAutospacing="1" w:after="100" w:afterAutospacing="1"/>
              <w:jc w:val="left"/>
              <w:rPr>
                <w:rFonts w:eastAsia="Times New Roman" w:cs="Times New Roman"/>
                <w:lang w:eastAsia="fr-FR" w:bidi="ar-SA"/>
              </w:rPr>
            </w:pPr>
            <w:r w:rsidRPr="007A5D47">
              <w:rPr>
                <w:rFonts w:eastAsia="Times New Roman" w:cs="Times New Roman"/>
                <w:lang w:eastAsia="fr-FR" w:bidi="ar-SA"/>
              </w:rPr>
              <w:t>71 ― Saône-et-Loire</w:t>
            </w:r>
          </w:p>
        </w:tc>
        <w:tc>
          <w:tcPr>
            <w:tcW w:w="1845" w:type="pct"/>
            <w:hideMark/>
          </w:tcPr>
          <w:p w14:paraId="199944B1" w14:textId="77777777" w:rsidR="00A93FE3" w:rsidRPr="007A5D47" w:rsidRDefault="00A93FE3" w:rsidP="00511F7F">
            <w:pPr>
              <w:jc w:val="center"/>
              <w:rPr>
                <w:rFonts w:eastAsia="Times New Roman" w:cs="Times New Roman"/>
                <w:lang w:eastAsia="fr-FR" w:bidi="ar-SA"/>
              </w:rPr>
            </w:pPr>
            <w:r w:rsidRPr="007A5D47">
              <w:rPr>
                <w:rFonts w:eastAsia="Times New Roman" w:cs="Times New Roman"/>
                <w:lang w:eastAsia="fr-FR" w:bidi="ar-SA"/>
              </w:rPr>
              <w:t>H1c</w:t>
            </w:r>
          </w:p>
        </w:tc>
      </w:tr>
      <w:tr w:rsidR="00A93FE3" w:rsidRPr="00F3781A" w14:paraId="55E2C0AE" w14:textId="77777777" w:rsidTr="00511F7F">
        <w:trPr>
          <w:jc w:val="center"/>
        </w:trPr>
        <w:tc>
          <w:tcPr>
            <w:tcW w:w="3155" w:type="pct"/>
            <w:hideMark/>
          </w:tcPr>
          <w:p w14:paraId="4A156E40" w14:textId="77777777" w:rsidR="00A93FE3" w:rsidRPr="007A5D47" w:rsidRDefault="00A93FE3" w:rsidP="00511F7F">
            <w:pPr>
              <w:spacing w:before="100" w:beforeAutospacing="1" w:after="100" w:afterAutospacing="1"/>
              <w:jc w:val="left"/>
              <w:rPr>
                <w:rFonts w:eastAsia="Times New Roman" w:cs="Times New Roman"/>
                <w:lang w:eastAsia="fr-FR" w:bidi="ar-SA"/>
              </w:rPr>
            </w:pPr>
            <w:r w:rsidRPr="007A5D47">
              <w:rPr>
                <w:rFonts w:eastAsia="Times New Roman" w:cs="Times New Roman"/>
                <w:lang w:eastAsia="fr-FR" w:bidi="ar-SA"/>
              </w:rPr>
              <w:t>72 ― Sarthe</w:t>
            </w:r>
          </w:p>
        </w:tc>
        <w:tc>
          <w:tcPr>
            <w:tcW w:w="1845" w:type="pct"/>
            <w:hideMark/>
          </w:tcPr>
          <w:p w14:paraId="33336627" w14:textId="77777777" w:rsidR="00A93FE3" w:rsidRPr="007A5D47" w:rsidRDefault="00A93FE3" w:rsidP="00511F7F">
            <w:pPr>
              <w:jc w:val="center"/>
              <w:rPr>
                <w:rFonts w:eastAsia="Times New Roman" w:cs="Times New Roman"/>
                <w:lang w:eastAsia="fr-FR" w:bidi="ar-SA"/>
              </w:rPr>
            </w:pPr>
            <w:r w:rsidRPr="007A5D47">
              <w:rPr>
                <w:rFonts w:eastAsia="Times New Roman" w:cs="Times New Roman"/>
                <w:lang w:eastAsia="fr-FR" w:bidi="ar-SA"/>
              </w:rPr>
              <w:t>H2b</w:t>
            </w:r>
          </w:p>
        </w:tc>
      </w:tr>
      <w:tr w:rsidR="00A93FE3" w:rsidRPr="00F3781A" w14:paraId="20F15D9E" w14:textId="77777777" w:rsidTr="00511F7F">
        <w:trPr>
          <w:jc w:val="center"/>
        </w:trPr>
        <w:tc>
          <w:tcPr>
            <w:tcW w:w="3155" w:type="pct"/>
            <w:hideMark/>
          </w:tcPr>
          <w:p w14:paraId="7706BD3B" w14:textId="77777777" w:rsidR="00A93FE3" w:rsidRPr="007A5D47" w:rsidRDefault="00A93FE3" w:rsidP="00511F7F">
            <w:pPr>
              <w:spacing w:before="100" w:beforeAutospacing="1" w:after="100" w:afterAutospacing="1"/>
              <w:jc w:val="left"/>
              <w:rPr>
                <w:rFonts w:eastAsia="Times New Roman" w:cs="Times New Roman"/>
                <w:lang w:eastAsia="fr-FR" w:bidi="ar-SA"/>
              </w:rPr>
            </w:pPr>
            <w:r w:rsidRPr="007A5D47">
              <w:rPr>
                <w:rFonts w:eastAsia="Times New Roman" w:cs="Times New Roman"/>
                <w:lang w:eastAsia="fr-FR" w:bidi="ar-SA"/>
              </w:rPr>
              <w:t>73 ― Savoie</w:t>
            </w:r>
          </w:p>
        </w:tc>
        <w:tc>
          <w:tcPr>
            <w:tcW w:w="1845" w:type="pct"/>
            <w:hideMark/>
          </w:tcPr>
          <w:p w14:paraId="58968175" w14:textId="77777777" w:rsidR="00A93FE3" w:rsidRPr="007A5D47" w:rsidRDefault="00A93FE3" w:rsidP="00511F7F">
            <w:pPr>
              <w:jc w:val="center"/>
              <w:rPr>
                <w:rFonts w:eastAsia="Times New Roman" w:cs="Times New Roman"/>
                <w:lang w:eastAsia="fr-FR" w:bidi="ar-SA"/>
              </w:rPr>
            </w:pPr>
            <w:r w:rsidRPr="007A5D47">
              <w:rPr>
                <w:rFonts w:eastAsia="Times New Roman" w:cs="Times New Roman"/>
                <w:lang w:eastAsia="fr-FR" w:bidi="ar-SA"/>
              </w:rPr>
              <w:t>H1c</w:t>
            </w:r>
          </w:p>
        </w:tc>
      </w:tr>
      <w:tr w:rsidR="00A93FE3" w:rsidRPr="00F3781A" w14:paraId="7E56CA3C" w14:textId="77777777" w:rsidTr="00511F7F">
        <w:trPr>
          <w:jc w:val="center"/>
        </w:trPr>
        <w:tc>
          <w:tcPr>
            <w:tcW w:w="3155" w:type="pct"/>
            <w:hideMark/>
          </w:tcPr>
          <w:p w14:paraId="66A13064" w14:textId="77777777" w:rsidR="00A93FE3" w:rsidRPr="007A5D47" w:rsidRDefault="00A93FE3" w:rsidP="00511F7F">
            <w:pPr>
              <w:spacing w:before="100" w:beforeAutospacing="1" w:after="100" w:afterAutospacing="1"/>
              <w:jc w:val="left"/>
              <w:rPr>
                <w:rFonts w:eastAsia="Times New Roman" w:cs="Times New Roman"/>
                <w:lang w:eastAsia="fr-FR" w:bidi="ar-SA"/>
              </w:rPr>
            </w:pPr>
            <w:r w:rsidRPr="007A5D47">
              <w:rPr>
                <w:rFonts w:eastAsia="Times New Roman" w:cs="Times New Roman"/>
                <w:lang w:eastAsia="fr-FR" w:bidi="ar-SA"/>
              </w:rPr>
              <w:t>74 ― Haute-Savoie</w:t>
            </w:r>
          </w:p>
        </w:tc>
        <w:tc>
          <w:tcPr>
            <w:tcW w:w="1845" w:type="pct"/>
            <w:hideMark/>
          </w:tcPr>
          <w:p w14:paraId="50CA5CCB" w14:textId="77777777" w:rsidR="00A93FE3" w:rsidRPr="007A5D47" w:rsidRDefault="00A93FE3" w:rsidP="00511F7F">
            <w:pPr>
              <w:jc w:val="center"/>
              <w:rPr>
                <w:rFonts w:eastAsia="Times New Roman" w:cs="Times New Roman"/>
                <w:lang w:eastAsia="fr-FR" w:bidi="ar-SA"/>
              </w:rPr>
            </w:pPr>
            <w:r w:rsidRPr="007A5D47">
              <w:rPr>
                <w:rFonts w:eastAsia="Times New Roman" w:cs="Times New Roman"/>
                <w:lang w:eastAsia="fr-FR" w:bidi="ar-SA"/>
              </w:rPr>
              <w:t>H1c</w:t>
            </w:r>
          </w:p>
        </w:tc>
      </w:tr>
      <w:tr w:rsidR="00A93FE3" w:rsidRPr="00F3781A" w14:paraId="2C53D61D" w14:textId="77777777" w:rsidTr="00511F7F">
        <w:trPr>
          <w:jc w:val="center"/>
        </w:trPr>
        <w:tc>
          <w:tcPr>
            <w:tcW w:w="3155" w:type="pct"/>
            <w:hideMark/>
          </w:tcPr>
          <w:p w14:paraId="62994E9D" w14:textId="77777777" w:rsidR="00A93FE3" w:rsidRPr="007A5D47" w:rsidRDefault="00A93FE3" w:rsidP="00511F7F">
            <w:pPr>
              <w:spacing w:before="100" w:beforeAutospacing="1" w:after="100" w:afterAutospacing="1"/>
              <w:jc w:val="left"/>
              <w:rPr>
                <w:rFonts w:eastAsia="Times New Roman" w:cs="Times New Roman"/>
                <w:lang w:eastAsia="fr-FR" w:bidi="ar-SA"/>
              </w:rPr>
            </w:pPr>
            <w:r w:rsidRPr="007A5D47">
              <w:rPr>
                <w:rFonts w:eastAsia="Times New Roman" w:cs="Times New Roman"/>
                <w:lang w:eastAsia="fr-FR" w:bidi="ar-SA"/>
              </w:rPr>
              <w:t>75 ― Paris</w:t>
            </w:r>
          </w:p>
        </w:tc>
        <w:tc>
          <w:tcPr>
            <w:tcW w:w="1845" w:type="pct"/>
            <w:hideMark/>
          </w:tcPr>
          <w:p w14:paraId="2E69CFC0" w14:textId="77777777" w:rsidR="00A93FE3" w:rsidRPr="007A5D47" w:rsidRDefault="00A93FE3" w:rsidP="00511F7F">
            <w:pPr>
              <w:jc w:val="center"/>
              <w:rPr>
                <w:rFonts w:eastAsia="Times New Roman" w:cs="Times New Roman"/>
                <w:lang w:eastAsia="fr-FR" w:bidi="ar-SA"/>
              </w:rPr>
            </w:pPr>
            <w:r w:rsidRPr="007A5D47">
              <w:rPr>
                <w:rFonts w:eastAsia="Times New Roman" w:cs="Times New Roman"/>
                <w:lang w:eastAsia="fr-FR" w:bidi="ar-SA"/>
              </w:rPr>
              <w:t>H1a</w:t>
            </w:r>
          </w:p>
        </w:tc>
      </w:tr>
      <w:tr w:rsidR="00A93FE3" w:rsidRPr="00F3781A" w14:paraId="71CE0A14" w14:textId="77777777" w:rsidTr="00511F7F">
        <w:trPr>
          <w:jc w:val="center"/>
        </w:trPr>
        <w:tc>
          <w:tcPr>
            <w:tcW w:w="3155" w:type="pct"/>
            <w:hideMark/>
          </w:tcPr>
          <w:p w14:paraId="2749D673" w14:textId="77777777" w:rsidR="00A93FE3" w:rsidRPr="007A5D47" w:rsidRDefault="00A93FE3" w:rsidP="00511F7F">
            <w:pPr>
              <w:spacing w:before="100" w:beforeAutospacing="1" w:after="100" w:afterAutospacing="1"/>
              <w:jc w:val="left"/>
              <w:rPr>
                <w:rFonts w:eastAsia="Times New Roman" w:cs="Times New Roman"/>
                <w:lang w:eastAsia="fr-FR" w:bidi="ar-SA"/>
              </w:rPr>
            </w:pPr>
            <w:r w:rsidRPr="007A5D47">
              <w:rPr>
                <w:rFonts w:eastAsia="Times New Roman" w:cs="Times New Roman"/>
                <w:lang w:eastAsia="fr-FR" w:bidi="ar-SA"/>
              </w:rPr>
              <w:t>76 ― Seine-Maritime</w:t>
            </w:r>
          </w:p>
        </w:tc>
        <w:tc>
          <w:tcPr>
            <w:tcW w:w="1845" w:type="pct"/>
            <w:hideMark/>
          </w:tcPr>
          <w:p w14:paraId="56B4D14B" w14:textId="77777777" w:rsidR="00A93FE3" w:rsidRPr="007A5D47" w:rsidRDefault="00A93FE3" w:rsidP="00511F7F">
            <w:pPr>
              <w:jc w:val="center"/>
              <w:rPr>
                <w:rFonts w:eastAsia="Times New Roman" w:cs="Times New Roman"/>
                <w:lang w:eastAsia="fr-FR" w:bidi="ar-SA"/>
              </w:rPr>
            </w:pPr>
            <w:r w:rsidRPr="007A5D47">
              <w:rPr>
                <w:rFonts w:eastAsia="Times New Roman" w:cs="Times New Roman"/>
                <w:lang w:eastAsia="fr-FR" w:bidi="ar-SA"/>
              </w:rPr>
              <w:t>H1a</w:t>
            </w:r>
          </w:p>
        </w:tc>
      </w:tr>
      <w:tr w:rsidR="00A93FE3" w:rsidRPr="00F3781A" w14:paraId="70654FFD" w14:textId="77777777" w:rsidTr="00511F7F">
        <w:trPr>
          <w:jc w:val="center"/>
        </w:trPr>
        <w:tc>
          <w:tcPr>
            <w:tcW w:w="3155" w:type="pct"/>
            <w:hideMark/>
          </w:tcPr>
          <w:p w14:paraId="08658752" w14:textId="77777777" w:rsidR="00A93FE3" w:rsidRPr="007A5D47" w:rsidRDefault="00A93FE3" w:rsidP="00511F7F">
            <w:pPr>
              <w:spacing w:before="100" w:beforeAutospacing="1" w:after="100" w:afterAutospacing="1"/>
              <w:jc w:val="left"/>
              <w:rPr>
                <w:rFonts w:eastAsia="Times New Roman" w:cs="Times New Roman"/>
                <w:lang w:eastAsia="fr-FR" w:bidi="ar-SA"/>
              </w:rPr>
            </w:pPr>
            <w:r w:rsidRPr="007A5D47">
              <w:rPr>
                <w:rFonts w:eastAsia="Times New Roman" w:cs="Times New Roman"/>
                <w:lang w:eastAsia="fr-FR" w:bidi="ar-SA"/>
              </w:rPr>
              <w:t>77 ― Seine-et-Marne</w:t>
            </w:r>
          </w:p>
        </w:tc>
        <w:tc>
          <w:tcPr>
            <w:tcW w:w="1845" w:type="pct"/>
            <w:hideMark/>
          </w:tcPr>
          <w:p w14:paraId="3A05178D" w14:textId="77777777" w:rsidR="00A93FE3" w:rsidRPr="007A5D47" w:rsidRDefault="00A93FE3" w:rsidP="00511F7F">
            <w:pPr>
              <w:jc w:val="center"/>
              <w:rPr>
                <w:rFonts w:eastAsia="Times New Roman" w:cs="Times New Roman"/>
                <w:lang w:eastAsia="fr-FR" w:bidi="ar-SA"/>
              </w:rPr>
            </w:pPr>
            <w:r w:rsidRPr="007A5D47">
              <w:rPr>
                <w:rFonts w:eastAsia="Times New Roman" w:cs="Times New Roman"/>
                <w:lang w:eastAsia="fr-FR" w:bidi="ar-SA"/>
              </w:rPr>
              <w:t>H1a</w:t>
            </w:r>
          </w:p>
        </w:tc>
      </w:tr>
      <w:tr w:rsidR="00A93FE3" w:rsidRPr="00F3781A" w14:paraId="5771E96F" w14:textId="77777777" w:rsidTr="00511F7F">
        <w:trPr>
          <w:jc w:val="center"/>
        </w:trPr>
        <w:tc>
          <w:tcPr>
            <w:tcW w:w="3155" w:type="pct"/>
            <w:hideMark/>
          </w:tcPr>
          <w:p w14:paraId="79BA9FF5" w14:textId="77777777" w:rsidR="00A93FE3" w:rsidRPr="007A5D47" w:rsidRDefault="00A93FE3" w:rsidP="00511F7F">
            <w:pPr>
              <w:spacing w:before="100" w:beforeAutospacing="1" w:after="100" w:afterAutospacing="1"/>
              <w:jc w:val="left"/>
              <w:rPr>
                <w:rFonts w:eastAsia="Times New Roman" w:cs="Times New Roman"/>
                <w:lang w:eastAsia="fr-FR" w:bidi="ar-SA"/>
              </w:rPr>
            </w:pPr>
            <w:r w:rsidRPr="007A5D47">
              <w:rPr>
                <w:rFonts w:eastAsia="Times New Roman" w:cs="Times New Roman"/>
                <w:lang w:eastAsia="fr-FR" w:bidi="ar-SA"/>
              </w:rPr>
              <w:t>78 ― Yvelines</w:t>
            </w:r>
          </w:p>
        </w:tc>
        <w:tc>
          <w:tcPr>
            <w:tcW w:w="1845" w:type="pct"/>
            <w:hideMark/>
          </w:tcPr>
          <w:p w14:paraId="07976E5F" w14:textId="77777777" w:rsidR="00A93FE3" w:rsidRPr="007A5D47" w:rsidRDefault="00A93FE3" w:rsidP="00511F7F">
            <w:pPr>
              <w:jc w:val="center"/>
              <w:rPr>
                <w:rFonts w:eastAsia="Times New Roman" w:cs="Times New Roman"/>
                <w:lang w:eastAsia="fr-FR" w:bidi="ar-SA"/>
              </w:rPr>
            </w:pPr>
            <w:r w:rsidRPr="007A5D47">
              <w:rPr>
                <w:rFonts w:eastAsia="Times New Roman" w:cs="Times New Roman"/>
                <w:lang w:eastAsia="fr-FR" w:bidi="ar-SA"/>
              </w:rPr>
              <w:t>H1a</w:t>
            </w:r>
          </w:p>
        </w:tc>
      </w:tr>
      <w:tr w:rsidR="00A93FE3" w:rsidRPr="00F3781A" w14:paraId="0A51CADF" w14:textId="77777777" w:rsidTr="00511F7F">
        <w:trPr>
          <w:jc w:val="center"/>
        </w:trPr>
        <w:tc>
          <w:tcPr>
            <w:tcW w:w="3155" w:type="pct"/>
            <w:hideMark/>
          </w:tcPr>
          <w:p w14:paraId="481526A2" w14:textId="77777777" w:rsidR="00A93FE3" w:rsidRPr="007A5D47" w:rsidRDefault="00A93FE3" w:rsidP="00511F7F">
            <w:pPr>
              <w:spacing w:before="100" w:beforeAutospacing="1" w:after="100" w:afterAutospacing="1"/>
              <w:jc w:val="left"/>
              <w:rPr>
                <w:rFonts w:eastAsia="Times New Roman" w:cs="Times New Roman"/>
                <w:lang w:eastAsia="fr-FR" w:bidi="ar-SA"/>
              </w:rPr>
            </w:pPr>
            <w:r w:rsidRPr="007A5D47">
              <w:rPr>
                <w:rFonts w:eastAsia="Times New Roman" w:cs="Times New Roman"/>
                <w:lang w:eastAsia="fr-FR" w:bidi="ar-SA"/>
              </w:rPr>
              <w:t>79 ― Deux-Sèvres</w:t>
            </w:r>
          </w:p>
        </w:tc>
        <w:tc>
          <w:tcPr>
            <w:tcW w:w="1845" w:type="pct"/>
            <w:hideMark/>
          </w:tcPr>
          <w:p w14:paraId="6E77F07D" w14:textId="77777777" w:rsidR="00A93FE3" w:rsidRPr="007A5D47" w:rsidRDefault="00A93FE3" w:rsidP="00511F7F">
            <w:pPr>
              <w:jc w:val="center"/>
              <w:rPr>
                <w:rFonts w:eastAsia="Times New Roman" w:cs="Times New Roman"/>
                <w:lang w:eastAsia="fr-FR" w:bidi="ar-SA"/>
              </w:rPr>
            </w:pPr>
            <w:r w:rsidRPr="007A5D47">
              <w:rPr>
                <w:rFonts w:eastAsia="Times New Roman" w:cs="Times New Roman"/>
                <w:lang w:eastAsia="fr-FR" w:bidi="ar-SA"/>
              </w:rPr>
              <w:t>H2b</w:t>
            </w:r>
          </w:p>
        </w:tc>
      </w:tr>
      <w:tr w:rsidR="00A93FE3" w:rsidRPr="00F3781A" w14:paraId="538868FD" w14:textId="77777777" w:rsidTr="00511F7F">
        <w:trPr>
          <w:jc w:val="center"/>
        </w:trPr>
        <w:tc>
          <w:tcPr>
            <w:tcW w:w="3155" w:type="pct"/>
            <w:hideMark/>
          </w:tcPr>
          <w:p w14:paraId="7EE0905E" w14:textId="77777777" w:rsidR="00A93FE3" w:rsidRPr="007A5D47" w:rsidRDefault="00A93FE3" w:rsidP="00511F7F">
            <w:pPr>
              <w:spacing w:before="100" w:beforeAutospacing="1" w:after="100" w:afterAutospacing="1"/>
              <w:jc w:val="left"/>
              <w:rPr>
                <w:rFonts w:eastAsia="Times New Roman" w:cs="Times New Roman"/>
                <w:lang w:eastAsia="fr-FR" w:bidi="ar-SA"/>
              </w:rPr>
            </w:pPr>
            <w:r w:rsidRPr="007A5D47">
              <w:rPr>
                <w:rFonts w:eastAsia="Times New Roman" w:cs="Times New Roman"/>
                <w:lang w:eastAsia="fr-FR" w:bidi="ar-SA"/>
              </w:rPr>
              <w:t>80 ― Somme</w:t>
            </w:r>
          </w:p>
        </w:tc>
        <w:tc>
          <w:tcPr>
            <w:tcW w:w="1845" w:type="pct"/>
            <w:hideMark/>
          </w:tcPr>
          <w:p w14:paraId="080F71AB" w14:textId="77777777" w:rsidR="00A93FE3" w:rsidRPr="007A5D47" w:rsidRDefault="00A93FE3" w:rsidP="00511F7F">
            <w:pPr>
              <w:jc w:val="center"/>
              <w:rPr>
                <w:rFonts w:eastAsia="Times New Roman" w:cs="Times New Roman"/>
                <w:lang w:eastAsia="fr-FR" w:bidi="ar-SA"/>
              </w:rPr>
            </w:pPr>
            <w:r w:rsidRPr="007A5D47">
              <w:rPr>
                <w:rFonts w:eastAsia="Times New Roman" w:cs="Times New Roman"/>
                <w:lang w:eastAsia="fr-FR" w:bidi="ar-SA"/>
              </w:rPr>
              <w:t>H1a</w:t>
            </w:r>
          </w:p>
        </w:tc>
      </w:tr>
      <w:tr w:rsidR="00A93FE3" w:rsidRPr="00F3781A" w14:paraId="3ECCBD4C" w14:textId="77777777" w:rsidTr="00511F7F">
        <w:trPr>
          <w:jc w:val="center"/>
        </w:trPr>
        <w:tc>
          <w:tcPr>
            <w:tcW w:w="3155" w:type="pct"/>
            <w:hideMark/>
          </w:tcPr>
          <w:p w14:paraId="333090C5" w14:textId="77777777" w:rsidR="00A93FE3" w:rsidRPr="007A5D47" w:rsidRDefault="00A93FE3" w:rsidP="00511F7F">
            <w:pPr>
              <w:spacing w:before="100" w:beforeAutospacing="1" w:after="100" w:afterAutospacing="1"/>
              <w:jc w:val="left"/>
              <w:rPr>
                <w:rFonts w:eastAsia="Times New Roman" w:cs="Times New Roman"/>
                <w:lang w:eastAsia="fr-FR" w:bidi="ar-SA"/>
              </w:rPr>
            </w:pPr>
            <w:r w:rsidRPr="007A5D47">
              <w:rPr>
                <w:rFonts w:eastAsia="Times New Roman" w:cs="Times New Roman"/>
                <w:lang w:eastAsia="fr-FR" w:bidi="ar-SA"/>
              </w:rPr>
              <w:t>81 ― Tarn</w:t>
            </w:r>
          </w:p>
        </w:tc>
        <w:tc>
          <w:tcPr>
            <w:tcW w:w="1845" w:type="pct"/>
            <w:hideMark/>
          </w:tcPr>
          <w:p w14:paraId="692EADC1" w14:textId="77777777" w:rsidR="00A93FE3" w:rsidRPr="007A5D47" w:rsidRDefault="00A93FE3" w:rsidP="00511F7F">
            <w:pPr>
              <w:jc w:val="center"/>
              <w:rPr>
                <w:rFonts w:eastAsia="Times New Roman" w:cs="Times New Roman"/>
                <w:lang w:eastAsia="fr-FR" w:bidi="ar-SA"/>
              </w:rPr>
            </w:pPr>
            <w:r w:rsidRPr="007A5D47">
              <w:rPr>
                <w:rFonts w:eastAsia="Times New Roman" w:cs="Times New Roman"/>
                <w:lang w:eastAsia="fr-FR" w:bidi="ar-SA"/>
              </w:rPr>
              <w:t>H2c</w:t>
            </w:r>
          </w:p>
        </w:tc>
      </w:tr>
      <w:tr w:rsidR="00A93FE3" w:rsidRPr="00F3781A" w14:paraId="1731D87D" w14:textId="77777777" w:rsidTr="00511F7F">
        <w:trPr>
          <w:jc w:val="center"/>
        </w:trPr>
        <w:tc>
          <w:tcPr>
            <w:tcW w:w="3155" w:type="pct"/>
            <w:hideMark/>
          </w:tcPr>
          <w:p w14:paraId="4F86F3EF" w14:textId="77777777" w:rsidR="00A93FE3" w:rsidRPr="007A5D47" w:rsidRDefault="00A93FE3" w:rsidP="00511F7F">
            <w:pPr>
              <w:spacing w:before="100" w:beforeAutospacing="1" w:after="100" w:afterAutospacing="1"/>
              <w:jc w:val="left"/>
              <w:rPr>
                <w:rFonts w:eastAsia="Times New Roman" w:cs="Times New Roman"/>
                <w:lang w:eastAsia="fr-FR" w:bidi="ar-SA"/>
              </w:rPr>
            </w:pPr>
            <w:r w:rsidRPr="007A5D47">
              <w:rPr>
                <w:rFonts w:eastAsia="Times New Roman" w:cs="Times New Roman"/>
                <w:lang w:eastAsia="fr-FR" w:bidi="ar-SA"/>
              </w:rPr>
              <w:t>82 ― Tarn-et-Garonne</w:t>
            </w:r>
          </w:p>
        </w:tc>
        <w:tc>
          <w:tcPr>
            <w:tcW w:w="1845" w:type="pct"/>
            <w:hideMark/>
          </w:tcPr>
          <w:p w14:paraId="0749042D" w14:textId="77777777" w:rsidR="00A93FE3" w:rsidRPr="007A5D47" w:rsidRDefault="00A93FE3" w:rsidP="00511F7F">
            <w:pPr>
              <w:jc w:val="center"/>
              <w:rPr>
                <w:rFonts w:eastAsia="Times New Roman" w:cs="Times New Roman"/>
                <w:lang w:eastAsia="fr-FR" w:bidi="ar-SA"/>
              </w:rPr>
            </w:pPr>
            <w:r w:rsidRPr="007A5D47">
              <w:rPr>
                <w:rFonts w:eastAsia="Times New Roman" w:cs="Times New Roman"/>
                <w:lang w:eastAsia="fr-FR" w:bidi="ar-SA"/>
              </w:rPr>
              <w:t>H2c</w:t>
            </w:r>
          </w:p>
        </w:tc>
      </w:tr>
      <w:tr w:rsidR="00A93FE3" w:rsidRPr="00F3781A" w14:paraId="4B8CCCB4" w14:textId="77777777" w:rsidTr="00511F7F">
        <w:trPr>
          <w:jc w:val="center"/>
        </w:trPr>
        <w:tc>
          <w:tcPr>
            <w:tcW w:w="3155" w:type="pct"/>
            <w:hideMark/>
          </w:tcPr>
          <w:p w14:paraId="6E4AF857" w14:textId="77777777" w:rsidR="00A93FE3" w:rsidRPr="007A5D47" w:rsidRDefault="00A93FE3" w:rsidP="00511F7F">
            <w:pPr>
              <w:spacing w:before="100" w:beforeAutospacing="1" w:after="100" w:afterAutospacing="1"/>
              <w:jc w:val="left"/>
              <w:rPr>
                <w:rFonts w:eastAsia="Times New Roman" w:cs="Times New Roman"/>
                <w:lang w:eastAsia="fr-FR" w:bidi="ar-SA"/>
              </w:rPr>
            </w:pPr>
            <w:r w:rsidRPr="007A5D47">
              <w:rPr>
                <w:rFonts w:eastAsia="Times New Roman" w:cs="Times New Roman"/>
                <w:lang w:eastAsia="fr-FR" w:bidi="ar-SA"/>
              </w:rPr>
              <w:t>83 ― Var</w:t>
            </w:r>
          </w:p>
        </w:tc>
        <w:tc>
          <w:tcPr>
            <w:tcW w:w="1845" w:type="pct"/>
            <w:hideMark/>
          </w:tcPr>
          <w:p w14:paraId="4D262601" w14:textId="77777777" w:rsidR="00A93FE3" w:rsidRPr="007A5D47" w:rsidRDefault="00A93FE3" w:rsidP="00511F7F">
            <w:pPr>
              <w:jc w:val="center"/>
              <w:rPr>
                <w:rFonts w:eastAsia="Times New Roman" w:cs="Times New Roman"/>
                <w:lang w:eastAsia="fr-FR" w:bidi="ar-SA"/>
              </w:rPr>
            </w:pPr>
            <w:r w:rsidRPr="007A5D47">
              <w:rPr>
                <w:rFonts w:eastAsia="Times New Roman" w:cs="Times New Roman"/>
                <w:lang w:eastAsia="fr-FR" w:bidi="ar-SA"/>
              </w:rPr>
              <w:t>H3</w:t>
            </w:r>
          </w:p>
        </w:tc>
      </w:tr>
      <w:tr w:rsidR="00A93FE3" w:rsidRPr="00F3781A" w14:paraId="73EB9EA2" w14:textId="77777777" w:rsidTr="00511F7F">
        <w:trPr>
          <w:jc w:val="center"/>
        </w:trPr>
        <w:tc>
          <w:tcPr>
            <w:tcW w:w="3155" w:type="pct"/>
            <w:hideMark/>
          </w:tcPr>
          <w:p w14:paraId="7395F525" w14:textId="77777777" w:rsidR="00A93FE3" w:rsidRPr="007A5D47" w:rsidRDefault="00A93FE3" w:rsidP="00511F7F">
            <w:pPr>
              <w:spacing w:before="100" w:beforeAutospacing="1" w:after="100" w:afterAutospacing="1"/>
              <w:jc w:val="left"/>
              <w:rPr>
                <w:rFonts w:eastAsia="Times New Roman" w:cs="Times New Roman"/>
                <w:lang w:eastAsia="fr-FR" w:bidi="ar-SA"/>
              </w:rPr>
            </w:pPr>
            <w:r w:rsidRPr="007A5D47">
              <w:rPr>
                <w:rFonts w:eastAsia="Times New Roman" w:cs="Times New Roman"/>
                <w:lang w:eastAsia="fr-FR" w:bidi="ar-SA"/>
              </w:rPr>
              <w:t>84 ― Vaucluse</w:t>
            </w:r>
          </w:p>
        </w:tc>
        <w:tc>
          <w:tcPr>
            <w:tcW w:w="1845" w:type="pct"/>
            <w:hideMark/>
          </w:tcPr>
          <w:p w14:paraId="5AEA91E3" w14:textId="77777777" w:rsidR="00A93FE3" w:rsidRPr="007A5D47" w:rsidRDefault="00A93FE3" w:rsidP="00511F7F">
            <w:pPr>
              <w:jc w:val="center"/>
              <w:rPr>
                <w:rFonts w:eastAsia="Times New Roman" w:cs="Times New Roman"/>
                <w:lang w:eastAsia="fr-FR" w:bidi="ar-SA"/>
              </w:rPr>
            </w:pPr>
            <w:r w:rsidRPr="007A5D47">
              <w:rPr>
                <w:rFonts w:eastAsia="Times New Roman" w:cs="Times New Roman"/>
                <w:lang w:eastAsia="fr-FR" w:bidi="ar-SA"/>
              </w:rPr>
              <w:t>H2d</w:t>
            </w:r>
          </w:p>
        </w:tc>
      </w:tr>
      <w:tr w:rsidR="00A93FE3" w:rsidRPr="00F3781A" w14:paraId="6ACEB86F" w14:textId="77777777" w:rsidTr="00511F7F">
        <w:trPr>
          <w:jc w:val="center"/>
        </w:trPr>
        <w:tc>
          <w:tcPr>
            <w:tcW w:w="3155" w:type="pct"/>
            <w:hideMark/>
          </w:tcPr>
          <w:p w14:paraId="31319FA5" w14:textId="77777777" w:rsidR="00A93FE3" w:rsidRPr="007A5D47" w:rsidRDefault="00A93FE3" w:rsidP="00511F7F">
            <w:pPr>
              <w:spacing w:before="100" w:beforeAutospacing="1" w:after="100" w:afterAutospacing="1"/>
              <w:jc w:val="left"/>
              <w:rPr>
                <w:rFonts w:eastAsia="Times New Roman" w:cs="Times New Roman"/>
                <w:lang w:eastAsia="fr-FR" w:bidi="ar-SA"/>
              </w:rPr>
            </w:pPr>
            <w:r w:rsidRPr="007A5D47">
              <w:rPr>
                <w:rFonts w:eastAsia="Times New Roman" w:cs="Times New Roman"/>
                <w:lang w:eastAsia="fr-FR" w:bidi="ar-SA"/>
              </w:rPr>
              <w:t>85 ― Vendée</w:t>
            </w:r>
          </w:p>
        </w:tc>
        <w:tc>
          <w:tcPr>
            <w:tcW w:w="1845" w:type="pct"/>
            <w:hideMark/>
          </w:tcPr>
          <w:p w14:paraId="57C63AE8" w14:textId="77777777" w:rsidR="00A93FE3" w:rsidRPr="007A5D47" w:rsidRDefault="00A93FE3" w:rsidP="00511F7F">
            <w:pPr>
              <w:jc w:val="center"/>
              <w:rPr>
                <w:rFonts w:eastAsia="Times New Roman" w:cs="Times New Roman"/>
                <w:lang w:eastAsia="fr-FR" w:bidi="ar-SA"/>
              </w:rPr>
            </w:pPr>
            <w:r w:rsidRPr="007A5D47">
              <w:rPr>
                <w:rFonts w:eastAsia="Times New Roman" w:cs="Times New Roman"/>
                <w:lang w:eastAsia="fr-FR" w:bidi="ar-SA"/>
              </w:rPr>
              <w:t>H2b</w:t>
            </w:r>
          </w:p>
        </w:tc>
      </w:tr>
      <w:tr w:rsidR="00A93FE3" w:rsidRPr="00F3781A" w14:paraId="71758A95" w14:textId="77777777" w:rsidTr="00511F7F">
        <w:trPr>
          <w:jc w:val="center"/>
        </w:trPr>
        <w:tc>
          <w:tcPr>
            <w:tcW w:w="3155" w:type="pct"/>
            <w:hideMark/>
          </w:tcPr>
          <w:p w14:paraId="17867895" w14:textId="77777777" w:rsidR="00A93FE3" w:rsidRPr="007A5D47" w:rsidRDefault="00A93FE3" w:rsidP="00511F7F">
            <w:pPr>
              <w:spacing w:before="100" w:beforeAutospacing="1" w:after="100" w:afterAutospacing="1"/>
              <w:jc w:val="left"/>
              <w:rPr>
                <w:rFonts w:eastAsia="Times New Roman" w:cs="Times New Roman"/>
                <w:lang w:eastAsia="fr-FR" w:bidi="ar-SA"/>
              </w:rPr>
            </w:pPr>
            <w:r w:rsidRPr="007A5D47">
              <w:rPr>
                <w:rFonts w:eastAsia="Times New Roman" w:cs="Times New Roman"/>
                <w:lang w:eastAsia="fr-FR" w:bidi="ar-SA"/>
              </w:rPr>
              <w:t>86 ― Vienne</w:t>
            </w:r>
          </w:p>
        </w:tc>
        <w:tc>
          <w:tcPr>
            <w:tcW w:w="1845" w:type="pct"/>
            <w:hideMark/>
          </w:tcPr>
          <w:p w14:paraId="1CCCA228" w14:textId="77777777" w:rsidR="00A93FE3" w:rsidRPr="007A5D47" w:rsidRDefault="00A93FE3" w:rsidP="00511F7F">
            <w:pPr>
              <w:jc w:val="center"/>
              <w:rPr>
                <w:rFonts w:eastAsia="Times New Roman" w:cs="Times New Roman"/>
                <w:lang w:eastAsia="fr-FR" w:bidi="ar-SA"/>
              </w:rPr>
            </w:pPr>
            <w:r w:rsidRPr="007A5D47">
              <w:rPr>
                <w:rFonts w:eastAsia="Times New Roman" w:cs="Times New Roman"/>
                <w:lang w:eastAsia="fr-FR" w:bidi="ar-SA"/>
              </w:rPr>
              <w:t>H2b</w:t>
            </w:r>
          </w:p>
        </w:tc>
      </w:tr>
      <w:tr w:rsidR="00A93FE3" w:rsidRPr="00F3781A" w14:paraId="21D973A9" w14:textId="77777777" w:rsidTr="00511F7F">
        <w:trPr>
          <w:jc w:val="center"/>
        </w:trPr>
        <w:tc>
          <w:tcPr>
            <w:tcW w:w="3155" w:type="pct"/>
            <w:hideMark/>
          </w:tcPr>
          <w:p w14:paraId="45525CDB" w14:textId="77777777" w:rsidR="00A93FE3" w:rsidRPr="007A5D47" w:rsidRDefault="00A93FE3" w:rsidP="00511F7F">
            <w:pPr>
              <w:spacing w:before="100" w:beforeAutospacing="1" w:after="100" w:afterAutospacing="1"/>
              <w:jc w:val="left"/>
              <w:rPr>
                <w:rFonts w:eastAsia="Times New Roman" w:cs="Times New Roman"/>
                <w:lang w:eastAsia="fr-FR" w:bidi="ar-SA"/>
              </w:rPr>
            </w:pPr>
            <w:r w:rsidRPr="007A5D47">
              <w:rPr>
                <w:rFonts w:eastAsia="Times New Roman" w:cs="Times New Roman"/>
                <w:lang w:eastAsia="fr-FR" w:bidi="ar-SA"/>
              </w:rPr>
              <w:t>87 ― Haute-Vienne</w:t>
            </w:r>
          </w:p>
        </w:tc>
        <w:tc>
          <w:tcPr>
            <w:tcW w:w="1845" w:type="pct"/>
            <w:hideMark/>
          </w:tcPr>
          <w:p w14:paraId="03C1189A" w14:textId="77777777" w:rsidR="00A93FE3" w:rsidRPr="007A5D47" w:rsidRDefault="00A93FE3" w:rsidP="00511F7F">
            <w:pPr>
              <w:jc w:val="center"/>
              <w:rPr>
                <w:rFonts w:eastAsia="Times New Roman" w:cs="Times New Roman"/>
                <w:lang w:eastAsia="fr-FR" w:bidi="ar-SA"/>
              </w:rPr>
            </w:pPr>
            <w:r w:rsidRPr="007A5D47">
              <w:rPr>
                <w:rFonts w:eastAsia="Times New Roman" w:cs="Times New Roman"/>
                <w:lang w:eastAsia="fr-FR" w:bidi="ar-SA"/>
              </w:rPr>
              <w:t>H1c</w:t>
            </w:r>
          </w:p>
        </w:tc>
      </w:tr>
      <w:tr w:rsidR="00A93FE3" w:rsidRPr="00F3781A" w14:paraId="7B2FE8DF" w14:textId="77777777" w:rsidTr="00511F7F">
        <w:trPr>
          <w:jc w:val="center"/>
        </w:trPr>
        <w:tc>
          <w:tcPr>
            <w:tcW w:w="3155" w:type="pct"/>
            <w:hideMark/>
          </w:tcPr>
          <w:p w14:paraId="2E36D836" w14:textId="77777777" w:rsidR="00A93FE3" w:rsidRPr="007A5D47" w:rsidRDefault="00A93FE3" w:rsidP="00511F7F">
            <w:pPr>
              <w:spacing w:before="100" w:beforeAutospacing="1" w:after="100" w:afterAutospacing="1"/>
              <w:jc w:val="left"/>
              <w:rPr>
                <w:rFonts w:eastAsia="Times New Roman" w:cs="Times New Roman"/>
                <w:lang w:eastAsia="fr-FR" w:bidi="ar-SA"/>
              </w:rPr>
            </w:pPr>
            <w:r w:rsidRPr="007A5D47">
              <w:rPr>
                <w:rFonts w:eastAsia="Times New Roman" w:cs="Times New Roman"/>
                <w:lang w:eastAsia="fr-FR" w:bidi="ar-SA"/>
              </w:rPr>
              <w:t>88 ― Vosges</w:t>
            </w:r>
          </w:p>
        </w:tc>
        <w:tc>
          <w:tcPr>
            <w:tcW w:w="1845" w:type="pct"/>
            <w:hideMark/>
          </w:tcPr>
          <w:p w14:paraId="091163D7" w14:textId="77777777" w:rsidR="00A93FE3" w:rsidRPr="007A5D47" w:rsidRDefault="00A93FE3" w:rsidP="00511F7F">
            <w:pPr>
              <w:jc w:val="center"/>
              <w:rPr>
                <w:rFonts w:eastAsia="Times New Roman" w:cs="Times New Roman"/>
                <w:lang w:eastAsia="fr-FR" w:bidi="ar-SA"/>
              </w:rPr>
            </w:pPr>
            <w:r w:rsidRPr="007A5D47">
              <w:rPr>
                <w:rFonts w:eastAsia="Times New Roman" w:cs="Times New Roman"/>
                <w:lang w:eastAsia="fr-FR" w:bidi="ar-SA"/>
              </w:rPr>
              <w:t>H1b</w:t>
            </w:r>
          </w:p>
        </w:tc>
      </w:tr>
      <w:tr w:rsidR="00A93FE3" w:rsidRPr="00F3781A" w14:paraId="7900215B" w14:textId="77777777" w:rsidTr="00511F7F">
        <w:trPr>
          <w:jc w:val="center"/>
        </w:trPr>
        <w:tc>
          <w:tcPr>
            <w:tcW w:w="3155" w:type="pct"/>
            <w:hideMark/>
          </w:tcPr>
          <w:p w14:paraId="7805B4EF" w14:textId="77777777" w:rsidR="00A93FE3" w:rsidRPr="007A5D47" w:rsidRDefault="00A93FE3" w:rsidP="00511F7F">
            <w:pPr>
              <w:spacing w:before="100" w:beforeAutospacing="1" w:after="100" w:afterAutospacing="1"/>
              <w:jc w:val="left"/>
              <w:rPr>
                <w:rFonts w:eastAsia="Times New Roman" w:cs="Times New Roman"/>
                <w:lang w:eastAsia="fr-FR" w:bidi="ar-SA"/>
              </w:rPr>
            </w:pPr>
            <w:r w:rsidRPr="007A5D47">
              <w:rPr>
                <w:rFonts w:eastAsia="Times New Roman" w:cs="Times New Roman"/>
                <w:lang w:eastAsia="fr-FR" w:bidi="ar-SA"/>
              </w:rPr>
              <w:t>89 ― Yonne</w:t>
            </w:r>
          </w:p>
        </w:tc>
        <w:tc>
          <w:tcPr>
            <w:tcW w:w="1845" w:type="pct"/>
            <w:hideMark/>
          </w:tcPr>
          <w:p w14:paraId="0DFB33D5" w14:textId="77777777" w:rsidR="00A93FE3" w:rsidRPr="007A5D47" w:rsidRDefault="00A93FE3" w:rsidP="00511F7F">
            <w:pPr>
              <w:jc w:val="center"/>
              <w:rPr>
                <w:rFonts w:eastAsia="Times New Roman" w:cs="Times New Roman"/>
                <w:lang w:eastAsia="fr-FR" w:bidi="ar-SA"/>
              </w:rPr>
            </w:pPr>
            <w:r w:rsidRPr="007A5D47">
              <w:rPr>
                <w:rFonts w:eastAsia="Times New Roman" w:cs="Times New Roman"/>
                <w:lang w:eastAsia="fr-FR" w:bidi="ar-SA"/>
              </w:rPr>
              <w:t>H1b</w:t>
            </w:r>
          </w:p>
        </w:tc>
      </w:tr>
      <w:tr w:rsidR="00A93FE3" w:rsidRPr="00F3781A" w14:paraId="02650475" w14:textId="77777777" w:rsidTr="00511F7F">
        <w:trPr>
          <w:jc w:val="center"/>
        </w:trPr>
        <w:tc>
          <w:tcPr>
            <w:tcW w:w="3155" w:type="pct"/>
            <w:hideMark/>
          </w:tcPr>
          <w:p w14:paraId="150C9BFE" w14:textId="77777777" w:rsidR="00A93FE3" w:rsidRPr="007A5D47" w:rsidRDefault="00A93FE3" w:rsidP="00511F7F">
            <w:pPr>
              <w:spacing w:before="100" w:beforeAutospacing="1" w:after="100" w:afterAutospacing="1"/>
              <w:jc w:val="left"/>
              <w:rPr>
                <w:rFonts w:eastAsia="Times New Roman" w:cs="Times New Roman"/>
                <w:lang w:eastAsia="fr-FR" w:bidi="ar-SA"/>
              </w:rPr>
            </w:pPr>
            <w:r w:rsidRPr="007A5D47">
              <w:rPr>
                <w:rFonts w:eastAsia="Times New Roman" w:cs="Times New Roman"/>
                <w:lang w:eastAsia="fr-FR" w:bidi="ar-SA"/>
              </w:rPr>
              <w:t>90 ― Territoire de Belfort</w:t>
            </w:r>
          </w:p>
        </w:tc>
        <w:tc>
          <w:tcPr>
            <w:tcW w:w="1845" w:type="pct"/>
            <w:hideMark/>
          </w:tcPr>
          <w:p w14:paraId="1FC92389" w14:textId="77777777" w:rsidR="00A93FE3" w:rsidRPr="007A5D47" w:rsidRDefault="00A93FE3" w:rsidP="00511F7F">
            <w:pPr>
              <w:jc w:val="center"/>
              <w:rPr>
                <w:rFonts w:eastAsia="Times New Roman" w:cs="Times New Roman"/>
                <w:lang w:eastAsia="fr-FR" w:bidi="ar-SA"/>
              </w:rPr>
            </w:pPr>
            <w:r w:rsidRPr="007A5D47">
              <w:rPr>
                <w:rFonts w:eastAsia="Times New Roman" w:cs="Times New Roman"/>
                <w:lang w:eastAsia="fr-FR" w:bidi="ar-SA"/>
              </w:rPr>
              <w:t>H1b</w:t>
            </w:r>
          </w:p>
        </w:tc>
      </w:tr>
      <w:tr w:rsidR="00A93FE3" w:rsidRPr="00F3781A" w14:paraId="7EC4672D" w14:textId="77777777" w:rsidTr="00511F7F">
        <w:trPr>
          <w:jc w:val="center"/>
        </w:trPr>
        <w:tc>
          <w:tcPr>
            <w:tcW w:w="3155" w:type="pct"/>
            <w:hideMark/>
          </w:tcPr>
          <w:p w14:paraId="7868AD21" w14:textId="77777777" w:rsidR="00A93FE3" w:rsidRPr="007A5D47" w:rsidRDefault="00A93FE3" w:rsidP="00511F7F">
            <w:pPr>
              <w:spacing w:before="100" w:beforeAutospacing="1" w:after="100" w:afterAutospacing="1"/>
              <w:jc w:val="left"/>
              <w:rPr>
                <w:rFonts w:eastAsia="Times New Roman" w:cs="Times New Roman"/>
                <w:lang w:eastAsia="fr-FR" w:bidi="ar-SA"/>
              </w:rPr>
            </w:pPr>
            <w:r w:rsidRPr="007A5D47">
              <w:rPr>
                <w:rFonts w:eastAsia="Times New Roman" w:cs="Times New Roman"/>
                <w:lang w:eastAsia="fr-FR" w:bidi="ar-SA"/>
              </w:rPr>
              <w:t>91 ― Essonne</w:t>
            </w:r>
          </w:p>
        </w:tc>
        <w:tc>
          <w:tcPr>
            <w:tcW w:w="1845" w:type="pct"/>
            <w:hideMark/>
          </w:tcPr>
          <w:p w14:paraId="62C6C6C5" w14:textId="77777777" w:rsidR="00A93FE3" w:rsidRPr="007A5D47" w:rsidRDefault="00A93FE3" w:rsidP="00511F7F">
            <w:pPr>
              <w:jc w:val="center"/>
              <w:rPr>
                <w:rFonts w:eastAsia="Times New Roman" w:cs="Times New Roman"/>
                <w:lang w:eastAsia="fr-FR" w:bidi="ar-SA"/>
              </w:rPr>
            </w:pPr>
            <w:r w:rsidRPr="007A5D47">
              <w:rPr>
                <w:rFonts w:eastAsia="Times New Roman" w:cs="Times New Roman"/>
                <w:lang w:eastAsia="fr-FR" w:bidi="ar-SA"/>
              </w:rPr>
              <w:t>H1a</w:t>
            </w:r>
          </w:p>
        </w:tc>
      </w:tr>
      <w:tr w:rsidR="00A93FE3" w:rsidRPr="00F3781A" w14:paraId="47C58420" w14:textId="77777777" w:rsidTr="00511F7F">
        <w:trPr>
          <w:jc w:val="center"/>
        </w:trPr>
        <w:tc>
          <w:tcPr>
            <w:tcW w:w="3155" w:type="pct"/>
            <w:hideMark/>
          </w:tcPr>
          <w:p w14:paraId="4FB733F7" w14:textId="77777777" w:rsidR="00A93FE3" w:rsidRPr="007A5D47" w:rsidRDefault="00A93FE3" w:rsidP="00511F7F">
            <w:pPr>
              <w:spacing w:before="100" w:beforeAutospacing="1" w:after="100" w:afterAutospacing="1"/>
              <w:jc w:val="left"/>
              <w:rPr>
                <w:rFonts w:eastAsia="Times New Roman" w:cs="Times New Roman"/>
                <w:lang w:eastAsia="fr-FR" w:bidi="ar-SA"/>
              </w:rPr>
            </w:pPr>
            <w:r w:rsidRPr="007A5D47">
              <w:rPr>
                <w:rFonts w:eastAsia="Times New Roman" w:cs="Times New Roman"/>
                <w:lang w:eastAsia="fr-FR" w:bidi="ar-SA"/>
              </w:rPr>
              <w:t>92 ― Hauts-de-Seine</w:t>
            </w:r>
          </w:p>
        </w:tc>
        <w:tc>
          <w:tcPr>
            <w:tcW w:w="1845" w:type="pct"/>
            <w:hideMark/>
          </w:tcPr>
          <w:p w14:paraId="42516611" w14:textId="77777777" w:rsidR="00A93FE3" w:rsidRPr="007A5D47" w:rsidRDefault="00A93FE3" w:rsidP="00511F7F">
            <w:pPr>
              <w:jc w:val="center"/>
              <w:rPr>
                <w:rFonts w:eastAsia="Times New Roman" w:cs="Times New Roman"/>
                <w:lang w:eastAsia="fr-FR" w:bidi="ar-SA"/>
              </w:rPr>
            </w:pPr>
            <w:r w:rsidRPr="007A5D47">
              <w:rPr>
                <w:rFonts w:eastAsia="Times New Roman" w:cs="Times New Roman"/>
                <w:lang w:eastAsia="fr-FR" w:bidi="ar-SA"/>
              </w:rPr>
              <w:t>H1a</w:t>
            </w:r>
          </w:p>
        </w:tc>
      </w:tr>
      <w:tr w:rsidR="00A93FE3" w:rsidRPr="00BD53C5" w14:paraId="140EFB47" w14:textId="77777777" w:rsidTr="00511F7F">
        <w:trPr>
          <w:jc w:val="center"/>
        </w:trPr>
        <w:tc>
          <w:tcPr>
            <w:tcW w:w="3155" w:type="pct"/>
            <w:hideMark/>
          </w:tcPr>
          <w:p w14:paraId="7F6A9351" w14:textId="77777777" w:rsidR="00A93FE3" w:rsidRPr="007A5D47" w:rsidRDefault="00A93FE3" w:rsidP="00511F7F">
            <w:pPr>
              <w:spacing w:before="100" w:beforeAutospacing="1" w:after="100" w:afterAutospacing="1"/>
              <w:jc w:val="left"/>
              <w:rPr>
                <w:rFonts w:eastAsia="Times New Roman" w:cs="Times New Roman"/>
                <w:lang w:eastAsia="fr-FR" w:bidi="ar-SA"/>
              </w:rPr>
            </w:pPr>
            <w:r w:rsidRPr="007A5D47">
              <w:rPr>
                <w:rFonts w:eastAsia="Times New Roman" w:cs="Times New Roman"/>
                <w:lang w:eastAsia="fr-FR" w:bidi="ar-SA"/>
              </w:rPr>
              <w:lastRenderedPageBreak/>
              <w:t>93 ― Seine-Saint-Denis</w:t>
            </w:r>
          </w:p>
        </w:tc>
        <w:tc>
          <w:tcPr>
            <w:tcW w:w="1845" w:type="pct"/>
            <w:hideMark/>
          </w:tcPr>
          <w:p w14:paraId="36A28682" w14:textId="77777777" w:rsidR="00A93FE3" w:rsidRPr="007A5D47" w:rsidRDefault="00A93FE3" w:rsidP="00511F7F">
            <w:pPr>
              <w:jc w:val="center"/>
              <w:rPr>
                <w:rFonts w:eastAsia="Times New Roman" w:cs="Times New Roman"/>
                <w:lang w:eastAsia="fr-FR" w:bidi="ar-SA"/>
              </w:rPr>
            </w:pPr>
            <w:r w:rsidRPr="007A5D47">
              <w:rPr>
                <w:rFonts w:eastAsia="Times New Roman" w:cs="Times New Roman"/>
                <w:lang w:eastAsia="fr-FR" w:bidi="ar-SA"/>
              </w:rPr>
              <w:t>H1a</w:t>
            </w:r>
          </w:p>
        </w:tc>
      </w:tr>
      <w:tr w:rsidR="00A93FE3" w:rsidRPr="00BD53C5" w14:paraId="70DFFDD8" w14:textId="77777777" w:rsidTr="00511F7F">
        <w:trPr>
          <w:jc w:val="center"/>
        </w:trPr>
        <w:tc>
          <w:tcPr>
            <w:tcW w:w="3155" w:type="pct"/>
            <w:hideMark/>
          </w:tcPr>
          <w:p w14:paraId="1DCA824D" w14:textId="77777777" w:rsidR="00A93FE3" w:rsidRPr="007A5D47" w:rsidRDefault="00A93FE3" w:rsidP="00511F7F">
            <w:pPr>
              <w:spacing w:before="100" w:beforeAutospacing="1" w:after="100" w:afterAutospacing="1"/>
              <w:jc w:val="left"/>
              <w:rPr>
                <w:rFonts w:eastAsia="Times New Roman" w:cs="Times New Roman"/>
                <w:lang w:eastAsia="fr-FR" w:bidi="ar-SA"/>
              </w:rPr>
            </w:pPr>
            <w:r w:rsidRPr="007A5D47">
              <w:rPr>
                <w:rFonts w:eastAsia="Times New Roman" w:cs="Times New Roman"/>
                <w:lang w:eastAsia="fr-FR" w:bidi="ar-SA"/>
              </w:rPr>
              <w:t>94 ― Val-de-Marne</w:t>
            </w:r>
          </w:p>
        </w:tc>
        <w:tc>
          <w:tcPr>
            <w:tcW w:w="1845" w:type="pct"/>
            <w:hideMark/>
          </w:tcPr>
          <w:p w14:paraId="7CF57D97" w14:textId="77777777" w:rsidR="00A93FE3" w:rsidRPr="007A5D47" w:rsidRDefault="00A93FE3" w:rsidP="00511F7F">
            <w:pPr>
              <w:jc w:val="center"/>
              <w:rPr>
                <w:rFonts w:eastAsia="Times New Roman" w:cs="Times New Roman"/>
                <w:lang w:eastAsia="fr-FR" w:bidi="ar-SA"/>
              </w:rPr>
            </w:pPr>
            <w:r w:rsidRPr="007A5D47">
              <w:rPr>
                <w:rFonts w:eastAsia="Times New Roman" w:cs="Times New Roman"/>
                <w:lang w:eastAsia="fr-FR" w:bidi="ar-SA"/>
              </w:rPr>
              <w:t>H1a</w:t>
            </w:r>
          </w:p>
        </w:tc>
      </w:tr>
      <w:tr w:rsidR="00A93FE3" w:rsidRPr="00BD53C5" w14:paraId="7731F4B6" w14:textId="77777777" w:rsidTr="00511F7F">
        <w:trPr>
          <w:jc w:val="center"/>
        </w:trPr>
        <w:tc>
          <w:tcPr>
            <w:tcW w:w="3155" w:type="pct"/>
            <w:hideMark/>
          </w:tcPr>
          <w:p w14:paraId="5C1A2833" w14:textId="77777777" w:rsidR="00A93FE3" w:rsidRPr="007A5D47" w:rsidRDefault="00A93FE3" w:rsidP="00511F7F">
            <w:pPr>
              <w:spacing w:before="100" w:beforeAutospacing="1" w:after="100" w:afterAutospacing="1"/>
              <w:jc w:val="left"/>
              <w:rPr>
                <w:rFonts w:eastAsia="Times New Roman" w:cs="Times New Roman"/>
                <w:lang w:eastAsia="fr-FR" w:bidi="ar-SA"/>
              </w:rPr>
            </w:pPr>
            <w:r w:rsidRPr="007A5D47">
              <w:rPr>
                <w:rFonts w:eastAsia="Times New Roman" w:cs="Times New Roman"/>
                <w:lang w:eastAsia="fr-FR" w:bidi="ar-SA"/>
              </w:rPr>
              <w:t>95 ― Val-d'Oise</w:t>
            </w:r>
          </w:p>
        </w:tc>
        <w:tc>
          <w:tcPr>
            <w:tcW w:w="1845" w:type="pct"/>
            <w:hideMark/>
          </w:tcPr>
          <w:p w14:paraId="7285198C" w14:textId="77777777" w:rsidR="00A93FE3" w:rsidRPr="007A5D47" w:rsidRDefault="00A93FE3" w:rsidP="00511F7F">
            <w:pPr>
              <w:jc w:val="center"/>
              <w:rPr>
                <w:rFonts w:eastAsia="Times New Roman" w:cs="Times New Roman"/>
                <w:lang w:eastAsia="fr-FR" w:bidi="ar-SA"/>
              </w:rPr>
            </w:pPr>
            <w:r w:rsidRPr="007A5D47">
              <w:rPr>
                <w:rFonts w:eastAsia="Times New Roman" w:cs="Times New Roman"/>
                <w:lang w:eastAsia="fr-FR" w:bidi="ar-SA"/>
              </w:rPr>
              <w:t>H1a</w:t>
            </w:r>
          </w:p>
        </w:tc>
      </w:tr>
    </w:tbl>
    <w:p w14:paraId="5285D6D6" w14:textId="77777777" w:rsidR="00A93FE3" w:rsidRDefault="00A93FE3" w:rsidP="00A93FE3"/>
    <w:p w14:paraId="738FBF28" w14:textId="77777777" w:rsidR="00A93FE3" w:rsidRDefault="00A93FE3" w:rsidP="00A93FE3">
      <w:pPr>
        <w:jc w:val="left"/>
      </w:pPr>
      <w:r>
        <w:br w:type="page"/>
      </w:r>
    </w:p>
    <w:p w14:paraId="6CB53E8A" w14:textId="76C1D94C" w:rsidR="00965E1A" w:rsidRPr="002523E6" w:rsidRDefault="00965E1A" w:rsidP="00965E1A">
      <w:pPr>
        <w:pStyle w:val="Titre4"/>
      </w:pPr>
      <w:bookmarkStart w:id="65" w:name="_Ref57899455"/>
      <w:bookmarkStart w:id="66" w:name="_Ref49444576"/>
      <w:r w:rsidRPr="00965E1A">
        <w:lastRenderedPageBreak/>
        <w:t>(DÉFINITION ET DÉTERMINATION DES CLASSES D'EXPOSITION DES BAIES AU BRUIT DES INFRASTRUCTURES DE TRANSPORTS)</w:t>
      </w:r>
    </w:p>
    <w:p w14:paraId="29884B15" w14:textId="77777777" w:rsidR="00965E1A" w:rsidRDefault="00965E1A" w:rsidP="00A93FE3"/>
    <w:bookmarkEnd w:id="65"/>
    <w:bookmarkEnd w:id="66"/>
    <w:p w14:paraId="72C936F4" w14:textId="39E985E7" w:rsidR="00A93FE3" w:rsidRPr="007A5D47" w:rsidRDefault="00A93FE3" w:rsidP="00A93FE3">
      <w:r w:rsidRPr="007A5D47">
        <w:t>La détermination des classes d’exposition au bruit (BR1, BR2, BR3) s’effectue en fonction :</w:t>
      </w:r>
    </w:p>
    <w:p w14:paraId="2C4E1F8F" w14:textId="77777777" w:rsidR="00A93FE3" w:rsidRPr="007A5D47" w:rsidRDefault="00A93FE3" w:rsidP="00A93FE3">
      <w:pPr>
        <w:ind w:left="567"/>
      </w:pPr>
      <w:r w:rsidRPr="007A5D47">
        <w:t xml:space="preserve">- du classement en catégorie de l'infrastructure de transports terrestres au voisinage de la construction. Ce classement des voies est donné par un arrêté préfectoral conformément à </w:t>
      </w:r>
      <w:r w:rsidRPr="009F2A30">
        <w:t xml:space="preserve">l’article R. 571-38 </w:t>
      </w:r>
      <w:r w:rsidRPr="007A5D47">
        <w:t>du code de l’environnement;</w:t>
      </w:r>
    </w:p>
    <w:p w14:paraId="4C1D8099" w14:textId="77777777" w:rsidR="00A93FE3" w:rsidRPr="007A5D47" w:rsidRDefault="00A93FE3" w:rsidP="00A93FE3">
      <w:pPr>
        <w:ind w:left="567"/>
      </w:pPr>
      <w:r w:rsidRPr="007A5D47">
        <w:t>- de la situation de la baie par rapport à ces infrastructures ;</w:t>
      </w:r>
    </w:p>
    <w:p w14:paraId="22DB4AA5" w14:textId="77777777" w:rsidR="00A93FE3" w:rsidRPr="007A5D47" w:rsidRDefault="00A93FE3" w:rsidP="00A93FE3">
      <w:pPr>
        <w:ind w:left="567"/>
      </w:pPr>
      <w:r w:rsidRPr="007A5D47">
        <w:t xml:space="preserve">- de la situation du bâtiment par rapport aux zones A, B, C ou D du plan d'exposition au bruit (PEB) de l'aéroport le plus proche. Le plan d’exposition au bruit est approuvé par un arrêté préfectoral pris en application des </w:t>
      </w:r>
      <w:r w:rsidRPr="009F2A30">
        <w:t xml:space="preserve">articles R. 112-4 à R. 112-17 </w:t>
      </w:r>
      <w:r w:rsidRPr="007A5D47">
        <w:t>du code de l'urbanisme,</w:t>
      </w:r>
    </w:p>
    <w:p w14:paraId="51CB6658" w14:textId="77777777" w:rsidR="00A93FE3" w:rsidRPr="007A5D47" w:rsidRDefault="00A93FE3" w:rsidP="00A93FE3">
      <w:r w:rsidRPr="007A5D47">
        <w:t>La détermination des classes d’exposition au bruit s’effectue baie par baie selon les modalités et conventions suivantes.</w:t>
      </w:r>
    </w:p>
    <w:p w14:paraId="032225F9" w14:textId="77777777" w:rsidR="00A93FE3" w:rsidRPr="007A5D47" w:rsidRDefault="00A93FE3" w:rsidP="00A93FE3"/>
    <w:p w14:paraId="5017796E" w14:textId="77777777" w:rsidR="00A93FE3" w:rsidRPr="007A5D47" w:rsidRDefault="00A93FE3" w:rsidP="00A93FE3">
      <w:pPr>
        <w:pStyle w:val="Titre5"/>
      </w:pPr>
      <w:r w:rsidRPr="007A5D47">
        <w:t>Définition d'un obstacle "très protecteur" et "peu protecteur" à l'exposition au bruit</w:t>
      </w:r>
    </w:p>
    <w:p w14:paraId="2F9A3EBD" w14:textId="77777777" w:rsidR="00A93FE3" w:rsidRPr="007A5D47" w:rsidRDefault="00A93FE3" w:rsidP="00A93FE3">
      <w:r w:rsidRPr="007A5D47">
        <w:t>Un obstacle à l'exposition est un masque à la propagation du bruit (bâtiment, écran acoustique, butte de terre...). Un obstacle est "très protecteur" s'il est situé à une altitude supérieure ou égale à celle de l'étage exposé considéré. Un obstacle est "peu protecteur" s'il est situé à une altitude inférieure à celle de l'étage considéré tout en constituant un masque visuel de l'infrastructure.</w:t>
      </w:r>
    </w:p>
    <w:p w14:paraId="4B65B7F8" w14:textId="77777777" w:rsidR="00A93FE3" w:rsidRPr="007A5D47" w:rsidRDefault="00A93FE3" w:rsidP="00A93FE3">
      <w:r w:rsidRPr="007A5D47">
        <w:t>Lorsque l'obstacle est à plus de 250 mètres de la baie considérée et pour tenir compte de l'effet de courbure de la propagation du bruit (inversion thermique nocturne), on ajoute 10 mètres à l'altitude minimale nécessaire à la prise en compte de l'obstacle pour les locaux à usage d'habitation.</w:t>
      </w:r>
    </w:p>
    <w:p w14:paraId="184F80BC" w14:textId="77777777" w:rsidR="00A93FE3" w:rsidRPr="007A5D47" w:rsidRDefault="00A93FE3" w:rsidP="00A93FE3"/>
    <w:p w14:paraId="3D0A6565" w14:textId="77777777" w:rsidR="00A93FE3" w:rsidRPr="007A5D47" w:rsidRDefault="00A93FE3" w:rsidP="00A93FE3">
      <w:pPr>
        <w:pStyle w:val="Titre5"/>
      </w:pPr>
      <w:r w:rsidRPr="007A5D47">
        <w:t>Définition de la vue d'une infrastructure depuis une baie</w:t>
      </w:r>
    </w:p>
    <w:p w14:paraId="52E096E7" w14:textId="77777777" w:rsidR="00A93FE3" w:rsidRPr="007A5D47" w:rsidRDefault="00A93FE3" w:rsidP="00A93FE3">
      <w:r w:rsidRPr="007A5D47">
        <w:t>La vue de l'infrastructure depuis une baie est définie comme suit :</w:t>
      </w:r>
    </w:p>
    <w:p w14:paraId="0D09F323" w14:textId="77777777" w:rsidR="00A93FE3" w:rsidRPr="007A5D47" w:rsidRDefault="00A93FE3" w:rsidP="00A93FE3">
      <w:pPr>
        <w:pStyle w:val="Paragraphedeliste"/>
        <w:numPr>
          <w:ilvl w:val="0"/>
          <w:numId w:val="17"/>
        </w:numPr>
      </w:pPr>
      <w:r w:rsidRPr="007A5D47">
        <w:t>Une vue directe s'entend pour une vue en plan de l'infrastructure de plus de 90 degrés après déduction des obstacles très protecteurs à l'exposition. C'est le cas des faces latérales d'un bâtiment sans masque.</w:t>
      </w:r>
    </w:p>
    <w:p w14:paraId="51C149AD" w14:textId="77777777" w:rsidR="00A93FE3" w:rsidRPr="007A5D47" w:rsidRDefault="00A93FE3" w:rsidP="00A93FE3">
      <w:pPr>
        <w:pStyle w:val="Paragraphedeliste"/>
        <w:numPr>
          <w:ilvl w:val="0"/>
          <w:numId w:val="17"/>
        </w:numPr>
      </w:pPr>
      <w:r w:rsidRPr="007A5D47">
        <w:t>Une vue partielle s'entend pour une vue horizontale de l'infrastructure inférieure à 90 degrés, après déduction des obstacles très protecteurs à l'exposition.</w:t>
      </w:r>
    </w:p>
    <w:p w14:paraId="7F344204" w14:textId="77777777" w:rsidR="00A93FE3" w:rsidRPr="007A5D47" w:rsidRDefault="00A93FE3" w:rsidP="00A93FE3">
      <w:pPr>
        <w:pStyle w:val="Paragraphedeliste"/>
        <w:numPr>
          <w:ilvl w:val="0"/>
          <w:numId w:val="17"/>
        </w:numPr>
      </w:pPr>
      <w:r w:rsidRPr="007A5D47">
        <w:t>Il y a une vue masquée de l'infrastructure lorsque l'infrastructure ne peut pas être vue, en tenant compte des obstacles à l'exposition, depuis la baie. Ces obstacles peuvent être "très protecteurs" ou "peu protecteurs" au sens de la définition donnée d'un obstacle "très protecteur" et "peu protecteur" à l'exposition.</w:t>
      </w:r>
    </w:p>
    <w:p w14:paraId="12D5A14C" w14:textId="77777777" w:rsidR="00A93FE3" w:rsidRPr="007A5D47" w:rsidRDefault="00A93FE3" w:rsidP="00A93FE3">
      <w:pPr>
        <w:pStyle w:val="Paragraphedeliste"/>
        <w:numPr>
          <w:ilvl w:val="0"/>
          <w:numId w:val="17"/>
        </w:numPr>
      </w:pPr>
      <w:r w:rsidRPr="007A5D47">
        <w:t>Une vue arrière s'entend pour la façade arrière du bâtiment par rapport à l'infrastructure.</w:t>
      </w:r>
    </w:p>
    <w:p w14:paraId="28998E3E" w14:textId="77777777" w:rsidR="00A93FE3" w:rsidRPr="007A5D47" w:rsidRDefault="00A93FE3" w:rsidP="00A93FE3"/>
    <w:p w14:paraId="25F2ABC1" w14:textId="77777777" w:rsidR="00A93FE3" w:rsidRPr="007A5D47" w:rsidRDefault="00A93FE3" w:rsidP="00A93FE3">
      <w:pPr>
        <w:pStyle w:val="Titre5"/>
      </w:pPr>
      <w:r w:rsidRPr="007A5D47">
        <w:t>Détermination de la classe d'exposition au bruit d'une baie d'un bâtiment</w:t>
      </w:r>
    </w:p>
    <w:p w14:paraId="69B3CCAC" w14:textId="77777777" w:rsidR="00A93FE3" w:rsidRDefault="00A93FE3" w:rsidP="00A93FE3">
      <w:pPr>
        <w:pStyle w:val="Titre6"/>
        <w:numPr>
          <w:ilvl w:val="0"/>
          <w:numId w:val="16"/>
        </w:numPr>
        <w:ind w:left="754" w:hanging="357"/>
      </w:pPr>
      <w:r>
        <w:t>Configuration 1 :</w:t>
      </w:r>
    </w:p>
    <w:p w14:paraId="31BFE037" w14:textId="77777777" w:rsidR="00A93FE3" w:rsidRPr="007A5D47" w:rsidRDefault="00A93FE3" w:rsidP="00A93FE3">
      <w:r w:rsidRPr="007A5D47">
        <w:t>Selon la catégorie de l'infrastructure à proximité de laquelle est construit le bâtiment ou la partie de bâtiment, et dans la mesure où ce bâtiment ou cette partie de bâtiment est situé à une distance supérieure à la distance maximale de prise en compte des infrastructures de transport indiquée ci-après, toutes ses baies sont alors en classe BR1 d'exposition au bruit.</w:t>
      </w:r>
    </w:p>
    <w:tbl>
      <w:tblPr>
        <w:tblStyle w:val="Grilledutableau"/>
        <w:tblW w:w="5000" w:type="pct"/>
        <w:tblLook w:val="04A0" w:firstRow="1" w:lastRow="0" w:firstColumn="1" w:lastColumn="0" w:noHBand="0" w:noVBand="1"/>
      </w:tblPr>
      <w:tblGrid>
        <w:gridCol w:w="3143"/>
        <w:gridCol w:w="337"/>
        <w:gridCol w:w="5582"/>
      </w:tblGrid>
      <w:tr w:rsidR="00A93FE3" w:rsidRPr="007A5D47" w14:paraId="623FD258" w14:textId="77777777" w:rsidTr="00511F7F">
        <w:tc>
          <w:tcPr>
            <w:tcW w:w="1734" w:type="pct"/>
            <w:hideMark/>
          </w:tcPr>
          <w:p w14:paraId="29096FE1" w14:textId="77777777" w:rsidR="00A93FE3" w:rsidRPr="007A5D47" w:rsidRDefault="00A93FE3" w:rsidP="00511F7F">
            <w:pPr>
              <w:keepNext/>
              <w:jc w:val="left"/>
              <w:rPr>
                <w:rFonts w:eastAsia="Times New Roman" w:cs="Times New Roman"/>
                <w:lang w:eastAsia="fr-FR" w:bidi="ar-SA"/>
              </w:rPr>
            </w:pPr>
          </w:p>
        </w:tc>
        <w:tc>
          <w:tcPr>
            <w:tcW w:w="3266" w:type="pct"/>
            <w:gridSpan w:val="2"/>
            <w:shd w:val="clear" w:color="auto" w:fill="A6A6A6" w:themeFill="background1" w:themeFillShade="A6"/>
            <w:hideMark/>
          </w:tcPr>
          <w:p w14:paraId="6A15D2AB" w14:textId="77777777" w:rsidR="00A93FE3" w:rsidRPr="007A5D47" w:rsidRDefault="00A93FE3" w:rsidP="00511F7F">
            <w:pPr>
              <w:keepNext/>
              <w:spacing w:before="100" w:beforeAutospacing="1" w:after="100" w:afterAutospacing="1"/>
              <w:jc w:val="center"/>
              <w:rPr>
                <w:rFonts w:eastAsia="Times New Roman" w:cs="Times New Roman"/>
                <w:lang w:eastAsia="fr-FR" w:bidi="ar-SA"/>
              </w:rPr>
            </w:pPr>
            <w:r w:rsidRPr="007A5D47">
              <w:rPr>
                <w:rFonts w:eastAsia="Times New Roman" w:cs="Times New Roman"/>
                <w:lang w:eastAsia="fr-FR" w:bidi="ar-SA"/>
              </w:rPr>
              <w:t>SITUATION DU BÂTIMENT CONDUISANT À UN CLASSEMENT DE CES BAIES EN BR1</w:t>
            </w:r>
          </w:p>
        </w:tc>
      </w:tr>
      <w:tr w:rsidR="00A93FE3" w:rsidRPr="007A5D47" w14:paraId="009CCB63" w14:textId="77777777" w:rsidTr="00511F7F">
        <w:tc>
          <w:tcPr>
            <w:tcW w:w="1734" w:type="pct"/>
            <w:vMerge w:val="restart"/>
            <w:shd w:val="clear" w:color="auto" w:fill="F2F2F2" w:themeFill="background1" w:themeFillShade="F2"/>
            <w:vAlign w:val="center"/>
            <w:hideMark/>
          </w:tcPr>
          <w:p w14:paraId="45756D35" w14:textId="77777777" w:rsidR="00A93FE3" w:rsidRPr="007A5D47" w:rsidRDefault="00A93FE3" w:rsidP="00511F7F">
            <w:pPr>
              <w:keepNext/>
              <w:spacing w:before="100" w:beforeAutospacing="1" w:after="100" w:afterAutospacing="1"/>
              <w:jc w:val="left"/>
              <w:rPr>
                <w:rFonts w:eastAsia="Times New Roman" w:cs="Times New Roman"/>
                <w:lang w:eastAsia="fr-FR" w:bidi="ar-SA"/>
              </w:rPr>
            </w:pPr>
            <w:r w:rsidRPr="007A5D47">
              <w:rPr>
                <w:rFonts w:eastAsia="Times New Roman" w:cs="Times New Roman"/>
                <w:lang w:eastAsia="fr-FR" w:bidi="ar-SA"/>
              </w:rPr>
              <w:t>Catégorie de l'infrastructure de transports terrestres</w:t>
            </w:r>
          </w:p>
        </w:tc>
        <w:tc>
          <w:tcPr>
            <w:tcW w:w="186" w:type="pct"/>
            <w:hideMark/>
          </w:tcPr>
          <w:p w14:paraId="44EB7208" w14:textId="77777777" w:rsidR="00A93FE3" w:rsidRPr="007A5D47" w:rsidRDefault="00A93FE3" w:rsidP="00511F7F">
            <w:pPr>
              <w:keepNext/>
              <w:jc w:val="center"/>
              <w:rPr>
                <w:rFonts w:eastAsia="Times New Roman" w:cs="Times New Roman"/>
                <w:lang w:eastAsia="fr-FR" w:bidi="ar-SA"/>
              </w:rPr>
            </w:pPr>
            <w:r w:rsidRPr="007A5D47">
              <w:rPr>
                <w:rFonts w:eastAsia="Times New Roman" w:cs="Times New Roman"/>
                <w:lang w:eastAsia="fr-FR" w:bidi="ar-SA"/>
              </w:rPr>
              <w:t>1</w:t>
            </w:r>
          </w:p>
        </w:tc>
        <w:tc>
          <w:tcPr>
            <w:tcW w:w="3080" w:type="pct"/>
            <w:hideMark/>
          </w:tcPr>
          <w:p w14:paraId="17826657" w14:textId="77777777" w:rsidR="00A93FE3" w:rsidRPr="007A5D47" w:rsidRDefault="00A93FE3" w:rsidP="00511F7F">
            <w:pPr>
              <w:keepNext/>
              <w:jc w:val="center"/>
              <w:rPr>
                <w:rFonts w:eastAsia="Times New Roman" w:cs="Times New Roman"/>
                <w:lang w:eastAsia="fr-FR" w:bidi="ar-SA"/>
              </w:rPr>
            </w:pPr>
            <w:r w:rsidRPr="007A5D47">
              <w:rPr>
                <w:rFonts w:eastAsia="Times New Roman" w:cs="Times New Roman"/>
                <w:lang w:eastAsia="fr-FR" w:bidi="ar-SA"/>
              </w:rPr>
              <w:t>Distance supérieure à 700 m</w:t>
            </w:r>
          </w:p>
        </w:tc>
      </w:tr>
      <w:tr w:rsidR="00A93FE3" w:rsidRPr="007A5D47" w14:paraId="3768276E" w14:textId="77777777" w:rsidTr="00511F7F">
        <w:tc>
          <w:tcPr>
            <w:tcW w:w="1734" w:type="pct"/>
            <w:vMerge/>
            <w:shd w:val="clear" w:color="auto" w:fill="F2F2F2" w:themeFill="background1" w:themeFillShade="F2"/>
            <w:hideMark/>
          </w:tcPr>
          <w:p w14:paraId="1A3335C9" w14:textId="77777777" w:rsidR="00A93FE3" w:rsidRPr="007A5D47" w:rsidRDefault="00A93FE3" w:rsidP="00511F7F">
            <w:pPr>
              <w:keepNext/>
              <w:jc w:val="left"/>
              <w:rPr>
                <w:rFonts w:eastAsia="Times New Roman" w:cs="Times New Roman"/>
                <w:lang w:eastAsia="fr-FR" w:bidi="ar-SA"/>
              </w:rPr>
            </w:pPr>
          </w:p>
        </w:tc>
        <w:tc>
          <w:tcPr>
            <w:tcW w:w="186" w:type="pct"/>
            <w:hideMark/>
          </w:tcPr>
          <w:p w14:paraId="39A328ED" w14:textId="77777777" w:rsidR="00A93FE3" w:rsidRPr="007A5D47" w:rsidRDefault="00A93FE3" w:rsidP="00511F7F">
            <w:pPr>
              <w:keepNext/>
              <w:jc w:val="center"/>
              <w:rPr>
                <w:rFonts w:eastAsia="Times New Roman" w:cs="Times New Roman"/>
                <w:lang w:eastAsia="fr-FR" w:bidi="ar-SA"/>
              </w:rPr>
            </w:pPr>
            <w:r w:rsidRPr="007A5D47">
              <w:rPr>
                <w:rFonts w:eastAsia="Times New Roman" w:cs="Times New Roman"/>
                <w:lang w:eastAsia="fr-FR" w:bidi="ar-SA"/>
              </w:rPr>
              <w:t>2</w:t>
            </w:r>
          </w:p>
        </w:tc>
        <w:tc>
          <w:tcPr>
            <w:tcW w:w="3080" w:type="pct"/>
            <w:hideMark/>
          </w:tcPr>
          <w:p w14:paraId="4365E753" w14:textId="77777777" w:rsidR="00A93FE3" w:rsidRPr="007A5D47" w:rsidRDefault="00A93FE3" w:rsidP="00511F7F">
            <w:pPr>
              <w:keepNext/>
              <w:jc w:val="center"/>
              <w:rPr>
                <w:rFonts w:eastAsia="Times New Roman" w:cs="Times New Roman"/>
                <w:lang w:eastAsia="fr-FR" w:bidi="ar-SA"/>
              </w:rPr>
            </w:pPr>
            <w:r w:rsidRPr="007A5D47">
              <w:rPr>
                <w:rFonts w:eastAsia="Times New Roman" w:cs="Times New Roman"/>
                <w:lang w:eastAsia="fr-FR" w:bidi="ar-SA"/>
              </w:rPr>
              <w:t>Distance supérieure à 500 m</w:t>
            </w:r>
          </w:p>
        </w:tc>
      </w:tr>
      <w:tr w:rsidR="00A93FE3" w:rsidRPr="007A5D47" w14:paraId="08C17E48" w14:textId="77777777" w:rsidTr="00511F7F">
        <w:tc>
          <w:tcPr>
            <w:tcW w:w="1734" w:type="pct"/>
            <w:vMerge/>
            <w:shd w:val="clear" w:color="auto" w:fill="F2F2F2" w:themeFill="background1" w:themeFillShade="F2"/>
            <w:hideMark/>
          </w:tcPr>
          <w:p w14:paraId="31BD7D5B" w14:textId="77777777" w:rsidR="00A93FE3" w:rsidRPr="007A5D47" w:rsidRDefault="00A93FE3" w:rsidP="00511F7F">
            <w:pPr>
              <w:keepNext/>
              <w:jc w:val="left"/>
              <w:rPr>
                <w:rFonts w:eastAsia="Times New Roman" w:cs="Times New Roman"/>
                <w:lang w:eastAsia="fr-FR" w:bidi="ar-SA"/>
              </w:rPr>
            </w:pPr>
          </w:p>
        </w:tc>
        <w:tc>
          <w:tcPr>
            <w:tcW w:w="186" w:type="pct"/>
            <w:hideMark/>
          </w:tcPr>
          <w:p w14:paraId="4D7ED018" w14:textId="77777777" w:rsidR="00A93FE3" w:rsidRPr="007A5D47" w:rsidRDefault="00A93FE3" w:rsidP="00511F7F">
            <w:pPr>
              <w:keepNext/>
              <w:jc w:val="center"/>
              <w:rPr>
                <w:rFonts w:eastAsia="Times New Roman" w:cs="Times New Roman"/>
                <w:lang w:eastAsia="fr-FR" w:bidi="ar-SA"/>
              </w:rPr>
            </w:pPr>
            <w:r w:rsidRPr="007A5D47">
              <w:rPr>
                <w:rFonts w:eastAsia="Times New Roman" w:cs="Times New Roman"/>
                <w:lang w:eastAsia="fr-FR" w:bidi="ar-SA"/>
              </w:rPr>
              <w:t>3</w:t>
            </w:r>
          </w:p>
        </w:tc>
        <w:tc>
          <w:tcPr>
            <w:tcW w:w="3080" w:type="pct"/>
            <w:hideMark/>
          </w:tcPr>
          <w:p w14:paraId="1501FFDD" w14:textId="77777777" w:rsidR="00A93FE3" w:rsidRPr="007A5D47" w:rsidRDefault="00A93FE3" w:rsidP="00511F7F">
            <w:pPr>
              <w:keepNext/>
              <w:jc w:val="center"/>
              <w:rPr>
                <w:rFonts w:eastAsia="Times New Roman" w:cs="Times New Roman"/>
                <w:lang w:eastAsia="fr-FR" w:bidi="ar-SA"/>
              </w:rPr>
            </w:pPr>
            <w:r w:rsidRPr="007A5D47">
              <w:rPr>
                <w:rFonts w:eastAsia="Times New Roman" w:cs="Times New Roman"/>
                <w:lang w:eastAsia="fr-FR" w:bidi="ar-SA"/>
              </w:rPr>
              <w:t>Distance supérieure à 250 m</w:t>
            </w:r>
          </w:p>
        </w:tc>
      </w:tr>
      <w:tr w:rsidR="00A93FE3" w:rsidRPr="007A5D47" w14:paraId="27EA05C4" w14:textId="77777777" w:rsidTr="00511F7F">
        <w:tc>
          <w:tcPr>
            <w:tcW w:w="1734" w:type="pct"/>
            <w:vMerge/>
            <w:shd w:val="clear" w:color="auto" w:fill="F2F2F2" w:themeFill="background1" w:themeFillShade="F2"/>
            <w:hideMark/>
          </w:tcPr>
          <w:p w14:paraId="02163E17" w14:textId="77777777" w:rsidR="00A93FE3" w:rsidRPr="007A5D47" w:rsidRDefault="00A93FE3" w:rsidP="00511F7F">
            <w:pPr>
              <w:keepNext/>
              <w:jc w:val="left"/>
              <w:rPr>
                <w:rFonts w:eastAsia="Times New Roman" w:cs="Times New Roman"/>
                <w:lang w:eastAsia="fr-FR" w:bidi="ar-SA"/>
              </w:rPr>
            </w:pPr>
          </w:p>
        </w:tc>
        <w:tc>
          <w:tcPr>
            <w:tcW w:w="186" w:type="pct"/>
            <w:hideMark/>
          </w:tcPr>
          <w:p w14:paraId="2A58B918" w14:textId="77777777" w:rsidR="00A93FE3" w:rsidRPr="007A5D47" w:rsidRDefault="00A93FE3" w:rsidP="00511F7F">
            <w:pPr>
              <w:keepNext/>
              <w:jc w:val="center"/>
              <w:rPr>
                <w:rFonts w:eastAsia="Times New Roman" w:cs="Times New Roman"/>
                <w:lang w:eastAsia="fr-FR" w:bidi="ar-SA"/>
              </w:rPr>
            </w:pPr>
            <w:r w:rsidRPr="007A5D47">
              <w:rPr>
                <w:rFonts w:eastAsia="Times New Roman" w:cs="Times New Roman"/>
                <w:lang w:eastAsia="fr-FR" w:bidi="ar-SA"/>
              </w:rPr>
              <w:t>4</w:t>
            </w:r>
          </w:p>
        </w:tc>
        <w:tc>
          <w:tcPr>
            <w:tcW w:w="3080" w:type="pct"/>
            <w:hideMark/>
          </w:tcPr>
          <w:p w14:paraId="28C1A52A" w14:textId="77777777" w:rsidR="00A93FE3" w:rsidRPr="007A5D47" w:rsidRDefault="00A93FE3" w:rsidP="00511F7F">
            <w:pPr>
              <w:keepNext/>
              <w:jc w:val="center"/>
              <w:rPr>
                <w:rFonts w:eastAsia="Times New Roman" w:cs="Times New Roman"/>
                <w:lang w:eastAsia="fr-FR" w:bidi="ar-SA"/>
              </w:rPr>
            </w:pPr>
            <w:r w:rsidRPr="007A5D47">
              <w:rPr>
                <w:rFonts w:eastAsia="Times New Roman" w:cs="Times New Roman"/>
                <w:lang w:eastAsia="fr-FR" w:bidi="ar-SA"/>
              </w:rPr>
              <w:t>Distance supérieure à 100 m</w:t>
            </w:r>
          </w:p>
        </w:tc>
      </w:tr>
      <w:tr w:rsidR="00A93FE3" w:rsidRPr="007A5D47" w14:paraId="67FD01AA" w14:textId="77777777" w:rsidTr="00511F7F">
        <w:tc>
          <w:tcPr>
            <w:tcW w:w="1734" w:type="pct"/>
            <w:vMerge/>
            <w:shd w:val="clear" w:color="auto" w:fill="F2F2F2" w:themeFill="background1" w:themeFillShade="F2"/>
            <w:hideMark/>
          </w:tcPr>
          <w:p w14:paraId="57EBEAF2" w14:textId="77777777" w:rsidR="00A93FE3" w:rsidRPr="007A5D47" w:rsidRDefault="00A93FE3" w:rsidP="00511F7F">
            <w:pPr>
              <w:keepNext/>
              <w:jc w:val="left"/>
              <w:rPr>
                <w:rFonts w:eastAsia="Times New Roman" w:cs="Times New Roman"/>
                <w:lang w:eastAsia="fr-FR" w:bidi="ar-SA"/>
              </w:rPr>
            </w:pPr>
          </w:p>
        </w:tc>
        <w:tc>
          <w:tcPr>
            <w:tcW w:w="186" w:type="pct"/>
            <w:hideMark/>
          </w:tcPr>
          <w:p w14:paraId="10A12F57" w14:textId="77777777" w:rsidR="00A93FE3" w:rsidRPr="007A5D47" w:rsidRDefault="00A93FE3" w:rsidP="00511F7F">
            <w:pPr>
              <w:keepNext/>
              <w:jc w:val="center"/>
              <w:rPr>
                <w:rFonts w:eastAsia="Times New Roman" w:cs="Times New Roman"/>
                <w:lang w:eastAsia="fr-FR" w:bidi="ar-SA"/>
              </w:rPr>
            </w:pPr>
            <w:r w:rsidRPr="007A5D47">
              <w:rPr>
                <w:rFonts w:eastAsia="Times New Roman" w:cs="Times New Roman"/>
                <w:lang w:eastAsia="fr-FR" w:bidi="ar-SA"/>
              </w:rPr>
              <w:t>5</w:t>
            </w:r>
          </w:p>
        </w:tc>
        <w:tc>
          <w:tcPr>
            <w:tcW w:w="3080" w:type="pct"/>
            <w:hideMark/>
          </w:tcPr>
          <w:p w14:paraId="12A1E5E3" w14:textId="77777777" w:rsidR="00A93FE3" w:rsidRPr="007A5D47" w:rsidRDefault="00A93FE3" w:rsidP="00511F7F">
            <w:pPr>
              <w:keepNext/>
              <w:jc w:val="center"/>
              <w:rPr>
                <w:rFonts w:eastAsia="Times New Roman" w:cs="Times New Roman"/>
                <w:lang w:eastAsia="fr-FR" w:bidi="ar-SA"/>
              </w:rPr>
            </w:pPr>
            <w:r w:rsidRPr="007A5D47">
              <w:rPr>
                <w:rFonts w:eastAsia="Times New Roman" w:cs="Times New Roman"/>
                <w:lang w:eastAsia="fr-FR" w:bidi="ar-SA"/>
              </w:rPr>
              <w:t>Distance supérieure à 30 m</w:t>
            </w:r>
          </w:p>
        </w:tc>
      </w:tr>
      <w:tr w:rsidR="00A93FE3" w:rsidRPr="007A5D47" w14:paraId="017FF218" w14:textId="77777777" w:rsidTr="00511F7F">
        <w:tc>
          <w:tcPr>
            <w:tcW w:w="1734" w:type="pct"/>
            <w:shd w:val="clear" w:color="auto" w:fill="F2F2F2" w:themeFill="background1" w:themeFillShade="F2"/>
            <w:hideMark/>
          </w:tcPr>
          <w:p w14:paraId="7035CC8B" w14:textId="77777777" w:rsidR="00A93FE3" w:rsidRPr="007A5D47" w:rsidRDefault="00A93FE3" w:rsidP="00511F7F">
            <w:pPr>
              <w:keepNext/>
              <w:jc w:val="center"/>
              <w:rPr>
                <w:rFonts w:eastAsia="Times New Roman" w:cs="Times New Roman"/>
                <w:lang w:eastAsia="fr-FR" w:bidi="ar-SA"/>
              </w:rPr>
            </w:pPr>
            <w:r w:rsidRPr="007A5D47">
              <w:rPr>
                <w:rFonts w:eastAsia="Times New Roman" w:cs="Times New Roman"/>
                <w:lang w:eastAsia="fr-FR" w:bidi="ar-SA"/>
              </w:rPr>
              <w:t>Aérodrome</w:t>
            </w:r>
          </w:p>
        </w:tc>
        <w:tc>
          <w:tcPr>
            <w:tcW w:w="186" w:type="pct"/>
            <w:hideMark/>
          </w:tcPr>
          <w:p w14:paraId="5AF4DF04" w14:textId="77777777" w:rsidR="00A93FE3" w:rsidRPr="007A5D47" w:rsidRDefault="00A93FE3" w:rsidP="00511F7F">
            <w:pPr>
              <w:keepNext/>
              <w:jc w:val="center"/>
              <w:rPr>
                <w:rFonts w:eastAsia="Times New Roman" w:cs="Times New Roman"/>
                <w:lang w:eastAsia="fr-FR" w:bidi="ar-SA"/>
              </w:rPr>
            </w:pPr>
          </w:p>
        </w:tc>
        <w:tc>
          <w:tcPr>
            <w:tcW w:w="3080" w:type="pct"/>
            <w:hideMark/>
          </w:tcPr>
          <w:p w14:paraId="7F1C734B" w14:textId="77777777" w:rsidR="00A93FE3" w:rsidRPr="007A5D47" w:rsidRDefault="00A93FE3" w:rsidP="00511F7F">
            <w:pPr>
              <w:keepNext/>
              <w:jc w:val="center"/>
              <w:rPr>
                <w:rFonts w:eastAsia="Times New Roman" w:cs="Times New Roman"/>
                <w:lang w:eastAsia="fr-FR" w:bidi="ar-SA"/>
              </w:rPr>
            </w:pPr>
            <w:r w:rsidRPr="007A5D47">
              <w:rPr>
                <w:rFonts w:eastAsia="Times New Roman" w:cs="Times New Roman"/>
                <w:lang w:eastAsia="fr-FR" w:bidi="ar-SA"/>
              </w:rPr>
              <w:t>Hors zone du plan d'exposition au bruit</w:t>
            </w:r>
          </w:p>
        </w:tc>
      </w:tr>
    </w:tbl>
    <w:p w14:paraId="24774149" w14:textId="77777777" w:rsidR="00A93FE3" w:rsidRPr="007A5D47" w:rsidRDefault="00A93FE3" w:rsidP="00A93FE3"/>
    <w:p w14:paraId="0E105AB3" w14:textId="77777777" w:rsidR="00A93FE3" w:rsidRDefault="00A93FE3" w:rsidP="00A93FE3">
      <w:pPr>
        <w:pStyle w:val="Titre6"/>
        <w:numPr>
          <w:ilvl w:val="0"/>
          <w:numId w:val="16"/>
        </w:numPr>
        <w:ind w:left="754" w:hanging="357"/>
      </w:pPr>
      <w:r>
        <w:t>Configuration 2 :</w:t>
      </w:r>
    </w:p>
    <w:p w14:paraId="24744774" w14:textId="77777777" w:rsidR="00A93FE3" w:rsidRPr="007A5D47" w:rsidRDefault="00A93FE3" w:rsidP="00A93FE3">
      <w:r w:rsidRPr="007A5D47">
        <w:t>Dans les autres cas, la classe d'exposition de la baie est déterminée dans les tableaux donnés ci-après à partir d'une part des zones définies dans le plan d'exposition au bruit de l'aérodrome pour les bruits des transports aériens, et d'autre part de la catégorie de l'infrastructure, la distance de l'infrastructure à la façade et de l'angle sous lequel elle est vue par la baie pour les infrastructures de transports terrestres.</w:t>
      </w:r>
    </w:p>
    <w:p w14:paraId="1BE5F4BD" w14:textId="77777777" w:rsidR="00A93FE3" w:rsidRPr="007A5D47" w:rsidRDefault="00A93FE3" w:rsidP="00A93FE3">
      <w:r w:rsidRPr="007A5D47">
        <w:t>Dans le cas de plusieurs infrastructures, on retiendra la classe d'exposition au bruit la plus défavorable.</w:t>
      </w:r>
    </w:p>
    <w:p w14:paraId="5FEAAC58" w14:textId="77777777" w:rsidR="00A93FE3" w:rsidRPr="005376F7" w:rsidRDefault="00A93FE3" w:rsidP="00A93FE3">
      <w:pPr>
        <w:pStyle w:val="Lgende"/>
        <w:keepNext/>
        <w:rPr>
          <w:sz w:val="20"/>
        </w:rPr>
      </w:pPr>
      <w:r>
        <w:rPr>
          <w:sz w:val="20"/>
        </w:rPr>
        <w:t>En cas d’e</w:t>
      </w:r>
      <w:r w:rsidRPr="005376F7">
        <w:rPr>
          <w:sz w:val="20"/>
        </w:rPr>
        <w:t xml:space="preserve">xposition au bruit des </w:t>
      </w:r>
      <w:r>
        <w:rPr>
          <w:sz w:val="20"/>
        </w:rPr>
        <w:t>aérodromes :</w:t>
      </w:r>
    </w:p>
    <w:tbl>
      <w:tblPr>
        <w:tblStyle w:val="Grilledutableau"/>
        <w:tblW w:w="5000" w:type="pct"/>
        <w:tblLook w:val="04A0" w:firstRow="1" w:lastRow="0" w:firstColumn="1" w:lastColumn="0" w:noHBand="0" w:noVBand="1"/>
      </w:tblPr>
      <w:tblGrid>
        <w:gridCol w:w="1461"/>
        <w:gridCol w:w="1450"/>
        <w:gridCol w:w="1430"/>
        <w:gridCol w:w="1430"/>
        <w:gridCol w:w="1450"/>
        <w:gridCol w:w="1841"/>
      </w:tblGrid>
      <w:tr w:rsidR="00A93FE3" w:rsidRPr="007A5D47" w14:paraId="0AD0B455" w14:textId="77777777" w:rsidTr="00511F7F">
        <w:tc>
          <w:tcPr>
            <w:tcW w:w="806" w:type="pct"/>
            <w:hideMark/>
          </w:tcPr>
          <w:p w14:paraId="48E29E92" w14:textId="77777777" w:rsidR="00A93FE3" w:rsidRPr="007A5D47" w:rsidRDefault="00A93FE3" w:rsidP="00511F7F">
            <w:pPr>
              <w:keepNext/>
              <w:keepLines/>
              <w:jc w:val="left"/>
              <w:rPr>
                <w:rFonts w:eastAsia="Times New Roman" w:cs="Times New Roman"/>
                <w:lang w:eastAsia="fr-FR" w:bidi="ar-SA"/>
              </w:rPr>
            </w:pPr>
          </w:p>
        </w:tc>
        <w:tc>
          <w:tcPr>
            <w:tcW w:w="4194" w:type="pct"/>
            <w:gridSpan w:val="5"/>
            <w:shd w:val="clear" w:color="auto" w:fill="A6A6A6" w:themeFill="background1" w:themeFillShade="A6"/>
            <w:hideMark/>
          </w:tcPr>
          <w:p w14:paraId="38EA2D18" w14:textId="77777777" w:rsidR="00A93FE3" w:rsidRPr="007A5D47" w:rsidRDefault="00A93FE3" w:rsidP="00511F7F">
            <w:pPr>
              <w:keepNext/>
              <w:keepLines/>
              <w:spacing w:before="100" w:beforeAutospacing="1" w:after="100" w:afterAutospacing="1"/>
              <w:jc w:val="center"/>
              <w:rPr>
                <w:rFonts w:eastAsia="Times New Roman" w:cs="Times New Roman"/>
                <w:lang w:eastAsia="fr-FR" w:bidi="ar-SA"/>
              </w:rPr>
            </w:pPr>
            <w:r w:rsidRPr="007A5D47">
              <w:rPr>
                <w:rFonts w:eastAsia="Times New Roman" w:cs="Times New Roman"/>
                <w:lang w:eastAsia="fr-FR" w:bidi="ar-SA"/>
              </w:rPr>
              <w:t>LOCALISATION DU BÂTIMENT DANS LE PLAN D'EXPOSITION</w:t>
            </w:r>
            <w:r w:rsidRPr="007A5D47">
              <w:rPr>
                <w:rFonts w:eastAsia="Times New Roman" w:cs="Times New Roman"/>
                <w:lang w:eastAsia="fr-FR" w:bidi="ar-SA"/>
              </w:rPr>
              <w:br/>
              <w:t>au bruit de l'aérodrome</w:t>
            </w:r>
          </w:p>
        </w:tc>
      </w:tr>
      <w:tr w:rsidR="00A93FE3" w:rsidRPr="007A5D47" w14:paraId="75669AF9" w14:textId="77777777" w:rsidTr="00511F7F">
        <w:tc>
          <w:tcPr>
            <w:tcW w:w="806" w:type="pct"/>
            <w:hideMark/>
          </w:tcPr>
          <w:p w14:paraId="03A2E6B7" w14:textId="77777777" w:rsidR="00A93FE3" w:rsidRPr="007A5D47" w:rsidRDefault="00A93FE3" w:rsidP="00511F7F">
            <w:pPr>
              <w:keepNext/>
              <w:keepLines/>
              <w:jc w:val="center"/>
              <w:rPr>
                <w:rFonts w:eastAsia="Times New Roman" w:cs="Times New Roman"/>
                <w:lang w:eastAsia="fr-FR" w:bidi="ar-SA"/>
              </w:rPr>
            </w:pPr>
          </w:p>
        </w:tc>
        <w:tc>
          <w:tcPr>
            <w:tcW w:w="800" w:type="pct"/>
            <w:shd w:val="clear" w:color="auto" w:fill="A6A6A6" w:themeFill="background1" w:themeFillShade="A6"/>
            <w:hideMark/>
          </w:tcPr>
          <w:p w14:paraId="1B79B90C" w14:textId="77777777" w:rsidR="00A93FE3" w:rsidRPr="007A5D47" w:rsidRDefault="00A93FE3" w:rsidP="00511F7F">
            <w:pPr>
              <w:keepNext/>
              <w:keepLines/>
              <w:jc w:val="center"/>
              <w:rPr>
                <w:rFonts w:eastAsia="Times New Roman" w:cs="Times New Roman"/>
                <w:lang w:eastAsia="fr-FR" w:bidi="ar-SA"/>
              </w:rPr>
            </w:pPr>
            <w:r w:rsidRPr="007A5D47">
              <w:rPr>
                <w:rFonts w:eastAsia="Times New Roman" w:cs="Times New Roman"/>
                <w:lang w:eastAsia="fr-FR" w:bidi="ar-SA"/>
              </w:rPr>
              <w:t>Zone A</w:t>
            </w:r>
          </w:p>
        </w:tc>
        <w:tc>
          <w:tcPr>
            <w:tcW w:w="789" w:type="pct"/>
            <w:shd w:val="clear" w:color="auto" w:fill="A6A6A6" w:themeFill="background1" w:themeFillShade="A6"/>
            <w:hideMark/>
          </w:tcPr>
          <w:p w14:paraId="27BCCE8A" w14:textId="77777777" w:rsidR="00A93FE3" w:rsidRPr="007A5D47" w:rsidRDefault="00A93FE3" w:rsidP="00511F7F">
            <w:pPr>
              <w:keepNext/>
              <w:keepLines/>
              <w:jc w:val="center"/>
              <w:rPr>
                <w:rFonts w:eastAsia="Times New Roman" w:cs="Times New Roman"/>
                <w:lang w:eastAsia="fr-FR" w:bidi="ar-SA"/>
              </w:rPr>
            </w:pPr>
            <w:r w:rsidRPr="007A5D47">
              <w:rPr>
                <w:rFonts w:eastAsia="Times New Roman" w:cs="Times New Roman"/>
                <w:lang w:eastAsia="fr-FR" w:bidi="ar-SA"/>
              </w:rPr>
              <w:t>Zone B</w:t>
            </w:r>
          </w:p>
        </w:tc>
        <w:tc>
          <w:tcPr>
            <w:tcW w:w="789" w:type="pct"/>
            <w:shd w:val="clear" w:color="auto" w:fill="A6A6A6" w:themeFill="background1" w:themeFillShade="A6"/>
            <w:hideMark/>
          </w:tcPr>
          <w:p w14:paraId="114C3B0F" w14:textId="77777777" w:rsidR="00A93FE3" w:rsidRPr="007A5D47" w:rsidRDefault="00A93FE3" w:rsidP="00511F7F">
            <w:pPr>
              <w:keepNext/>
              <w:keepLines/>
              <w:jc w:val="center"/>
              <w:rPr>
                <w:rFonts w:eastAsia="Times New Roman" w:cs="Times New Roman"/>
                <w:lang w:eastAsia="fr-FR" w:bidi="ar-SA"/>
              </w:rPr>
            </w:pPr>
            <w:r w:rsidRPr="007A5D47">
              <w:rPr>
                <w:rFonts w:eastAsia="Times New Roman" w:cs="Times New Roman"/>
                <w:lang w:eastAsia="fr-FR" w:bidi="ar-SA"/>
              </w:rPr>
              <w:t>Zone C</w:t>
            </w:r>
          </w:p>
        </w:tc>
        <w:tc>
          <w:tcPr>
            <w:tcW w:w="800" w:type="pct"/>
            <w:shd w:val="clear" w:color="auto" w:fill="A6A6A6" w:themeFill="background1" w:themeFillShade="A6"/>
            <w:hideMark/>
          </w:tcPr>
          <w:p w14:paraId="34826765" w14:textId="77777777" w:rsidR="00A93FE3" w:rsidRPr="007A5D47" w:rsidRDefault="00A93FE3" w:rsidP="00511F7F">
            <w:pPr>
              <w:keepNext/>
              <w:keepLines/>
              <w:jc w:val="center"/>
              <w:rPr>
                <w:rFonts w:eastAsia="Times New Roman" w:cs="Times New Roman"/>
                <w:lang w:eastAsia="fr-FR" w:bidi="ar-SA"/>
              </w:rPr>
            </w:pPr>
            <w:r w:rsidRPr="007A5D47">
              <w:rPr>
                <w:rFonts w:eastAsia="Times New Roman" w:cs="Times New Roman"/>
                <w:lang w:eastAsia="fr-FR" w:bidi="ar-SA"/>
              </w:rPr>
              <w:t>Zone D</w:t>
            </w:r>
          </w:p>
        </w:tc>
        <w:tc>
          <w:tcPr>
            <w:tcW w:w="1016" w:type="pct"/>
            <w:shd w:val="clear" w:color="auto" w:fill="A6A6A6" w:themeFill="background1" w:themeFillShade="A6"/>
            <w:hideMark/>
          </w:tcPr>
          <w:p w14:paraId="09C56955" w14:textId="77777777" w:rsidR="00A93FE3" w:rsidRPr="007A5D47" w:rsidRDefault="00A93FE3" w:rsidP="00511F7F">
            <w:pPr>
              <w:keepNext/>
              <w:keepLines/>
              <w:jc w:val="center"/>
              <w:rPr>
                <w:rFonts w:eastAsia="Times New Roman" w:cs="Times New Roman"/>
                <w:lang w:eastAsia="fr-FR" w:bidi="ar-SA"/>
              </w:rPr>
            </w:pPr>
            <w:r w:rsidRPr="007A5D47">
              <w:rPr>
                <w:rFonts w:eastAsia="Times New Roman" w:cs="Times New Roman"/>
                <w:lang w:eastAsia="fr-FR" w:bidi="ar-SA"/>
              </w:rPr>
              <w:t>Hors zone</w:t>
            </w:r>
          </w:p>
        </w:tc>
      </w:tr>
      <w:tr w:rsidR="00A93FE3" w:rsidRPr="007A5D47" w14:paraId="30932640" w14:textId="77777777" w:rsidTr="00511F7F">
        <w:tc>
          <w:tcPr>
            <w:tcW w:w="806" w:type="pct"/>
            <w:shd w:val="clear" w:color="auto" w:fill="F2F2F2" w:themeFill="background1" w:themeFillShade="F2"/>
            <w:hideMark/>
          </w:tcPr>
          <w:p w14:paraId="7C542C07" w14:textId="77777777" w:rsidR="00A93FE3" w:rsidRPr="007A5D47" w:rsidRDefault="00A93FE3" w:rsidP="00511F7F">
            <w:pPr>
              <w:keepNext/>
              <w:keepLines/>
              <w:jc w:val="center"/>
              <w:rPr>
                <w:rFonts w:eastAsia="Times New Roman" w:cs="Times New Roman"/>
                <w:lang w:eastAsia="fr-FR" w:bidi="ar-SA"/>
              </w:rPr>
            </w:pPr>
            <w:r w:rsidRPr="007A5D47">
              <w:rPr>
                <w:rFonts w:eastAsia="Times New Roman" w:cs="Times New Roman"/>
                <w:lang w:eastAsia="fr-FR" w:bidi="ar-SA"/>
              </w:rPr>
              <w:t>Toutes vues</w:t>
            </w:r>
          </w:p>
        </w:tc>
        <w:tc>
          <w:tcPr>
            <w:tcW w:w="800" w:type="pct"/>
            <w:hideMark/>
          </w:tcPr>
          <w:p w14:paraId="442A0633" w14:textId="77777777" w:rsidR="00A93FE3" w:rsidRPr="007A5D47" w:rsidRDefault="00A93FE3" w:rsidP="00511F7F">
            <w:pPr>
              <w:keepNext/>
              <w:keepLines/>
              <w:jc w:val="center"/>
              <w:rPr>
                <w:rFonts w:eastAsia="Times New Roman" w:cs="Times New Roman"/>
                <w:lang w:eastAsia="fr-FR" w:bidi="ar-SA"/>
              </w:rPr>
            </w:pPr>
            <w:r w:rsidRPr="007A5D47">
              <w:rPr>
                <w:rFonts w:eastAsia="Times New Roman" w:cs="Times New Roman"/>
                <w:lang w:eastAsia="fr-FR" w:bidi="ar-SA"/>
              </w:rPr>
              <w:t>BR3</w:t>
            </w:r>
          </w:p>
        </w:tc>
        <w:tc>
          <w:tcPr>
            <w:tcW w:w="789" w:type="pct"/>
            <w:hideMark/>
          </w:tcPr>
          <w:p w14:paraId="1B3C9D88" w14:textId="77777777" w:rsidR="00A93FE3" w:rsidRPr="007A5D47" w:rsidRDefault="00A93FE3" w:rsidP="00511F7F">
            <w:pPr>
              <w:keepNext/>
              <w:keepLines/>
              <w:jc w:val="center"/>
              <w:rPr>
                <w:rFonts w:eastAsia="Times New Roman" w:cs="Times New Roman"/>
                <w:lang w:eastAsia="fr-FR" w:bidi="ar-SA"/>
              </w:rPr>
            </w:pPr>
            <w:r w:rsidRPr="007A5D47">
              <w:rPr>
                <w:rFonts w:eastAsia="Times New Roman" w:cs="Times New Roman"/>
                <w:lang w:eastAsia="fr-FR" w:bidi="ar-SA"/>
              </w:rPr>
              <w:t>BR3</w:t>
            </w:r>
          </w:p>
        </w:tc>
        <w:tc>
          <w:tcPr>
            <w:tcW w:w="789" w:type="pct"/>
            <w:hideMark/>
          </w:tcPr>
          <w:p w14:paraId="7F743D6C" w14:textId="77777777" w:rsidR="00A93FE3" w:rsidRPr="007A5D47" w:rsidRDefault="00A93FE3" w:rsidP="00511F7F">
            <w:pPr>
              <w:keepNext/>
              <w:keepLines/>
              <w:jc w:val="center"/>
              <w:rPr>
                <w:rFonts w:eastAsia="Times New Roman" w:cs="Times New Roman"/>
                <w:lang w:eastAsia="fr-FR" w:bidi="ar-SA"/>
              </w:rPr>
            </w:pPr>
            <w:r w:rsidRPr="007A5D47">
              <w:rPr>
                <w:rFonts w:eastAsia="Times New Roman" w:cs="Times New Roman"/>
                <w:lang w:eastAsia="fr-FR" w:bidi="ar-SA"/>
              </w:rPr>
              <w:t>BR3</w:t>
            </w:r>
          </w:p>
        </w:tc>
        <w:tc>
          <w:tcPr>
            <w:tcW w:w="800" w:type="pct"/>
            <w:hideMark/>
          </w:tcPr>
          <w:p w14:paraId="29656254" w14:textId="77777777" w:rsidR="00A93FE3" w:rsidRPr="007A5D47" w:rsidRDefault="00A93FE3" w:rsidP="00511F7F">
            <w:pPr>
              <w:keepNext/>
              <w:keepLines/>
              <w:jc w:val="center"/>
              <w:rPr>
                <w:rFonts w:eastAsia="Times New Roman" w:cs="Times New Roman"/>
                <w:lang w:eastAsia="fr-FR" w:bidi="ar-SA"/>
              </w:rPr>
            </w:pPr>
            <w:r w:rsidRPr="007A5D47">
              <w:rPr>
                <w:rFonts w:eastAsia="Times New Roman" w:cs="Times New Roman"/>
                <w:lang w:eastAsia="fr-FR" w:bidi="ar-SA"/>
              </w:rPr>
              <w:t>BR2</w:t>
            </w:r>
          </w:p>
        </w:tc>
        <w:tc>
          <w:tcPr>
            <w:tcW w:w="1016" w:type="pct"/>
            <w:hideMark/>
          </w:tcPr>
          <w:p w14:paraId="317A015D" w14:textId="77777777" w:rsidR="00A93FE3" w:rsidRPr="007A5D47" w:rsidRDefault="00A93FE3" w:rsidP="00511F7F">
            <w:pPr>
              <w:keepNext/>
              <w:keepLines/>
              <w:jc w:val="center"/>
              <w:rPr>
                <w:rFonts w:eastAsia="Times New Roman" w:cs="Times New Roman"/>
                <w:lang w:eastAsia="fr-FR" w:bidi="ar-SA"/>
              </w:rPr>
            </w:pPr>
            <w:r w:rsidRPr="007A5D47">
              <w:rPr>
                <w:rFonts w:eastAsia="Times New Roman" w:cs="Times New Roman"/>
                <w:lang w:eastAsia="fr-FR" w:bidi="ar-SA"/>
              </w:rPr>
              <w:t>BR1</w:t>
            </w:r>
          </w:p>
        </w:tc>
      </w:tr>
    </w:tbl>
    <w:p w14:paraId="182F3A72" w14:textId="77777777" w:rsidR="00A93FE3" w:rsidRDefault="00A93FE3" w:rsidP="00A93FE3"/>
    <w:p w14:paraId="66E1EF0B" w14:textId="77777777" w:rsidR="00A93FE3" w:rsidRPr="005376F7" w:rsidRDefault="00A93FE3" w:rsidP="00A93FE3">
      <w:pPr>
        <w:pStyle w:val="Lgende"/>
        <w:keepNext/>
        <w:rPr>
          <w:sz w:val="20"/>
        </w:rPr>
      </w:pPr>
      <w:r w:rsidRPr="005376F7">
        <w:rPr>
          <w:sz w:val="20"/>
        </w:rPr>
        <w:lastRenderedPageBreak/>
        <w:t>En cas d’exposition au bruit des</w:t>
      </w:r>
      <w:r>
        <w:rPr>
          <w:sz w:val="20"/>
        </w:rPr>
        <w:t xml:space="preserve"> infrastructures de</w:t>
      </w:r>
      <w:r w:rsidRPr="005376F7">
        <w:rPr>
          <w:sz w:val="20"/>
        </w:rPr>
        <w:t xml:space="preserve"> transports terrestre</w:t>
      </w:r>
      <w:r>
        <w:rPr>
          <w:sz w:val="20"/>
        </w:rPr>
        <w:t>s :</w:t>
      </w:r>
    </w:p>
    <w:tbl>
      <w:tblPr>
        <w:tblW w:w="5002" w:type="pct"/>
        <w:tblBorders>
          <w:top w:val="single" w:sz="6" w:space="0" w:color="auto"/>
          <w:left w:val="single" w:sz="6" w:space="0" w:color="auto"/>
          <w:bottom w:val="single" w:sz="6" w:space="0" w:color="auto"/>
          <w:right w:val="single" w:sz="6" w:space="0" w:color="auto"/>
        </w:tblBorders>
        <w:tblCellMar>
          <w:left w:w="31" w:type="dxa"/>
          <w:right w:w="31" w:type="dxa"/>
        </w:tblCellMar>
        <w:tblLook w:val="0000" w:firstRow="0" w:lastRow="0" w:firstColumn="0" w:lastColumn="0" w:noHBand="0" w:noVBand="0"/>
      </w:tblPr>
      <w:tblGrid>
        <w:gridCol w:w="2823"/>
        <w:gridCol w:w="846"/>
        <w:gridCol w:w="991"/>
        <w:gridCol w:w="1709"/>
        <w:gridCol w:w="1812"/>
        <w:gridCol w:w="879"/>
      </w:tblGrid>
      <w:tr w:rsidR="00A93FE3" w:rsidRPr="007A5D47" w14:paraId="55C882A0" w14:textId="77777777" w:rsidTr="00511F7F">
        <w:trPr>
          <w:cantSplit/>
          <w:trHeight w:val="20"/>
        </w:trPr>
        <w:tc>
          <w:tcPr>
            <w:tcW w:w="1558" w:type="pct"/>
            <w:vMerge w:val="restart"/>
            <w:tcBorders>
              <w:top w:val="single" w:sz="6" w:space="0" w:color="auto"/>
              <w:left w:val="single" w:sz="6" w:space="0" w:color="auto"/>
              <w:bottom w:val="single" w:sz="6" w:space="0" w:color="auto"/>
              <w:right w:val="single" w:sz="6" w:space="0" w:color="auto"/>
              <w:tl2br w:val="single" w:sz="6" w:space="0" w:color="auto"/>
            </w:tcBorders>
            <w:shd w:val="clear" w:color="auto" w:fill="A6A6A6" w:themeFill="background1" w:themeFillShade="A6"/>
          </w:tcPr>
          <w:p w14:paraId="049C6BB7" w14:textId="77777777" w:rsidR="00A93FE3" w:rsidRPr="007A5D47" w:rsidRDefault="00A93FE3" w:rsidP="00511F7F">
            <w:pPr>
              <w:keepNext/>
              <w:keepLines/>
              <w:overflowPunct w:val="0"/>
              <w:autoSpaceDE w:val="0"/>
              <w:autoSpaceDN w:val="0"/>
              <w:adjustRightInd w:val="0"/>
              <w:spacing w:after="0"/>
              <w:jc w:val="right"/>
            </w:pPr>
            <w:r>
              <w:t xml:space="preserve">   </w:t>
            </w:r>
            <w:r w:rsidRPr="007A5D47">
              <w:t xml:space="preserve">Vue de l’infrastructure Distance </w:t>
            </w:r>
            <w:r>
              <w:t xml:space="preserve">           </w:t>
            </w:r>
            <w:r w:rsidRPr="007A5D47">
              <w:t>depuis la baie</w:t>
            </w:r>
          </w:p>
          <w:p w14:paraId="7FDD0279" w14:textId="060C7F6E" w:rsidR="00A93FE3" w:rsidRPr="007A5D47" w:rsidRDefault="00003F58" w:rsidP="00511F7F">
            <w:pPr>
              <w:keepNext/>
              <w:keepLines/>
              <w:overflowPunct w:val="0"/>
              <w:autoSpaceDE w:val="0"/>
              <w:autoSpaceDN w:val="0"/>
              <w:adjustRightInd w:val="0"/>
              <w:spacing w:before="60" w:after="0"/>
              <w:jc w:val="left"/>
            </w:pPr>
            <w:r>
              <w:t xml:space="preserve">   </w:t>
            </w:r>
            <w:r w:rsidR="00A93FE3" w:rsidRPr="007A5D47">
              <w:t>à l’infrastructure</w:t>
            </w:r>
          </w:p>
        </w:tc>
        <w:tc>
          <w:tcPr>
            <w:tcW w:w="467" w:type="pct"/>
            <w:vMerge w:val="restart"/>
            <w:tcBorders>
              <w:top w:val="single" w:sz="6" w:space="0" w:color="auto"/>
              <w:left w:val="single" w:sz="6" w:space="0" w:color="auto"/>
              <w:right w:val="single" w:sz="6" w:space="0" w:color="auto"/>
            </w:tcBorders>
            <w:shd w:val="clear" w:color="auto" w:fill="A6A6A6" w:themeFill="background1" w:themeFillShade="A6"/>
          </w:tcPr>
          <w:p w14:paraId="5CB4E899" w14:textId="77777777" w:rsidR="00A93FE3" w:rsidRPr="007A5D47" w:rsidRDefault="00A93FE3" w:rsidP="00511F7F">
            <w:pPr>
              <w:keepNext/>
              <w:keepLines/>
              <w:overflowPunct w:val="0"/>
              <w:autoSpaceDE w:val="0"/>
              <w:autoSpaceDN w:val="0"/>
              <w:adjustRightInd w:val="0"/>
              <w:spacing w:after="0"/>
              <w:jc w:val="center"/>
            </w:pPr>
            <w:r w:rsidRPr="007A5D47">
              <w:t>Vue directe</w:t>
            </w:r>
          </w:p>
        </w:tc>
        <w:tc>
          <w:tcPr>
            <w:tcW w:w="547" w:type="pct"/>
            <w:vMerge w:val="restart"/>
            <w:tcBorders>
              <w:top w:val="single" w:sz="6" w:space="0" w:color="auto"/>
              <w:left w:val="single" w:sz="6" w:space="0" w:color="auto"/>
              <w:right w:val="single" w:sz="6" w:space="0" w:color="auto"/>
            </w:tcBorders>
            <w:shd w:val="clear" w:color="auto" w:fill="A6A6A6" w:themeFill="background1" w:themeFillShade="A6"/>
          </w:tcPr>
          <w:p w14:paraId="234C0D2D" w14:textId="77777777" w:rsidR="00A93FE3" w:rsidRPr="007A5D47" w:rsidRDefault="00A93FE3" w:rsidP="00511F7F">
            <w:pPr>
              <w:keepNext/>
              <w:keepLines/>
              <w:overflowPunct w:val="0"/>
              <w:autoSpaceDE w:val="0"/>
              <w:autoSpaceDN w:val="0"/>
              <w:adjustRightInd w:val="0"/>
              <w:spacing w:after="0"/>
              <w:jc w:val="center"/>
            </w:pPr>
            <w:r w:rsidRPr="007A5D47">
              <w:t>Vue partielle</w:t>
            </w:r>
          </w:p>
        </w:tc>
        <w:tc>
          <w:tcPr>
            <w:tcW w:w="1943" w:type="pct"/>
            <w:gridSpan w:val="2"/>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37A237C9" w14:textId="77CB56B3" w:rsidR="00A93FE3" w:rsidRPr="007A5D47" w:rsidRDefault="00003F58" w:rsidP="00511F7F">
            <w:pPr>
              <w:keepNext/>
              <w:keepLines/>
              <w:overflowPunct w:val="0"/>
              <w:autoSpaceDE w:val="0"/>
              <w:autoSpaceDN w:val="0"/>
              <w:adjustRightInd w:val="0"/>
              <w:spacing w:after="0"/>
              <w:jc w:val="center"/>
            </w:pPr>
            <w:r>
              <w:t xml:space="preserve">Vue </w:t>
            </w:r>
            <w:r w:rsidR="00A93FE3" w:rsidRPr="007A5D47">
              <w:t>masquée par des obstacles</w:t>
            </w:r>
          </w:p>
        </w:tc>
        <w:tc>
          <w:tcPr>
            <w:tcW w:w="485" w:type="pct"/>
            <w:vMerge w:val="restart"/>
            <w:tcBorders>
              <w:top w:val="single" w:sz="6" w:space="0" w:color="auto"/>
              <w:left w:val="single" w:sz="6" w:space="0" w:color="auto"/>
              <w:right w:val="single" w:sz="6" w:space="0" w:color="auto"/>
            </w:tcBorders>
            <w:shd w:val="clear" w:color="auto" w:fill="A6A6A6" w:themeFill="background1" w:themeFillShade="A6"/>
          </w:tcPr>
          <w:p w14:paraId="6542FBF3" w14:textId="77777777" w:rsidR="00A93FE3" w:rsidRPr="007A5D47" w:rsidRDefault="00A93FE3" w:rsidP="00511F7F">
            <w:pPr>
              <w:keepNext/>
              <w:keepLines/>
              <w:overflowPunct w:val="0"/>
              <w:autoSpaceDE w:val="0"/>
              <w:autoSpaceDN w:val="0"/>
              <w:adjustRightInd w:val="0"/>
              <w:spacing w:after="0"/>
              <w:jc w:val="center"/>
            </w:pPr>
            <w:r w:rsidRPr="007A5D47">
              <w:t xml:space="preserve">Vue arrière </w:t>
            </w:r>
          </w:p>
        </w:tc>
      </w:tr>
      <w:tr w:rsidR="00A93FE3" w:rsidRPr="007A5D47" w14:paraId="4D9793D2" w14:textId="77777777" w:rsidTr="00511F7F">
        <w:trPr>
          <w:cantSplit/>
          <w:trHeight w:val="20"/>
        </w:trPr>
        <w:tc>
          <w:tcPr>
            <w:tcW w:w="1558" w:type="pct"/>
            <w:vMerge/>
            <w:tcBorders>
              <w:top w:val="nil"/>
              <w:left w:val="single" w:sz="6" w:space="0" w:color="auto"/>
              <w:bottom w:val="single" w:sz="6" w:space="0" w:color="auto"/>
              <w:right w:val="single" w:sz="6" w:space="0" w:color="auto"/>
              <w:tl2br w:val="single" w:sz="6" w:space="0" w:color="auto"/>
            </w:tcBorders>
            <w:shd w:val="clear" w:color="auto" w:fill="A6A6A6" w:themeFill="background1" w:themeFillShade="A6"/>
          </w:tcPr>
          <w:p w14:paraId="08481CCE" w14:textId="77777777" w:rsidR="00A93FE3" w:rsidRPr="007A5D47" w:rsidRDefault="00A93FE3" w:rsidP="00511F7F">
            <w:pPr>
              <w:keepNext/>
              <w:keepLines/>
              <w:overflowPunct w:val="0"/>
              <w:autoSpaceDE w:val="0"/>
              <w:autoSpaceDN w:val="0"/>
              <w:adjustRightInd w:val="0"/>
              <w:spacing w:after="0"/>
              <w:jc w:val="right"/>
            </w:pPr>
          </w:p>
        </w:tc>
        <w:tc>
          <w:tcPr>
            <w:tcW w:w="467" w:type="pct"/>
            <w:vMerge/>
            <w:tcBorders>
              <w:left w:val="single" w:sz="6" w:space="0" w:color="auto"/>
              <w:bottom w:val="single" w:sz="6" w:space="0" w:color="auto"/>
              <w:right w:val="single" w:sz="6" w:space="0" w:color="auto"/>
            </w:tcBorders>
            <w:shd w:val="clear" w:color="auto" w:fill="A6A6A6" w:themeFill="background1" w:themeFillShade="A6"/>
          </w:tcPr>
          <w:p w14:paraId="5185B4CC" w14:textId="77777777" w:rsidR="00A93FE3" w:rsidRPr="007A5D47" w:rsidRDefault="00A93FE3" w:rsidP="00511F7F">
            <w:pPr>
              <w:keepNext/>
              <w:keepLines/>
              <w:overflowPunct w:val="0"/>
              <w:autoSpaceDE w:val="0"/>
              <w:autoSpaceDN w:val="0"/>
              <w:adjustRightInd w:val="0"/>
              <w:spacing w:after="0"/>
              <w:jc w:val="center"/>
            </w:pPr>
          </w:p>
        </w:tc>
        <w:tc>
          <w:tcPr>
            <w:tcW w:w="547" w:type="pct"/>
            <w:vMerge/>
            <w:tcBorders>
              <w:left w:val="single" w:sz="6" w:space="0" w:color="auto"/>
              <w:bottom w:val="single" w:sz="6" w:space="0" w:color="auto"/>
              <w:right w:val="single" w:sz="6" w:space="0" w:color="auto"/>
            </w:tcBorders>
            <w:shd w:val="clear" w:color="auto" w:fill="A6A6A6" w:themeFill="background1" w:themeFillShade="A6"/>
          </w:tcPr>
          <w:p w14:paraId="1175C529" w14:textId="77777777" w:rsidR="00A93FE3" w:rsidRPr="007A5D47" w:rsidRDefault="00A93FE3" w:rsidP="00511F7F">
            <w:pPr>
              <w:keepNext/>
              <w:keepLines/>
              <w:overflowPunct w:val="0"/>
              <w:autoSpaceDE w:val="0"/>
              <w:autoSpaceDN w:val="0"/>
              <w:adjustRightInd w:val="0"/>
              <w:spacing w:after="0"/>
              <w:jc w:val="center"/>
            </w:pPr>
          </w:p>
        </w:tc>
        <w:tc>
          <w:tcPr>
            <w:tcW w:w="943" w:type="pct"/>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6E198192" w14:textId="77777777" w:rsidR="00A93FE3" w:rsidRPr="007A5D47" w:rsidRDefault="00A93FE3" w:rsidP="00511F7F">
            <w:pPr>
              <w:keepNext/>
              <w:keepLines/>
              <w:overflowPunct w:val="0"/>
              <w:autoSpaceDE w:val="0"/>
              <w:autoSpaceDN w:val="0"/>
              <w:adjustRightInd w:val="0"/>
              <w:spacing w:after="0"/>
              <w:jc w:val="center"/>
            </w:pPr>
            <w:r w:rsidRPr="007A5D47">
              <w:t>peu protecteurs </w:t>
            </w:r>
          </w:p>
        </w:tc>
        <w:tc>
          <w:tcPr>
            <w:tcW w:w="1000" w:type="pct"/>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638CA969" w14:textId="77777777" w:rsidR="00A93FE3" w:rsidRPr="007A5D47" w:rsidRDefault="00A93FE3" w:rsidP="00511F7F">
            <w:pPr>
              <w:keepNext/>
              <w:keepLines/>
              <w:overflowPunct w:val="0"/>
              <w:autoSpaceDE w:val="0"/>
              <w:autoSpaceDN w:val="0"/>
              <w:adjustRightInd w:val="0"/>
              <w:spacing w:after="0"/>
              <w:jc w:val="center"/>
            </w:pPr>
            <w:r w:rsidRPr="007A5D47">
              <w:t>très protecteurs</w:t>
            </w:r>
          </w:p>
        </w:tc>
        <w:tc>
          <w:tcPr>
            <w:tcW w:w="485" w:type="pct"/>
            <w:vMerge/>
            <w:tcBorders>
              <w:left w:val="single" w:sz="6" w:space="0" w:color="auto"/>
              <w:bottom w:val="single" w:sz="6" w:space="0" w:color="auto"/>
              <w:right w:val="single" w:sz="6" w:space="0" w:color="auto"/>
            </w:tcBorders>
            <w:shd w:val="clear" w:color="auto" w:fill="A6A6A6" w:themeFill="background1" w:themeFillShade="A6"/>
          </w:tcPr>
          <w:p w14:paraId="264C063A" w14:textId="77777777" w:rsidR="00A93FE3" w:rsidRPr="007A5D47" w:rsidRDefault="00A93FE3" w:rsidP="00511F7F">
            <w:pPr>
              <w:keepNext/>
              <w:keepLines/>
              <w:overflowPunct w:val="0"/>
              <w:autoSpaceDE w:val="0"/>
              <w:autoSpaceDN w:val="0"/>
              <w:adjustRightInd w:val="0"/>
              <w:spacing w:after="0"/>
              <w:jc w:val="center"/>
            </w:pPr>
          </w:p>
        </w:tc>
      </w:tr>
      <w:tr w:rsidR="00A93FE3" w:rsidRPr="007A5D47" w14:paraId="0E2900F1" w14:textId="77777777" w:rsidTr="00511F7F">
        <w:trPr>
          <w:cantSplit/>
          <w:trHeight w:val="20"/>
        </w:trPr>
        <w:tc>
          <w:tcPr>
            <w:tcW w:w="5000" w:type="pct"/>
            <w:gridSpan w:val="6"/>
            <w:tcBorders>
              <w:left w:val="single" w:sz="6" w:space="0" w:color="auto"/>
              <w:bottom w:val="single" w:sz="6" w:space="0" w:color="auto"/>
              <w:right w:val="single" w:sz="6" w:space="0" w:color="auto"/>
            </w:tcBorders>
            <w:shd w:val="clear" w:color="auto" w:fill="A6A6A6" w:themeFill="background1" w:themeFillShade="A6"/>
          </w:tcPr>
          <w:p w14:paraId="4B0EB455" w14:textId="77777777" w:rsidR="00A93FE3" w:rsidRPr="007A5D47" w:rsidRDefault="00A93FE3" w:rsidP="00511F7F">
            <w:pPr>
              <w:keepNext/>
              <w:keepLines/>
              <w:overflowPunct w:val="0"/>
              <w:autoSpaceDE w:val="0"/>
              <w:autoSpaceDN w:val="0"/>
              <w:adjustRightInd w:val="0"/>
              <w:spacing w:after="0"/>
              <w:jc w:val="center"/>
            </w:pPr>
            <w:r w:rsidRPr="007A5D47">
              <w:t>Infrastructure de catégorie 1</w:t>
            </w:r>
          </w:p>
        </w:tc>
      </w:tr>
      <w:tr w:rsidR="00A93FE3" w:rsidRPr="007A5D47" w14:paraId="2F4D6AE6" w14:textId="77777777" w:rsidTr="00511F7F">
        <w:trPr>
          <w:trHeight w:val="20"/>
        </w:trPr>
        <w:tc>
          <w:tcPr>
            <w:tcW w:w="1558"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615CBC8" w14:textId="77777777" w:rsidR="00A93FE3" w:rsidRPr="007A5D47" w:rsidRDefault="00A93FE3" w:rsidP="00511F7F">
            <w:pPr>
              <w:keepNext/>
              <w:keepLines/>
              <w:overflowPunct w:val="0"/>
              <w:autoSpaceDE w:val="0"/>
              <w:autoSpaceDN w:val="0"/>
              <w:adjustRightInd w:val="0"/>
              <w:spacing w:before="60" w:after="0"/>
              <w:jc w:val="center"/>
            </w:pPr>
            <w:r w:rsidRPr="007A5D47">
              <w:t>0-65 m</w:t>
            </w:r>
          </w:p>
        </w:tc>
        <w:tc>
          <w:tcPr>
            <w:tcW w:w="467" w:type="pct"/>
            <w:tcBorders>
              <w:top w:val="single" w:sz="6" w:space="0" w:color="auto"/>
              <w:left w:val="single" w:sz="6" w:space="0" w:color="auto"/>
              <w:bottom w:val="single" w:sz="6" w:space="0" w:color="auto"/>
              <w:right w:val="single" w:sz="6" w:space="0" w:color="auto"/>
            </w:tcBorders>
            <w:shd w:val="clear" w:color="auto" w:fill="auto"/>
          </w:tcPr>
          <w:p w14:paraId="1D379445"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BR3</w:t>
            </w:r>
          </w:p>
        </w:tc>
        <w:tc>
          <w:tcPr>
            <w:tcW w:w="547" w:type="pct"/>
            <w:tcBorders>
              <w:top w:val="single" w:sz="6" w:space="0" w:color="auto"/>
              <w:left w:val="single" w:sz="6" w:space="0" w:color="auto"/>
              <w:bottom w:val="single" w:sz="6" w:space="0" w:color="auto"/>
              <w:right w:val="single" w:sz="6" w:space="0" w:color="auto"/>
            </w:tcBorders>
            <w:shd w:val="clear" w:color="auto" w:fill="auto"/>
          </w:tcPr>
          <w:p w14:paraId="783FE205"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BR3</w:t>
            </w:r>
          </w:p>
        </w:tc>
        <w:tc>
          <w:tcPr>
            <w:tcW w:w="943" w:type="pct"/>
            <w:tcBorders>
              <w:top w:val="single" w:sz="6" w:space="0" w:color="auto"/>
              <w:left w:val="single" w:sz="6" w:space="0" w:color="auto"/>
              <w:bottom w:val="single" w:sz="6" w:space="0" w:color="auto"/>
              <w:right w:val="single" w:sz="6" w:space="0" w:color="auto"/>
            </w:tcBorders>
            <w:shd w:val="clear" w:color="auto" w:fill="auto"/>
          </w:tcPr>
          <w:p w14:paraId="45CEDA8B"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BR3</w:t>
            </w:r>
          </w:p>
        </w:tc>
        <w:tc>
          <w:tcPr>
            <w:tcW w:w="1000" w:type="pct"/>
            <w:tcBorders>
              <w:top w:val="single" w:sz="6" w:space="0" w:color="auto"/>
              <w:left w:val="single" w:sz="6" w:space="0" w:color="auto"/>
              <w:bottom w:val="single" w:sz="6" w:space="0" w:color="auto"/>
              <w:right w:val="single" w:sz="6" w:space="0" w:color="auto"/>
            </w:tcBorders>
            <w:shd w:val="clear" w:color="auto" w:fill="auto"/>
          </w:tcPr>
          <w:p w14:paraId="2BA2E2BC"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BR3</w:t>
            </w:r>
          </w:p>
        </w:tc>
        <w:tc>
          <w:tcPr>
            <w:tcW w:w="485" w:type="pct"/>
            <w:tcBorders>
              <w:top w:val="single" w:sz="6" w:space="0" w:color="auto"/>
              <w:left w:val="single" w:sz="6" w:space="0" w:color="auto"/>
              <w:bottom w:val="single" w:sz="6" w:space="0" w:color="auto"/>
              <w:right w:val="single" w:sz="6" w:space="0" w:color="auto"/>
            </w:tcBorders>
            <w:shd w:val="clear" w:color="auto" w:fill="auto"/>
          </w:tcPr>
          <w:p w14:paraId="22E110C7"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BR3</w:t>
            </w:r>
          </w:p>
        </w:tc>
      </w:tr>
      <w:tr w:rsidR="00A93FE3" w:rsidRPr="007A5D47" w14:paraId="37847DE2" w14:textId="77777777" w:rsidTr="00511F7F">
        <w:trPr>
          <w:trHeight w:val="20"/>
        </w:trPr>
        <w:tc>
          <w:tcPr>
            <w:tcW w:w="1558"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80AD3C5"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65-125 m</w:t>
            </w:r>
          </w:p>
        </w:tc>
        <w:tc>
          <w:tcPr>
            <w:tcW w:w="467" w:type="pct"/>
            <w:tcBorders>
              <w:top w:val="single" w:sz="6" w:space="0" w:color="auto"/>
              <w:left w:val="single" w:sz="6" w:space="0" w:color="auto"/>
              <w:bottom w:val="single" w:sz="6" w:space="0" w:color="auto"/>
              <w:right w:val="single" w:sz="6" w:space="0" w:color="auto"/>
            </w:tcBorders>
            <w:shd w:val="clear" w:color="auto" w:fill="auto"/>
          </w:tcPr>
          <w:p w14:paraId="626AFAB7"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BR3</w:t>
            </w:r>
          </w:p>
        </w:tc>
        <w:tc>
          <w:tcPr>
            <w:tcW w:w="547" w:type="pct"/>
            <w:tcBorders>
              <w:top w:val="single" w:sz="6" w:space="0" w:color="auto"/>
              <w:left w:val="single" w:sz="6" w:space="0" w:color="auto"/>
              <w:bottom w:val="single" w:sz="6" w:space="0" w:color="auto"/>
              <w:right w:val="single" w:sz="6" w:space="0" w:color="auto"/>
            </w:tcBorders>
            <w:shd w:val="clear" w:color="auto" w:fill="auto"/>
          </w:tcPr>
          <w:p w14:paraId="3D2129A1"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BR3</w:t>
            </w:r>
          </w:p>
        </w:tc>
        <w:tc>
          <w:tcPr>
            <w:tcW w:w="943" w:type="pct"/>
            <w:tcBorders>
              <w:top w:val="single" w:sz="6" w:space="0" w:color="auto"/>
              <w:left w:val="single" w:sz="6" w:space="0" w:color="auto"/>
              <w:bottom w:val="single" w:sz="6" w:space="0" w:color="auto"/>
              <w:right w:val="single" w:sz="6" w:space="0" w:color="auto"/>
            </w:tcBorders>
            <w:shd w:val="clear" w:color="auto" w:fill="auto"/>
          </w:tcPr>
          <w:p w14:paraId="3C46D596"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BR3</w:t>
            </w:r>
          </w:p>
        </w:tc>
        <w:tc>
          <w:tcPr>
            <w:tcW w:w="1000" w:type="pct"/>
            <w:tcBorders>
              <w:top w:val="single" w:sz="6" w:space="0" w:color="auto"/>
              <w:left w:val="single" w:sz="6" w:space="0" w:color="auto"/>
              <w:bottom w:val="single" w:sz="6" w:space="0" w:color="auto"/>
              <w:right w:val="single" w:sz="6" w:space="0" w:color="auto"/>
            </w:tcBorders>
            <w:shd w:val="clear" w:color="auto" w:fill="auto"/>
          </w:tcPr>
          <w:p w14:paraId="047CBC01"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BR3</w:t>
            </w:r>
          </w:p>
        </w:tc>
        <w:tc>
          <w:tcPr>
            <w:tcW w:w="485" w:type="pct"/>
            <w:tcBorders>
              <w:top w:val="single" w:sz="6" w:space="0" w:color="auto"/>
              <w:left w:val="single" w:sz="6" w:space="0" w:color="auto"/>
              <w:bottom w:val="single" w:sz="6" w:space="0" w:color="auto"/>
              <w:right w:val="single" w:sz="6" w:space="0" w:color="auto"/>
            </w:tcBorders>
            <w:shd w:val="clear" w:color="auto" w:fill="auto"/>
          </w:tcPr>
          <w:p w14:paraId="4045240B"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BR2</w:t>
            </w:r>
          </w:p>
        </w:tc>
      </w:tr>
      <w:tr w:rsidR="00A93FE3" w:rsidRPr="007A5D47" w14:paraId="197E6D7E" w14:textId="77777777" w:rsidTr="00511F7F">
        <w:trPr>
          <w:trHeight w:val="20"/>
        </w:trPr>
        <w:tc>
          <w:tcPr>
            <w:tcW w:w="1558"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0DE104E"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125-250 m</w:t>
            </w:r>
          </w:p>
        </w:tc>
        <w:tc>
          <w:tcPr>
            <w:tcW w:w="467" w:type="pct"/>
            <w:tcBorders>
              <w:top w:val="single" w:sz="6" w:space="0" w:color="auto"/>
              <w:left w:val="single" w:sz="6" w:space="0" w:color="auto"/>
              <w:bottom w:val="single" w:sz="6" w:space="0" w:color="auto"/>
              <w:right w:val="single" w:sz="6" w:space="0" w:color="auto"/>
            </w:tcBorders>
            <w:shd w:val="clear" w:color="auto" w:fill="auto"/>
          </w:tcPr>
          <w:p w14:paraId="12246BF0"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BR3</w:t>
            </w:r>
          </w:p>
        </w:tc>
        <w:tc>
          <w:tcPr>
            <w:tcW w:w="547" w:type="pct"/>
            <w:tcBorders>
              <w:top w:val="single" w:sz="6" w:space="0" w:color="auto"/>
              <w:left w:val="single" w:sz="6" w:space="0" w:color="auto"/>
              <w:bottom w:val="single" w:sz="6" w:space="0" w:color="auto"/>
              <w:right w:val="single" w:sz="6" w:space="0" w:color="auto"/>
            </w:tcBorders>
            <w:shd w:val="clear" w:color="auto" w:fill="auto"/>
          </w:tcPr>
          <w:p w14:paraId="1A4D835F"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BR3</w:t>
            </w:r>
          </w:p>
        </w:tc>
        <w:tc>
          <w:tcPr>
            <w:tcW w:w="943" w:type="pct"/>
            <w:tcBorders>
              <w:top w:val="single" w:sz="6" w:space="0" w:color="auto"/>
              <w:left w:val="single" w:sz="6" w:space="0" w:color="auto"/>
              <w:bottom w:val="single" w:sz="6" w:space="0" w:color="auto"/>
              <w:right w:val="single" w:sz="6" w:space="0" w:color="auto"/>
            </w:tcBorders>
            <w:shd w:val="clear" w:color="auto" w:fill="auto"/>
          </w:tcPr>
          <w:p w14:paraId="2AB59B4B"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BR3</w:t>
            </w:r>
          </w:p>
        </w:tc>
        <w:tc>
          <w:tcPr>
            <w:tcW w:w="1000" w:type="pct"/>
            <w:tcBorders>
              <w:top w:val="single" w:sz="6" w:space="0" w:color="auto"/>
              <w:left w:val="single" w:sz="6" w:space="0" w:color="auto"/>
              <w:bottom w:val="single" w:sz="6" w:space="0" w:color="auto"/>
              <w:right w:val="single" w:sz="6" w:space="0" w:color="auto"/>
            </w:tcBorders>
            <w:shd w:val="clear" w:color="auto" w:fill="auto"/>
          </w:tcPr>
          <w:p w14:paraId="1413668A"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BR2</w:t>
            </w:r>
          </w:p>
        </w:tc>
        <w:tc>
          <w:tcPr>
            <w:tcW w:w="485" w:type="pct"/>
            <w:tcBorders>
              <w:top w:val="single" w:sz="6" w:space="0" w:color="auto"/>
              <w:left w:val="single" w:sz="6" w:space="0" w:color="auto"/>
              <w:bottom w:val="single" w:sz="6" w:space="0" w:color="auto"/>
              <w:right w:val="single" w:sz="6" w:space="0" w:color="auto"/>
            </w:tcBorders>
            <w:shd w:val="clear" w:color="auto" w:fill="auto"/>
          </w:tcPr>
          <w:p w14:paraId="47516AE3"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BR2</w:t>
            </w:r>
          </w:p>
        </w:tc>
      </w:tr>
      <w:tr w:rsidR="00A93FE3" w:rsidRPr="007A5D47" w14:paraId="30CD0846" w14:textId="77777777" w:rsidTr="00511F7F">
        <w:trPr>
          <w:trHeight w:val="20"/>
        </w:trPr>
        <w:tc>
          <w:tcPr>
            <w:tcW w:w="1558"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23B4B40"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250-400 m</w:t>
            </w:r>
          </w:p>
        </w:tc>
        <w:tc>
          <w:tcPr>
            <w:tcW w:w="467" w:type="pct"/>
            <w:tcBorders>
              <w:top w:val="single" w:sz="6" w:space="0" w:color="auto"/>
              <w:left w:val="single" w:sz="6" w:space="0" w:color="auto"/>
              <w:bottom w:val="single" w:sz="6" w:space="0" w:color="auto"/>
              <w:right w:val="single" w:sz="6" w:space="0" w:color="auto"/>
            </w:tcBorders>
            <w:shd w:val="clear" w:color="auto" w:fill="auto"/>
          </w:tcPr>
          <w:p w14:paraId="57C28CDF"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BR3</w:t>
            </w:r>
          </w:p>
        </w:tc>
        <w:tc>
          <w:tcPr>
            <w:tcW w:w="547" w:type="pct"/>
            <w:tcBorders>
              <w:top w:val="single" w:sz="6" w:space="0" w:color="auto"/>
              <w:left w:val="single" w:sz="6" w:space="0" w:color="auto"/>
              <w:bottom w:val="single" w:sz="6" w:space="0" w:color="auto"/>
              <w:right w:val="single" w:sz="6" w:space="0" w:color="auto"/>
            </w:tcBorders>
            <w:shd w:val="clear" w:color="auto" w:fill="auto"/>
          </w:tcPr>
          <w:p w14:paraId="5DA330CF"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BR2</w:t>
            </w:r>
          </w:p>
        </w:tc>
        <w:tc>
          <w:tcPr>
            <w:tcW w:w="943" w:type="pct"/>
            <w:tcBorders>
              <w:top w:val="single" w:sz="6" w:space="0" w:color="auto"/>
              <w:left w:val="single" w:sz="6" w:space="0" w:color="auto"/>
              <w:bottom w:val="single" w:sz="6" w:space="0" w:color="auto"/>
              <w:right w:val="single" w:sz="6" w:space="0" w:color="auto"/>
            </w:tcBorders>
            <w:shd w:val="clear" w:color="auto" w:fill="auto"/>
          </w:tcPr>
          <w:p w14:paraId="58946152"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BR2</w:t>
            </w:r>
          </w:p>
        </w:tc>
        <w:tc>
          <w:tcPr>
            <w:tcW w:w="1000" w:type="pct"/>
            <w:tcBorders>
              <w:top w:val="single" w:sz="6" w:space="0" w:color="auto"/>
              <w:left w:val="single" w:sz="6" w:space="0" w:color="auto"/>
              <w:bottom w:val="single" w:sz="6" w:space="0" w:color="auto"/>
              <w:right w:val="single" w:sz="6" w:space="0" w:color="auto"/>
            </w:tcBorders>
            <w:shd w:val="clear" w:color="auto" w:fill="auto"/>
          </w:tcPr>
          <w:p w14:paraId="4F6664C0"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BR2</w:t>
            </w:r>
          </w:p>
        </w:tc>
        <w:tc>
          <w:tcPr>
            <w:tcW w:w="485" w:type="pct"/>
            <w:tcBorders>
              <w:top w:val="single" w:sz="6" w:space="0" w:color="auto"/>
              <w:left w:val="single" w:sz="6" w:space="0" w:color="auto"/>
              <w:bottom w:val="single" w:sz="6" w:space="0" w:color="auto"/>
              <w:right w:val="single" w:sz="6" w:space="0" w:color="auto"/>
            </w:tcBorders>
            <w:shd w:val="clear" w:color="auto" w:fill="auto"/>
          </w:tcPr>
          <w:p w14:paraId="2633EB0D"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BR1</w:t>
            </w:r>
          </w:p>
        </w:tc>
      </w:tr>
      <w:tr w:rsidR="00A93FE3" w:rsidRPr="007A5D47" w14:paraId="695F096F" w14:textId="77777777" w:rsidTr="00511F7F">
        <w:trPr>
          <w:trHeight w:val="20"/>
        </w:trPr>
        <w:tc>
          <w:tcPr>
            <w:tcW w:w="1558"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4C321E6"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400-550 m</w:t>
            </w:r>
          </w:p>
        </w:tc>
        <w:tc>
          <w:tcPr>
            <w:tcW w:w="467" w:type="pct"/>
            <w:tcBorders>
              <w:top w:val="single" w:sz="6" w:space="0" w:color="auto"/>
              <w:left w:val="single" w:sz="6" w:space="0" w:color="auto"/>
              <w:bottom w:val="single" w:sz="6" w:space="0" w:color="auto"/>
              <w:right w:val="single" w:sz="6" w:space="0" w:color="auto"/>
            </w:tcBorders>
            <w:shd w:val="clear" w:color="auto" w:fill="auto"/>
          </w:tcPr>
          <w:p w14:paraId="0CF83E70"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BR2</w:t>
            </w:r>
          </w:p>
        </w:tc>
        <w:tc>
          <w:tcPr>
            <w:tcW w:w="547" w:type="pct"/>
            <w:tcBorders>
              <w:top w:val="single" w:sz="6" w:space="0" w:color="auto"/>
              <w:left w:val="single" w:sz="6" w:space="0" w:color="auto"/>
              <w:bottom w:val="single" w:sz="6" w:space="0" w:color="auto"/>
              <w:right w:val="single" w:sz="6" w:space="0" w:color="auto"/>
            </w:tcBorders>
            <w:shd w:val="clear" w:color="auto" w:fill="auto"/>
          </w:tcPr>
          <w:p w14:paraId="2A8005E9"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BR2</w:t>
            </w:r>
          </w:p>
        </w:tc>
        <w:tc>
          <w:tcPr>
            <w:tcW w:w="943" w:type="pct"/>
            <w:tcBorders>
              <w:top w:val="single" w:sz="6" w:space="0" w:color="auto"/>
              <w:left w:val="single" w:sz="6" w:space="0" w:color="auto"/>
              <w:bottom w:val="single" w:sz="6" w:space="0" w:color="auto"/>
              <w:right w:val="single" w:sz="6" w:space="0" w:color="auto"/>
            </w:tcBorders>
            <w:shd w:val="clear" w:color="auto" w:fill="auto"/>
          </w:tcPr>
          <w:p w14:paraId="0C6F9078"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BR2</w:t>
            </w:r>
          </w:p>
        </w:tc>
        <w:tc>
          <w:tcPr>
            <w:tcW w:w="1000" w:type="pct"/>
            <w:tcBorders>
              <w:top w:val="single" w:sz="6" w:space="0" w:color="auto"/>
              <w:left w:val="single" w:sz="6" w:space="0" w:color="auto"/>
              <w:bottom w:val="single" w:sz="6" w:space="0" w:color="auto"/>
              <w:right w:val="single" w:sz="6" w:space="0" w:color="auto"/>
            </w:tcBorders>
            <w:shd w:val="clear" w:color="auto" w:fill="auto"/>
          </w:tcPr>
          <w:p w14:paraId="2F05F063"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BR1</w:t>
            </w:r>
          </w:p>
        </w:tc>
        <w:tc>
          <w:tcPr>
            <w:tcW w:w="485" w:type="pct"/>
            <w:tcBorders>
              <w:top w:val="single" w:sz="6" w:space="0" w:color="auto"/>
              <w:left w:val="single" w:sz="6" w:space="0" w:color="auto"/>
              <w:bottom w:val="single" w:sz="6" w:space="0" w:color="auto"/>
              <w:right w:val="single" w:sz="6" w:space="0" w:color="auto"/>
            </w:tcBorders>
            <w:shd w:val="clear" w:color="auto" w:fill="auto"/>
          </w:tcPr>
          <w:p w14:paraId="11E3C090"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BR1</w:t>
            </w:r>
          </w:p>
        </w:tc>
      </w:tr>
      <w:tr w:rsidR="00A93FE3" w:rsidRPr="007A5D47" w14:paraId="0E692AEF" w14:textId="77777777" w:rsidTr="00511F7F">
        <w:trPr>
          <w:trHeight w:val="20"/>
        </w:trPr>
        <w:tc>
          <w:tcPr>
            <w:tcW w:w="1558"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DF9DF35"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550-700 m</w:t>
            </w:r>
          </w:p>
        </w:tc>
        <w:tc>
          <w:tcPr>
            <w:tcW w:w="467" w:type="pct"/>
            <w:tcBorders>
              <w:top w:val="single" w:sz="6" w:space="0" w:color="auto"/>
              <w:left w:val="single" w:sz="6" w:space="0" w:color="auto"/>
              <w:bottom w:val="single" w:sz="6" w:space="0" w:color="auto"/>
              <w:right w:val="single" w:sz="6" w:space="0" w:color="auto"/>
            </w:tcBorders>
            <w:shd w:val="clear" w:color="auto" w:fill="auto"/>
          </w:tcPr>
          <w:p w14:paraId="75F4E611"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BR2</w:t>
            </w:r>
          </w:p>
        </w:tc>
        <w:tc>
          <w:tcPr>
            <w:tcW w:w="547" w:type="pct"/>
            <w:tcBorders>
              <w:top w:val="single" w:sz="6" w:space="0" w:color="auto"/>
              <w:left w:val="single" w:sz="6" w:space="0" w:color="auto"/>
              <w:bottom w:val="single" w:sz="6" w:space="0" w:color="auto"/>
              <w:right w:val="single" w:sz="6" w:space="0" w:color="auto"/>
            </w:tcBorders>
            <w:shd w:val="clear" w:color="auto" w:fill="auto"/>
          </w:tcPr>
          <w:p w14:paraId="4F2B1715" w14:textId="77777777" w:rsidR="00A93FE3" w:rsidRPr="007A5D47" w:rsidRDefault="00A93FE3" w:rsidP="00511F7F">
            <w:pPr>
              <w:keepNext/>
              <w:keepLines/>
              <w:overflowPunct w:val="0"/>
              <w:autoSpaceDE w:val="0"/>
              <w:autoSpaceDN w:val="0"/>
              <w:adjustRightInd w:val="0"/>
              <w:spacing w:before="60" w:after="0"/>
              <w:jc w:val="center"/>
              <w:rPr>
                <w:caps/>
                <w:lang w:val="de-DE"/>
              </w:rPr>
            </w:pPr>
            <w:r w:rsidRPr="007A5D47">
              <w:rPr>
                <w:caps/>
                <w:lang w:val="de-DE"/>
              </w:rPr>
              <w:t>BR1</w:t>
            </w:r>
          </w:p>
        </w:tc>
        <w:tc>
          <w:tcPr>
            <w:tcW w:w="943" w:type="pct"/>
            <w:tcBorders>
              <w:top w:val="single" w:sz="6" w:space="0" w:color="auto"/>
              <w:left w:val="single" w:sz="6" w:space="0" w:color="auto"/>
              <w:bottom w:val="single" w:sz="6" w:space="0" w:color="auto"/>
              <w:right w:val="single" w:sz="6" w:space="0" w:color="auto"/>
            </w:tcBorders>
            <w:shd w:val="clear" w:color="auto" w:fill="auto"/>
          </w:tcPr>
          <w:p w14:paraId="432152AD" w14:textId="77777777" w:rsidR="00A93FE3" w:rsidRPr="007A5D47" w:rsidRDefault="00A93FE3" w:rsidP="00511F7F">
            <w:pPr>
              <w:keepNext/>
              <w:keepLines/>
              <w:overflowPunct w:val="0"/>
              <w:autoSpaceDE w:val="0"/>
              <w:autoSpaceDN w:val="0"/>
              <w:adjustRightInd w:val="0"/>
              <w:spacing w:before="60" w:after="0"/>
              <w:jc w:val="center"/>
              <w:rPr>
                <w:caps/>
                <w:lang w:val="de-DE"/>
              </w:rPr>
            </w:pPr>
            <w:r w:rsidRPr="007A5D47">
              <w:rPr>
                <w:caps/>
                <w:lang w:val="de-DE"/>
              </w:rPr>
              <w:t>BR1</w:t>
            </w:r>
          </w:p>
        </w:tc>
        <w:tc>
          <w:tcPr>
            <w:tcW w:w="1000" w:type="pct"/>
            <w:tcBorders>
              <w:top w:val="single" w:sz="6" w:space="0" w:color="auto"/>
              <w:left w:val="single" w:sz="6" w:space="0" w:color="auto"/>
              <w:bottom w:val="single" w:sz="6" w:space="0" w:color="auto"/>
              <w:right w:val="single" w:sz="6" w:space="0" w:color="auto"/>
            </w:tcBorders>
            <w:shd w:val="clear" w:color="auto" w:fill="auto"/>
          </w:tcPr>
          <w:p w14:paraId="706D8CB6"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BR1</w:t>
            </w:r>
          </w:p>
        </w:tc>
        <w:tc>
          <w:tcPr>
            <w:tcW w:w="485" w:type="pct"/>
            <w:tcBorders>
              <w:top w:val="single" w:sz="6" w:space="0" w:color="auto"/>
              <w:left w:val="single" w:sz="6" w:space="0" w:color="auto"/>
              <w:bottom w:val="single" w:sz="6" w:space="0" w:color="auto"/>
              <w:right w:val="single" w:sz="6" w:space="0" w:color="auto"/>
            </w:tcBorders>
            <w:shd w:val="clear" w:color="auto" w:fill="auto"/>
          </w:tcPr>
          <w:p w14:paraId="35BC2877"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BR1</w:t>
            </w:r>
          </w:p>
        </w:tc>
      </w:tr>
      <w:tr w:rsidR="00A93FE3" w:rsidRPr="007A5D47" w14:paraId="63D863CD" w14:textId="77777777" w:rsidTr="00511F7F">
        <w:trPr>
          <w:trHeight w:val="20"/>
        </w:trPr>
        <w:tc>
          <w:tcPr>
            <w:tcW w:w="1558"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3A0D429"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&gt;700 m</w:t>
            </w:r>
          </w:p>
        </w:tc>
        <w:tc>
          <w:tcPr>
            <w:tcW w:w="467" w:type="pct"/>
            <w:tcBorders>
              <w:top w:val="single" w:sz="6" w:space="0" w:color="auto"/>
              <w:left w:val="single" w:sz="6" w:space="0" w:color="auto"/>
              <w:bottom w:val="single" w:sz="6" w:space="0" w:color="auto"/>
              <w:right w:val="single" w:sz="6" w:space="0" w:color="auto"/>
            </w:tcBorders>
            <w:shd w:val="clear" w:color="auto" w:fill="auto"/>
          </w:tcPr>
          <w:p w14:paraId="7BF811B7"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BR1</w:t>
            </w:r>
          </w:p>
        </w:tc>
        <w:tc>
          <w:tcPr>
            <w:tcW w:w="547" w:type="pct"/>
            <w:tcBorders>
              <w:top w:val="single" w:sz="6" w:space="0" w:color="auto"/>
              <w:left w:val="single" w:sz="6" w:space="0" w:color="auto"/>
              <w:bottom w:val="single" w:sz="6" w:space="0" w:color="auto"/>
              <w:right w:val="single" w:sz="6" w:space="0" w:color="auto"/>
            </w:tcBorders>
            <w:shd w:val="clear" w:color="auto" w:fill="auto"/>
          </w:tcPr>
          <w:p w14:paraId="76CC9E2D"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BR1</w:t>
            </w:r>
          </w:p>
        </w:tc>
        <w:tc>
          <w:tcPr>
            <w:tcW w:w="943" w:type="pct"/>
            <w:tcBorders>
              <w:top w:val="single" w:sz="6" w:space="0" w:color="auto"/>
              <w:left w:val="single" w:sz="6" w:space="0" w:color="auto"/>
              <w:bottom w:val="single" w:sz="6" w:space="0" w:color="auto"/>
              <w:right w:val="single" w:sz="6" w:space="0" w:color="auto"/>
            </w:tcBorders>
            <w:shd w:val="clear" w:color="auto" w:fill="auto"/>
          </w:tcPr>
          <w:p w14:paraId="22DD1890"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BR1</w:t>
            </w:r>
          </w:p>
        </w:tc>
        <w:tc>
          <w:tcPr>
            <w:tcW w:w="1000" w:type="pct"/>
            <w:tcBorders>
              <w:top w:val="single" w:sz="6" w:space="0" w:color="auto"/>
              <w:left w:val="single" w:sz="6" w:space="0" w:color="auto"/>
              <w:bottom w:val="single" w:sz="6" w:space="0" w:color="auto"/>
              <w:right w:val="single" w:sz="6" w:space="0" w:color="auto"/>
            </w:tcBorders>
            <w:shd w:val="clear" w:color="auto" w:fill="auto"/>
          </w:tcPr>
          <w:p w14:paraId="17041BAA"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BR1</w:t>
            </w:r>
          </w:p>
        </w:tc>
        <w:tc>
          <w:tcPr>
            <w:tcW w:w="485" w:type="pct"/>
            <w:tcBorders>
              <w:top w:val="single" w:sz="6" w:space="0" w:color="auto"/>
              <w:left w:val="single" w:sz="6" w:space="0" w:color="auto"/>
              <w:bottom w:val="single" w:sz="6" w:space="0" w:color="auto"/>
              <w:right w:val="single" w:sz="6" w:space="0" w:color="auto"/>
            </w:tcBorders>
            <w:shd w:val="clear" w:color="auto" w:fill="auto"/>
          </w:tcPr>
          <w:p w14:paraId="13A609F3" w14:textId="77777777" w:rsidR="00A93FE3" w:rsidRPr="007A5D47" w:rsidRDefault="00A93FE3" w:rsidP="00511F7F">
            <w:pPr>
              <w:keepNext/>
              <w:keepLines/>
              <w:overflowPunct w:val="0"/>
              <w:autoSpaceDE w:val="0"/>
              <w:autoSpaceDN w:val="0"/>
              <w:adjustRightInd w:val="0"/>
              <w:spacing w:before="60" w:after="0"/>
              <w:jc w:val="center"/>
            </w:pPr>
            <w:r w:rsidRPr="007A5D47">
              <w:t>BR1</w:t>
            </w:r>
          </w:p>
        </w:tc>
      </w:tr>
      <w:tr w:rsidR="00A93FE3" w:rsidRPr="007A5D47" w14:paraId="767B5DE0" w14:textId="77777777" w:rsidTr="00511F7F">
        <w:trPr>
          <w:cantSplit/>
          <w:trHeight w:val="20"/>
        </w:trPr>
        <w:tc>
          <w:tcPr>
            <w:tcW w:w="5000" w:type="pct"/>
            <w:gridSpan w:val="6"/>
            <w:tcBorders>
              <w:left w:val="single" w:sz="6" w:space="0" w:color="auto"/>
              <w:bottom w:val="single" w:sz="6" w:space="0" w:color="auto"/>
              <w:right w:val="single" w:sz="6" w:space="0" w:color="auto"/>
            </w:tcBorders>
            <w:shd w:val="clear" w:color="auto" w:fill="A6A6A6" w:themeFill="background1" w:themeFillShade="A6"/>
          </w:tcPr>
          <w:p w14:paraId="7F7995F9" w14:textId="77777777" w:rsidR="00A93FE3" w:rsidRPr="007A5D47" w:rsidRDefault="00A93FE3" w:rsidP="00511F7F">
            <w:pPr>
              <w:keepNext/>
              <w:keepLines/>
              <w:overflowPunct w:val="0"/>
              <w:autoSpaceDE w:val="0"/>
              <w:autoSpaceDN w:val="0"/>
              <w:adjustRightInd w:val="0"/>
              <w:spacing w:after="0"/>
              <w:jc w:val="center"/>
            </w:pPr>
            <w:r w:rsidRPr="007A5D47">
              <w:t>Infrastructure de catégorie 2</w:t>
            </w:r>
          </w:p>
        </w:tc>
      </w:tr>
      <w:tr w:rsidR="00A93FE3" w:rsidRPr="007A5D47" w14:paraId="71954500" w14:textId="77777777" w:rsidTr="00511F7F">
        <w:trPr>
          <w:trHeight w:val="20"/>
        </w:trPr>
        <w:tc>
          <w:tcPr>
            <w:tcW w:w="1558"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5CD5448" w14:textId="77777777" w:rsidR="00A93FE3" w:rsidRPr="007A5D47" w:rsidRDefault="00A93FE3" w:rsidP="00511F7F">
            <w:pPr>
              <w:keepNext/>
              <w:keepLines/>
              <w:overflowPunct w:val="0"/>
              <w:autoSpaceDE w:val="0"/>
              <w:autoSpaceDN w:val="0"/>
              <w:adjustRightInd w:val="0"/>
              <w:spacing w:before="60" w:after="0"/>
              <w:jc w:val="center"/>
            </w:pPr>
            <w:r w:rsidRPr="007A5D47">
              <w:t>0-30 m</w:t>
            </w:r>
          </w:p>
        </w:tc>
        <w:tc>
          <w:tcPr>
            <w:tcW w:w="467" w:type="pct"/>
            <w:tcBorders>
              <w:top w:val="single" w:sz="6" w:space="0" w:color="auto"/>
              <w:left w:val="single" w:sz="6" w:space="0" w:color="auto"/>
              <w:bottom w:val="single" w:sz="6" w:space="0" w:color="auto"/>
              <w:right w:val="single" w:sz="6" w:space="0" w:color="auto"/>
            </w:tcBorders>
            <w:shd w:val="clear" w:color="auto" w:fill="auto"/>
          </w:tcPr>
          <w:p w14:paraId="61273C60"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BR3</w:t>
            </w:r>
          </w:p>
        </w:tc>
        <w:tc>
          <w:tcPr>
            <w:tcW w:w="547" w:type="pct"/>
            <w:tcBorders>
              <w:top w:val="single" w:sz="6" w:space="0" w:color="auto"/>
              <w:left w:val="single" w:sz="6" w:space="0" w:color="auto"/>
              <w:bottom w:val="single" w:sz="6" w:space="0" w:color="auto"/>
              <w:right w:val="single" w:sz="6" w:space="0" w:color="auto"/>
            </w:tcBorders>
            <w:shd w:val="clear" w:color="auto" w:fill="auto"/>
          </w:tcPr>
          <w:p w14:paraId="39441035"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BR3</w:t>
            </w:r>
          </w:p>
        </w:tc>
        <w:tc>
          <w:tcPr>
            <w:tcW w:w="943" w:type="pct"/>
            <w:tcBorders>
              <w:top w:val="single" w:sz="6" w:space="0" w:color="auto"/>
              <w:left w:val="single" w:sz="6" w:space="0" w:color="auto"/>
              <w:bottom w:val="single" w:sz="6" w:space="0" w:color="auto"/>
              <w:right w:val="single" w:sz="6" w:space="0" w:color="auto"/>
            </w:tcBorders>
            <w:shd w:val="clear" w:color="auto" w:fill="auto"/>
          </w:tcPr>
          <w:p w14:paraId="032E9939"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BR3</w:t>
            </w:r>
          </w:p>
        </w:tc>
        <w:tc>
          <w:tcPr>
            <w:tcW w:w="1000" w:type="pct"/>
            <w:tcBorders>
              <w:top w:val="single" w:sz="6" w:space="0" w:color="auto"/>
              <w:left w:val="single" w:sz="6" w:space="0" w:color="auto"/>
              <w:bottom w:val="single" w:sz="6" w:space="0" w:color="auto"/>
              <w:right w:val="single" w:sz="6" w:space="0" w:color="auto"/>
            </w:tcBorders>
            <w:shd w:val="clear" w:color="auto" w:fill="auto"/>
          </w:tcPr>
          <w:p w14:paraId="2DB8DCA0"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BR3</w:t>
            </w:r>
          </w:p>
        </w:tc>
        <w:tc>
          <w:tcPr>
            <w:tcW w:w="485" w:type="pct"/>
            <w:tcBorders>
              <w:top w:val="single" w:sz="6" w:space="0" w:color="auto"/>
              <w:left w:val="single" w:sz="6" w:space="0" w:color="auto"/>
              <w:bottom w:val="single" w:sz="6" w:space="0" w:color="auto"/>
              <w:right w:val="single" w:sz="6" w:space="0" w:color="auto"/>
            </w:tcBorders>
            <w:shd w:val="clear" w:color="auto" w:fill="auto"/>
          </w:tcPr>
          <w:p w14:paraId="27F4B375"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BR3</w:t>
            </w:r>
          </w:p>
        </w:tc>
      </w:tr>
      <w:tr w:rsidR="00A93FE3" w:rsidRPr="007A5D47" w14:paraId="0CB0EA97" w14:textId="77777777" w:rsidTr="00511F7F">
        <w:trPr>
          <w:trHeight w:val="20"/>
        </w:trPr>
        <w:tc>
          <w:tcPr>
            <w:tcW w:w="1558"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685055E"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30-65 m</w:t>
            </w:r>
          </w:p>
        </w:tc>
        <w:tc>
          <w:tcPr>
            <w:tcW w:w="467" w:type="pct"/>
            <w:tcBorders>
              <w:top w:val="single" w:sz="6" w:space="0" w:color="auto"/>
              <w:left w:val="single" w:sz="6" w:space="0" w:color="auto"/>
              <w:bottom w:val="single" w:sz="6" w:space="0" w:color="auto"/>
              <w:right w:val="single" w:sz="6" w:space="0" w:color="auto"/>
            </w:tcBorders>
            <w:shd w:val="clear" w:color="auto" w:fill="auto"/>
          </w:tcPr>
          <w:p w14:paraId="382B9E12"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BR3</w:t>
            </w:r>
          </w:p>
        </w:tc>
        <w:tc>
          <w:tcPr>
            <w:tcW w:w="547" w:type="pct"/>
            <w:tcBorders>
              <w:top w:val="single" w:sz="6" w:space="0" w:color="auto"/>
              <w:left w:val="single" w:sz="6" w:space="0" w:color="auto"/>
              <w:bottom w:val="single" w:sz="6" w:space="0" w:color="auto"/>
              <w:right w:val="single" w:sz="6" w:space="0" w:color="auto"/>
            </w:tcBorders>
            <w:shd w:val="clear" w:color="auto" w:fill="auto"/>
          </w:tcPr>
          <w:p w14:paraId="7C5BF7D8"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BR3</w:t>
            </w:r>
          </w:p>
        </w:tc>
        <w:tc>
          <w:tcPr>
            <w:tcW w:w="943" w:type="pct"/>
            <w:tcBorders>
              <w:top w:val="single" w:sz="6" w:space="0" w:color="auto"/>
              <w:left w:val="single" w:sz="6" w:space="0" w:color="auto"/>
              <w:bottom w:val="single" w:sz="6" w:space="0" w:color="auto"/>
              <w:right w:val="single" w:sz="6" w:space="0" w:color="auto"/>
            </w:tcBorders>
            <w:shd w:val="clear" w:color="auto" w:fill="auto"/>
          </w:tcPr>
          <w:p w14:paraId="6F401B77"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BR3</w:t>
            </w:r>
          </w:p>
        </w:tc>
        <w:tc>
          <w:tcPr>
            <w:tcW w:w="1000" w:type="pct"/>
            <w:tcBorders>
              <w:top w:val="single" w:sz="6" w:space="0" w:color="auto"/>
              <w:left w:val="single" w:sz="6" w:space="0" w:color="auto"/>
              <w:bottom w:val="single" w:sz="6" w:space="0" w:color="auto"/>
              <w:right w:val="single" w:sz="6" w:space="0" w:color="auto"/>
            </w:tcBorders>
            <w:shd w:val="clear" w:color="auto" w:fill="auto"/>
          </w:tcPr>
          <w:p w14:paraId="096AAA22"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BR3</w:t>
            </w:r>
          </w:p>
        </w:tc>
        <w:tc>
          <w:tcPr>
            <w:tcW w:w="485" w:type="pct"/>
            <w:tcBorders>
              <w:top w:val="single" w:sz="6" w:space="0" w:color="auto"/>
              <w:left w:val="single" w:sz="6" w:space="0" w:color="auto"/>
              <w:bottom w:val="single" w:sz="6" w:space="0" w:color="auto"/>
              <w:right w:val="single" w:sz="6" w:space="0" w:color="auto"/>
            </w:tcBorders>
            <w:shd w:val="clear" w:color="auto" w:fill="auto"/>
          </w:tcPr>
          <w:p w14:paraId="5C0D7E3E"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BR2</w:t>
            </w:r>
          </w:p>
        </w:tc>
      </w:tr>
      <w:tr w:rsidR="00A93FE3" w:rsidRPr="007A5D47" w14:paraId="717800AC" w14:textId="77777777" w:rsidTr="00511F7F">
        <w:trPr>
          <w:trHeight w:val="20"/>
        </w:trPr>
        <w:tc>
          <w:tcPr>
            <w:tcW w:w="1558"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A246311"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65-125 m</w:t>
            </w:r>
          </w:p>
        </w:tc>
        <w:tc>
          <w:tcPr>
            <w:tcW w:w="467" w:type="pct"/>
            <w:tcBorders>
              <w:top w:val="single" w:sz="6" w:space="0" w:color="auto"/>
              <w:left w:val="single" w:sz="6" w:space="0" w:color="auto"/>
              <w:bottom w:val="single" w:sz="6" w:space="0" w:color="auto"/>
              <w:right w:val="single" w:sz="6" w:space="0" w:color="auto"/>
            </w:tcBorders>
            <w:shd w:val="clear" w:color="auto" w:fill="auto"/>
          </w:tcPr>
          <w:p w14:paraId="60F97690"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BR3</w:t>
            </w:r>
          </w:p>
        </w:tc>
        <w:tc>
          <w:tcPr>
            <w:tcW w:w="547" w:type="pct"/>
            <w:tcBorders>
              <w:top w:val="single" w:sz="6" w:space="0" w:color="auto"/>
              <w:left w:val="single" w:sz="6" w:space="0" w:color="auto"/>
              <w:bottom w:val="single" w:sz="6" w:space="0" w:color="auto"/>
              <w:right w:val="single" w:sz="6" w:space="0" w:color="auto"/>
            </w:tcBorders>
            <w:shd w:val="clear" w:color="auto" w:fill="auto"/>
          </w:tcPr>
          <w:p w14:paraId="5D466806"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BR3</w:t>
            </w:r>
          </w:p>
        </w:tc>
        <w:tc>
          <w:tcPr>
            <w:tcW w:w="943" w:type="pct"/>
            <w:tcBorders>
              <w:top w:val="single" w:sz="6" w:space="0" w:color="auto"/>
              <w:left w:val="single" w:sz="6" w:space="0" w:color="auto"/>
              <w:bottom w:val="single" w:sz="6" w:space="0" w:color="auto"/>
              <w:right w:val="single" w:sz="6" w:space="0" w:color="auto"/>
            </w:tcBorders>
            <w:shd w:val="clear" w:color="auto" w:fill="auto"/>
          </w:tcPr>
          <w:p w14:paraId="711195BA"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BR3</w:t>
            </w:r>
          </w:p>
        </w:tc>
        <w:tc>
          <w:tcPr>
            <w:tcW w:w="1000" w:type="pct"/>
            <w:tcBorders>
              <w:top w:val="single" w:sz="6" w:space="0" w:color="auto"/>
              <w:left w:val="single" w:sz="6" w:space="0" w:color="auto"/>
              <w:bottom w:val="single" w:sz="6" w:space="0" w:color="auto"/>
              <w:right w:val="single" w:sz="6" w:space="0" w:color="auto"/>
            </w:tcBorders>
            <w:shd w:val="clear" w:color="auto" w:fill="auto"/>
          </w:tcPr>
          <w:p w14:paraId="4AAA01D2"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BR2</w:t>
            </w:r>
          </w:p>
        </w:tc>
        <w:tc>
          <w:tcPr>
            <w:tcW w:w="485" w:type="pct"/>
            <w:tcBorders>
              <w:top w:val="single" w:sz="6" w:space="0" w:color="auto"/>
              <w:left w:val="single" w:sz="6" w:space="0" w:color="auto"/>
              <w:bottom w:val="single" w:sz="6" w:space="0" w:color="auto"/>
              <w:right w:val="single" w:sz="6" w:space="0" w:color="auto"/>
            </w:tcBorders>
            <w:shd w:val="clear" w:color="auto" w:fill="auto"/>
          </w:tcPr>
          <w:p w14:paraId="7714BBDD"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BR2</w:t>
            </w:r>
          </w:p>
        </w:tc>
      </w:tr>
      <w:tr w:rsidR="00A93FE3" w:rsidRPr="007A5D47" w14:paraId="1D609CB8" w14:textId="77777777" w:rsidTr="00511F7F">
        <w:trPr>
          <w:trHeight w:val="20"/>
        </w:trPr>
        <w:tc>
          <w:tcPr>
            <w:tcW w:w="1558"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3BEBC33"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125-250 m</w:t>
            </w:r>
          </w:p>
        </w:tc>
        <w:tc>
          <w:tcPr>
            <w:tcW w:w="467" w:type="pct"/>
            <w:tcBorders>
              <w:top w:val="single" w:sz="6" w:space="0" w:color="auto"/>
              <w:left w:val="single" w:sz="6" w:space="0" w:color="auto"/>
              <w:bottom w:val="single" w:sz="6" w:space="0" w:color="auto"/>
              <w:right w:val="single" w:sz="6" w:space="0" w:color="auto"/>
            </w:tcBorders>
            <w:shd w:val="clear" w:color="auto" w:fill="auto"/>
          </w:tcPr>
          <w:p w14:paraId="6746B1CA"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BR3</w:t>
            </w:r>
          </w:p>
        </w:tc>
        <w:tc>
          <w:tcPr>
            <w:tcW w:w="547" w:type="pct"/>
            <w:tcBorders>
              <w:top w:val="single" w:sz="6" w:space="0" w:color="auto"/>
              <w:left w:val="single" w:sz="6" w:space="0" w:color="auto"/>
              <w:bottom w:val="single" w:sz="6" w:space="0" w:color="auto"/>
              <w:right w:val="single" w:sz="6" w:space="0" w:color="auto"/>
            </w:tcBorders>
            <w:shd w:val="clear" w:color="auto" w:fill="auto"/>
          </w:tcPr>
          <w:p w14:paraId="1E1F743E"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BR2</w:t>
            </w:r>
          </w:p>
        </w:tc>
        <w:tc>
          <w:tcPr>
            <w:tcW w:w="943" w:type="pct"/>
            <w:tcBorders>
              <w:top w:val="single" w:sz="6" w:space="0" w:color="auto"/>
              <w:left w:val="single" w:sz="6" w:space="0" w:color="auto"/>
              <w:bottom w:val="single" w:sz="6" w:space="0" w:color="auto"/>
              <w:right w:val="single" w:sz="6" w:space="0" w:color="auto"/>
            </w:tcBorders>
            <w:shd w:val="clear" w:color="auto" w:fill="auto"/>
          </w:tcPr>
          <w:p w14:paraId="37BB2A8B"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BR2</w:t>
            </w:r>
          </w:p>
        </w:tc>
        <w:tc>
          <w:tcPr>
            <w:tcW w:w="1000" w:type="pct"/>
            <w:tcBorders>
              <w:top w:val="single" w:sz="6" w:space="0" w:color="auto"/>
              <w:left w:val="single" w:sz="6" w:space="0" w:color="auto"/>
              <w:bottom w:val="single" w:sz="6" w:space="0" w:color="auto"/>
              <w:right w:val="single" w:sz="6" w:space="0" w:color="auto"/>
            </w:tcBorders>
            <w:shd w:val="clear" w:color="auto" w:fill="auto"/>
          </w:tcPr>
          <w:p w14:paraId="225BDCEE"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BR2</w:t>
            </w:r>
          </w:p>
        </w:tc>
        <w:tc>
          <w:tcPr>
            <w:tcW w:w="485" w:type="pct"/>
            <w:tcBorders>
              <w:top w:val="single" w:sz="6" w:space="0" w:color="auto"/>
              <w:left w:val="single" w:sz="6" w:space="0" w:color="auto"/>
              <w:bottom w:val="single" w:sz="6" w:space="0" w:color="auto"/>
              <w:right w:val="single" w:sz="6" w:space="0" w:color="auto"/>
            </w:tcBorders>
            <w:shd w:val="clear" w:color="auto" w:fill="auto"/>
          </w:tcPr>
          <w:p w14:paraId="39376669"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BR1</w:t>
            </w:r>
          </w:p>
        </w:tc>
      </w:tr>
      <w:tr w:rsidR="00A93FE3" w:rsidRPr="007A5D47" w14:paraId="7E87DF88" w14:textId="77777777" w:rsidTr="00511F7F">
        <w:trPr>
          <w:trHeight w:val="20"/>
        </w:trPr>
        <w:tc>
          <w:tcPr>
            <w:tcW w:w="1558"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E68F8C4"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250-370 m</w:t>
            </w:r>
          </w:p>
        </w:tc>
        <w:tc>
          <w:tcPr>
            <w:tcW w:w="467" w:type="pct"/>
            <w:tcBorders>
              <w:top w:val="single" w:sz="6" w:space="0" w:color="auto"/>
              <w:left w:val="single" w:sz="6" w:space="0" w:color="auto"/>
              <w:bottom w:val="single" w:sz="6" w:space="0" w:color="auto"/>
              <w:right w:val="single" w:sz="6" w:space="0" w:color="auto"/>
            </w:tcBorders>
            <w:shd w:val="clear" w:color="auto" w:fill="auto"/>
          </w:tcPr>
          <w:p w14:paraId="3C1C3A57"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BR2</w:t>
            </w:r>
          </w:p>
        </w:tc>
        <w:tc>
          <w:tcPr>
            <w:tcW w:w="547" w:type="pct"/>
            <w:tcBorders>
              <w:top w:val="single" w:sz="6" w:space="0" w:color="auto"/>
              <w:left w:val="single" w:sz="6" w:space="0" w:color="auto"/>
              <w:bottom w:val="single" w:sz="6" w:space="0" w:color="auto"/>
              <w:right w:val="single" w:sz="6" w:space="0" w:color="auto"/>
            </w:tcBorders>
            <w:shd w:val="clear" w:color="auto" w:fill="auto"/>
          </w:tcPr>
          <w:p w14:paraId="21F6EBDB"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BR2</w:t>
            </w:r>
          </w:p>
        </w:tc>
        <w:tc>
          <w:tcPr>
            <w:tcW w:w="943" w:type="pct"/>
            <w:tcBorders>
              <w:top w:val="single" w:sz="6" w:space="0" w:color="auto"/>
              <w:left w:val="single" w:sz="6" w:space="0" w:color="auto"/>
              <w:bottom w:val="single" w:sz="6" w:space="0" w:color="auto"/>
              <w:right w:val="single" w:sz="6" w:space="0" w:color="auto"/>
            </w:tcBorders>
            <w:shd w:val="clear" w:color="auto" w:fill="auto"/>
          </w:tcPr>
          <w:p w14:paraId="18C2F8A4"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BR2</w:t>
            </w:r>
          </w:p>
        </w:tc>
        <w:tc>
          <w:tcPr>
            <w:tcW w:w="1000" w:type="pct"/>
            <w:tcBorders>
              <w:top w:val="single" w:sz="6" w:space="0" w:color="auto"/>
              <w:left w:val="single" w:sz="6" w:space="0" w:color="auto"/>
              <w:bottom w:val="single" w:sz="6" w:space="0" w:color="auto"/>
              <w:right w:val="single" w:sz="6" w:space="0" w:color="auto"/>
            </w:tcBorders>
            <w:shd w:val="clear" w:color="auto" w:fill="auto"/>
          </w:tcPr>
          <w:p w14:paraId="0AC97B61"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BR1</w:t>
            </w:r>
          </w:p>
        </w:tc>
        <w:tc>
          <w:tcPr>
            <w:tcW w:w="485" w:type="pct"/>
            <w:tcBorders>
              <w:top w:val="single" w:sz="6" w:space="0" w:color="auto"/>
              <w:left w:val="single" w:sz="6" w:space="0" w:color="auto"/>
              <w:bottom w:val="single" w:sz="6" w:space="0" w:color="auto"/>
              <w:right w:val="single" w:sz="6" w:space="0" w:color="auto"/>
            </w:tcBorders>
            <w:shd w:val="clear" w:color="auto" w:fill="auto"/>
          </w:tcPr>
          <w:p w14:paraId="6E8EFCDF"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BR1</w:t>
            </w:r>
          </w:p>
        </w:tc>
      </w:tr>
      <w:tr w:rsidR="00A93FE3" w:rsidRPr="007A5D47" w14:paraId="3D9B9DAF" w14:textId="77777777" w:rsidTr="00511F7F">
        <w:trPr>
          <w:trHeight w:val="20"/>
        </w:trPr>
        <w:tc>
          <w:tcPr>
            <w:tcW w:w="1558"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D977398"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370-500 m</w:t>
            </w:r>
          </w:p>
        </w:tc>
        <w:tc>
          <w:tcPr>
            <w:tcW w:w="467" w:type="pct"/>
            <w:tcBorders>
              <w:top w:val="single" w:sz="6" w:space="0" w:color="auto"/>
              <w:left w:val="single" w:sz="6" w:space="0" w:color="auto"/>
              <w:bottom w:val="single" w:sz="6" w:space="0" w:color="auto"/>
              <w:right w:val="single" w:sz="6" w:space="0" w:color="auto"/>
            </w:tcBorders>
            <w:shd w:val="clear" w:color="auto" w:fill="auto"/>
          </w:tcPr>
          <w:p w14:paraId="763A6C8D"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BR2</w:t>
            </w:r>
          </w:p>
        </w:tc>
        <w:tc>
          <w:tcPr>
            <w:tcW w:w="547" w:type="pct"/>
            <w:tcBorders>
              <w:top w:val="single" w:sz="6" w:space="0" w:color="auto"/>
              <w:left w:val="single" w:sz="6" w:space="0" w:color="auto"/>
              <w:bottom w:val="single" w:sz="6" w:space="0" w:color="auto"/>
              <w:right w:val="single" w:sz="6" w:space="0" w:color="auto"/>
            </w:tcBorders>
            <w:shd w:val="clear" w:color="auto" w:fill="auto"/>
          </w:tcPr>
          <w:p w14:paraId="3A63515D" w14:textId="77777777" w:rsidR="00A93FE3" w:rsidRPr="007A5D47" w:rsidRDefault="00A93FE3" w:rsidP="00511F7F">
            <w:pPr>
              <w:keepNext/>
              <w:keepLines/>
              <w:overflowPunct w:val="0"/>
              <w:autoSpaceDE w:val="0"/>
              <w:autoSpaceDN w:val="0"/>
              <w:adjustRightInd w:val="0"/>
              <w:spacing w:before="60" w:after="0"/>
              <w:jc w:val="center"/>
              <w:rPr>
                <w:caps/>
                <w:lang w:val="de-DE"/>
              </w:rPr>
            </w:pPr>
            <w:r w:rsidRPr="007A5D47">
              <w:rPr>
                <w:caps/>
                <w:lang w:val="de-DE"/>
              </w:rPr>
              <w:t>BR1</w:t>
            </w:r>
          </w:p>
        </w:tc>
        <w:tc>
          <w:tcPr>
            <w:tcW w:w="943" w:type="pct"/>
            <w:tcBorders>
              <w:top w:val="single" w:sz="6" w:space="0" w:color="auto"/>
              <w:left w:val="single" w:sz="6" w:space="0" w:color="auto"/>
              <w:bottom w:val="single" w:sz="6" w:space="0" w:color="auto"/>
              <w:right w:val="single" w:sz="6" w:space="0" w:color="auto"/>
            </w:tcBorders>
            <w:shd w:val="clear" w:color="auto" w:fill="auto"/>
          </w:tcPr>
          <w:p w14:paraId="0F35253E" w14:textId="77777777" w:rsidR="00A93FE3" w:rsidRPr="007A5D47" w:rsidRDefault="00A93FE3" w:rsidP="00511F7F">
            <w:pPr>
              <w:keepNext/>
              <w:keepLines/>
              <w:overflowPunct w:val="0"/>
              <w:autoSpaceDE w:val="0"/>
              <w:autoSpaceDN w:val="0"/>
              <w:adjustRightInd w:val="0"/>
              <w:spacing w:before="60" w:after="0"/>
              <w:jc w:val="center"/>
              <w:rPr>
                <w:caps/>
                <w:lang w:val="de-DE"/>
              </w:rPr>
            </w:pPr>
            <w:r w:rsidRPr="007A5D47">
              <w:rPr>
                <w:caps/>
                <w:lang w:val="de-DE"/>
              </w:rPr>
              <w:t>BR1</w:t>
            </w:r>
          </w:p>
        </w:tc>
        <w:tc>
          <w:tcPr>
            <w:tcW w:w="1000" w:type="pct"/>
            <w:tcBorders>
              <w:top w:val="single" w:sz="6" w:space="0" w:color="auto"/>
              <w:left w:val="single" w:sz="6" w:space="0" w:color="auto"/>
              <w:bottom w:val="single" w:sz="6" w:space="0" w:color="auto"/>
              <w:right w:val="single" w:sz="6" w:space="0" w:color="auto"/>
            </w:tcBorders>
            <w:shd w:val="clear" w:color="auto" w:fill="auto"/>
          </w:tcPr>
          <w:p w14:paraId="04E287CE"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BR1</w:t>
            </w:r>
          </w:p>
        </w:tc>
        <w:tc>
          <w:tcPr>
            <w:tcW w:w="485" w:type="pct"/>
            <w:tcBorders>
              <w:top w:val="single" w:sz="6" w:space="0" w:color="auto"/>
              <w:left w:val="single" w:sz="6" w:space="0" w:color="auto"/>
              <w:bottom w:val="single" w:sz="6" w:space="0" w:color="auto"/>
              <w:right w:val="single" w:sz="6" w:space="0" w:color="auto"/>
            </w:tcBorders>
            <w:shd w:val="clear" w:color="auto" w:fill="auto"/>
          </w:tcPr>
          <w:p w14:paraId="018099DE"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BR1</w:t>
            </w:r>
          </w:p>
        </w:tc>
      </w:tr>
      <w:tr w:rsidR="00A93FE3" w:rsidRPr="007A5D47" w14:paraId="29E5E5B9" w14:textId="77777777" w:rsidTr="00511F7F">
        <w:trPr>
          <w:trHeight w:val="20"/>
        </w:trPr>
        <w:tc>
          <w:tcPr>
            <w:tcW w:w="1558"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5FD19B8"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&gt;500 m</w:t>
            </w:r>
          </w:p>
        </w:tc>
        <w:tc>
          <w:tcPr>
            <w:tcW w:w="467" w:type="pct"/>
            <w:tcBorders>
              <w:top w:val="single" w:sz="6" w:space="0" w:color="auto"/>
              <w:left w:val="single" w:sz="6" w:space="0" w:color="auto"/>
              <w:bottom w:val="single" w:sz="6" w:space="0" w:color="auto"/>
              <w:right w:val="single" w:sz="6" w:space="0" w:color="auto"/>
            </w:tcBorders>
            <w:shd w:val="clear" w:color="auto" w:fill="auto"/>
          </w:tcPr>
          <w:p w14:paraId="29D0704D"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BR1</w:t>
            </w:r>
          </w:p>
        </w:tc>
        <w:tc>
          <w:tcPr>
            <w:tcW w:w="547" w:type="pct"/>
            <w:tcBorders>
              <w:top w:val="single" w:sz="6" w:space="0" w:color="auto"/>
              <w:left w:val="single" w:sz="6" w:space="0" w:color="auto"/>
              <w:bottom w:val="single" w:sz="6" w:space="0" w:color="auto"/>
              <w:right w:val="single" w:sz="6" w:space="0" w:color="auto"/>
            </w:tcBorders>
            <w:shd w:val="clear" w:color="auto" w:fill="auto"/>
          </w:tcPr>
          <w:p w14:paraId="3C710640"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BR1</w:t>
            </w:r>
          </w:p>
        </w:tc>
        <w:tc>
          <w:tcPr>
            <w:tcW w:w="943" w:type="pct"/>
            <w:tcBorders>
              <w:top w:val="single" w:sz="6" w:space="0" w:color="auto"/>
              <w:left w:val="single" w:sz="6" w:space="0" w:color="auto"/>
              <w:bottom w:val="single" w:sz="6" w:space="0" w:color="auto"/>
              <w:right w:val="single" w:sz="6" w:space="0" w:color="auto"/>
            </w:tcBorders>
            <w:shd w:val="clear" w:color="auto" w:fill="auto"/>
          </w:tcPr>
          <w:p w14:paraId="57099BA4"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BR1</w:t>
            </w:r>
          </w:p>
        </w:tc>
        <w:tc>
          <w:tcPr>
            <w:tcW w:w="1000" w:type="pct"/>
            <w:tcBorders>
              <w:top w:val="single" w:sz="6" w:space="0" w:color="auto"/>
              <w:left w:val="single" w:sz="6" w:space="0" w:color="auto"/>
              <w:bottom w:val="single" w:sz="6" w:space="0" w:color="auto"/>
              <w:right w:val="single" w:sz="6" w:space="0" w:color="auto"/>
            </w:tcBorders>
            <w:shd w:val="clear" w:color="auto" w:fill="auto"/>
          </w:tcPr>
          <w:p w14:paraId="26A4CCFA" w14:textId="77777777" w:rsidR="00A93FE3" w:rsidRPr="007A5D47" w:rsidRDefault="00A93FE3" w:rsidP="00511F7F">
            <w:pPr>
              <w:keepNext/>
              <w:keepLines/>
              <w:overflowPunct w:val="0"/>
              <w:autoSpaceDE w:val="0"/>
              <w:autoSpaceDN w:val="0"/>
              <w:adjustRightInd w:val="0"/>
              <w:spacing w:before="60" w:after="0"/>
              <w:jc w:val="center"/>
            </w:pPr>
            <w:r w:rsidRPr="007A5D47">
              <w:t>BR1</w:t>
            </w:r>
          </w:p>
        </w:tc>
        <w:tc>
          <w:tcPr>
            <w:tcW w:w="485" w:type="pct"/>
            <w:tcBorders>
              <w:top w:val="single" w:sz="6" w:space="0" w:color="auto"/>
              <w:left w:val="single" w:sz="6" w:space="0" w:color="auto"/>
              <w:bottom w:val="single" w:sz="6" w:space="0" w:color="auto"/>
              <w:right w:val="single" w:sz="6" w:space="0" w:color="auto"/>
            </w:tcBorders>
            <w:shd w:val="clear" w:color="auto" w:fill="auto"/>
          </w:tcPr>
          <w:p w14:paraId="1B5869F7" w14:textId="77777777" w:rsidR="00A93FE3" w:rsidRPr="007A5D47" w:rsidRDefault="00A93FE3" w:rsidP="00511F7F">
            <w:pPr>
              <w:keepNext/>
              <w:keepLines/>
              <w:overflowPunct w:val="0"/>
              <w:autoSpaceDE w:val="0"/>
              <w:autoSpaceDN w:val="0"/>
              <w:adjustRightInd w:val="0"/>
              <w:spacing w:before="60" w:after="0"/>
              <w:jc w:val="center"/>
            </w:pPr>
            <w:r w:rsidRPr="007A5D47">
              <w:t>BR1</w:t>
            </w:r>
          </w:p>
        </w:tc>
      </w:tr>
      <w:tr w:rsidR="00A93FE3" w:rsidRPr="007A5D47" w14:paraId="785B1B99" w14:textId="77777777" w:rsidTr="00511F7F">
        <w:trPr>
          <w:cantSplit/>
          <w:trHeight w:val="20"/>
        </w:trPr>
        <w:tc>
          <w:tcPr>
            <w:tcW w:w="5000" w:type="pct"/>
            <w:gridSpan w:val="6"/>
            <w:tcBorders>
              <w:left w:val="single" w:sz="6" w:space="0" w:color="auto"/>
              <w:bottom w:val="single" w:sz="6" w:space="0" w:color="auto"/>
              <w:right w:val="single" w:sz="6" w:space="0" w:color="auto"/>
            </w:tcBorders>
            <w:shd w:val="clear" w:color="auto" w:fill="A6A6A6" w:themeFill="background1" w:themeFillShade="A6"/>
          </w:tcPr>
          <w:p w14:paraId="73AABE80" w14:textId="77777777" w:rsidR="00A93FE3" w:rsidRPr="007A5D47" w:rsidRDefault="00A93FE3" w:rsidP="00511F7F">
            <w:pPr>
              <w:keepNext/>
              <w:keepLines/>
              <w:overflowPunct w:val="0"/>
              <w:autoSpaceDE w:val="0"/>
              <w:autoSpaceDN w:val="0"/>
              <w:adjustRightInd w:val="0"/>
              <w:spacing w:after="0"/>
              <w:jc w:val="center"/>
            </w:pPr>
            <w:r w:rsidRPr="007A5D47">
              <w:t>Infrastructure de catégorie 3</w:t>
            </w:r>
          </w:p>
        </w:tc>
      </w:tr>
      <w:tr w:rsidR="00A93FE3" w:rsidRPr="007A5D47" w14:paraId="1D4B41FD" w14:textId="77777777" w:rsidTr="00511F7F">
        <w:trPr>
          <w:trHeight w:val="20"/>
        </w:trPr>
        <w:tc>
          <w:tcPr>
            <w:tcW w:w="1558"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A3EBA63"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0-25 m</w:t>
            </w:r>
          </w:p>
        </w:tc>
        <w:tc>
          <w:tcPr>
            <w:tcW w:w="467" w:type="pct"/>
            <w:tcBorders>
              <w:top w:val="single" w:sz="6" w:space="0" w:color="auto"/>
              <w:left w:val="single" w:sz="6" w:space="0" w:color="auto"/>
              <w:bottom w:val="single" w:sz="6" w:space="0" w:color="auto"/>
              <w:right w:val="single" w:sz="6" w:space="0" w:color="auto"/>
            </w:tcBorders>
            <w:shd w:val="clear" w:color="auto" w:fill="auto"/>
          </w:tcPr>
          <w:p w14:paraId="338140E8"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BR3</w:t>
            </w:r>
          </w:p>
        </w:tc>
        <w:tc>
          <w:tcPr>
            <w:tcW w:w="547" w:type="pct"/>
            <w:tcBorders>
              <w:top w:val="single" w:sz="6" w:space="0" w:color="auto"/>
              <w:left w:val="single" w:sz="6" w:space="0" w:color="auto"/>
              <w:bottom w:val="single" w:sz="6" w:space="0" w:color="auto"/>
              <w:right w:val="single" w:sz="6" w:space="0" w:color="auto"/>
            </w:tcBorders>
            <w:shd w:val="clear" w:color="auto" w:fill="auto"/>
          </w:tcPr>
          <w:p w14:paraId="00A3CF10"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BR3</w:t>
            </w:r>
          </w:p>
        </w:tc>
        <w:tc>
          <w:tcPr>
            <w:tcW w:w="943" w:type="pct"/>
            <w:tcBorders>
              <w:top w:val="single" w:sz="6" w:space="0" w:color="auto"/>
              <w:left w:val="single" w:sz="6" w:space="0" w:color="auto"/>
              <w:bottom w:val="single" w:sz="6" w:space="0" w:color="auto"/>
              <w:right w:val="single" w:sz="6" w:space="0" w:color="auto"/>
            </w:tcBorders>
            <w:shd w:val="clear" w:color="auto" w:fill="auto"/>
          </w:tcPr>
          <w:p w14:paraId="274B56EE"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BR3</w:t>
            </w:r>
          </w:p>
        </w:tc>
        <w:tc>
          <w:tcPr>
            <w:tcW w:w="1000" w:type="pct"/>
            <w:tcBorders>
              <w:top w:val="single" w:sz="6" w:space="0" w:color="auto"/>
              <w:left w:val="single" w:sz="6" w:space="0" w:color="auto"/>
              <w:bottom w:val="single" w:sz="6" w:space="0" w:color="auto"/>
              <w:right w:val="single" w:sz="6" w:space="0" w:color="auto"/>
            </w:tcBorders>
            <w:shd w:val="clear" w:color="auto" w:fill="auto"/>
          </w:tcPr>
          <w:p w14:paraId="1052B232"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BR3</w:t>
            </w:r>
          </w:p>
        </w:tc>
        <w:tc>
          <w:tcPr>
            <w:tcW w:w="485" w:type="pct"/>
            <w:tcBorders>
              <w:top w:val="single" w:sz="6" w:space="0" w:color="auto"/>
              <w:left w:val="single" w:sz="6" w:space="0" w:color="auto"/>
              <w:bottom w:val="single" w:sz="6" w:space="0" w:color="auto"/>
              <w:right w:val="single" w:sz="6" w:space="0" w:color="auto"/>
            </w:tcBorders>
            <w:shd w:val="clear" w:color="auto" w:fill="auto"/>
          </w:tcPr>
          <w:p w14:paraId="4F8ADCF3"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BR2</w:t>
            </w:r>
          </w:p>
        </w:tc>
      </w:tr>
      <w:tr w:rsidR="00A93FE3" w:rsidRPr="007A5D47" w14:paraId="49257352" w14:textId="77777777" w:rsidTr="00511F7F">
        <w:trPr>
          <w:trHeight w:val="20"/>
        </w:trPr>
        <w:tc>
          <w:tcPr>
            <w:tcW w:w="1558"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B2F51B0"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25-50 m</w:t>
            </w:r>
          </w:p>
        </w:tc>
        <w:tc>
          <w:tcPr>
            <w:tcW w:w="467" w:type="pct"/>
            <w:tcBorders>
              <w:top w:val="single" w:sz="6" w:space="0" w:color="auto"/>
              <w:left w:val="single" w:sz="6" w:space="0" w:color="auto"/>
              <w:bottom w:val="single" w:sz="6" w:space="0" w:color="auto"/>
              <w:right w:val="single" w:sz="6" w:space="0" w:color="auto"/>
            </w:tcBorders>
            <w:shd w:val="clear" w:color="auto" w:fill="auto"/>
          </w:tcPr>
          <w:p w14:paraId="115DB16B"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BR3</w:t>
            </w:r>
          </w:p>
        </w:tc>
        <w:tc>
          <w:tcPr>
            <w:tcW w:w="547" w:type="pct"/>
            <w:tcBorders>
              <w:top w:val="single" w:sz="6" w:space="0" w:color="auto"/>
              <w:left w:val="single" w:sz="6" w:space="0" w:color="auto"/>
              <w:bottom w:val="single" w:sz="6" w:space="0" w:color="auto"/>
              <w:right w:val="single" w:sz="6" w:space="0" w:color="auto"/>
            </w:tcBorders>
            <w:shd w:val="clear" w:color="auto" w:fill="auto"/>
          </w:tcPr>
          <w:p w14:paraId="526C1FAD"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BR3</w:t>
            </w:r>
          </w:p>
        </w:tc>
        <w:tc>
          <w:tcPr>
            <w:tcW w:w="943" w:type="pct"/>
            <w:tcBorders>
              <w:top w:val="single" w:sz="6" w:space="0" w:color="auto"/>
              <w:left w:val="single" w:sz="6" w:space="0" w:color="auto"/>
              <w:bottom w:val="single" w:sz="6" w:space="0" w:color="auto"/>
              <w:right w:val="single" w:sz="6" w:space="0" w:color="auto"/>
            </w:tcBorders>
            <w:shd w:val="clear" w:color="auto" w:fill="auto"/>
          </w:tcPr>
          <w:p w14:paraId="19080678"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BR3</w:t>
            </w:r>
          </w:p>
        </w:tc>
        <w:tc>
          <w:tcPr>
            <w:tcW w:w="1000" w:type="pct"/>
            <w:tcBorders>
              <w:top w:val="single" w:sz="6" w:space="0" w:color="auto"/>
              <w:left w:val="single" w:sz="6" w:space="0" w:color="auto"/>
              <w:bottom w:val="single" w:sz="6" w:space="0" w:color="auto"/>
              <w:right w:val="single" w:sz="6" w:space="0" w:color="auto"/>
            </w:tcBorders>
            <w:shd w:val="clear" w:color="auto" w:fill="auto"/>
          </w:tcPr>
          <w:p w14:paraId="63ECDC2B"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BR2</w:t>
            </w:r>
          </w:p>
        </w:tc>
        <w:tc>
          <w:tcPr>
            <w:tcW w:w="485" w:type="pct"/>
            <w:tcBorders>
              <w:top w:val="single" w:sz="6" w:space="0" w:color="auto"/>
              <w:left w:val="single" w:sz="6" w:space="0" w:color="auto"/>
              <w:bottom w:val="single" w:sz="6" w:space="0" w:color="auto"/>
              <w:right w:val="single" w:sz="6" w:space="0" w:color="auto"/>
            </w:tcBorders>
            <w:shd w:val="clear" w:color="auto" w:fill="auto"/>
          </w:tcPr>
          <w:p w14:paraId="10C74EC4"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BR2</w:t>
            </w:r>
          </w:p>
        </w:tc>
      </w:tr>
      <w:tr w:rsidR="00A93FE3" w:rsidRPr="007A5D47" w14:paraId="3D0160C3" w14:textId="77777777" w:rsidTr="00511F7F">
        <w:trPr>
          <w:trHeight w:val="20"/>
        </w:trPr>
        <w:tc>
          <w:tcPr>
            <w:tcW w:w="1558"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CC5DA85"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50-100 m</w:t>
            </w:r>
          </w:p>
        </w:tc>
        <w:tc>
          <w:tcPr>
            <w:tcW w:w="467" w:type="pct"/>
            <w:tcBorders>
              <w:top w:val="single" w:sz="6" w:space="0" w:color="auto"/>
              <w:left w:val="single" w:sz="6" w:space="0" w:color="auto"/>
              <w:bottom w:val="single" w:sz="6" w:space="0" w:color="auto"/>
              <w:right w:val="single" w:sz="6" w:space="0" w:color="auto"/>
            </w:tcBorders>
            <w:shd w:val="clear" w:color="auto" w:fill="auto"/>
          </w:tcPr>
          <w:p w14:paraId="0D5CEFF8"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BR3</w:t>
            </w:r>
          </w:p>
        </w:tc>
        <w:tc>
          <w:tcPr>
            <w:tcW w:w="547" w:type="pct"/>
            <w:tcBorders>
              <w:top w:val="single" w:sz="6" w:space="0" w:color="auto"/>
              <w:left w:val="single" w:sz="6" w:space="0" w:color="auto"/>
              <w:bottom w:val="single" w:sz="6" w:space="0" w:color="auto"/>
              <w:right w:val="single" w:sz="6" w:space="0" w:color="auto"/>
            </w:tcBorders>
            <w:shd w:val="clear" w:color="auto" w:fill="auto"/>
          </w:tcPr>
          <w:p w14:paraId="416EB3CB"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BR2</w:t>
            </w:r>
          </w:p>
        </w:tc>
        <w:tc>
          <w:tcPr>
            <w:tcW w:w="943" w:type="pct"/>
            <w:tcBorders>
              <w:top w:val="single" w:sz="6" w:space="0" w:color="auto"/>
              <w:left w:val="single" w:sz="6" w:space="0" w:color="auto"/>
              <w:bottom w:val="single" w:sz="6" w:space="0" w:color="auto"/>
              <w:right w:val="single" w:sz="6" w:space="0" w:color="auto"/>
            </w:tcBorders>
            <w:shd w:val="clear" w:color="auto" w:fill="auto"/>
          </w:tcPr>
          <w:p w14:paraId="4EF43D26"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BR2</w:t>
            </w:r>
          </w:p>
        </w:tc>
        <w:tc>
          <w:tcPr>
            <w:tcW w:w="1000" w:type="pct"/>
            <w:tcBorders>
              <w:top w:val="single" w:sz="6" w:space="0" w:color="auto"/>
              <w:left w:val="single" w:sz="6" w:space="0" w:color="auto"/>
              <w:bottom w:val="single" w:sz="6" w:space="0" w:color="auto"/>
              <w:right w:val="single" w:sz="6" w:space="0" w:color="auto"/>
            </w:tcBorders>
            <w:shd w:val="clear" w:color="auto" w:fill="auto"/>
          </w:tcPr>
          <w:p w14:paraId="0ADAC2CF"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BR2</w:t>
            </w:r>
          </w:p>
        </w:tc>
        <w:tc>
          <w:tcPr>
            <w:tcW w:w="485" w:type="pct"/>
            <w:tcBorders>
              <w:top w:val="single" w:sz="6" w:space="0" w:color="auto"/>
              <w:left w:val="single" w:sz="6" w:space="0" w:color="auto"/>
              <w:bottom w:val="single" w:sz="6" w:space="0" w:color="auto"/>
              <w:right w:val="single" w:sz="6" w:space="0" w:color="auto"/>
            </w:tcBorders>
            <w:shd w:val="clear" w:color="auto" w:fill="auto"/>
          </w:tcPr>
          <w:p w14:paraId="0570372D"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BR1</w:t>
            </w:r>
          </w:p>
        </w:tc>
      </w:tr>
      <w:tr w:rsidR="00A93FE3" w:rsidRPr="007A5D47" w14:paraId="4B477718" w14:textId="77777777" w:rsidTr="00511F7F">
        <w:trPr>
          <w:trHeight w:val="20"/>
        </w:trPr>
        <w:tc>
          <w:tcPr>
            <w:tcW w:w="1558"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8E9E124"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100-160 m</w:t>
            </w:r>
          </w:p>
        </w:tc>
        <w:tc>
          <w:tcPr>
            <w:tcW w:w="467" w:type="pct"/>
            <w:tcBorders>
              <w:top w:val="single" w:sz="6" w:space="0" w:color="auto"/>
              <w:left w:val="single" w:sz="6" w:space="0" w:color="auto"/>
              <w:bottom w:val="single" w:sz="6" w:space="0" w:color="auto"/>
              <w:right w:val="single" w:sz="6" w:space="0" w:color="auto"/>
            </w:tcBorders>
            <w:shd w:val="clear" w:color="auto" w:fill="auto"/>
          </w:tcPr>
          <w:p w14:paraId="3F6F2D25"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BR2</w:t>
            </w:r>
          </w:p>
        </w:tc>
        <w:tc>
          <w:tcPr>
            <w:tcW w:w="547" w:type="pct"/>
            <w:tcBorders>
              <w:top w:val="single" w:sz="6" w:space="0" w:color="auto"/>
              <w:left w:val="single" w:sz="6" w:space="0" w:color="auto"/>
              <w:bottom w:val="single" w:sz="6" w:space="0" w:color="auto"/>
              <w:right w:val="single" w:sz="6" w:space="0" w:color="auto"/>
            </w:tcBorders>
            <w:shd w:val="clear" w:color="auto" w:fill="auto"/>
          </w:tcPr>
          <w:p w14:paraId="2723C314"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BR2</w:t>
            </w:r>
          </w:p>
        </w:tc>
        <w:tc>
          <w:tcPr>
            <w:tcW w:w="943" w:type="pct"/>
            <w:tcBorders>
              <w:top w:val="single" w:sz="6" w:space="0" w:color="auto"/>
              <w:left w:val="single" w:sz="6" w:space="0" w:color="auto"/>
              <w:bottom w:val="single" w:sz="6" w:space="0" w:color="auto"/>
              <w:right w:val="single" w:sz="6" w:space="0" w:color="auto"/>
            </w:tcBorders>
            <w:shd w:val="clear" w:color="auto" w:fill="auto"/>
          </w:tcPr>
          <w:p w14:paraId="21FF998E"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BR2</w:t>
            </w:r>
          </w:p>
        </w:tc>
        <w:tc>
          <w:tcPr>
            <w:tcW w:w="1000" w:type="pct"/>
            <w:tcBorders>
              <w:top w:val="single" w:sz="6" w:space="0" w:color="auto"/>
              <w:left w:val="single" w:sz="6" w:space="0" w:color="auto"/>
              <w:bottom w:val="single" w:sz="6" w:space="0" w:color="auto"/>
              <w:right w:val="single" w:sz="6" w:space="0" w:color="auto"/>
            </w:tcBorders>
            <w:shd w:val="clear" w:color="auto" w:fill="auto"/>
          </w:tcPr>
          <w:p w14:paraId="65B29468"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BR1</w:t>
            </w:r>
          </w:p>
        </w:tc>
        <w:tc>
          <w:tcPr>
            <w:tcW w:w="485" w:type="pct"/>
            <w:tcBorders>
              <w:top w:val="single" w:sz="6" w:space="0" w:color="auto"/>
              <w:left w:val="single" w:sz="6" w:space="0" w:color="auto"/>
              <w:bottom w:val="single" w:sz="6" w:space="0" w:color="auto"/>
              <w:right w:val="single" w:sz="6" w:space="0" w:color="auto"/>
            </w:tcBorders>
            <w:shd w:val="clear" w:color="auto" w:fill="auto"/>
          </w:tcPr>
          <w:p w14:paraId="0EF43FFD"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BR1</w:t>
            </w:r>
          </w:p>
        </w:tc>
      </w:tr>
      <w:tr w:rsidR="00A93FE3" w:rsidRPr="007A5D47" w14:paraId="48548010" w14:textId="77777777" w:rsidTr="00511F7F">
        <w:trPr>
          <w:trHeight w:val="20"/>
        </w:trPr>
        <w:tc>
          <w:tcPr>
            <w:tcW w:w="1558"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FB0B7AD"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160-250 m</w:t>
            </w:r>
          </w:p>
        </w:tc>
        <w:tc>
          <w:tcPr>
            <w:tcW w:w="467" w:type="pct"/>
            <w:tcBorders>
              <w:top w:val="single" w:sz="6" w:space="0" w:color="auto"/>
              <w:left w:val="single" w:sz="6" w:space="0" w:color="auto"/>
              <w:bottom w:val="single" w:sz="6" w:space="0" w:color="auto"/>
              <w:right w:val="single" w:sz="6" w:space="0" w:color="auto"/>
            </w:tcBorders>
            <w:shd w:val="clear" w:color="auto" w:fill="auto"/>
          </w:tcPr>
          <w:p w14:paraId="0983272A"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BR2</w:t>
            </w:r>
          </w:p>
        </w:tc>
        <w:tc>
          <w:tcPr>
            <w:tcW w:w="547" w:type="pct"/>
            <w:tcBorders>
              <w:top w:val="single" w:sz="6" w:space="0" w:color="auto"/>
              <w:left w:val="single" w:sz="6" w:space="0" w:color="auto"/>
              <w:bottom w:val="single" w:sz="6" w:space="0" w:color="auto"/>
              <w:right w:val="single" w:sz="6" w:space="0" w:color="auto"/>
            </w:tcBorders>
            <w:shd w:val="clear" w:color="auto" w:fill="auto"/>
          </w:tcPr>
          <w:p w14:paraId="07823C65" w14:textId="77777777" w:rsidR="00A93FE3" w:rsidRPr="007A5D47" w:rsidRDefault="00A93FE3" w:rsidP="00511F7F">
            <w:pPr>
              <w:keepNext/>
              <w:keepLines/>
              <w:overflowPunct w:val="0"/>
              <w:autoSpaceDE w:val="0"/>
              <w:autoSpaceDN w:val="0"/>
              <w:adjustRightInd w:val="0"/>
              <w:spacing w:before="60" w:after="0"/>
              <w:jc w:val="center"/>
              <w:rPr>
                <w:caps/>
                <w:lang w:val="de-DE"/>
              </w:rPr>
            </w:pPr>
            <w:r w:rsidRPr="007A5D47">
              <w:rPr>
                <w:caps/>
                <w:lang w:val="de-DE"/>
              </w:rPr>
              <w:t>BR1</w:t>
            </w:r>
          </w:p>
        </w:tc>
        <w:tc>
          <w:tcPr>
            <w:tcW w:w="943" w:type="pct"/>
            <w:tcBorders>
              <w:top w:val="single" w:sz="6" w:space="0" w:color="auto"/>
              <w:left w:val="single" w:sz="6" w:space="0" w:color="auto"/>
              <w:bottom w:val="single" w:sz="6" w:space="0" w:color="auto"/>
              <w:right w:val="single" w:sz="6" w:space="0" w:color="auto"/>
            </w:tcBorders>
            <w:shd w:val="clear" w:color="auto" w:fill="auto"/>
          </w:tcPr>
          <w:p w14:paraId="2A53A2C5" w14:textId="77777777" w:rsidR="00A93FE3" w:rsidRPr="007A5D47" w:rsidRDefault="00A93FE3" w:rsidP="00511F7F">
            <w:pPr>
              <w:keepNext/>
              <w:keepLines/>
              <w:overflowPunct w:val="0"/>
              <w:autoSpaceDE w:val="0"/>
              <w:autoSpaceDN w:val="0"/>
              <w:adjustRightInd w:val="0"/>
              <w:spacing w:before="60" w:after="0"/>
              <w:jc w:val="center"/>
              <w:rPr>
                <w:caps/>
                <w:lang w:val="de-DE"/>
              </w:rPr>
            </w:pPr>
            <w:r w:rsidRPr="007A5D47">
              <w:rPr>
                <w:caps/>
                <w:lang w:val="de-DE"/>
              </w:rPr>
              <w:t>BR1</w:t>
            </w:r>
          </w:p>
        </w:tc>
        <w:tc>
          <w:tcPr>
            <w:tcW w:w="1000" w:type="pct"/>
            <w:tcBorders>
              <w:top w:val="single" w:sz="6" w:space="0" w:color="auto"/>
              <w:left w:val="single" w:sz="6" w:space="0" w:color="auto"/>
              <w:bottom w:val="single" w:sz="6" w:space="0" w:color="auto"/>
              <w:right w:val="single" w:sz="6" w:space="0" w:color="auto"/>
            </w:tcBorders>
            <w:shd w:val="clear" w:color="auto" w:fill="auto"/>
          </w:tcPr>
          <w:p w14:paraId="65981C42"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BR1</w:t>
            </w:r>
          </w:p>
        </w:tc>
        <w:tc>
          <w:tcPr>
            <w:tcW w:w="485" w:type="pct"/>
            <w:tcBorders>
              <w:top w:val="single" w:sz="6" w:space="0" w:color="auto"/>
              <w:left w:val="single" w:sz="6" w:space="0" w:color="auto"/>
              <w:bottom w:val="single" w:sz="6" w:space="0" w:color="auto"/>
              <w:right w:val="single" w:sz="6" w:space="0" w:color="auto"/>
            </w:tcBorders>
            <w:shd w:val="clear" w:color="auto" w:fill="auto"/>
          </w:tcPr>
          <w:p w14:paraId="1780EEC3"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BR1</w:t>
            </w:r>
          </w:p>
        </w:tc>
      </w:tr>
      <w:tr w:rsidR="00A93FE3" w:rsidRPr="007A5D47" w14:paraId="6946F621" w14:textId="77777777" w:rsidTr="00511F7F">
        <w:trPr>
          <w:trHeight w:val="20"/>
        </w:trPr>
        <w:tc>
          <w:tcPr>
            <w:tcW w:w="1558"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CC1BBC1"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&gt;250 m</w:t>
            </w:r>
          </w:p>
        </w:tc>
        <w:tc>
          <w:tcPr>
            <w:tcW w:w="467" w:type="pct"/>
            <w:tcBorders>
              <w:top w:val="single" w:sz="6" w:space="0" w:color="auto"/>
              <w:left w:val="single" w:sz="6" w:space="0" w:color="auto"/>
              <w:bottom w:val="single" w:sz="6" w:space="0" w:color="auto"/>
              <w:right w:val="single" w:sz="6" w:space="0" w:color="auto"/>
            </w:tcBorders>
            <w:shd w:val="clear" w:color="auto" w:fill="auto"/>
          </w:tcPr>
          <w:p w14:paraId="5F4CC210"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BR1</w:t>
            </w:r>
          </w:p>
        </w:tc>
        <w:tc>
          <w:tcPr>
            <w:tcW w:w="547" w:type="pct"/>
            <w:tcBorders>
              <w:top w:val="single" w:sz="6" w:space="0" w:color="auto"/>
              <w:left w:val="single" w:sz="6" w:space="0" w:color="auto"/>
              <w:bottom w:val="single" w:sz="6" w:space="0" w:color="auto"/>
              <w:right w:val="single" w:sz="6" w:space="0" w:color="auto"/>
            </w:tcBorders>
            <w:shd w:val="clear" w:color="auto" w:fill="auto"/>
          </w:tcPr>
          <w:p w14:paraId="1EBDCFD5"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BR1</w:t>
            </w:r>
          </w:p>
        </w:tc>
        <w:tc>
          <w:tcPr>
            <w:tcW w:w="943" w:type="pct"/>
            <w:tcBorders>
              <w:top w:val="single" w:sz="6" w:space="0" w:color="auto"/>
              <w:left w:val="single" w:sz="6" w:space="0" w:color="auto"/>
              <w:bottom w:val="single" w:sz="6" w:space="0" w:color="auto"/>
              <w:right w:val="single" w:sz="6" w:space="0" w:color="auto"/>
            </w:tcBorders>
            <w:shd w:val="clear" w:color="auto" w:fill="auto"/>
          </w:tcPr>
          <w:p w14:paraId="72DAE70E"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BR1</w:t>
            </w:r>
          </w:p>
        </w:tc>
        <w:tc>
          <w:tcPr>
            <w:tcW w:w="1000" w:type="pct"/>
            <w:tcBorders>
              <w:top w:val="single" w:sz="6" w:space="0" w:color="auto"/>
              <w:left w:val="single" w:sz="6" w:space="0" w:color="auto"/>
              <w:bottom w:val="single" w:sz="6" w:space="0" w:color="auto"/>
              <w:right w:val="single" w:sz="6" w:space="0" w:color="auto"/>
            </w:tcBorders>
            <w:shd w:val="clear" w:color="auto" w:fill="auto"/>
          </w:tcPr>
          <w:p w14:paraId="52DF0BA1" w14:textId="77777777" w:rsidR="00A93FE3" w:rsidRPr="007A5D47" w:rsidRDefault="00A93FE3" w:rsidP="00511F7F">
            <w:pPr>
              <w:keepNext/>
              <w:keepLines/>
              <w:overflowPunct w:val="0"/>
              <w:autoSpaceDE w:val="0"/>
              <w:autoSpaceDN w:val="0"/>
              <w:adjustRightInd w:val="0"/>
              <w:spacing w:before="60" w:after="0"/>
              <w:jc w:val="center"/>
            </w:pPr>
            <w:r w:rsidRPr="007A5D47">
              <w:t>BR1</w:t>
            </w:r>
          </w:p>
        </w:tc>
        <w:tc>
          <w:tcPr>
            <w:tcW w:w="485" w:type="pct"/>
            <w:tcBorders>
              <w:top w:val="single" w:sz="6" w:space="0" w:color="auto"/>
              <w:left w:val="single" w:sz="6" w:space="0" w:color="auto"/>
              <w:bottom w:val="single" w:sz="6" w:space="0" w:color="auto"/>
              <w:right w:val="single" w:sz="6" w:space="0" w:color="auto"/>
            </w:tcBorders>
            <w:shd w:val="clear" w:color="auto" w:fill="auto"/>
          </w:tcPr>
          <w:p w14:paraId="51CE0FF4" w14:textId="77777777" w:rsidR="00A93FE3" w:rsidRPr="007A5D47" w:rsidRDefault="00A93FE3" w:rsidP="00511F7F">
            <w:pPr>
              <w:keepNext/>
              <w:keepLines/>
              <w:overflowPunct w:val="0"/>
              <w:autoSpaceDE w:val="0"/>
              <w:autoSpaceDN w:val="0"/>
              <w:adjustRightInd w:val="0"/>
              <w:spacing w:before="60" w:after="0"/>
              <w:jc w:val="center"/>
            </w:pPr>
            <w:r w:rsidRPr="007A5D47">
              <w:t>BR1</w:t>
            </w:r>
          </w:p>
        </w:tc>
      </w:tr>
      <w:tr w:rsidR="00A93FE3" w:rsidRPr="007A5D47" w14:paraId="2E3F577A" w14:textId="77777777" w:rsidTr="00511F7F">
        <w:trPr>
          <w:cantSplit/>
          <w:trHeight w:val="20"/>
        </w:trPr>
        <w:tc>
          <w:tcPr>
            <w:tcW w:w="5000" w:type="pct"/>
            <w:gridSpan w:val="6"/>
            <w:tcBorders>
              <w:left w:val="single" w:sz="6" w:space="0" w:color="auto"/>
              <w:bottom w:val="single" w:sz="6" w:space="0" w:color="auto"/>
              <w:right w:val="single" w:sz="6" w:space="0" w:color="auto"/>
            </w:tcBorders>
            <w:shd w:val="clear" w:color="auto" w:fill="A6A6A6" w:themeFill="background1" w:themeFillShade="A6"/>
          </w:tcPr>
          <w:p w14:paraId="625D3ECE" w14:textId="77777777" w:rsidR="00A93FE3" w:rsidRPr="007A5D47" w:rsidRDefault="00A93FE3" w:rsidP="00511F7F">
            <w:pPr>
              <w:keepNext/>
              <w:keepLines/>
              <w:overflowPunct w:val="0"/>
              <w:autoSpaceDE w:val="0"/>
              <w:autoSpaceDN w:val="0"/>
              <w:adjustRightInd w:val="0"/>
              <w:spacing w:after="0"/>
              <w:jc w:val="center"/>
            </w:pPr>
            <w:r w:rsidRPr="007A5D47">
              <w:t>Infrastructure de catégorie 4</w:t>
            </w:r>
          </w:p>
        </w:tc>
      </w:tr>
      <w:tr w:rsidR="00A93FE3" w:rsidRPr="007A5D47" w14:paraId="423C4A25" w14:textId="77777777" w:rsidTr="00511F7F">
        <w:trPr>
          <w:trHeight w:val="20"/>
        </w:trPr>
        <w:tc>
          <w:tcPr>
            <w:tcW w:w="1558"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F0BB9B6"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0-15 m</w:t>
            </w:r>
          </w:p>
        </w:tc>
        <w:tc>
          <w:tcPr>
            <w:tcW w:w="467" w:type="pct"/>
            <w:tcBorders>
              <w:top w:val="single" w:sz="6" w:space="0" w:color="auto"/>
              <w:left w:val="single" w:sz="6" w:space="0" w:color="auto"/>
              <w:bottom w:val="single" w:sz="6" w:space="0" w:color="auto"/>
              <w:right w:val="single" w:sz="6" w:space="0" w:color="auto"/>
            </w:tcBorders>
            <w:shd w:val="clear" w:color="auto" w:fill="auto"/>
          </w:tcPr>
          <w:p w14:paraId="0FE06585"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BR3</w:t>
            </w:r>
          </w:p>
        </w:tc>
        <w:tc>
          <w:tcPr>
            <w:tcW w:w="547" w:type="pct"/>
            <w:tcBorders>
              <w:top w:val="single" w:sz="6" w:space="0" w:color="auto"/>
              <w:left w:val="single" w:sz="6" w:space="0" w:color="auto"/>
              <w:bottom w:val="single" w:sz="6" w:space="0" w:color="auto"/>
              <w:right w:val="single" w:sz="6" w:space="0" w:color="auto"/>
            </w:tcBorders>
            <w:shd w:val="clear" w:color="auto" w:fill="auto"/>
          </w:tcPr>
          <w:p w14:paraId="2EA35019"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BR3</w:t>
            </w:r>
          </w:p>
        </w:tc>
        <w:tc>
          <w:tcPr>
            <w:tcW w:w="943" w:type="pct"/>
            <w:tcBorders>
              <w:top w:val="single" w:sz="6" w:space="0" w:color="auto"/>
              <w:left w:val="single" w:sz="6" w:space="0" w:color="auto"/>
              <w:bottom w:val="single" w:sz="6" w:space="0" w:color="auto"/>
              <w:right w:val="single" w:sz="6" w:space="0" w:color="auto"/>
            </w:tcBorders>
            <w:shd w:val="clear" w:color="auto" w:fill="auto"/>
          </w:tcPr>
          <w:p w14:paraId="4A448C13"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BR3</w:t>
            </w:r>
          </w:p>
        </w:tc>
        <w:tc>
          <w:tcPr>
            <w:tcW w:w="1000" w:type="pct"/>
            <w:tcBorders>
              <w:top w:val="single" w:sz="6" w:space="0" w:color="auto"/>
              <w:left w:val="single" w:sz="6" w:space="0" w:color="auto"/>
              <w:bottom w:val="single" w:sz="6" w:space="0" w:color="auto"/>
              <w:right w:val="single" w:sz="6" w:space="0" w:color="auto"/>
            </w:tcBorders>
            <w:shd w:val="clear" w:color="auto" w:fill="auto"/>
          </w:tcPr>
          <w:p w14:paraId="42BE8932"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BR2</w:t>
            </w:r>
          </w:p>
        </w:tc>
        <w:tc>
          <w:tcPr>
            <w:tcW w:w="485" w:type="pct"/>
            <w:tcBorders>
              <w:top w:val="single" w:sz="6" w:space="0" w:color="auto"/>
              <w:left w:val="single" w:sz="6" w:space="0" w:color="auto"/>
              <w:bottom w:val="single" w:sz="6" w:space="0" w:color="auto"/>
              <w:right w:val="single" w:sz="6" w:space="0" w:color="auto"/>
            </w:tcBorders>
            <w:shd w:val="clear" w:color="auto" w:fill="auto"/>
          </w:tcPr>
          <w:p w14:paraId="22A22A44"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BR2</w:t>
            </w:r>
          </w:p>
        </w:tc>
      </w:tr>
      <w:tr w:rsidR="00A93FE3" w:rsidRPr="007A5D47" w14:paraId="7952319F" w14:textId="77777777" w:rsidTr="00511F7F">
        <w:trPr>
          <w:trHeight w:val="20"/>
        </w:trPr>
        <w:tc>
          <w:tcPr>
            <w:tcW w:w="1558"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DF5464F"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15-30 m</w:t>
            </w:r>
          </w:p>
        </w:tc>
        <w:tc>
          <w:tcPr>
            <w:tcW w:w="467" w:type="pct"/>
            <w:tcBorders>
              <w:top w:val="single" w:sz="6" w:space="0" w:color="auto"/>
              <w:left w:val="single" w:sz="6" w:space="0" w:color="auto"/>
              <w:bottom w:val="single" w:sz="6" w:space="0" w:color="auto"/>
              <w:right w:val="single" w:sz="6" w:space="0" w:color="auto"/>
            </w:tcBorders>
            <w:shd w:val="clear" w:color="auto" w:fill="auto"/>
          </w:tcPr>
          <w:p w14:paraId="65970882"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BR3</w:t>
            </w:r>
          </w:p>
        </w:tc>
        <w:tc>
          <w:tcPr>
            <w:tcW w:w="547" w:type="pct"/>
            <w:tcBorders>
              <w:top w:val="single" w:sz="6" w:space="0" w:color="auto"/>
              <w:left w:val="single" w:sz="6" w:space="0" w:color="auto"/>
              <w:bottom w:val="single" w:sz="6" w:space="0" w:color="auto"/>
              <w:right w:val="single" w:sz="6" w:space="0" w:color="auto"/>
            </w:tcBorders>
            <w:shd w:val="clear" w:color="auto" w:fill="auto"/>
          </w:tcPr>
          <w:p w14:paraId="6E2E4BD3"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BR2</w:t>
            </w:r>
          </w:p>
        </w:tc>
        <w:tc>
          <w:tcPr>
            <w:tcW w:w="943" w:type="pct"/>
            <w:tcBorders>
              <w:top w:val="single" w:sz="6" w:space="0" w:color="auto"/>
              <w:left w:val="single" w:sz="6" w:space="0" w:color="auto"/>
              <w:bottom w:val="single" w:sz="6" w:space="0" w:color="auto"/>
              <w:right w:val="single" w:sz="6" w:space="0" w:color="auto"/>
            </w:tcBorders>
            <w:shd w:val="clear" w:color="auto" w:fill="auto"/>
          </w:tcPr>
          <w:p w14:paraId="011FCD60"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BR2</w:t>
            </w:r>
          </w:p>
        </w:tc>
        <w:tc>
          <w:tcPr>
            <w:tcW w:w="1000" w:type="pct"/>
            <w:tcBorders>
              <w:top w:val="single" w:sz="6" w:space="0" w:color="auto"/>
              <w:left w:val="single" w:sz="6" w:space="0" w:color="auto"/>
              <w:bottom w:val="single" w:sz="6" w:space="0" w:color="auto"/>
              <w:right w:val="single" w:sz="6" w:space="0" w:color="auto"/>
            </w:tcBorders>
            <w:shd w:val="clear" w:color="auto" w:fill="auto"/>
          </w:tcPr>
          <w:p w14:paraId="3C1688C2"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BR2</w:t>
            </w:r>
          </w:p>
        </w:tc>
        <w:tc>
          <w:tcPr>
            <w:tcW w:w="485" w:type="pct"/>
            <w:tcBorders>
              <w:top w:val="single" w:sz="6" w:space="0" w:color="auto"/>
              <w:left w:val="single" w:sz="6" w:space="0" w:color="auto"/>
              <w:bottom w:val="single" w:sz="6" w:space="0" w:color="auto"/>
              <w:right w:val="single" w:sz="6" w:space="0" w:color="auto"/>
            </w:tcBorders>
            <w:shd w:val="clear" w:color="auto" w:fill="auto"/>
          </w:tcPr>
          <w:p w14:paraId="47894CC0"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BR1</w:t>
            </w:r>
          </w:p>
        </w:tc>
      </w:tr>
      <w:tr w:rsidR="00A93FE3" w:rsidRPr="007A5D47" w14:paraId="601A7FD1" w14:textId="77777777" w:rsidTr="00511F7F">
        <w:trPr>
          <w:trHeight w:val="20"/>
        </w:trPr>
        <w:tc>
          <w:tcPr>
            <w:tcW w:w="1558"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14692BA"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30-60 m</w:t>
            </w:r>
          </w:p>
        </w:tc>
        <w:tc>
          <w:tcPr>
            <w:tcW w:w="467" w:type="pct"/>
            <w:tcBorders>
              <w:top w:val="single" w:sz="6" w:space="0" w:color="auto"/>
              <w:left w:val="single" w:sz="6" w:space="0" w:color="auto"/>
              <w:bottom w:val="single" w:sz="6" w:space="0" w:color="auto"/>
              <w:right w:val="single" w:sz="6" w:space="0" w:color="auto"/>
            </w:tcBorders>
            <w:shd w:val="clear" w:color="auto" w:fill="auto"/>
          </w:tcPr>
          <w:p w14:paraId="6B77CE0C"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BR2</w:t>
            </w:r>
          </w:p>
        </w:tc>
        <w:tc>
          <w:tcPr>
            <w:tcW w:w="547" w:type="pct"/>
            <w:tcBorders>
              <w:top w:val="single" w:sz="6" w:space="0" w:color="auto"/>
              <w:left w:val="single" w:sz="6" w:space="0" w:color="auto"/>
              <w:bottom w:val="single" w:sz="6" w:space="0" w:color="auto"/>
              <w:right w:val="single" w:sz="6" w:space="0" w:color="auto"/>
            </w:tcBorders>
            <w:shd w:val="clear" w:color="auto" w:fill="auto"/>
          </w:tcPr>
          <w:p w14:paraId="6E289273"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BR2</w:t>
            </w:r>
          </w:p>
        </w:tc>
        <w:tc>
          <w:tcPr>
            <w:tcW w:w="943" w:type="pct"/>
            <w:tcBorders>
              <w:top w:val="single" w:sz="6" w:space="0" w:color="auto"/>
              <w:left w:val="single" w:sz="6" w:space="0" w:color="auto"/>
              <w:bottom w:val="single" w:sz="6" w:space="0" w:color="auto"/>
              <w:right w:val="single" w:sz="6" w:space="0" w:color="auto"/>
            </w:tcBorders>
            <w:shd w:val="clear" w:color="auto" w:fill="auto"/>
          </w:tcPr>
          <w:p w14:paraId="25873BCB"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BR2</w:t>
            </w:r>
          </w:p>
        </w:tc>
        <w:tc>
          <w:tcPr>
            <w:tcW w:w="1000" w:type="pct"/>
            <w:tcBorders>
              <w:top w:val="single" w:sz="6" w:space="0" w:color="auto"/>
              <w:left w:val="single" w:sz="6" w:space="0" w:color="auto"/>
              <w:bottom w:val="single" w:sz="6" w:space="0" w:color="auto"/>
              <w:right w:val="single" w:sz="6" w:space="0" w:color="auto"/>
            </w:tcBorders>
            <w:shd w:val="clear" w:color="auto" w:fill="auto"/>
          </w:tcPr>
          <w:p w14:paraId="500D9185"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BR1</w:t>
            </w:r>
          </w:p>
        </w:tc>
        <w:tc>
          <w:tcPr>
            <w:tcW w:w="485" w:type="pct"/>
            <w:tcBorders>
              <w:top w:val="single" w:sz="6" w:space="0" w:color="auto"/>
              <w:left w:val="single" w:sz="6" w:space="0" w:color="auto"/>
              <w:bottom w:val="single" w:sz="6" w:space="0" w:color="auto"/>
              <w:right w:val="single" w:sz="6" w:space="0" w:color="auto"/>
            </w:tcBorders>
            <w:shd w:val="clear" w:color="auto" w:fill="auto"/>
          </w:tcPr>
          <w:p w14:paraId="33946CB1"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BR1</w:t>
            </w:r>
          </w:p>
        </w:tc>
      </w:tr>
      <w:tr w:rsidR="00A93FE3" w:rsidRPr="007A5D47" w14:paraId="79CC7AAA" w14:textId="77777777" w:rsidTr="00511F7F">
        <w:trPr>
          <w:trHeight w:val="20"/>
        </w:trPr>
        <w:tc>
          <w:tcPr>
            <w:tcW w:w="1558"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3A653A2"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60-100 m</w:t>
            </w:r>
          </w:p>
        </w:tc>
        <w:tc>
          <w:tcPr>
            <w:tcW w:w="467" w:type="pct"/>
            <w:tcBorders>
              <w:top w:val="single" w:sz="6" w:space="0" w:color="auto"/>
              <w:left w:val="single" w:sz="6" w:space="0" w:color="auto"/>
              <w:bottom w:val="single" w:sz="6" w:space="0" w:color="auto"/>
              <w:right w:val="single" w:sz="6" w:space="0" w:color="auto"/>
            </w:tcBorders>
            <w:shd w:val="clear" w:color="auto" w:fill="auto"/>
          </w:tcPr>
          <w:p w14:paraId="4EE35E78"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BR2</w:t>
            </w:r>
          </w:p>
        </w:tc>
        <w:tc>
          <w:tcPr>
            <w:tcW w:w="547" w:type="pct"/>
            <w:tcBorders>
              <w:top w:val="single" w:sz="6" w:space="0" w:color="auto"/>
              <w:left w:val="single" w:sz="6" w:space="0" w:color="auto"/>
              <w:bottom w:val="single" w:sz="6" w:space="0" w:color="auto"/>
              <w:right w:val="single" w:sz="6" w:space="0" w:color="auto"/>
            </w:tcBorders>
            <w:shd w:val="clear" w:color="auto" w:fill="auto"/>
          </w:tcPr>
          <w:p w14:paraId="03ABFBBD" w14:textId="77777777" w:rsidR="00A93FE3" w:rsidRPr="007A5D47" w:rsidRDefault="00A93FE3" w:rsidP="00511F7F">
            <w:pPr>
              <w:keepNext/>
              <w:keepLines/>
              <w:overflowPunct w:val="0"/>
              <w:autoSpaceDE w:val="0"/>
              <w:autoSpaceDN w:val="0"/>
              <w:adjustRightInd w:val="0"/>
              <w:spacing w:before="60" w:after="0"/>
              <w:jc w:val="center"/>
              <w:rPr>
                <w:caps/>
                <w:lang w:val="de-DE"/>
              </w:rPr>
            </w:pPr>
            <w:r w:rsidRPr="007A5D47">
              <w:rPr>
                <w:caps/>
                <w:lang w:val="de-DE"/>
              </w:rPr>
              <w:t>BR1</w:t>
            </w:r>
          </w:p>
        </w:tc>
        <w:tc>
          <w:tcPr>
            <w:tcW w:w="943" w:type="pct"/>
            <w:tcBorders>
              <w:top w:val="single" w:sz="6" w:space="0" w:color="auto"/>
              <w:left w:val="single" w:sz="6" w:space="0" w:color="auto"/>
              <w:bottom w:val="single" w:sz="6" w:space="0" w:color="auto"/>
              <w:right w:val="single" w:sz="6" w:space="0" w:color="auto"/>
            </w:tcBorders>
            <w:shd w:val="clear" w:color="auto" w:fill="auto"/>
          </w:tcPr>
          <w:p w14:paraId="77E5227A" w14:textId="77777777" w:rsidR="00A93FE3" w:rsidRPr="007A5D47" w:rsidRDefault="00A93FE3" w:rsidP="00511F7F">
            <w:pPr>
              <w:keepNext/>
              <w:keepLines/>
              <w:overflowPunct w:val="0"/>
              <w:autoSpaceDE w:val="0"/>
              <w:autoSpaceDN w:val="0"/>
              <w:adjustRightInd w:val="0"/>
              <w:spacing w:before="60" w:after="0"/>
              <w:jc w:val="center"/>
              <w:rPr>
                <w:caps/>
                <w:lang w:val="de-DE"/>
              </w:rPr>
            </w:pPr>
            <w:r w:rsidRPr="007A5D47">
              <w:rPr>
                <w:caps/>
                <w:lang w:val="de-DE"/>
              </w:rPr>
              <w:t>BR1</w:t>
            </w:r>
          </w:p>
        </w:tc>
        <w:tc>
          <w:tcPr>
            <w:tcW w:w="1000" w:type="pct"/>
            <w:tcBorders>
              <w:top w:val="single" w:sz="6" w:space="0" w:color="auto"/>
              <w:left w:val="single" w:sz="6" w:space="0" w:color="auto"/>
              <w:bottom w:val="single" w:sz="6" w:space="0" w:color="auto"/>
              <w:right w:val="single" w:sz="6" w:space="0" w:color="auto"/>
            </w:tcBorders>
            <w:shd w:val="clear" w:color="auto" w:fill="auto"/>
          </w:tcPr>
          <w:p w14:paraId="2C689197"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BR1</w:t>
            </w:r>
          </w:p>
        </w:tc>
        <w:tc>
          <w:tcPr>
            <w:tcW w:w="485" w:type="pct"/>
            <w:tcBorders>
              <w:top w:val="single" w:sz="6" w:space="0" w:color="auto"/>
              <w:left w:val="single" w:sz="6" w:space="0" w:color="auto"/>
              <w:bottom w:val="single" w:sz="6" w:space="0" w:color="auto"/>
              <w:right w:val="single" w:sz="6" w:space="0" w:color="auto"/>
            </w:tcBorders>
            <w:shd w:val="clear" w:color="auto" w:fill="auto"/>
          </w:tcPr>
          <w:p w14:paraId="42A61DA7"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BR1</w:t>
            </w:r>
          </w:p>
        </w:tc>
      </w:tr>
      <w:tr w:rsidR="00A93FE3" w:rsidRPr="007A5D47" w14:paraId="5AF64F42" w14:textId="77777777" w:rsidTr="00511F7F">
        <w:trPr>
          <w:trHeight w:val="20"/>
        </w:trPr>
        <w:tc>
          <w:tcPr>
            <w:tcW w:w="1558"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48AB449"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&gt;100 m</w:t>
            </w:r>
          </w:p>
        </w:tc>
        <w:tc>
          <w:tcPr>
            <w:tcW w:w="467" w:type="pct"/>
            <w:tcBorders>
              <w:top w:val="single" w:sz="6" w:space="0" w:color="auto"/>
              <w:left w:val="single" w:sz="6" w:space="0" w:color="auto"/>
              <w:bottom w:val="single" w:sz="6" w:space="0" w:color="auto"/>
              <w:right w:val="single" w:sz="6" w:space="0" w:color="auto"/>
            </w:tcBorders>
            <w:shd w:val="clear" w:color="auto" w:fill="auto"/>
          </w:tcPr>
          <w:p w14:paraId="483316FB"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BR1</w:t>
            </w:r>
          </w:p>
        </w:tc>
        <w:tc>
          <w:tcPr>
            <w:tcW w:w="547" w:type="pct"/>
            <w:tcBorders>
              <w:top w:val="single" w:sz="6" w:space="0" w:color="auto"/>
              <w:left w:val="single" w:sz="6" w:space="0" w:color="auto"/>
              <w:bottom w:val="single" w:sz="6" w:space="0" w:color="auto"/>
              <w:right w:val="single" w:sz="6" w:space="0" w:color="auto"/>
            </w:tcBorders>
            <w:shd w:val="clear" w:color="auto" w:fill="auto"/>
          </w:tcPr>
          <w:p w14:paraId="6B057971"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BR1</w:t>
            </w:r>
          </w:p>
        </w:tc>
        <w:tc>
          <w:tcPr>
            <w:tcW w:w="943" w:type="pct"/>
            <w:tcBorders>
              <w:top w:val="single" w:sz="6" w:space="0" w:color="auto"/>
              <w:left w:val="single" w:sz="6" w:space="0" w:color="auto"/>
              <w:bottom w:val="single" w:sz="6" w:space="0" w:color="auto"/>
              <w:right w:val="single" w:sz="6" w:space="0" w:color="auto"/>
            </w:tcBorders>
            <w:shd w:val="clear" w:color="auto" w:fill="auto"/>
          </w:tcPr>
          <w:p w14:paraId="4C10D139"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BR1</w:t>
            </w:r>
          </w:p>
        </w:tc>
        <w:tc>
          <w:tcPr>
            <w:tcW w:w="1000" w:type="pct"/>
            <w:tcBorders>
              <w:top w:val="single" w:sz="6" w:space="0" w:color="auto"/>
              <w:left w:val="single" w:sz="6" w:space="0" w:color="auto"/>
              <w:bottom w:val="single" w:sz="6" w:space="0" w:color="auto"/>
              <w:right w:val="single" w:sz="6" w:space="0" w:color="auto"/>
            </w:tcBorders>
            <w:shd w:val="clear" w:color="auto" w:fill="auto"/>
          </w:tcPr>
          <w:p w14:paraId="3C374436" w14:textId="77777777" w:rsidR="00A93FE3" w:rsidRPr="007A5D47" w:rsidRDefault="00A93FE3" w:rsidP="00511F7F">
            <w:pPr>
              <w:keepNext/>
              <w:keepLines/>
              <w:overflowPunct w:val="0"/>
              <w:autoSpaceDE w:val="0"/>
              <w:autoSpaceDN w:val="0"/>
              <w:adjustRightInd w:val="0"/>
              <w:spacing w:before="60" w:after="0"/>
              <w:jc w:val="center"/>
            </w:pPr>
            <w:r w:rsidRPr="007A5D47">
              <w:t>BR1</w:t>
            </w:r>
          </w:p>
        </w:tc>
        <w:tc>
          <w:tcPr>
            <w:tcW w:w="485" w:type="pct"/>
            <w:tcBorders>
              <w:top w:val="single" w:sz="6" w:space="0" w:color="auto"/>
              <w:left w:val="single" w:sz="6" w:space="0" w:color="auto"/>
              <w:bottom w:val="single" w:sz="6" w:space="0" w:color="auto"/>
              <w:right w:val="single" w:sz="6" w:space="0" w:color="auto"/>
            </w:tcBorders>
            <w:shd w:val="clear" w:color="auto" w:fill="auto"/>
          </w:tcPr>
          <w:p w14:paraId="2F40908D" w14:textId="77777777" w:rsidR="00A93FE3" w:rsidRPr="007A5D47" w:rsidRDefault="00A93FE3" w:rsidP="00511F7F">
            <w:pPr>
              <w:keepNext/>
              <w:keepLines/>
              <w:overflowPunct w:val="0"/>
              <w:autoSpaceDE w:val="0"/>
              <w:autoSpaceDN w:val="0"/>
              <w:adjustRightInd w:val="0"/>
              <w:spacing w:before="60" w:after="0"/>
              <w:jc w:val="center"/>
            </w:pPr>
            <w:r w:rsidRPr="007A5D47">
              <w:t>BR1</w:t>
            </w:r>
          </w:p>
        </w:tc>
      </w:tr>
      <w:tr w:rsidR="00A93FE3" w:rsidRPr="007A5D47" w14:paraId="06F77651" w14:textId="77777777" w:rsidTr="00511F7F">
        <w:trPr>
          <w:cantSplit/>
          <w:trHeight w:val="20"/>
        </w:trPr>
        <w:tc>
          <w:tcPr>
            <w:tcW w:w="5000" w:type="pct"/>
            <w:gridSpan w:val="6"/>
            <w:tcBorders>
              <w:left w:val="single" w:sz="6" w:space="0" w:color="auto"/>
              <w:bottom w:val="single" w:sz="6" w:space="0" w:color="auto"/>
              <w:right w:val="single" w:sz="6" w:space="0" w:color="auto"/>
            </w:tcBorders>
            <w:shd w:val="clear" w:color="auto" w:fill="A6A6A6" w:themeFill="background1" w:themeFillShade="A6"/>
          </w:tcPr>
          <w:p w14:paraId="364B6F3E" w14:textId="77777777" w:rsidR="00A93FE3" w:rsidRPr="007A5D47" w:rsidRDefault="00A93FE3" w:rsidP="00511F7F">
            <w:pPr>
              <w:keepNext/>
              <w:keepLines/>
              <w:overflowPunct w:val="0"/>
              <w:autoSpaceDE w:val="0"/>
              <w:autoSpaceDN w:val="0"/>
              <w:adjustRightInd w:val="0"/>
              <w:spacing w:after="0"/>
              <w:jc w:val="center"/>
            </w:pPr>
            <w:r w:rsidRPr="009F2A30">
              <w:rPr>
                <w:shd w:val="clear" w:color="auto" w:fill="A6A6A6" w:themeFill="background1" w:themeFillShade="A6"/>
              </w:rPr>
              <w:t>Infrastructure</w:t>
            </w:r>
            <w:r w:rsidRPr="009F2A30">
              <w:t xml:space="preserve"> de catégorie 5</w:t>
            </w:r>
          </w:p>
        </w:tc>
      </w:tr>
      <w:tr w:rsidR="00A93FE3" w:rsidRPr="007A5D47" w14:paraId="42B7361D" w14:textId="77777777" w:rsidTr="00511F7F">
        <w:trPr>
          <w:trHeight w:val="20"/>
        </w:trPr>
        <w:tc>
          <w:tcPr>
            <w:tcW w:w="1558"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E82BE44"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0-10 m</w:t>
            </w:r>
          </w:p>
        </w:tc>
        <w:tc>
          <w:tcPr>
            <w:tcW w:w="467" w:type="pct"/>
            <w:tcBorders>
              <w:top w:val="single" w:sz="6" w:space="0" w:color="auto"/>
              <w:left w:val="single" w:sz="6" w:space="0" w:color="auto"/>
              <w:bottom w:val="single" w:sz="6" w:space="0" w:color="auto"/>
              <w:right w:val="single" w:sz="6" w:space="0" w:color="auto"/>
            </w:tcBorders>
            <w:shd w:val="clear" w:color="auto" w:fill="auto"/>
          </w:tcPr>
          <w:p w14:paraId="58CA236C"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BR3</w:t>
            </w:r>
          </w:p>
        </w:tc>
        <w:tc>
          <w:tcPr>
            <w:tcW w:w="547" w:type="pct"/>
            <w:tcBorders>
              <w:top w:val="single" w:sz="6" w:space="0" w:color="auto"/>
              <w:left w:val="single" w:sz="6" w:space="0" w:color="auto"/>
              <w:bottom w:val="single" w:sz="6" w:space="0" w:color="auto"/>
              <w:right w:val="single" w:sz="6" w:space="0" w:color="auto"/>
            </w:tcBorders>
            <w:shd w:val="clear" w:color="auto" w:fill="auto"/>
          </w:tcPr>
          <w:p w14:paraId="5DBDD594"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BR2</w:t>
            </w:r>
          </w:p>
        </w:tc>
        <w:tc>
          <w:tcPr>
            <w:tcW w:w="943" w:type="pct"/>
            <w:tcBorders>
              <w:top w:val="single" w:sz="6" w:space="0" w:color="auto"/>
              <w:left w:val="single" w:sz="6" w:space="0" w:color="auto"/>
              <w:bottom w:val="single" w:sz="6" w:space="0" w:color="auto"/>
              <w:right w:val="single" w:sz="6" w:space="0" w:color="auto"/>
            </w:tcBorders>
            <w:shd w:val="clear" w:color="auto" w:fill="auto"/>
          </w:tcPr>
          <w:p w14:paraId="56B76575"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BR2</w:t>
            </w:r>
          </w:p>
        </w:tc>
        <w:tc>
          <w:tcPr>
            <w:tcW w:w="1000" w:type="pct"/>
            <w:tcBorders>
              <w:top w:val="single" w:sz="6" w:space="0" w:color="auto"/>
              <w:left w:val="single" w:sz="6" w:space="0" w:color="auto"/>
              <w:bottom w:val="single" w:sz="6" w:space="0" w:color="auto"/>
              <w:right w:val="single" w:sz="6" w:space="0" w:color="auto"/>
            </w:tcBorders>
            <w:shd w:val="clear" w:color="auto" w:fill="auto"/>
          </w:tcPr>
          <w:p w14:paraId="54BC1969"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BR2</w:t>
            </w:r>
          </w:p>
        </w:tc>
        <w:tc>
          <w:tcPr>
            <w:tcW w:w="485" w:type="pct"/>
            <w:tcBorders>
              <w:top w:val="single" w:sz="6" w:space="0" w:color="auto"/>
              <w:left w:val="single" w:sz="6" w:space="0" w:color="auto"/>
              <w:bottom w:val="single" w:sz="6" w:space="0" w:color="auto"/>
              <w:right w:val="single" w:sz="6" w:space="0" w:color="auto"/>
            </w:tcBorders>
            <w:shd w:val="clear" w:color="auto" w:fill="auto"/>
          </w:tcPr>
          <w:p w14:paraId="4F27BE2A"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BR1</w:t>
            </w:r>
          </w:p>
        </w:tc>
      </w:tr>
      <w:tr w:rsidR="00A93FE3" w:rsidRPr="007A5D47" w14:paraId="00C3B928" w14:textId="77777777" w:rsidTr="00511F7F">
        <w:trPr>
          <w:trHeight w:val="20"/>
        </w:trPr>
        <w:tc>
          <w:tcPr>
            <w:tcW w:w="1558"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9A3BCBF"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10-20 m</w:t>
            </w:r>
          </w:p>
        </w:tc>
        <w:tc>
          <w:tcPr>
            <w:tcW w:w="467" w:type="pct"/>
            <w:tcBorders>
              <w:top w:val="single" w:sz="6" w:space="0" w:color="auto"/>
              <w:left w:val="single" w:sz="6" w:space="0" w:color="auto"/>
              <w:bottom w:val="single" w:sz="6" w:space="0" w:color="auto"/>
              <w:right w:val="single" w:sz="6" w:space="0" w:color="auto"/>
            </w:tcBorders>
            <w:shd w:val="clear" w:color="auto" w:fill="auto"/>
          </w:tcPr>
          <w:p w14:paraId="698CA66E"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BR2</w:t>
            </w:r>
          </w:p>
        </w:tc>
        <w:tc>
          <w:tcPr>
            <w:tcW w:w="547" w:type="pct"/>
            <w:tcBorders>
              <w:top w:val="single" w:sz="6" w:space="0" w:color="auto"/>
              <w:left w:val="single" w:sz="6" w:space="0" w:color="auto"/>
              <w:bottom w:val="single" w:sz="6" w:space="0" w:color="auto"/>
              <w:right w:val="single" w:sz="6" w:space="0" w:color="auto"/>
            </w:tcBorders>
            <w:shd w:val="clear" w:color="auto" w:fill="auto"/>
          </w:tcPr>
          <w:p w14:paraId="53D9A8E5"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BR2</w:t>
            </w:r>
          </w:p>
        </w:tc>
        <w:tc>
          <w:tcPr>
            <w:tcW w:w="943" w:type="pct"/>
            <w:tcBorders>
              <w:top w:val="single" w:sz="6" w:space="0" w:color="auto"/>
              <w:left w:val="single" w:sz="6" w:space="0" w:color="auto"/>
              <w:bottom w:val="single" w:sz="6" w:space="0" w:color="auto"/>
              <w:right w:val="single" w:sz="6" w:space="0" w:color="auto"/>
            </w:tcBorders>
            <w:shd w:val="clear" w:color="auto" w:fill="auto"/>
          </w:tcPr>
          <w:p w14:paraId="60313859"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BR2</w:t>
            </w:r>
          </w:p>
        </w:tc>
        <w:tc>
          <w:tcPr>
            <w:tcW w:w="1000" w:type="pct"/>
            <w:tcBorders>
              <w:top w:val="single" w:sz="6" w:space="0" w:color="auto"/>
              <w:left w:val="single" w:sz="6" w:space="0" w:color="auto"/>
              <w:bottom w:val="single" w:sz="6" w:space="0" w:color="auto"/>
              <w:right w:val="single" w:sz="6" w:space="0" w:color="auto"/>
            </w:tcBorders>
            <w:shd w:val="clear" w:color="auto" w:fill="auto"/>
          </w:tcPr>
          <w:p w14:paraId="5B4BA265"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BR1</w:t>
            </w:r>
          </w:p>
        </w:tc>
        <w:tc>
          <w:tcPr>
            <w:tcW w:w="485" w:type="pct"/>
            <w:tcBorders>
              <w:top w:val="single" w:sz="6" w:space="0" w:color="auto"/>
              <w:left w:val="single" w:sz="6" w:space="0" w:color="auto"/>
              <w:bottom w:val="single" w:sz="6" w:space="0" w:color="auto"/>
              <w:right w:val="single" w:sz="6" w:space="0" w:color="auto"/>
            </w:tcBorders>
            <w:shd w:val="clear" w:color="auto" w:fill="auto"/>
          </w:tcPr>
          <w:p w14:paraId="7FA1E463"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BR1</w:t>
            </w:r>
          </w:p>
        </w:tc>
      </w:tr>
      <w:tr w:rsidR="00A93FE3" w:rsidRPr="007A5D47" w14:paraId="3CA2A351" w14:textId="77777777" w:rsidTr="00511F7F">
        <w:trPr>
          <w:trHeight w:val="20"/>
        </w:trPr>
        <w:tc>
          <w:tcPr>
            <w:tcW w:w="1558"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FA2EB80"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20-30 m</w:t>
            </w:r>
          </w:p>
        </w:tc>
        <w:tc>
          <w:tcPr>
            <w:tcW w:w="467" w:type="pct"/>
            <w:tcBorders>
              <w:top w:val="single" w:sz="6" w:space="0" w:color="auto"/>
              <w:left w:val="single" w:sz="6" w:space="0" w:color="auto"/>
              <w:bottom w:val="single" w:sz="6" w:space="0" w:color="auto"/>
              <w:right w:val="single" w:sz="6" w:space="0" w:color="auto"/>
            </w:tcBorders>
            <w:shd w:val="clear" w:color="auto" w:fill="auto"/>
          </w:tcPr>
          <w:p w14:paraId="583181A4"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BR2</w:t>
            </w:r>
          </w:p>
        </w:tc>
        <w:tc>
          <w:tcPr>
            <w:tcW w:w="547" w:type="pct"/>
            <w:tcBorders>
              <w:top w:val="single" w:sz="6" w:space="0" w:color="auto"/>
              <w:left w:val="single" w:sz="6" w:space="0" w:color="auto"/>
              <w:bottom w:val="single" w:sz="6" w:space="0" w:color="auto"/>
              <w:right w:val="single" w:sz="6" w:space="0" w:color="auto"/>
            </w:tcBorders>
            <w:shd w:val="clear" w:color="auto" w:fill="auto"/>
          </w:tcPr>
          <w:p w14:paraId="7E47446B" w14:textId="77777777" w:rsidR="00A93FE3" w:rsidRPr="007A5D47" w:rsidRDefault="00A93FE3" w:rsidP="00511F7F">
            <w:pPr>
              <w:keepNext/>
              <w:keepLines/>
              <w:overflowPunct w:val="0"/>
              <w:autoSpaceDE w:val="0"/>
              <w:autoSpaceDN w:val="0"/>
              <w:adjustRightInd w:val="0"/>
              <w:spacing w:before="60" w:after="0"/>
              <w:jc w:val="center"/>
              <w:rPr>
                <w:caps/>
                <w:lang w:val="de-DE"/>
              </w:rPr>
            </w:pPr>
            <w:r w:rsidRPr="007A5D47">
              <w:rPr>
                <w:caps/>
                <w:lang w:val="de-DE"/>
              </w:rPr>
              <w:t>BR1</w:t>
            </w:r>
          </w:p>
        </w:tc>
        <w:tc>
          <w:tcPr>
            <w:tcW w:w="943" w:type="pct"/>
            <w:tcBorders>
              <w:top w:val="single" w:sz="6" w:space="0" w:color="auto"/>
              <w:left w:val="single" w:sz="6" w:space="0" w:color="auto"/>
              <w:bottom w:val="single" w:sz="6" w:space="0" w:color="auto"/>
              <w:right w:val="single" w:sz="6" w:space="0" w:color="auto"/>
            </w:tcBorders>
            <w:shd w:val="clear" w:color="auto" w:fill="auto"/>
          </w:tcPr>
          <w:p w14:paraId="0F18C6E4" w14:textId="77777777" w:rsidR="00A93FE3" w:rsidRPr="007A5D47" w:rsidRDefault="00A93FE3" w:rsidP="00511F7F">
            <w:pPr>
              <w:keepNext/>
              <w:keepLines/>
              <w:overflowPunct w:val="0"/>
              <w:autoSpaceDE w:val="0"/>
              <w:autoSpaceDN w:val="0"/>
              <w:adjustRightInd w:val="0"/>
              <w:spacing w:before="60" w:after="0"/>
              <w:jc w:val="center"/>
              <w:rPr>
                <w:caps/>
                <w:lang w:val="de-DE"/>
              </w:rPr>
            </w:pPr>
            <w:r w:rsidRPr="007A5D47">
              <w:rPr>
                <w:caps/>
                <w:lang w:val="de-DE"/>
              </w:rPr>
              <w:t>BR1</w:t>
            </w:r>
          </w:p>
        </w:tc>
        <w:tc>
          <w:tcPr>
            <w:tcW w:w="1000" w:type="pct"/>
            <w:tcBorders>
              <w:top w:val="single" w:sz="6" w:space="0" w:color="auto"/>
              <w:left w:val="single" w:sz="6" w:space="0" w:color="auto"/>
              <w:bottom w:val="single" w:sz="6" w:space="0" w:color="auto"/>
              <w:right w:val="single" w:sz="6" w:space="0" w:color="auto"/>
            </w:tcBorders>
            <w:shd w:val="clear" w:color="auto" w:fill="auto"/>
          </w:tcPr>
          <w:p w14:paraId="4492E2C8"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BR1</w:t>
            </w:r>
          </w:p>
        </w:tc>
        <w:tc>
          <w:tcPr>
            <w:tcW w:w="485" w:type="pct"/>
            <w:tcBorders>
              <w:top w:val="single" w:sz="6" w:space="0" w:color="auto"/>
              <w:left w:val="single" w:sz="6" w:space="0" w:color="auto"/>
              <w:bottom w:val="single" w:sz="6" w:space="0" w:color="auto"/>
              <w:right w:val="single" w:sz="6" w:space="0" w:color="auto"/>
            </w:tcBorders>
            <w:shd w:val="clear" w:color="auto" w:fill="auto"/>
          </w:tcPr>
          <w:p w14:paraId="5212F736"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BR1</w:t>
            </w:r>
          </w:p>
        </w:tc>
      </w:tr>
      <w:tr w:rsidR="00A93FE3" w:rsidRPr="007A5D47" w14:paraId="3F20A5CA" w14:textId="77777777" w:rsidTr="00511F7F">
        <w:trPr>
          <w:trHeight w:val="20"/>
        </w:trPr>
        <w:tc>
          <w:tcPr>
            <w:tcW w:w="1558"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66025F4"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&gt;30 m</w:t>
            </w:r>
          </w:p>
        </w:tc>
        <w:tc>
          <w:tcPr>
            <w:tcW w:w="467" w:type="pct"/>
            <w:tcBorders>
              <w:top w:val="single" w:sz="6" w:space="0" w:color="auto"/>
              <w:left w:val="single" w:sz="6" w:space="0" w:color="auto"/>
              <w:bottom w:val="single" w:sz="6" w:space="0" w:color="auto"/>
              <w:right w:val="single" w:sz="6" w:space="0" w:color="auto"/>
            </w:tcBorders>
            <w:shd w:val="clear" w:color="auto" w:fill="auto"/>
          </w:tcPr>
          <w:p w14:paraId="719CDF13"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BR1</w:t>
            </w:r>
          </w:p>
        </w:tc>
        <w:tc>
          <w:tcPr>
            <w:tcW w:w="547" w:type="pct"/>
            <w:tcBorders>
              <w:top w:val="single" w:sz="6" w:space="0" w:color="auto"/>
              <w:left w:val="single" w:sz="6" w:space="0" w:color="auto"/>
              <w:bottom w:val="single" w:sz="6" w:space="0" w:color="auto"/>
              <w:right w:val="single" w:sz="6" w:space="0" w:color="auto"/>
            </w:tcBorders>
            <w:shd w:val="clear" w:color="auto" w:fill="auto"/>
          </w:tcPr>
          <w:p w14:paraId="2A26C926"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BR1</w:t>
            </w:r>
          </w:p>
        </w:tc>
        <w:tc>
          <w:tcPr>
            <w:tcW w:w="943" w:type="pct"/>
            <w:tcBorders>
              <w:top w:val="single" w:sz="6" w:space="0" w:color="auto"/>
              <w:left w:val="single" w:sz="6" w:space="0" w:color="auto"/>
              <w:bottom w:val="single" w:sz="6" w:space="0" w:color="auto"/>
              <w:right w:val="single" w:sz="6" w:space="0" w:color="auto"/>
            </w:tcBorders>
            <w:shd w:val="clear" w:color="auto" w:fill="auto"/>
          </w:tcPr>
          <w:p w14:paraId="2CFF8A5A"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BR1</w:t>
            </w:r>
          </w:p>
        </w:tc>
        <w:tc>
          <w:tcPr>
            <w:tcW w:w="1000" w:type="pct"/>
            <w:tcBorders>
              <w:top w:val="single" w:sz="6" w:space="0" w:color="auto"/>
              <w:left w:val="single" w:sz="6" w:space="0" w:color="auto"/>
              <w:bottom w:val="single" w:sz="6" w:space="0" w:color="auto"/>
              <w:right w:val="single" w:sz="6" w:space="0" w:color="auto"/>
            </w:tcBorders>
            <w:shd w:val="clear" w:color="auto" w:fill="auto"/>
          </w:tcPr>
          <w:p w14:paraId="626B667A"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BR1</w:t>
            </w:r>
          </w:p>
        </w:tc>
        <w:tc>
          <w:tcPr>
            <w:tcW w:w="485" w:type="pct"/>
            <w:tcBorders>
              <w:top w:val="single" w:sz="6" w:space="0" w:color="auto"/>
              <w:left w:val="single" w:sz="6" w:space="0" w:color="auto"/>
              <w:bottom w:val="single" w:sz="6" w:space="0" w:color="auto"/>
              <w:right w:val="single" w:sz="6" w:space="0" w:color="auto"/>
            </w:tcBorders>
            <w:shd w:val="clear" w:color="auto" w:fill="auto"/>
          </w:tcPr>
          <w:p w14:paraId="4D47309C" w14:textId="77777777" w:rsidR="00A93FE3" w:rsidRPr="007A5D47" w:rsidRDefault="00A93FE3" w:rsidP="00511F7F">
            <w:pPr>
              <w:keepNext/>
              <w:keepLines/>
              <w:overflowPunct w:val="0"/>
              <w:autoSpaceDE w:val="0"/>
              <w:autoSpaceDN w:val="0"/>
              <w:adjustRightInd w:val="0"/>
              <w:spacing w:before="60" w:after="0"/>
              <w:jc w:val="center"/>
              <w:rPr>
                <w:lang w:val="de-DE"/>
              </w:rPr>
            </w:pPr>
            <w:r w:rsidRPr="007A5D47">
              <w:rPr>
                <w:lang w:val="de-DE"/>
              </w:rPr>
              <w:t>BR1</w:t>
            </w:r>
          </w:p>
        </w:tc>
      </w:tr>
    </w:tbl>
    <w:p w14:paraId="62851D68" w14:textId="77777777" w:rsidR="00A93FE3" w:rsidRDefault="00A93FE3" w:rsidP="00A93FE3">
      <w:pPr>
        <w:pStyle w:val="Titre6"/>
        <w:numPr>
          <w:ilvl w:val="0"/>
          <w:numId w:val="0"/>
        </w:numPr>
      </w:pPr>
    </w:p>
    <w:p w14:paraId="27C6159F" w14:textId="77777777" w:rsidR="00A93FE3" w:rsidRDefault="00A93FE3" w:rsidP="00A93FE3">
      <w:r w:rsidRPr="007A5D47">
        <w:lastRenderedPageBreak/>
        <w:t>A défaut d'une détermination détaillée, la classe BR d'une baie d'une façade est la classe la plus élevée des baies de cette façade.</w:t>
      </w:r>
    </w:p>
    <w:p w14:paraId="75382B62" w14:textId="77777777" w:rsidR="00A93FE3" w:rsidRPr="00E8319A" w:rsidRDefault="00A93FE3" w:rsidP="00A93FE3">
      <w:pPr>
        <w:pStyle w:val="Titre5"/>
      </w:pPr>
      <w:r w:rsidRPr="00E8319A">
        <w:t>Définition de la classe d’exposition au bruit d’une partie de bâtiment</w:t>
      </w:r>
    </w:p>
    <w:p w14:paraId="06E53867" w14:textId="441E84F9" w:rsidR="00A93FE3" w:rsidRPr="00E8319A" w:rsidRDefault="00A93FE3" w:rsidP="00A93FE3">
      <w:r w:rsidRPr="00E8319A">
        <w:t xml:space="preserve">Une partie de bâtiment </w:t>
      </w:r>
      <w:r>
        <w:t xml:space="preserve">ou une zone </w:t>
      </w:r>
      <w:r w:rsidRPr="00E8319A">
        <w:t>est dite de classe d’exposition au bruit BR3 si toutes les baies des locaux</w:t>
      </w:r>
      <w:r w:rsidR="003677FE">
        <w:t xml:space="preserve"> </w:t>
      </w:r>
      <w:r w:rsidRPr="00E8319A">
        <w:t>qui la constitue sont exposées au bruit BR3.</w:t>
      </w:r>
    </w:p>
    <w:p w14:paraId="268F2B6D" w14:textId="61E02ABB" w:rsidR="00965E1A" w:rsidRDefault="00A93FE3" w:rsidP="00965E1A">
      <w:r w:rsidRPr="00E8319A">
        <w:t xml:space="preserve">Une partie de bâtiment </w:t>
      </w:r>
      <w:r>
        <w:t xml:space="preserve">ou une zone </w:t>
      </w:r>
      <w:r w:rsidRPr="00E8319A">
        <w:t>est dite de classe d’exposition au bruit BR2 si toutes les baies des locaux</w:t>
      </w:r>
      <w:r w:rsidR="003677FE">
        <w:t xml:space="preserve"> </w:t>
      </w:r>
      <w:r w:rsidRPr="00E8319A">
        <w:t>qui la constitue</w:t>
      </w:r>
      <w:r>
        <w:t>nt</w:t>
      </w:r>
      <w:r w:rsidRPr="00E8319A">
        <w:t xml:space="preserve"> sont exposées au bruit BR2 ou BR3 et </w:t>
      </w:r>
      <w:r>
        <w:t xml:space="preserve">si </w:t>
      </w:r>
      <w:r w:rsidRPr="00E8319A">
        <w:t>au moins une des baies des locaux qui la constitue</w:t>
      </w:r>
      <w:r>
        <w:t>nt</w:t>
      </w:r>
      <w:r w:rsidRPr="00E8319A">
        <w:t xml:space="preserve"> est exposée au bruit BR2.</w:t>
      </w:r>
      <w:bookmarkStart w:id="67" w:name="_Ref57990317"/>
    </w:p>
    <w:p w14:paraId="61F2DFC5" w14:textId="56BCDDA0" w:rsidR="000523B4" w:rsidRDefault="00A93FE3" w:rsidP="00965E1A">
      <w:r w:rsidRPr="00E8319A">
        <w:t>Une partie de bâtiment est dite de classe d’exposition au bruit BR1 dans les autres cas.</w:t>
      </w:r>
      <w:bookmarkEnd w:id="67"/>
    </w:p>
    <w:p w14:paraId="21FE47C1" w14:textId="77777777" w:rsidR="00965E1A" w:rsidRDefault="00965E1A" w:rsidP="00965E1A"/>
    <w:p w14:paraId="2DF5E3CE" w14:textId="68F5AA10" w:rsidR="00713976" w:rsidRPr="002523E6" w:rsidRDefault="00AA0090" w:rsidP="00B64F22">
      <w:pPr>
        <w:pStyle w:val="Titre4"/>
      </w:pPr>
      <w:bookmarkStart w:id="68" w:name="_Ref49445701"/>
      <w:r w:rsidRPr="002523E6">
        <w:t xml:space="preserve"> </w:t>
      </w:r>
      <w:bookmarkStart w:id="69" w:name="_Ref57988857"/>
      <w:r w:rsidR="004E1462" w:rsidRPr="002523E6">
        <w:t>(</w:t>
      </w:r>
      <w:r w:rsidR="00B64F22">
        <w:t xml:space="preserve">VALEURS DES EXIGENCES ET </w:t>
      </w:r>
      <w:r w:rsidR="002523E6" w:rsidRPr="002523E6">
        <w:t xml:space="preserve">COEFFICIENTS DE MODULATION </w:t>
      </w:r>
      <w:r w:rsidR="00B64F22">
        <w:t>ASSOCIÉS</w:t>
      </w:r>
      <w:r w:rsidR="004E1462" w:rsidRPr="002523E6">
        <w:t>)</w:t>
      </w:r>
      <w:bookmarkEnd w:id="69"/>
      <w:r w:rsidR="004E1462" w:rsidRPr="002523E6">
        <w:t xml:space="preserve"> </w:t>
      </w:r>
      <w:bookmarkEnd w:id="68"/>
    </w:p>
    <w:p w14:paraId="67A07CD3" w14:textId="3182797D" w:rsidR="007B643E" w:rsidRDefault="007B643E" w:rsidP="00B42CF3">
      <w:pPr>
        <w:pStyle w:val="Titre5"/>
        <w:numPr>
          <w:ilvl w:val="0"/>
          <w:numId w:val="23"/>
        </w:numPr>
      </w:pPr>
      <w:r>
        <w:t> Considérations générales</w:t>
      </w:r>
    </w:p>
    <w:p w14:paraId="54162DB7" w14:textId="568FC4E9" w:rsidR="00A02594" w:rsidRDefault="00E8319A" w:rsidP="00E8319A">
      <w:pPr>
        <w:pStyle w:val="Titre6"/>
        <w:numPr>
          <w:ilvl w:val="0"/>
          <w:numId w:val="32"/>
        </w:numPr>
      </w:pPr>
      <w:r>
        <w:t>Surface moyenne des logements</w:t>
      </w:r>
    </w:p>
    <w:p w14:paraId="019A4CAF" w14:textId="58EEAEDE" w:rsidR="00A02594" w:rsidRDefault="00A02594" w:rsidP="007B643E">
      <w:r>
        <w:t xml:space="preserve">La surface moyenne des logements du bâtiment ou de la partie de bâtiment, notée </w:t>
      </w:r>
      <m:oMath>
        <m:sSub>
          <m:sSubPr>
            <m:ctrlPr>
              <w:rPr>
                <w:rFonts w:ascii="Cambria Math" w:hAnsi="Cambria Math"/>
                <w:i/>
                <w:iCs/>
              </w:rPr>
            </m:ctrlPr>
          </m:sSubPr>
          <m:e>
            <m:r>
              <w:rPr>
                <w:rFonts w:ascii="Cambria Math" w:hAnsi="Cambria Math"/>
              </w:rPr>
              <m:t>Smoy</m:t>
            </m:r>
          </m:e>
          <m:sub>
            <m:r>
              <w:rPr>
                <w:rFonts w:ascii="Cambria Math" w:hAnsi="Cambria Math"/>
              </w:rPr>
              <m:t>lgt</m:t>
            </m:r>
          </m:sub>
        </m:sSub>
      </m:oMath>
      <w:r>
        <w:rPr>
          <w:rFonts w:eastAsiaTheme="minorEastAsia"/>
          <w:iCs/>
        </w:rPr>
        <w:t xml:space="preserve">, est calculée de la manière suivante : </w:t>
      </w:r>
      <m:oMath>
        <m:sSub>
          <m:sSubPr>
            <m:ctrlPr>
              <w:rPr>
                <w:rFonts w:ascii="Cambria Math" w:hAnsi="Cambria Math"/>
                <w:i/>
                <w:iCs/>
              </w:rPr>
            </m:ctrlPr>
          </m:sSubPr>
          <m:e>
            <m:r>
              <w:rPr>
                <w:rFonts w:ascii="Cambria Math" w:hAnsi="Cambria Math"/>
              </w:rPr>
              <m:t>Smoy</m:t>
            </m:r>
          </m:e>
          <m:sub>
            <m:r>
              <w:rPr>
                <w:rFonts w:ascii="Cambria Math" w:hAnsi="Cambria Math"/>
              </w:rPr>
              <m:t>lgt</m:t>
            </m:r>
          </m:sub>
        </m:sSub>
        <m:r>
          <w:rPr>
            <w:rFonts w:ascii="Cambria Math" w:hAnsi="Cambria Math"/>
          </w:rPr>
          <m:t>=</m:t>
        </m:r>
        <m:f>
          <m:fPr>
            <m:ctrlPr>
              <w:rPr>
                <w:rFonts w:ascii="Cambria Math" w:hAnsi="Cambria Math"/>
                <w:i/>
              </w:rPr>
            </m:ctrlPr>
          </m:fPr>
          <m:num>
            <m:r>
              <w:rPr>
                <w:rFonts w:ascii="Cambria Math" w:hAnsi="Cambria Math"/>
              </w:rPr>
              <m:t>Sref</m:t>
            </m:r>
          </m:num>
          <m:den>
            <m:sSub>
              <m:sSubPr>
                <m:ctrlPr>
                  <w:rPr>
                    <w:rFonts w:ascii="Cambria Math" w:hAnsi="Cambria Math"/>
                    <w:i/>
                  </w:rPr>
                </m:ctrlPr>
              </m:sSubPr>
              <m:e>
                <m:r>
                  <w:rPr>
                    <w:rFonts w:ascii="Cambria Math" w:hAnsi="Cambria Math"/>
                  </w:rPr>
                  <m:t>N</m:t>
                </m:r>
              </m:e>
              <m:sub>
                <m:r>
                  <w:rPr>
                    <w:rFonts w:ascii="Cambria Math" w:hAnsi="Cambria Math"/>
                  </w:rPr>
                  <m:t>L</m:t>
                </m:r>
              </m:sub>
            </m:sSub>
          </m:den>
        </m:f>
        <m:r>
          <w:rPr>
            <w:rFonts w:ascii="Cambria Math" w:hAnsi="Cambria Math"/>
          </w:rPr>
          <m:t xml:space="preserve"> </m:t>
        </m:r>
      </m:oMath>
      <w:r>
        <w:t>, avec N</w:t>
      </w:r>
      <w:r>
        <w:rPr>
          <w:vertAlign w:val="subscript"/>
        </w:rPr>
        <w:t>L</w:t>
      </w:r>
      <w:r>
        <w:t xml:space="preserve"> représentant le nombre de logements du bâtiment</w:t>
      </w:r>
      <w:r w:rsidRPr="00A02594">
        <w:t xml:space="preserve"> </w:t>
      </w:r>
      <w:r w:rsidR="008E1467">
        <w:t>ou de la partie de bâtiment.</w:t>
      </w:r>
    </w:p>
    <w:p w14:paraId="6C7BD578" w14:textId="1774269C" w:rsidR="00E8319A" w:rsidRPr="00E8319A" w:rsidRDefault="00E8319A" w:rsidP="00E8319A">
      <w:pPr>
        <w:pStyle w:val="Titre6"/>
      </w:pPr>
      <w:r w:rsidRPr="00E8319A">
        <w:t>Catégorie de contraintes extérieures</w:t>
      </w:r>
    </w:p>
    <w:p w14:paraId="7E5FDB8B" w14:textId="21E8FA91" w:rsidR="00E8319A" w:rsidRDefault="00E8319A" w:rsidP="00E8319A">
      <w:r w:rsidRPr="00E8319A">
        <w:t>La catégorie de contraintes extérieures d’une partie de bâtiment thermiquement homogène</w:t>
      </w:r>
      <w:r w:rsidR="00FC495C">
        <w:t xml:space="preserve"> et d’une zone</w:t>
      </w:r>
      <w:r w:rsidRPr="00E8319A">
        <w:t xml:space="preserve"> est définie par la catégorie de contraintes extérieures des locaux qui la constitue. </w:t>
      </w:r>
    </w:p>
    <w:p w14:paraId="3866E6E8" w14:textId="08AFA81C" w:rsidR="00E8319A" w:rsidRPr="00E8319A" w:rsidRDefault="00E8319A" w:rsidP="00E8319A">
      <w:r w:rsidRPr="00E8319A">
        <w:t xml:space="preserve">Une partie de bâtiment thermiquement homogène </w:t>
      </w:r>
      <w:r w:rsidR="00FC495C">
        <w:t xml:space="preserve">ou une zone </w:t>
      </w:r>
      <w:r w:rsidRPr="00E8319A">
        <w:t>est de catégorie 2 si tous les locaux autres qu'à occupation passagère qu'elle contient sont de catégorie 2. Elle est de catégorie 1 dans les autres cas.</w:t>
      </w:r>
    </w:p>
    <w:p w14:paraId="5EB51DE2" w14:textId="79995ABF" w:rsidR="00E8319A" w:rsidRPr="00E8319A" w:rsidRDefault="00E8319A" w:rsidP="00E8319A">
      <w:r w:rsidRPr="00E8319A">
        <w:t xml:space="preserve">Un local est de catégorie 2 s'il est muni d'un système de climatisation et si l’une des conditions suivantes est respectée : </w:t>
      </w:r>
    </w:p>
    <w:p w14:paraId="65484B81" w14:textId="4B1D78E2" w:rsidR="00E8319A" w:rsidRPr="00E8319A" w:rsidRDefault="00E8319A" w:rsidP="00E8319A">
      <w:r w:rsidRPr="00E8319A">
        <w:t xml:space="preserve">- simultanément, le local est situé dans une zone à usage d'habitation, ses baies sont exposées au bruit BR2 ou BR3, et le bâtiment est construit en zone climatique H2d ou H3 à une altitude inférieure à 400 m. </w:t>
      </w:r>
    </w:p>
    <w:p w14:paraId="21857CFD" w14:textId="748A77A1" w:rsidR="00E8319A" w:rsidRDefault="00E8319A" w:rsidP="00E8319A">
      <w:pPr>
        <w:spacing w:after="0" w:line="240" w:lineRule="auto"/>
        <w:jc w:val="left"/>
        <w:rPr>
          <w:rFonts w:ascii="Times New Roman" w:hAnsi="Times New Roman" w:cs="Times New Roman"/>
          <w:sz w:val="24"/>
          <w:szCs w:val="24"/>
          <w:lang w:eastAsia="fr-FR" w:bidi="ar-SA"/>
        </w:rPr>
      </w:pPr>
      <w:r w:rsidRPr="00E8319A">
        <w:t>Un local est de catégorie 1 dans les autres cas</w:t>
      </w:r>
      <w:r w:rsidR="008E1467">
        <w:rPr>
          <w:rFonts w:ascii="Times New Roman" w:hAnsi="Times New Roman" w:cs="Times New Roman"/>
          <w:sz w:val="24"/>
          <w:szCs w:val="24"/>
          <w:lang w:eastAsia="fr-FR" w:bidi="ar-SA"/>
        </w:rPr>
        <w:t>.</w:t>
      </w:r>
    </w:p>
    <w:p w14:paraId="189C3CF8" w14:textId="6B920886" w:rsidR="007B643E" w:rsidRPr="007B643E" w:rsidRDefault="007B643E" w:rsidP="00B42CF3">
      <w:pPr>
        <w:pStyle w:val="Titre5"/>
      </w:pPr>
      <w:r w:rsidRPr="007B643E">
        <w:t>Valeurs des coefficients décrits à l’</w:t>
      </w:r>
      <w:r w:rsidRPr="007B643E">
        <w:fldChar w:fldCharType="begin"/>
      </w:r>
      <w:r w:rsidRPr="007B643E">
        <w:instrText xml:space="preserve"> REF _Ref57311083 \r \h </w:instrText>
      </w:r>
      <w:r w:rsidRPr="007B643E">
        <w:fldChar w:fldCharType="separate"/>
      </w:r>
      <w:r w:rsidR="00E9780A">
        <w:t>Article 12</w:t>
      </w:r>
      <w:r w:rsidRPr="007B643E">
        <w:fldChar w:fldCharType="end"/>
      </w:r>
      <w:r w:rsidRPr="007B643E">
        <w:fldChar w:fldCharType="begin"/>
      </w:r>
      <w:r w:rsidRPr="007B643E">
        <w:instrText xml:space="preserve"> REF _Ref57311083 \h </w:instrText>
      </w:r>
      <w:r w:rsidRPr="007B643E">
        <w:fldChar w:fldCharType="separate"/>
      </w:r>
      <w:r w:rsidR="00E9780A">
        <w:t>(Bbio max)</w:t>
      </w:r>
      <w:r w:rsidRPr="007B643E">
        <w:fldChar w:fldCharType="end"/>
      </w:r>
    </w:p>
    <w:p w14:paraId="1C6D19A8" w14:textId="41701527" w:rsidR="007B643E" w:rsidRPr="007B643E" w:rsidRDefault="007B643E" w:rsidP="00E8319A">
      <w:pPr>
        <w:pStyle w:val="Titre6"/>
        <w:numPr>
          <w:ilvl w:val="0"/>
          <w:numId w:val="19"/>
        </w:numPr>
        <w:ind w:left="754" w:hanging="357"/>
      </w:pPr>
      <w:r w:rsidRPr="007B643E">
        <w:lastRenderedPageBreak/>
        <w:t>Valeurs de Bbio_maxmoyen</w:t>
      </w:r>
    </w:p>
    <w:p w14:paraId="03E843F3" w14:textId="2E6AEE66" w:rsidR="007B643E" w:rsidRDefault="007B643E" w:rsidP="00445109">
      <w:pPr>
        <w:keepNext/>
      </w:pPr>
      <w:r>
        <w:t>Le coefficient Bbio_maxmoyen prend les valeurs suivantes, en fonction de l’usage de la partie de bâtiment :</w:t>
      </w:r>
    </w:p>
    <w:tbl>
      <w:tblPr>
        <w:tblStyle w:val="Grilledutableau"/>
        <w:tblW w:w="0" w:type="auto"/>
        <w:tblInd w:w="1271" w:type="dxa"/>
        <w:tblLook w:val="04A0" w:firstRow="1" w:lastRow="0" w:firstColumn="1" w:lastColumn="0" w:noHBand="0" w:noVBand="1"/>
      </w:tblPr>
      <w:tblGrid>
        <w:gridCol w:w="3260"/>
        <w:gridCol w:w="2694"/>
      </w:tblGrid>
      <w:tr w:rsidR="007B643E" w14:paraId="53BE2849" w14:textId="77777777" w:rsidTr="006C7734">
        <w:tc>
          <w:tcPr>
            <w:tcW w:w="3260" w:type="dxa"/>
            <w:shd w:val="clear" w:color="auto" w:fill="A6A6A6" w:themeFill="background1" w:themeFillShade="A6"/>
            <w:vAlign w:val="center"/>
          </w:tcPr>
          <w:p w14:paraId="0ACA81EB" w14:textId="41B99B81" w:rsidR="007B643E" w:rsidRDefault="007B643E" w:rsidP="00445109">
            <w:pPr>
              <w:keepNext/>
              <w:jc w:val="center"/>
            </w:pPr>
            <w:r>
              <w:t>Usage de la partie de bâtiment</w:t>
            </w:r>
          </w:p>
        </w:tc>
        <w:tc>
          <w:tcPr>
            <w:tcW w:w="2694" w:type="dxa"/>
            <w:shd w:val="clear" w:color="auto" w:fill="A6A6A6" w:themeFill="background1" w:themeFillShade="A6"/>
            <w:vAlign w:val="center"/>
          </w:tcPr>
          <w:p w14:paraId="15E6D676" w14:textId="4111AC76" w:rsidR="007B643E" w:rsidRDefault="007B643E" w:rsidP="00445109">
            <w:pPr>
              <w:keepNext/>
              <w:jc w:val="center"/>
            </w:pPr>
            <w:r>
              <w:t>Valeur de Bbio_maxmoyen</w:t>
            </w:r>
          </w:p>
        </w:tc>
      </w:tr>
      <w:tr w:rsidR="007B643E" w14:paraId="2849D2D0" w14:textId="77777777" w:rsidTr="006C7734">
        <w:tc>
          <w:tcPr>
            <w:tcW w:w="3260" w:type="dxa"/>
            <w:shd w:val="clear" w:color="auto" w:fill="F2F2F2" w:themeFill="background1" w:themeFillShade="F2"/>
            <w:vAlign w:val="center"/>
          </w:tcPr>
          <w:p w14:paraId="411C53EF" w14:textId="117D5E6E" w:rsidR="007B643E" w:rsidRDefault="007B643E" w:rsidP="00445109">
            <w:pPr>
              <w:keepNext/>
              <w:jc w:val="left"/>
            </w:pPr>
            <w:r>
              <w:t>Maisons individuelles ou accolées</w:t>
            </w:r>
          </w:p>
        </w:tc>
        <w:tc>
          <w:tcPr>
            <w:tcW w:w="2694" w:type="dxa"/>
            <w:vAlign w:val="center"/>
          </w:tcPr>
          <w:p w14:paraId="76CCC260" w14:textId="25F424BD" w:rsidR="007B643E" w:rsidRDefault="006C7734" w:rsidP="00445109">
            <w:pPr>
              <w:keepNext/>
              <w:jc w:val="center"/>
            </w:pPr>
            <w:r>
              <w:t xml:space="preserve">63 </w:t>
            </w:r>
            <w:r w:rsidR="007B643E">
              <w:t>points</w:t>
            </w:r>
          </w:p>
        </w:tc>
      </w:tr>
      <w:tr w:rsidR="007B643E" w14:paraId="148814FF" w14:textId="77777777" w:rsidTr="006C7734">
        <w:tc>
          <w:tcPr>
            <w:tcW w:w="3260" w:type="dxa"/>
            <w:shd w:val="clear" w:color="auto" w:fill="F2F2F2" w:themeFill="background1" w:themeFillShade="F2"/>
            <w:vAlign w:val="center"/>
          </w:tcPr>
          <w:p w14:paraId="33294BCE" w14:textId="6020E8E1" w:rsidR="007B643E" w:rsidRDefault="007B643E" w:rsidP="00445109">
            <w:pPr>
              <w:keepNext/>
              <w:jc w:val="left"/>
            </w:pPr>
            <w:r>
              <w:t>Logements collectifs</w:t>
            </w:r>
          </w:p>
        </w:tc>
        <w:tc>
          <w:tcPr>
            <w:tcW w:w="2694" w:type="dxa"/>
            <w:vAlign w:val="center"/>
          </w:tcPr>
          <w:p w14:paraId="524DFA4C" w14:textId="668866AB" w:rsidR="007B643E" w:rsidRDefault="007B643E" w:rsidP="00445109">
            <w:pPr>
              <w:keepNext/>
              <w:jc w:val="center"/>
            </w:pPr>
            <w:r>
              <w:t>65 points</w:t>
            </w:r>
          </w:p>
        </w:tc>
      </w:tr>
      <w:tr w:rsidR="007B643E" w14:paraId="1CBF8FDA" w14:textId="77777777" w:rsidTr="006C7734">
        <w:tc>
          <w:tcPr>
            <w:tcW w:w="3260" w:type="dxa"/>
            <w:shd w:val="clear" w:color="auto" w:fill="F2F2F2" w:themeFill="background1" w:themeFillShade="F2"/>
            <w:vAlign w:val="center"/>
          </w:tcPr>
          <w:p w14:paraId="439A36E1" w14:textId="1AE562BA" w:rsidR="007B643E" w:rsidRDefault="007B643E" w:rsidP="00445109">
            <w:pPr>
              <w:keepNext/>
              <w:jc w:val="left"/>
            </w:pPr>
            <w:r>
              <w:t>Bureaux</w:t>
            </w:r>
          </w:p>
        </w:tc>
        <w:tc>
          <w:tcPr>
            <w:tcW w:w="2694" w:type="dxa"/>
            <w:vAlign w:val="center"/>
          </w:tcPr>
          <w:p w14:paraId="0E383114" w14:textId="77777777" w:rsidR="007B643E" w:rsidRDefault="007B643E" w:rsidP="00445109">
            <w:pPr>
              <w:keepNext/>
              <w:jc w:val="center"/>
            </w:pPr>
          </w:p>
        </w:tc>
      </w:tr>
      <w:tr w:rsidR="007B643E" w14:paraId="786885E7" w14:textId="77777777" w:rsidTr="006C7734">
        <w:tc>
          <w:tcPr>
            <w:tcW w:w="3260" w:type="dxa"/>
            <w:shd w:val="clear" w:color="auto" w:fill="F2F2F2" w:themeFill="background1" w:themeFillShade="F2"/>
            <w:vAlign w:val="center"/>
          </w:tcPr>
          <w:p w14:paraId="7BFE71E3" w14:textId="7F1F2A9D" w:rsidR="007B643E" w:rsidRDefault="007B643E" w:rsidP="00445109">
            <w:pPr>
              <w:keepNext/>
              <w:jc w:val="left"/>
            </w:pPr>
            <w:r>
              <w:t>Enseignement</w:t>
            </w:r>
          </w:p>
        </w:tc>
        <w:tc>
          <w:tcPr>
            <w:tcW w:w="2694" w:type="dxa"/>
            <w:vAlign w:val="center"/>
          </w:tcPr>
          <w:p w14:paraId="6B640D8B" w14:textId="77777777" w:rsidR="007B643E" w:rsidRDefault="007B643E" w:rsidP="00445109">
            <w:pPr>
              <w:keepNext/>
              <w:jc w:val="center"/>
            </w:pPr>
          </w:p>
        </w:tc>
      </w:tr>
    </w:tbl>
    <w:p w14:paraId="57488E41" w14:textId="6213858D" w:rsidR="007B643E" w:rsidRDefault="007B643E" w:rsidP="00445109">
      <w:pPr>
        <w:keepNext/>
      </w:pPr>
    </w:p>
    <w:p w14:paraId="21F7525C" w14:textId="1705C23C" w:rsidR="007B643E" w:rsidRDefault="007B643E" w:rsidP="00A02594">
      <w:pPr>
        <w:pStyle w:val="Titre6"/>
      </w:pPr>
      <w:r w:rsidRPr="007B643E">
        <w:t>Valeurs des coefficients de modulation de l’exigence Bbio_max</w:t>
      </w:r>
    </w:p>
    <w:p w14:paraId="52F943D9" w14:textId="119C5AC2" w:rsidR="007B643E" w:rsidRPr="00A02594" w:rsidRDefault="007B643E" w:rsidP="00A02594">
      <w:pPr>
        <w:pStyle w:val="Titre7"/>
      </w:pPr>
      <w:r w:rsidRPr="00A02594">
        <w:t>Maisons individuelles ou accolées</w:t>
      </w:r>
    </w:p>
    <w:p w14:paraId="1DD49BFC" w14:textId="3E36F4BF" w:rsidR="007B643E" w:rsidRDefault="007B643E" w:rsidP="00445109">
      <w:pPr>
        <w:keepNext/>
      </w:pPr>
      <w:r w:rsidRPr="007B643E">
        <w:t xml:space="preserve">Le coefficient </w:t>
      </w:r>
      <w:r w:rsidRPr="007B643E">
        <w:rPr>
          <w:b/>
        </w:rPr>
        <w:t>Mbgéo</w:t>
      </w:r>
      <w:r w:rsidRPr="007B643E">
        <w:t xml:space="preserve"> de modulation du Bbio</w:t>
      </w:r>
      <w:r>
        <w:t>_</w:t>
      </w:r>
      <w:r w:rsidRPr="007B643E">
        <w:t>max selon la localisation géographique</w:t>
      </w:r>
      <w:r>
        <w:t xml:space="preserve"> (zone climatique et altitude) du bâtiment</w:t>
      </w:r>
      <w:r w:rsidRPr="007B643E">
        <w:t xml:space="preserve"> prend les valeurs suivantes :</w:t>
      </w:r>
    </w:p>
    <w:tbl>
      <w:tblPr>
        <w:tblStyle w:val="Grilledutableau"/>
        <w:tblW w:w="10220" w:type="dxa"/>
        <w:tblLook w:val="0600" w:firstRow="0" w:lastRow="0" w:firstColumn="0" w:lastColumn="0" w:noHBand="1" w:noVBand="1"/>
      </w:tblPr>
      <w:tblGrid>
        <w:gridCol w:w="2714"/>
        <w:gridCol w:w="939"/>
        <w:gridCol w:w="939"/>
        <w:gridCol w:w="938"/>
        <w:gridCol w:w="938"/>
        <w:gridCol w:w="938"/>
        <w:gridCol w:w="938"/>
        <w:gridCol w:w="938"/>
        <w:gridCol w:w="938"/>
      </w:tblGrid>
      <w:tr w:rsidR="007B643E" w:rsidRPr="007B643E" w14:paraId="4AB3E063" w14:textId="77777777" w:rsidTr="006C7734">
        <w:trPr>
          <w:trHeight w:val="352"/>
        </w:trPr>
        <w:tc>
          <w:tcPr>
            <w:tcW w:w="2714" w:type="dxa"/>
            <w:tcBorders>
              <w:tl2br w:val="single" w:sz="4" w:space="0" w:color="auto"/>
            </w:tcBorders>
            <w:shd w:val="clear" w:color="auto" w:fill="A6A6A6" w:themeFill="background1" w:themeFillShade="A6"/>
            <w:hideMark/>
          </w:tcPr>
          <w:p w14:paraId="736C6F14" w14:textId="77777777" w:rsidR="007B643E" w:rsidRDefault="007B643E" w:rsidP="00445109">
            <w:pPr>
              <w:keepNext/>
              <w:jc w:val="right"/>
            </w:pPr>
            <w:r w:rsidRPr="007B643E">
              <w:t xml:space="preserve">Zone climatique </w:t>
            </w:r>
          </w:p>
          <w:p w14:paraId="2CDE3B01" w14:textId="63B094EE" w:rsidR="007B643E" w:rsidRPr="007B643E" w:rsidRDefault="007B643E" w:rsidP="00445109">
            <w:pPr>
              <w:keepNext/>
            </w:pPr>
            <w:r>
              <w:t>Altitude</w:t>
            </w:r>
          </w:p>
        </w:tc>
        <w:tc>
          <w:tcPr>
            <w:tcW w:w="939" w:type="dxa"/>
            <w:shd w:val="clear" w:color="auto" w:fill="A6A6A6" w:themeFill="background1" w:themeFillShade="A6"/>
            <w:vAlign w:val="center"/>
            <w:hideMark/>
          </w:tcPr>
          <w:p w14:paraId="648A61B7" w14:textId="77777777" w:rsidR="007B643E" w:rsidRPr="007B643E" w:rsidRDefault="007B643E" w:rsidP="00445109">
            <w:pPr>
              <w:keepNext/>
              <w:jc w:val="center"/>
            </w:pPr>
            <w:r w:rsidRPr="007B643E">
              <w:t>H1a</w:t>
            </w:r>
          </w:p>
        </w:tc>
        <w:tc>
          <w:tcPr>
            <w:tcW w:w="939" w:type="dxa"/>
            <w:shd w:val="clear" w:color="auto" w:fill="A6A6A6" w:themeFill="background1" w:themeFillShade="A6"/>
            <w:vAlign w:val="center"/>
            <w:hideMark/>
          </w:tcPr>
          <w:p w14:paraId="2BD386D8" w14:textId="77777777" w:rsidR="007B643E" w:rsidRPr="007B643E" w:rsidRDefault="007B643E" w:rsidP="00445109">
            <w:pPr>
              <w:keepNext/>
              <w:jc w:val="center"/>
            </w:pPr>
            <w:r w:rsidRPr="007B643E">
              <w:t>H1b</w:t>
            </w:r>
          </w:p>
        </w:tc>
        <w:tc>
          <w:tcPr>
            <w:tcW w:w="938" w:type="dxa"/>
            <w:shd w:val="clear" w:color="auto" w:fill="A6A6A6" w:themeFill="background1" w:themeFillShade="A6"/>
            <w:vAlign w:val="center"/>
            <w:hideMark/>
          </w:tcPr>
          <w:p w14:paraId="6CE8CC61" w14:textId="77777777" w:rsidR="007B643E" w:rsidRPr="007B643E" w:rsidRDefault="007B643E" w:rsidP="00445109">
            <w:pPr>
              <w:keepNext/>
              <w:jc w:val="center"/>
            </w:pPr>
            <w:r w:rsidRPr="007B643E">
              <w:t>H1c</w:t>
            </w:r>
          </w:p>
        </w:tc>
        <w:tc>
          <w:tcPr>
            <w:tcW w:w="938" w:type="dxa"/>
            <w:shd w:val="clear" w:color="auto" w:fill="A6A6A6" w:themeFill="background1" w:themeFillShade="A6"/>
            <w:vAlign w:val="center"/>
            <w:hideMark/>
          </w:tcPr>
          <w:p w14:paraId="39F5A31E" w14:textId="77777777" w:rsidR="007B643E" w:rsidRPr="007B643E" w:rsidRDefault="007B643E" w:rsidP="00445109">
            <w:pPr>
              <w:keepNext/>
              <w:jc w:val="center"/>
            </w:pPr>
            <w:r w:rsidRPr="007B643E">
              <w:t>H2a</w:t>
            </w:r>
          </w:p>
        </w:tc>
        <w:tc>
          <w:tcPr>
            <w:tcW w:w="938" w:type="dxa"/>
            <w:shd w:val="clear" w:color="auto" w:fill="A6A6A6" w:themeFill="background1" w:themeFillShade="A6"/>
            <w:vAlign w:val="center"/>
            <w:hideMark/>
          </w:tcPr>
          <w:p w14:paraId="1F7F95BC" w14:textId="77777777" w:rsidR="007B643E" w:rsidRPr="007B643E" w:rsidRDefault="007B643E" w:rsidP="00445109">
            <w:pPr>
              <w:keepNext/>
              <w:jc w:val="center"/>
            </w:pPr>
            <w:r w:rsidRPr="007B643E">
              <w:t>H2b</w:t>
            </w:r>
          </w:p>
        </w:tc>
        <w:tc>
          <w:tcPr>
            <w:tcW w:w="938" w:type="dxa"/>
            <w:shd w:val="clear" w:color="auto" w:fill="A6A6A6" w:themeFill="background1" w:themeFillShade="A6"/>
            <w:vAlign w:val="center"/>
            <w:hideMark/>
          </w:tcPr>
          <w:p w14:paraId="7CA00CFC" w14:textId="77777777" w:rsidR="007B643E" w:rsidRPr="007B643E" w:rsidRDefault="007B643E" w:rsidP="00445109">
            <w:pPr>
              <w:keepNext/>
              <w:jc w:val="center"/>
            </w:pPr>
            <w:r w:rsidRPr="007B643E">
              <w:t>H2c</w:t>
            </w:r>
          </w:p>
        </w:tc>
        <w:tc>
          <w:tcPr>
            <w:tcW w:w="938" w:type="dxa"/>
            <w:shd w:val="clear" w:color="auto" w:fill="A6A6A6" w:themeFill="background1" w:themeFillShade="A6"/>
            <w:vAlign w:val="center"/>
            <w:hideMark/>
          </w:tcPr>
          <w:p w14:paraId="231F0886" w14:textId="77777777" w:rsidR="007B643E" w:rsidRPr="007B643E" w:rsidRDefault="007B643E" w:rsidP="00445109">
            <w:pPr>
              <w:keepNext/>
              <w:jc w:val="center"/>
            </w:pPr>
            <w:r w:rsidRPr="007B643E">
              <w:t>H2d</w:t>
            </w:r>
          </w:p>
        </w:tc>
        <w:tc>
          <w:tcPr>
            <w:tcW w:w="938" w:type="dxa"/>
            <w:shd w:val="clear" w:color="auto" w:fill="A6A6A6" w:themeFill="background1" w:themeFillShade="A6"/>
            <w:vAlign w:val="center"/>
            <w:hideMark/>
          </w:tcPr>
          <w:p w14:paraId="7896C296" w14:textId="36ACEFCA" w:rsidR="007B643E" w:rsidRPr="007B643E" w:rsidRDefault="00097506" w:rsidP="00445109">
            <w:pPr>
              <w:keepNext/>
              <w:jc w:val="center"/>
            </w:pPr>
            <w:r>
              <w:t>H3</w:t>
            </w:r>
          </w:p>
        </w:tc>
      </w:tr>
      <w:tr w:rsidR="007B643E" w:rsidRPr="007B643E" w14:paraId="00F844D8" w14:textId="77777777" w:rsidTr="006C7734">
        <w:trPr>
          <w:trHeight w:val="352"/>
        </w:trPr>
        <w:tc>
          <w:tcPr>
            <w:tcW w:w="2714" w:type="dxa"/>
            <w:shd w:val="clear" w:color="auto" w:fill="F2F2F2" w:themeFill="background1" w:themeFillShade="F2"/>
            <w:vAlign w:val="center"/>
            <w:hideMark/>
          </w:tcPr>
          <w:p w14:paraId="71B42561" w14:textId="17B8C645" w:rsidR="007B643E" w:rsidRPr="007B643E" w:rsidRDefault="007B643E" w:rsidP="00445109">
            <w:pPr>
              <w:keepNext/>
              <w:jc w:val="center"/>
            </w:pPr>
            <w:r>
              <w:t xml:space="preserve">&lt; </w:t>
            </w:r>
            <w:r w:rsidRPr="007B643E">
              <w:t>400m</w:t>
            </w:r>
          </w:p>
        </w:tc>
        <w:tc>
          <w:tcPr>
            <w:tcW w:w="939" w:type="dxa"/>
            <w:vAlign w:val="center"/>
            <w:hideMark/>
          </w:tcPr>
          <w:p w14:paraId="270AFE44" w14:textId="04A7188D" w:rsidR="007B643E" w:rsidRPr="007B643E" w:rsidRDefault="00E30E9F" w:rsidP="00445109">
            <w:pPr>
              <w:keepNext/>
              <w:jc w:val="center"/>
              <w:textAlignment w:val="bottom"/>
            </w:pPr>
            <w:r>
              <w:t>0</w:t>
            </w:r>
            <w:r w:rsidR="007B643E" w:rsidRPr="003A4A9C">
              <w:t>,15</w:t>
            </w:r>
          </w:p>
        </w:tc>
        <w:tc>
          <w:tcPr>
            <w:tcW w:w="939" w:type="dxa"/>
            <w:vAlign w:val="center"/>
            <w:hideMark/>
          </w:tcPr>
          <w:p w14:paraId="6BC92C46" w14:textId="19659970" w:rsidR="007B643E" w:rsidRPr="007B643E" w:rsidRDefault="00E30E9F" w:rsidP="00445109">
            <w:pPr>
              <w:keepNext/>
              <w:jc w:val="center"/>
              <w:textAlignment w:val="bottom"/>
            </w:pPr>
            <w:r>
              <w:t>0</w:t>
            </w:r>
            <w:r w:rsidR="007B643E" w:rsidRPr="003A4A9C">
              <w:t>,2</w:t>
            </w:r>
          </w:p>
        </w:tc>
        <w:tc>
          <w:tcPr>
            <w:tcW w:w="938" w:type="dxa"/>
            <w:vAlign w:val="center"/>
            <w:hideMark/>
          </w:tcPr>
          <w:p w14:paraId="1FB474C4" w14:textId="69BC2AB6" w:rsidR="007B643E" w:rsidRPr="007B643E" w:rsidRDefault="00E30E9F" w:rsidP="00445109">
            <w:pPr>
              <w:keepNext/>
              <w:jc w:val="center"/>
              <w:textAlignment w:val="bottom"/>
            </w:pPr>
            <w:r>
              <w:t>0</w:t>
            </w:r>
            <w:r w:rsidR="007B643E" w:rsidRPr="003A4A9C">
              <w:t>,1</w:t>
            </w:r>
            <w:r w:rsidR="007B643E">
              <w:t>5</w:t>
            </w:r>
          </w:p>
        </w:tc>
        <w:tc>
          <w:tcPr>
            <w:tcW w:w="938" w:type="dxa"/>
            <w:vAlign w:val="center"/>
            <w:hideMark/>
          </w:tcPr>
          <w:p w14:paraId="68F03614" w14:textId="72BF7DD4" w:rsidR="007B643E" w:rsidRPr="007B643E" w:rsidRDefault="00E30E9F" w:rsidP="00445109">
            <w:pPr>
              <w:keepNext/>
              <w:jc w:val="center"/>
              <w:textAlignment w:val="bottom"/>
            </w:pPr>
            <w:r>
              <w:t>-0,05</w:t>
            </w:r>
          </w:p>
        </w:tc>
        <w:tc>
          <w:tcPr>
            <w:tcW w:w="938" w:type="dxa"/>
            <w:vAlign w:val="center"/>
            <w:hideMark/>
          </w:tcPr>
          <w:p w14:paraId="625783EA" w14:textId="374B1591" w:rsidR="007B643E" w:rsidRPr="007B643E" w:rsidRDefault="00E30E9F" w:rsidP="00445109">
            <w:pPr>
              <w:keepNext/>
              <w:jc w:val="center"/>
              <w:textAlignment w:val="bottom"/>
            </w:pPr>
            <w:r>
              <w:t>0</w:t>
            </w:r>
          </w:p>
        </w:tc>
        <w:tc>
          <w:tcPr>
            <w:tcW w:w="938" w:type="dxa"/>
            <w:vAlign w:val="center"/>
            <w:hideMark/>
          </w:tcPr>
          <w:p w14:paraId="526CA25D" w14:textId="568736B6" w:rsidR="007B643E" w:rsidRPr="007B643E" w:rsidRDefault="00E30E9F" w:rsidP="00445109">
            <w:pPr>
              <w:keepNext/>
              <w:jc w:val="center"/>
              <w:textAlignment w:val="bottom"/>
            </w:pPr>
            <w:r>
              <w:t>-0,15</w:t>
            </w:r>
          </w:p>
        </w:tc>
        <w:tc>
          <w:tcPr>
            <w:tcW w:w="938" w:type="dxa"/>
            <w:vAlign w:val="center"/>
            <w:hideMark/>
          </w:tcPr>
          <w:p w14:paraId="2C9DBB61" w14:textId="1C4AD88F" w:rsidR="007B643E" w:rsidRPr="007B643E" w:rsidRDefault="00E30E9F" w:rsidP="00445109">
            <w:pPr>
              <w:keepNext/>
              <w:jc w:val="center"/>
              <w:textAlignment w:val="bottom"/>
            </w:pPr>
            <w:r>
              <w:t>0</w:t>
            </w:r>
            <w:r w:rsidR="007B643E" w:rsidRPr="003A4A9C">
              <w:t>,</w:t>
            </w:r>
            <w:r w:rsidR="007B643E">
              <w:t>05</w:t>
            </w:r>
          </w:p>
        </w:tc>
        <w:tc>
          <w:tcPr>
            <w:tcW w:w="938" w:type="dxa"/>
            <w:vAlign w:val="center"/>
            <w:hideMark/>
          </w:tcPr>
          <w:p w14:paraId="3A2A39CD" w14:textId="7E62A3C3" w:rsidR="007B643E" w:rsidRPr="007B643E" w:rsidRDefault="00E30E9F" w:rsidP="00445109">
            <w:pPr>
              <w:keepNext/>
              <w:jc w:val="center"/>
              <w:textAlignment w:val="bottom"/>
            </w:pPr>
            <w:r>
              <w:t>-0,1</w:t>
            </w:r>
          </w:p>
        </w:tc>
      </w:tr>
      <w:tr w:rsidR="007B643E" w:rsidRPr="007B643E" w14:paraId="13683DFF" w14:textId="77777777" w:rsidTr="006C7734">
        <w:trPr>
          <w:trHeight w:val="352"/>
        </w:trPr>
        <w:tc>
          <w:tcPr>
            <w:tcW w:w="2714" w:type="dxa"/>
            <w:shd w:val="clear" w:color="auto" w:fill="F2F2F2" w:themeFill="background1" w:themeFillShade="F2"/>
            <w:vAlign w:val="center"/>
            <w:hideMark/>
          </w:tcPr>
          <w:p w14:paraId="4F75BE00" w14:textId="269AF28D" w:rsidR="007B643E" w:rsidRPr="007B643E" w:rsidRDefault="007B643E" w:rsidP="00445109">
            <w:pPr>
              <w:keepNext/>
              <w:jc w:val="center"/>
            </w:pPr>
            <w:r w:rsidRPr="007B643E">
              <w:t>400m-800m</w:t>
            </w:r>
          </w:p>
        </w:tc>
        <w:tc>
          <w:tcPr>
            <w:tcW w:w="939" w:type="dxa"/>
            <w:vAlign w:val="center"/>
            <w:hideMark/>
          </w:tcPr>
          <w:p w14:paraId="7306F44B" w14:textId="29316A6D" w:rsidR="007B643E" w:rsidRPr="007B643E" w:rsidRDefault="00E30E9F" w:rsidP="00445109">
            <w:pPr>
              <w:keepNext/>
              <w:jc w:val="center"/>
              <w:textAlignment w:val="bottom"/>
            </w:pPr>
            <w:r>
              <w:t>0</w:t>
            </w:r>
            <w:r w:rsidR="007B643E" w:rsidRPr="003A4A9C">
              <w:t>,4</w:t>
            </w:r>
          </w:p>
        </w:tc>
        <w:tc>
          <w:tcPr>
            <w:tcW w:w="939" w:type="dxa"/>
            <w:vAlign w:val="center"/>
            <w:hideMark/>
          </w:tcPr>
          <w:p w14:paraId="6CD6D4EF" w14:textId="67CC915E" w:rsidR="007B643E" w:rsidRPr="007B643E" w:rsidRDefault="00E30E9F" w:rsidP="00445109">
            <w:pPr>
              <w:keepNext/>
              <w:jc w:val="center"/>
              <w:textAlignment w:val="bottom"/>
            </w:pPr>
            <w:r>
              <w:t>0</w:t>
            </w:r>
            <w:r w:rsidR="007B643E" w:rsidRPr="003A4A9C">
              <w:t>,5</w:t>
            </w:r>
          </w:p>
        </w:tc>
        <w:tc>
          <w:tcPr>
            <w:tcW w:w="938" w:type="dxa"/>
            <w:vAlign w:val="center"/>
            <w:hideMark/>
          </w:tcPr>
          <w:p w14:paraId="08B3C00D" w14:textId="2DF19EB6" w:rsidR="007B643E" w:rsidRPr="007B643E" w:rsidRDefault="00E30E9F" w:rsidP="00445109">
            <w:pPr>
              <w:keepNext/>
              <w:jc w:val="center"/>
              <w:textAlignment w:val="bottom"/>
            </w:pPr>
            <w:r>
              <w:t>0</w:t>
            </w:r>
            <w:r w:rsidR="007B643E" w:rsidRPr="003A4A9C">
              <w:t>,45</w:t>
            </w:r>
          </w:p>
        </w:tc>
        <w:tc>
          <w:tcPr>
            <w:tcW w:w="938" w:type="dxa"/>
            <w:vAlign w:val="center"/>
            <w:hideMark/>
          </w:tcPr>
          <w:p w14:paraId="72DB6380" w14:textId="2962849C" w:rsidR="007B643E" w:rsidRPr="007B643E" w:rsidRDefault="00E30E9F" w:rsidP="00445109">
            <w:pPr>
              <w:keepNext/>
              <w:jc w:val="center"/>
              <w:textAlignment w:val="bottom"/>
            </w:pPr>
            <w:r>
              <w:t>0</w:t>
            </w:r>
            <w:r w:rsidR="007B643E" w:rsidRPr="003A4A9C">
              <w:t>,15</w:t>
            </w:r>
          </w:p>
        </w:tc>
        <w:tc>
          <w:tcPr>
            <w:tcW w:w="938" w:type="dxa"/>
            <w:vAlign w:val="center"/>
            <w:hideMark/>
          </w:tcPr>
          <w:p w14:paraId="658508DA" w14:textId="43861C01" w:rsidR="007B643E" w:rsidRPr="007B643E" w:rsidRDefault="00E30E9F" w:rsidP="00445109">
            <w:pPr>
              <w:keepNext/>
              <w:jc w:val="center"/>
              <w:textAlignment w:val="bottom"/>
            </w:pPr>
            <w:r>
              <w:t>0</w:t>
            </w:r>
            <w:r w:rsidR="007B643E" w:rsidRPr="003A4A9C">
              <w:t>,3</w:t>
            </w:r>
          </w:p>
        </w:tc>
        <w:tc>
          <w:tcPr>
            <w:tcW w:w="938" w:type="dxa"/>
            <w:vAlign w:val="center"/>
            <w:hideMark/>
          </w:tcPr>
          <w:p w14:paraId="3BB18E01" w14:textId="0AED2935" w:rsidR="007B643E" w:rsidRPr="007B643E" w:rsidRDefault="00E30E9F" w:rsidP="00445109">
            <w:pPr>
              <w:keepNext/>
              <w:jc w:val="center"/>
              <w:textAlignment w:val="bottom"/>
            </w:pPr>
            <w:r>
              <w:t>0</w:t>
            </w:r>
            <w:r w:rsidR="007B643E" w:rsidRPr="003A4A9C">
              <w:t>,</w:t>
            </w:r>
            <w:r w:rsidR="00BD73F5">
              <w:t>0</w:t>
            </w:r>
            <w:r w:rsidR="007B643E" w:rsidRPr="003A4A9C">
              <w:t>5</w:t>
            </w:r>
          </w:p>
        </w:tc>
        <w:tc>
          <w:tcPr>
            <w:tcW w:w="938" w:type="dxa"/>
            <w:vAlign w:val="center"/>
            <w:hideMark/>
          </w:tcPr>
          <w:p w14:paraId="25A18B0A" w14:textId="47529DBC" w:rsidR="007B643E" w:rsidRPr="007B643E" w:rsidRDefault="00E30E9F" w:rsidP="00445109">
            <w:pPr>
              <w:keepNext/>
              <w:jc w:val="center"/>
              <w:textAlignment w:val="bottom"/>
            </w:pPr>
            <w:r>
              <w:t>0</w:t>
            </w:r>
            <w:r w:rsidR="007B643E" w:rsidRPr="003A4A9C">
              <w:t>,1</w:t>
            </w:r>
          </w:p>
        </w:tc>
        <w:tc>
          <w:tcPr>
            <w:tcW w:w="938" w:type="dxa"/>
            <w:vAlign w:val="center"/>
            <w:hideMark/>
          </w:tcPr>
          <w:p w14:paraId="415FCDD5" w14:textId="701CAA63" w:rsidR="007B643E" w:rsidRPr="007B643E" w:rsidRDefault="00E30E9F" w:rsidP="00445109">
            <w:pPr>
              <w:keepNext/>
              <w:jc w:val="center"/>
              <w:textAlignment w:val="bottom"/>
            </w:pPr>
            <w:r>
              <w:t>-0,05</w:t>
            </w:r>
          </w:p>
        </w:tc>
      </w:tr>
      <w:tr w:rsidR="007B643E" w:rsidRPr="007B643E" w14:paraId="4FBAC428" w14:textId="77777777" w:rsidTr="006C7734">
        <w:trPr>
          <w:trHeight w:val="352"/>
        </w:trPr>
        <w:tc>
          <w:tcPr>
            <w:tcW w:w="2714" w:type="dxa"/>
            <w:shd w:val="clear" w:color="auto" w:fill="F2F2F2" w:themeFill="background1" w:themeFillShade="F2"/>
            <w:vAlign w:val="center"/>
            <w:hideMark/>
          </w:tcPr>
          <w:p w14:paraId="211F1C68" w14:textId="2157C884" w:rsidR="007B643E" w:rsidRPr="007B643E" w:rsidRDefault="007B643E" w:rsidP="00445109">
            <w:pPr>
              <w:keepNext/>
              <w:jc w:val="center"/>
            </w:pPr>
            <w:r w:rsidRPr="007B643E">
              <w:t>&gt;800m</w:t>
            </w:r>
          </w:p>
        </w:tc>
        <w:tc>
          <w:tcPr>
            <w:tcW w:w="939" w:type="dxa"/>
            <w:vAlign w:val="center"/>
            <w:hideMark/>
          </w:tcPr>
          <w:p w14:paraId="4191812C" w14:textId="16C19CE4" w:rsidR="007B643E" w:rsidRPr="007B643E" w:rsidRDefault="00E30E9F" w:rsidP="00445109">
            <w:pPr>
              <w:keepNext/>
              <w:jc w:val="center"/>
              <w:textAlignment w:val="bottom"/>
            </w:pPr>
            <w:r>
              <w:t>0</w:t>
            </w:r>
            <w:r w:rsidR="007B643E" w:rsidRPr="003A4A9C">
              <w:t>,75</w:t>
            </w:r>
          </w:p>
        </w:tc>
        <w:tc>
          <w:tcPr>
            <w:tcW w:w="939" w:type="dxa"/>
            <w:vAlign w:val="center"/>
            <w:hideMark/>
          </w:tcPr>
          <w:p w14:paraId="06154217" w14:textId="1CAC934C" w:rsidR="007B643E" w:rsidRPr="007B643E" w:rsidRDefault="00E30E9F" w:rsidP="00445109">
            <w:pPr>
              <w:keepNext/>
              <w:jc w:val="center"/>
              <w:textAlignment w:val="bottom"/>
            </w:pPr>
            <w:r>
              <w:t>0</w:t>
            </w:r>
            <w:r w:rsidR="007B643E" w:rsidRPr="003A4A9C">
              <w:t>,85</w:t>
            </w:r>
          </w:p>
        </w:tc>
        <w:tc>
          <w:tcPr>
            <w:tcW w:w="938" w:type="dxa"/>
            <w:vAlign w:val="center"/>
            <w:hideMark/>
          </w:tcPr>
          <w:p w14:paraId="78951C4E" w14:textId="239B947E" w:rsidR="007B643E" w:rsidRPr="007B643E" w:rsidRDefault="00E30E9F" w:rsidP="00445109">
            <w:pPr>
              <w:keepNext/>
              <w:jc w:val="center"/>
              <w:textAlignment w:val="bottom"/>
            </w:pPr>
            <w:r>
              <w:t>0</w:t>
            </w:r>
            <w:r w:rsidR="007B643E" w:rsidRPr="003A4A9C">
              <w:t>,75</w:t>
            </w:r>
          </w:p>
        </w:tc>
        <w:tc>
          <w:tcPr>
            <w:tcW w:w="938" w:type="dxa"/>
            <w:vAlign w:val="center"/>
            <w:hideMark/>
          </w:tcPr>
          <w:p w14:paraId="0B6BE622" w14:textId="229C5CFF" w:rsidR="007B643E" w:rsidRPr="007B643E" w:rsidRDefault="00E30E9F" w:rsidP="00445109">
            <w:pPr>
              <w:keepNext/>
              <w:jc w:val="center"/>
              <w:textAlignment w:val="bottom"/>
            </w:pPr>
            <w:r>
              <w:t>0</w:t>
            </w:r>
            <w:r w:rsidR="007B643E" w:rsidRPr="003A4A9C">
              <w:t>,55</w:t>
            </w:r>
          </w:p>
        </w:tc>
        <w:tc>
          <w:tcPr>
            <w:tcW w:w="938" w:type="dxa"/>
            <w:vAlign w:val="center"/>
            <w:hideMark/>
          </w:tcPr>
          <w:p w14:paraId="45685B53" w14:textId="63A87774" w:rsidR="007B643E" w:rsidRPr="007B643E" w:rsidRDefault="00E30E9F" w:rsidP="00445109">
            <w:pPr>
              <w:keepNext/>
              <w:jc w:val="center"/>
              <w:textAlignment w:val="bottom"/>
            </w:pPr>
            <w:r>
              <w:t>0</w:t>
            </w:r>
            <w:r w:rsidR="007B643E" w:rsidRPr="003A4A9C">
              <w:t>,65</w:t>
            </w:r>
          </w:p>
        </w:tc>
        <w:tc>
          <w:tcPr>
            <w:tcW w:w="938" w:type="dxa"/>
            <w:vAlign w:val="center"/>
            <w:hideMark/>
          </w:tcPr>
          <w:p w14:paraId="4F84691A" w14:textId="50FB8EA8" w:rsidR="007B643E" w:rsidRPr="007B643E" w:rsidRDefault="00E30E9F" w:rsidP="00445109">
            <w:pPr>
              <w:keepNext/>
              <w:jc w:val="center"/>
              <w:textAlignment w:val="bottom"/>
            </w:pPr>
            <w:r>
              <w:t>0</w:t>
            </w:r>
            <w:r w:rsidR="007B643E" w:rsidRPr="003A4A9C">
              <w:t>,35</w:t>
            </w:r>
          </w:p>
        </w:tc>
        <w:tc>
          <w:tcPr>
            <w:tcW w:w="938" w:type="dxa"/>
            <w:vAlign w:val="center"/>
            <w:hideMark/>
          </w:tcPr>
          <w:p w14:paraId="25C0DE24" w14:textId="5D9CA3FD" w:rsidR="007B643E" w:rsidRPr="007B643E" w:rsidRDefault="00E30E9F" w:rsidP="00445109">
            <w:pPr>
              <w:keepNext/>
              <w:jc w:val="center"/>
              <w:textAlignment w:val="bottom"/>
            </w:pPr>
            <w:r>
              <w:t>0</w:t>
            </w:r>
            <w:r w:rsidR="007B643E" w:rsidRPr="003A4A9C">
              <w:t>,25</w:t>
            </w:r>
          </w:p>
        </w:tc>
        <w:tc>
          <w:tcPr>
            <w:tcW w:w="938" w:type="dxa"/>
            <w:vAlign w:val="center"/>
            <w:hideMark/>
          </w:tcPr>
          <w:p w14:paraId="7316E0CB" w14:textId="5D4BFC65" w:rsidR="007B643E" w:rsidRPr="007B643E" w:rsidRDefault="00E30E9F" w:rsidP="00445109">
            <w:pPr>
              <w:keepNext/>
              <w:jc w:val="center"/>
              <w:textAlignment w:val="bottom"/>
            </w:pPr>
            <w:r>
              <w:t>0</w:t>
            </w:r>
            <w:r w:rsidR="007B643E" w:rsidRPr="003A4A9C">
              <w:t>,1</w:t>
            </w:r>
          </w:p>
        </w:tc>
      </w:tr>
    </w:tbl>
    <w:p w14:paraId="60B95D7E" w14:textId="117D7372" w:rsidR="007B643E" w:rsidRDefault="007B643E" w:rsidP="007B643E"/>
    <w:p w14:paraId="39862B49" w14:textId="35419A98" w:rsidR="002523E6" w:rsidRPr="00224648" w:rsidRDefault="002523E6" w:rsidP="002523E6">
      <w:pPr>
        <w:keepNext/>
      </w:pPr>
      <w:r w:rsidRPr="00224648">
        <w:t xml:space="preserve">Le coefficient </w:t>
      </w:r>
      <w:r w:rsidRPr="00224648">
        <w:rPr>
          <w:b/>
        </w:rPr>
        <w:t>M</w:t>
      </w:r>
      <w:r>
        <w:rPr>
          <w:b/>
        </w:rPr>
        <w:t>b</w:t>
      </w:r>
      <w:r w:rsidRPr="00224648">
        <w:rPr>
          <w:b/>
        </w:rPr>
        <w:t>com</w:t>
      </w:r>
      <w:r>
        <w:rPr>
          <w:b/>
        </w:rPr>
        <w:t>bles</w:t>
      </w:r>
      <w:r w:rsidRPr="00224648">
        <w:t xml:space="preserve"> de modulation du </w:t>
      </w:r>
      <w:r>
        <w:rPr>
          <w:rFonts w:cstheme="minorHAnsi"/>
        </w:rPr>
        <w:t>Bbio</w:t>
      </w:r>
      <w:r w:rsidRPr="00224648">
        <w:rPr>
          <w:rFonts w:cstheme="minorHAnsi"/>
        </w:rPr>
        <w:t>_max</w:t>
      </w:r>
      <w:r w:rsidRPr="00224648">
        <w:t xml:space="preserve"> selon la présence de combles aménagés dans le bâtiment ou la partie de bâtiment est calculé selon la formule suivante :</w:t>
      </w:r>
    </w:p>
    <w:p w14:paraId="6B377126" w14:textId="7DE94737" w:rsidR="002523E6" w:rsidRPr="00224648" w:rsidRDefault="002523E6" w:rsidP="002523E6">
      <w:pPr>
        <w:keepNext/>
        <w:jc w:val="center"/>
        <w:rPr>
          <w:rFonts w:eastAsiaTheme="minorEastAsia"/>
        </w:rPr>
      </w:pPr>
      <m:oMathPara>
        <m:oMath>
          <m:r>
            <w:rPr>
              <w:rFonts w:ascii="Cambria Math" w:hAnsi="Cambria Math"/>
            </w:rPr>
            <m:t>Mbcombles=</m:t>
          </m:r>
          <m:f>
            <m:fPr>
              <m:ctrlPr>
                <w:rPr>
                  <w:rFonts w:ascii="Cambria Math" w:hAnsi="Cambria Math"/>
                  <w:i/>
                </w:rPr>
              </m:ctrlPr>
            </m:fPr>
            <m:num>
              <m:r>
                <w:rPr>
                  <w:rFonts w:ascii="Cambria Math" w:hAnsi="Cambria Math"/>
                </w:rPr>
                <m:t>(0,4×Scombles)</m:t>
              </m:r>
            </m:num>
            <m:den>
              <m:r>
                <w:rPr>
                  <w:rFonts w:ascii="Cambria Math" w:hAnsi="Cambria Math"/>
                </w:rPr>
                <m:t>Sref</m:t>
              </m:r>
            </m:den>
          </m:f>
        </m:oMath>
      </m:oMathPara>
    </w:p>
    <w:p w14:paraId="48FCB2A5" w14:textId="59205FF5" w:rsidR="002523E6" w:rsidRDefault="002523E6" w:rsidP="002523E6">
      <w:pPr>
        <w:keepNext/>
        <w:rPr>
          <w:rFonts w:eastAsiaTheme="minorEastAsia"/>
        </w:rPr>
      </w:pPr>
      <w:r w:rsidRPr="00224648">
        <w:rPr>
          <w:rFonts w:eastAsiaTheme="minorEastAsia"/>
        </w:rPr>
        <w:t>Où Scom</w:t>
      </w:r>
      <w:r>
        <w:rPr>
          <w:rFonts w:eastAsiaTheme="minorEastAsia"/>
        </w:rPr>
        <w:t>bles</w:t>
      </w:r>
      <w:r w:rsidRPr="00224648">
        <w:rPr>
          <w:rFonts w:eastAsiaTheme="minorEastAsia"/>
        </w:rPr>
        <w:t xml:space="preserve"> représente la surface</w:t>
      </w:r>
      <w:r>
        <w:rPr>
          <w:rFonts w:eastAsiaTheme="minorEastAsia"/>
        </w:rPr>
        <w:t xml:space="preserve"> de plancher</w:t>
      </w:r>
      <w:r w:rsidRPr="00224648">
        <w:rPr>
          <w:rFonts w:eastAsiaTheme="minorEastAsia"/>
        </w:rPr>
        <w:t xml:space="preserve"> des comble</w:t>
      </w:r>
      <w:r>
        <w:rPr>
          <w:rFonts w:eastAsiaTheme="minorEastAsia"/>
        </w:rPr>
        <w:t>s</w:t>
      </w:r>
      <w:r w:rsidRPr="00224648">
        <w:rPr>
          <w:rFonts w:eastAsiaTheme="minorEastAsia"/>
        </w:rPr>
        <w:t xml:space="preserve"> aménagés dont la hauteur sous plafond est inférieure à 1,8 mètres.</w:t>
      </w:r>
    </w:p>
    <w:p w14:paraId="6DAF9762" w14:textId="77777777" w:rsidR="002523E6" w:rsidRPr="00224648" w:rsidRDefault="002523E6" w:rsidP="002523E6">
      <w:pPr>
        <w:keepNext/>
      </w:pPr>
    </w:p>
    <w:p w14:paraId="587B6B45" w14:textId="5D2AE7A7" w:rsidR="00A02594" w:rsidRDefault="007B643E" w:rsidP="00445109">
      <w:pPr>
        <w:keepNext/>
      </w:pPr>
      <w:r>
        <w:t xml:space="preserve">Le coefficient </w:t>
      </w:r>
      <w:r>
        <w:rPr>
          <w:b/>
          <w:bCs/>
        </w:rPr>
        <w:t>M</w:t>
      </w:r>
      <w:r w:rsidRPr="006C7734">
        <w:rPr>
          <w:b/>
          <w:bCs/>
        </w:rPr>
        <w:t>bsur</w:t>
      </w:r>
      <w:r w:rsidRPr="006C7734">
        <w:rPr>
          <w:b/>
        </w:rPr>
        <w:t>f</w:t>
      </w:r>
      <w:r>
        <w:t xml:space="preserve"> de modulation du Bbio_max selon la surface moyenne des logements du bâtiment ou de la partie de bâtiment </w:t>
      </w:r>
      <m:oMath>
        <m:sSub>
          <m:sSubPr>
            <m:ctrlPr>
              <w:rPr>
                <w:rFonts w:ascii="Cambria Math" w:hAnsi="Cambria Math"/>
                <w:i/>
                <w:iCs/>
              </w:rPr>
            </m:ctrlPr>
          </m:sSubPr>
          <m:e>
            <m:r>
              <w:rPr>
                <w:rFonts w:ascii="Cambria Math" w:hAnsi="Cambria Math"/>
              </w:rPr>
              <m:t>Smoy</m:t>
            </m:r>
          </m:e>
          <m:sub>
            <m:r>
              <w:rPr>
                <w:rFonts w:ascii="Cambria Math" w:hAnsi="Cambria Math"/>
              </w:rPr>
              <m:t>lgt</m:t>
            </m:r>
          </m:sub>
        </m:sSub>
        <m:r>
          <w:rPr>
            <w:rFonts w:ascii="Cambria Math" w:hAnsi="Cambria Math"/>
          </w:rPr>
          <m:t xml:space="preserve"> </m:t>
        </m:r>
      </m:oMath>
      <w:r>
        <w:t>prend les valeurs suivantes :</w:t>
      </w:r>
      <w:r>
        <w:tab/>
      </w:r>
    </w:p>
    <w:tbl>
      <w:tblPr>
        <w:tblStyle w:val="Grilledutableau"/>
        <w:tblW w:w="3441" w:type="pct"/>
        <w:jc w:val="center"/>
        <w:tblLook w:val="04A0" w:firstRow="1" w:lastRow="0" w:firstColumn="1" w:lastColumn="0" w:noHBand="0" w:noVBand="1"/>
      </w:tblPr>
      <w:tblGrid>
        <w:gridCol w:w="3410"/>
        <w:gridCol w:w="2826"/>
      </w:tblGrid>
      <w:tr w:rsidR="006C7734" w14:paraId="4350E691" w14:textId="4E6B622F" w:rsidTr="006C7734">
        <w:trPr>
          <w:jc w:val="center"/>
        </w:trPr>
        <w:tc>
          <w:tcPr>
            <w:tcW w:w="2734" w:type="pct"/>
            <w:shd w:val="clear" w:color="auto" w:fill="A6A6A6" w:themeFill="background1" w:themeFillShade="A6"/>
            <w:vAlign w:val="center"/>
          </w:tcPr>
          <w:p w14:paraId="54D23573" w14:textId="7CC21DCA" w:rsidR="006C7734" w:rsidRDefault="006C7734" w:rsidP="00445109">
            <w:pPr>
              <w:keepNext/>
              <w:jc w:val="center"/>
            </w:pPr>
            <w:r>
              <w:t>Surface moyenne des logements du bâtiment</w:t>
            </w:r>
          </w:p>
        </w:tc>
        <w:tc>
          <w:tcPr>
            <w:tcW w:w="2266" w:type="pct"/>
            <w:shd w:val="clear" w:color="auto" w:fill="A6A6A6" w:themeFill="background1" w:themeFillShade="A6"/>
            <w:vAlign w:val="center"/>
          </w:tcPr>
          <w:p w14:paraId="1F5963A8" w14:textId="6CF06736" w:rsidR="006C7734" w:rsidRDefault="006C7734" w:rsidP="00445109">
            <w:pPr>
              <w:keepNext/>
              <w:jc w:val="center"/>
            </w:pPr>
            <w:r w:rsidRPr="006C7734">
              <w:t>Mbsurf</w:t>
            </w:r>
          </w:p>
        </w:tc>
      </w:tr>
      <w:tr w:rsidR="006C7734" w14:paraId="1E2FF9E6" w14:textId="5E0B1BBF" w:rsidTr="006C7734">
        <w:trPr>
          <w:jc w:val="center"/>
        </w:trPr>
        <w:tc>
          <w:tcPr>
            <w:tcW w:w="2734" w:type="pct"/>
            <w:shd w:val="clear" w:color="auto" w:fill="F2F2F2" w:themeFill="background1" w:themeFillShade="F2"/>
            <w:vAlign w:val="center"/>
          </w:tcPr>
          <w:p w14:paraId="11AA2DE8" w14:textId="52F198CA" w:rsidR="006C7734" w:rsidRPr="006C7734" w:rsidRDefault="00866253" w:rsidP="00445109">
            <w:pPr>
              <w:keepNext/>
              <w:jc w:val="center"/>
            </w:pPr>
            <m:oMathPara>
              <m:oMath>
                <m:sSub>
                  <m:sSubPr>
                    <m:ctrlPr>
                      <w:rPr>
                        <w:rFonts w:ascii="Cambria Math" w:hAnsi="Cambria Math"/>
                        <w:i/>
                        <w:iCs/>
                      </w:rPr>
                    </m:ctrlPr>
                  </m:sSubPr>
                  <m:e>
                    <m:r>
                      <w:rPr>
                        <w:rFonts w:ascii="Cambria Math" w:hAnsi="Cambria Math"/>
                      </w:rPr>
                      <m:t>Smoy</m:t>
                    </m:r>
                  </m:e>
                  <m:sub>
                    <m:r>
                      <w:rPr>
                        <w:rFonts w:ascii="Cambria Math" w:hAnsi="Cambria Math"/>
                      </w:rPr>
                      <m:t>lgt</m:t>
                    </m:r>
                  </m:sub>
                </m:sSub>
                <m:r>
                  <w:rPr>
                    <w:rFonts w:ascii="Cambria Math" w:hAnsi="Cambria Math"/>
                  </w:rPr>
                  <m:t>≤100 m²</m:t>
                </m:r>
              </m:oMath>
            </m:oMathPara>
          </w:p>
        </w:tc>
        <w:tc>
          <w:tcPr>
            <w:tcW w:w="2266" w:type="pct"/>
            <w:vAlign w:val="center"/>
          </w:tcPr>
          <w:p w14:paraId="48AFDFF8" w14:textId="28AF3650" w:rsidR="006C7734" w:rsidRDefault="00866253" w:rsidP="00445109">
            <w:pPr>
              <w:keepNext/>
              <w:jc w:val="center"/>
            </w:pPr>
            <m:oMathPara>
              <m:oMath>
                <m:f>
                  <m:fPr>
                    <m:ctrlPr>
                      <w:rPr>
                        <w:rFonts w:ascii="Cambria Math" w:hAnsi="Cambria Math"/>
                        <w:i/>
                        <w:iCs/>
                      </w:rPr>
                    </m:ctrlPr>
                  </m:fPr>
                  <m:num>
                    <m:r>
                      <w:rPr>
                        <w:rFonts w:ascii="Cambria Math" w:hAnsi="Cambria Math"/>
                      </w:rPr>
                      <m:t>31,5-0,35*</m:t>
                    </m:r>
                    <m:sSub>
                      <m:sSubPr>
                        <m:ctrlPr>
                          <w:rPr>
                            <w:rFonts w:ascii="Cambria Math" w:hAnsi="Cambria Math"/>
                            <w:i/>
                            <w:iCs/>
                          </w:rPr>
                        </m:ctrlPr>
                      </m:sSubPr>
                      <m:e>
                        <m:r>
                          <w:rPr>
                            <w:rFonts w:ascii="Cambria Math" w:hAnsi="Cambria Math"/>
                          </w:rPr>
                          <m:t>Smoy</m:t>
                        </m:r>
                      </m:e>
                      <m:sub>
                        <m:r>
                          <w:rPr>
                            <w:rFonts w:ascii="Cambria Math" w:hAnsi="Cambria Math"/>
                          </w:rPr>
                          <m:t>lgt</m:t>
                        </m:r>
                      </m:sub>
                    </m:sSub>
                  </m:num>
                  <m:den>
                    <m:r>
                      <w:rPr>
                        <w:rFonts w:ascii="Cambria Math" w:hAnsi="Cambria Math"/>
                      </w:rPr>
                      <m:t>Bbio_maxmoyen</m:t>
                    </m:r>
                  </m:den>
                </m:f>
              </m:oMath>
            </m:oMathPara>
          </w:p>
        </w:tc>
      </w:tr>
      <w:tr w:rsidR="006C7734" w14:paraId="1FA692FD" w14:textId="512DDA72" w:rsidTr="006C7734">
        <w:trPr>
          <w:jc w:val="center"/>
        </w:trPr>
        <w:tc>
          <w:tcPr>
            <w:tcW w:w="2734" w:type="pct"/>
            <w:shd w:val="clear" w:color="auto" w:fill="F2F2F2" w:themeFill="background1" w:themeFillShade="F2"/>
            <w:vAlign w:val="center"/>
          </w:tcPr>
          <w:p w14:paraId="3192A700" w14:textId="61FE01C8" w:rsidR="006C7734" w:rsidRDefault="006C7734" w:rsidP="00445109">
            <w:pPr>
              <w:keepNext/>
              <w:jc w:val="center"/>
            </w:pPr>
            <m:oMathPara>
              <m:oMath>
                <m:r>
                  <w:rPr>
                    <w:rFonts w:ascii="Cambria Math" w:hAnsi="Cambria Math"/>
                  </w:rPr>
                  <m:t xml:space="preserve">100 </m:t>
                </m:r>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&lt;</m:t>
                </m:r>
                <m:sSub>
                  <m:sSubPr>
                    <m:ctrlPr>
                      <w:rPr>
                        <w:rFonts w:ascii="Cambria Math" w:hAnsi="Cambria Math"/>
                        <w:i/>
                        <w:iCs/>
                      </w:rPr>
                    </m:ctrlPr>
                  </m:sSubPr>
                  <m:e>
                    <m:r>
                      <w:rPr>
                        <w:rFonts w:ascii="Cambria Math" w:hAnsi="Cambria Math"/>
                      </w:rPr>
                      <m:t>Smoy</m:t>
                    </m:r>
                  </m:e>
                  <m:sub>
                    <m:r>
                      <w:rPr>
                        <w:rFonts w:ascii="Cambria Math" w:hAnsi="Cambria Math"/>
                      </w:rPr>
                      <m:t>lgt</m:t>
                    </m:r>
                  </m:sub>
                </m:sSub>
                <m:r>
                  <w:rPr>
                    <w:rFonts w:ascii="Cambria Math" w:hAnsi="Cambria Math"/>
                  </w:rPr>
                  <m:t>≤150 m²</m:t>
                </m:r>
              </m:oMath>
            </m:oMathPara>
          </w:p>
        </w:tc>
        <w:tc>
          <w:tcPr>
            <w:tcW w:w="2266" w:type="pct"/>
            <w:vAlign w:val="center"/>
          </w:tcPr>
          <w:p w14:paraId="621D788D" w14:textId="4136AC51" w:rsidR="006C7734" w:rsidRDefault="00866253" w:rsidP="00445109">
            <w:pPr>
              <w:keepNext/>
              <w:jc w:val="center"/>
            </w:pPr>
            <m:oMathPara>
              <m:oMath>
                <m:f>
                  <m:fPr>
                    <m:ctrlPr>
                      <w:rPr>
                        <w:rFonts w:ascii="Cambria Math" w:hAnsi="Cambria Math"/>
                        <w:i/>
                        <w:iCs/>
                      </w:rPr>
                    </m:ctrlPr>
                  </m:fPr>
                  <m:num>
                    <m:r>
                      <w:rPr>
                        <w:rFonts w:ascii="Cambria Math" w:hAnsi="Cambria Math"/>
                      </w:rPr>
                      <m:t>11,5-0,15*</m:t>
                    </m:r>
                    <m:sSub>
                      <m:sSubPr>
                        <m:ctrlPr>
                          <w:rPr>
                            <w:rFonts w:ascii="Cambria Math" w:hAnsi="Cambria Math"/>
                            <w:i/>
                            <w:iCs/>
                          </w:rPr>
                        </m:ctrlPr>
                      </m:sSubPr>
                      <m:e>
                        <m:r>
                          <w:rPr>
                            <w:rFonts w:ascii="Cambria Math" w:hAnsi="Cambria Math"/>
                          </w:rPr>
                          <m:t>Smoy</m:t>
                        </m:r>
                      </m:e>
                      <m:sub>
                        <m:r>
                          <w:rPr>
                            <w:rFonts w:ascii="Cambria Math" w:hAnsi="Cambria Math"/>
                          </w:rPr>
                          <m:t>lgt</m:t>
                        </m:r>
                      </m:sub>
                    </m:sSub>
                  </m:num>
                  <m:den>
                    <m:r>
                      <w:rPr>
                        <w:rFonts w:ascii="Cambria Math" w:hAnsi="Cambria Math"/>
                      </w:rPr>
                      <m:t>Bbio_maxmoyen </m:t>
                    </m:r>
                  </m:den>
                </m:f>
              </m:oMath>
            </m:oMathPara>
          </w:p>
        </w:tc>
      </w:tr>
      <w:tr w:rsidR="006C7734" w14:paraId="0A364AB7" w14:textId="25FD6E49" w:rsidTr="006C7734">
        <w:trPr>
          <w:jc w:val="center"/>
        </w:trPr>
        <w:tc>
          <w:tcPr>
            <w:tcW w:w="2734" w:type="pct"/>
            <w:shd w:val="clear" w:color="auto" w:fill="F2F2F2" w:themeFill="background1" w:themeFillShade="F2"/>
            <w:vAlign w:val="center"/>
          </w:tcPr>
          <w:p w14:paraId="5461BE9D" w14:textId="0CFB38C5" w:rsidR="006C7734" w:rsidRDefault="00866253" w:rsidP="00445109">
            <w:pPr>
              <w:keepNext/>
              <w:jc w:val="center"/>
            </w:pPr>
            <m:oMathPara>
              <m:oMath>
                <m:sSub>
                  <m:sSubPr>
                    <m:ctrlPr>
                      <w:rPr>
                        <w:rFonts w:ascii="Cambria Math" w:hAnsi="Cambria Math"/>
                        <w:i/>
                        <w:iCs/>
                      </w:rPr>
                    </m:ctrlPr>
                  </m:sSubPr>
                  <m:e>
                    <m:r>
                      <w:rPr>
                        <w:rFonts w:ascii="Cambria Math" w:hAnsi="Cambria Math"/>
                      </w:rPr>
                      <m:t>Smoy</m:t>
                    </m:r>
                  </m:e>
                  <m:sub>
                    <m:r>
                      <w:rPr>
                        <w:rFonts w:ascii="Cambria Math" w:hAnsi="Cambria Math"/>
                      </w:rPr>
                      <m:t>lgt</m:t>
                    </m:r>
                  </m:sub>
                </m:sSub>
                <m:r>
                  <w:rPr>
                    <w:rFonts w:ascii="Cambria Math" w:hAnsi="Cambria Math"/>
                  </w:rPr>
                  <m:t>&gt;150 m²</m:t>
                </m:r>
              </m:oMath>
            </m:oMathPara>
          </w:p>
        </w:tc>
        <w:tc>
          <w:tcPr>
            <w:tcW w:w="2266" w:type="pct"/>
            <w:vAlign w:val="center"/>
          </w:tcPr>
          <w:p w14:paraId="44DA6A8C" w14:textId="60C7EFC8" w:rsidR="006C7734" w:rsidRDefault="00866253" w:rsidP="00445109">
            <w:pPr>
              <w:keepNext/>
              <w:jc w:val="center"/>
            </w:pPr>
            <m:oMathPara>
              <m:oMath>
                <m:f>
                  <m:fPr>
                    <m:ctrlPr>
                      <w:rPr>
                        <w:rFonts w:ascii="Cambria Math" w:hAnsi="Cambria Math"/>
                        <w:i/>
                        <w:iCs/>
                      </w:rPr>
                    </m:ctrlPr>
                  </m:fPr>
                  <m:num>
                    <m:r>
                      <w:rPr>
                        <w:rFonts w:ascii="Cambria Math" w:hAnsi="Cambria Math"/>
                      </w:rPr>
                      <m:t>-11</m:t>
                    </m:r>
                  </m:num>
                  <m:den>
                    <m:r>
                      <w:rPr>
                        <w:rFonts w:ascii="Cambria Math" w:hAnsi="Cambria Math"/>
                      </w:rPr>
                      <m:t>Bbio_maxmoyen</m:t>
                    </m:r>
                  </m:den>
                </m:f>
              </m:oMath>
            </m:oMathPara>
          </w:p>
        </w:tc>
      </w:tr>
    </w:tbl>
    <w:p w14:paraId="0050FC55" w14:textId="18E30E62" w:rsidR="006C7734" w:rsidRDefault="006C7734" w:rsidP="007B643E"/>
    <w:p w14:paraId="59AB92ED" w14:textId="217D2E42" w:rsidR="006C7734" w:rsidRDefault="006C7734" w:rsidP="007B643E">
      <w:r>
        <w:t xml:space="preserve">Le coefficient </w:t>
      </w:r>
      <w:r>
        <w:rPr>
          <w:b/>
          <w:bCs/>
        </w:rPr>
        <w:t>M</w:t>
      </w:r>
      <w:r w:rsidRPr="006C7734">
        <w:rPr>
          <w:b/>
          <w:bCs/>
        </w:rPr>
        <w:t>b</w:t>
      </w:r>
      <w:r>
        <w:rPr>
          <w:b/>
          <w:bCs/>
        </w:rPr>
        <w:t xml:space="preserve">bruit </w:t>
      </w:r>
      <w:r>
        <w:t>de modulation du Bbio_max selon l’exposition au bruit du bâtiment ou de la partie de bâtiment prend les valeurs suivantes :</w:t>
      </w:r>
    </w:p>
    <w:tbl>
      <w:tblPr>
        <w:tblStyle w:val="Grilledutableau"/>
        <w:tblW w:w="10220" w:type="dxa"/>
        <w:tblLook w:val="0600" w:firstRow="0" w:lastRow="0" w:firstColumn="0" w:lastColumn="0" w:noHBand="1" w:noVBand="1"/>
      </w:tblPr>
      <w:tblGrid>
        <w:gridCol w:w="2714"/>
        <w:gridCol w:w="939"/>
        <w:gridCol w:w="939"/>
        <w:gridCol w:w="938"/>
        <w:gridCol w:w="938"/>
        <w:gridCol w:w="938"/>
        <w:gridCol w:w="938"/>
        <w:gridCol w:w="938"/>
        <w:gridCol w:w="938"/>
      </w:tblGrid>
      <w:tr w:rsidR="00C75F0F" w14:paraId="5B9FB435" w14:textId="77777777" w:rsidTr="00C75F0F">
        <w:trPr>
          <w:trHeight w:val="352"/>
        </w:trPr>
        <w:tc>
          <w:tcPr>
            <w:tcW w:w="2714" w:type="dxa"/>
            <w:tcBorders>
              <w:top w:val="single" w:sz="4" w:space="0" w:color="auto"/>
              <w:left w:val="single" w:sz="4" w:space="0" w:color="auto"/>
              <w:bottom w:val="single" w:sz="4" w:space="0" w:color="auto"/>
              <w:right w:val="single" w:sz="4" w:space="0" w:color="auto"/>
              <w:tl2br w:val="single" w:sz="4" w:space="0" w:color="auto"/>
            </w:tcBorders>
            <w:shd w:val="clear" w:color="auto" w:fill="A6A6A6" w:themeFill="background1" w:themeFillShade="A6"/>
            <w:hideMark/>
          </w:tcPr>
          <w:p w14:paraId="289FB8BD" w14:textId="77777777" w:rsidR="00C75F0F" w:rsidRDefault="00C75F0F">
            <w:pPr>
              <w:keepNext/>
              <w:jc w:val="right"/>
            </w:pPr>
            <w:r>
              <w:lastRenderedPageBreak/>
              <w:t xml:space="preserve">Zone climatique </w:t>
            </w:r>
          </w:p>
          <w:p w14:paraId="127F05ED" w14:textId="77777777" w:rsidR="00C75F0F" w:rsidRDefault="00C75F0F">
            <w:pPr>
              <w:keepNext/>
            </w:pPr>
            <w:r>
              <w:t>Zone de bruit</w:t>
            </w:r>
          </w:p>
        </w:tc>
        <w:tc>
          <w:tcPr>
            <w:tcW w:w="93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E1311B7" w14:textId="77777777" w:rsidR="00C75F0F" w:rsidRDefault="00C75F0F">
            <w:pPr>
              <w:keepNext/>
              <w:jc w:val="center"/>
            </w:pPr>
            <w:r>
              <w:t>H1a</w:t>
            </w:r>
          </w:p>
        </w:tc>
        <w:tc>
          <w:tcPr>
            <w:tcW w:w="93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C9B714C" w14:textId="77777777" w:rsidR="00C75F0F" w:rsidRDefault="00C75F0F">
            <w:pPr>
              <w:keepNext/>
              <w:jc w:val="center"/>
            </w:pPr>
            <w:r>
              <w:t>H1b</w:t>
            </w:r>
          </w:p>
        </w:tc>
        <w:tc>
          <w:tcPr>
            <w:tcW w:w="93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25645F3" w14:textId="77777777" w:rsidR="00C75F0F" w:rsidRDefault="00C75F0F">
            <w:pPr>
              <w:keepNext/>
              <w:jc w:val="center"/>
            </w:pPr>
            <w:r>
              <w:t>H1c</w:t>
            </w:r>
          </w:p>
        </w:tc>
        <w:tc>
          <w:tcPr>
            <w:tcW w:w="93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2C67736" w14:textId="77777777" w:rsidR="00C75F0F" w:rsidRDefault="00C75F0F">
            <w:pPr>
              <w:keepNext/>
              <w:jc w:val="center"/>
            </w:pPr>
            <w:r>
              <w:t>H2a</w:t>
            </w:r>
          </w:p>
        </w:tc>
        <w:tc>
          <w:tcPr>
            <w:tcW w:w="93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32D816BA" w14:textId="77777777" w:rsidR="00C75F0F" w:rsidRDefault="00C75F0F">
            <w:pPr>
              <w:keepNext/>
              <w:jc w:val="center"/>
            </w:pPr>
            <w:r>
              <w:t>H2b</w:t>
            </w:r>
          </w:p>
        </w:tc>
        <w:tc>
          <w:tcPr>
            <w:tcW w:w="93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6ECBBAF" w14:textId="77777777" w:rsidR="00C75F0F" w:rsidRDefault="00C75F0F">
            <w:pPr>
              <w:keepNext/>
              <w:jc w:val="center"/>
            </w:pPr>
            <w:r>
              <w:t>H2c</w:t>
            </w:r>
          </w:p>
        </w:tc>
        <w:tc>
          <w:tcPr>
            <w:tcW w:w="93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2E8E171" w14:textId="77777777" w:rsidR="00C75F0F" w:rsidRDefault="00C75F0F">
            <w:pPr>
              <w:keepNext/>
              <w:jc w:val="center"/>
            </w:pPr>
            <w:r>
              <w:t>H2d</w:t>
            </w:r>
          </w:p>
        </w:tc>
        <w:tc>
          <w:tcPr>
            <w:tcW w:w="93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B1DA716" w14:textId="3BD8AF46" w:rsidR="00C75F0F" w:rsidRDefault="00097506">
            <w:pPr>
              <w:keepNext/>
              <w:jc w:val="center"/>
            </w:pPr>
            <w:r>
              <w:t>H</w:t>
            </w:r>
            <w:r w:rsidR="00C75F0F">
              <w:t>3</w:t>
            </w:r>
          </w:p>
        </w:tc>
      </w:tr>
      <w:tr w:rsidR="00C75F0F" w14:paraId="674350DA" w14:textId="77777777" w:rsidTr="00C75F0F">
        <w:trPr>
          <w:trHeight w:val="352"/>
        </w:trPr>
        <w:tc>
          <w:tcPr>
            <w:tcW w:w="27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8D13E75" w14:textId="77777777" w:rsidR="00C75F0F" w:rsidRDefault="00C75F0F">
            <w:pPr>
              <w:keepNext/>
              <w:jc w:val="center"/>
            </w:pPr>
            <w:r>
              <w:t>Br1</w:t>
            </w:r>
          </w:p>
        </w:tc>
        <w:tc>
          <w:tcPr>
            <w:tcW w:w="939" w:type="dxa"/>
            <w:tcBorders>
              <w:top w:val="single" w:sz="4" w:space="0" w:color="auto"/>
              <w:left w:val="single" w:sz="4" w:space="0" w:color="auto"/>
              <w:bottom w:val="single" w:sz="4" w:space="0" w:color="auto"/>
              <w:right w:val="single" w:sz="4" w:space="0" w:color="auto"/>
            </w:tcBorders>
            <w:vAlign w:val="center"/>
            <w:hideMark/>
          </w:tcPr>
          <w:p w14:paraId="2E55C2E1" w14:textId="795E05CF" w:rsidR="00C75F0F" w:rsidRPr="00C75F0F" w:rsidRDefault="00E30E9F">
            <w:pPr>
              <w:keepNext/>
              <w:jc w:val="center"/>
              <w:textAlignment w:val="bottom"/>
            </w:pPr>
            <w:r>
              <w:t>0</w:t>
            </w:r>
          </w:p>
        </w:tc>
        <w:tc>
          <w:tcPr>
            <w:tcW w:w="939" w:type="dxa"/>
            <w:tcBorders>
              <w:top w:val="single" w:sz="4" w:space="0" w:color="auto"/>
              <w:left w:val="single" w:sz="4" w:space="0" w:color="auto"/>
              <w:bottom w:val="single" w:sz="4" w:space="0" w:color="auto"/>
              <w:right w:val="single" w:sz="4" w:space="0" w:color="auto"/>
            </w:tcBorders>
            <w:vAlign w:val="center"/>
            <w:hideMark/>
          </w:tcPr>
          <w:p w14:paraId="2B220A4E" w14:textId="2711C7B8" w:rsidR="00C75F0F" w:rsidRPr="00C75F0F" w:rsidRDefault="00E30E9F">
            <w:pPr>
              <w:keepNext/>
              <w:jc w:val="center"/>
              <w:textAlignment w:val="bottom"/>
            </w:pPr>
            <w:r>
              <w:t>0</w:t>
            </w:r>
          </w:p>
        </w:tc>
        <w:tc>
          <w:tcPr>
            <w:tcW w:w="938" w:type="dxa"/>
            <w:tcBorders>
              <w:top w:val="single" w:sz="4" w:space="0" w:color="auto"/>
              <w:left w:val="single" w:sz="4" w:space="0" w:color="auto"/>
              <w:bottom w:val="single" w:sz="4" w:space="0" w:color="auto"/>
              <w:right w:val="single" w:sz="4" w:space="0" w:color="auto"/>
            </w:tcBorders>
            <w:vAlign w:val="center"/>
            <w:hideMark/>
          </w:tcPr>
          <w:p w14:paraId="53F220A3" w14:textId="70279883" w:rsidR="00C75F0F" w:rsidRPr="00C75F0F" w:rsidRDefault="00E30E9F">
            <w:pPr>
              <w:keepNext/>
              <w:jc w:val="center"/>
              <w:textAlignment w:val="bottom"/>
            </w:pPr>
            <w:r>
              <w:t>0</w:t>
            </w:r>
          </w:p>
        </w:tc>
        <w:tc>
          <w:tcPr>
            <w:tcW w:w="938" w:type="dxa"/>
            <w:tcBorders>
              <w:top w:val="single" w:sz="4" w:space="0" w:color="auto"/>
              <w:left w:val="single" w:sz="4" w:space="0" w:color="auto"/>
              <w:bottom w:val="single" w:sz="4" w:space="0" w:color="auto"/>
              <w:right w:val="single" w:sz="4" w:space="0" w:color="auto"/>
            </w:tcBorders>
            <w:vAlign w:val="center"/>
            <w:hideMark/>
          </w:tcPr>
          <w:p w14:paraId="0ADADFF0" w14:textId="3A12BC0C" w:rsidR="00C75F0F" w:rsidRPr="00C75F0F" w:rsidRDefault="00E30E9F">
            <w:pPr>
              <w:keepNext/>
              <w:jc w:val="center"/>
              <w:textAlignment w:val="bottom"/>
            </w:pPr>
            <w:r>
              <w:t>0</w:t>
            </w:r>
          </w:p>
        </w:tc>
        <w:tc>
          <w:tcPr>
            <w:tcW w:w="938" w:type="dxa"/>
            <w:tcBorders>
              <w:top w:val="single" w:sz="4" w:space="0" w:color="auto"/>
              <w:left w:val="single" w:sz="4" w:space="0" w:color="auto"/>
              <w:bottom w:val="single" w:sz="4" w:space="0" w:color="auto"/>
              <w:right w:val="single" w:sz="4" w:space="0" w:color="auto"/>
            </w:tcBorders>
            <w:vAlign w:val="center"/>
            <w:hideMark/>
          </w:tcPr>
          <w:p w14:paraId="09CDC20C" w14:textId="7BC4E5E8" w:rsidR="00C75F0F" w:rsidRPr="00C75F0F" w:rsidRDefault="00E30E9F">
            <w:pPr>
              <w:keepNext/>
              <w:jc w:val="center"/>
              <w:textAlignment w:val="bottom"/>
            </w:pPr>
            <w:r>
              <w:t>0</w:t>
            </w:r>
          </w:p>
        </w:tc>
        <w:tc>
          <w:tcPr>
            <w:tcW w:w="938" w:type="dxa"/>
            <w:tcBorders>
              <w:top w:val="single" w:sz="4" w:space="0" w:color="auto"/>
              <w:left w:val="single" w:sz="4" w:space="0" w:color="auto"/>
              <w:bottom w:val="single" w:sz="4" w:space="0" w:color="auto"/>
              <w:right w:val="single" w:sz="4" w:space="0" w:color="auto"/>
            </w:tcBorders>
            <w:vAlign w:val="center"/>
            <w:hideMark/>
          </w:tcPr>
          <w:p w14:paraId="359A0141" w14:textId="4BB4F569" w:rsidR="00C75F0F" w:rsidRPr="00C75F0F" w:rsidRDefault="00E30E9F">
            <w:pPr>
              <w:keepNext/>
              <w:jc w:val="center"/>
              <w:textAlignment w:val="bottom"/>
            </w:pPr>
            <w:r>
              <w:t>0</w:t>
            </w:r>
          </w:p>
        </w:tc>
        <w:tc>
          <w:tcPr>
            <w:tcW w:w="938" w:type="dxa"/>
            <w:tcBorders>
              <w:top w:val="single" w:sz="4" w:space="0" w:color="auto"/>
              <w:left w:val="single" w:sz="4" w:space="0" w:color="auto"/>
              <w:bottom w:val="single" w:sz="4" w:space="0" w:color="auto"/>
              <w:right w:val="single" w:sz="4" w:space="0" w:color="auto"/>
            </w:tcBorders>
            <w:vAlign w:val="center"/>
            <w:hideMark/>
          </w:tcPr>
          <w:p w14:paraId="702EEB9C" w14:textId="783787FF" w:rsidR="00C75F0F" w:rsidRPr="00C75F0F" w:rsidRDefault="00E30E9F">
            <w:pPr>
              <w:keepNext/>
              <w:jc w:val="center"/>
              <w:textAlignment w:val="bottom"/>
            </w:pPr>
            <w:r>
              <w:t>0</w:t>
            </w:r>
          </w:p>
        </w:tc>
        <w:tc>
          <w:tcPr>
            <w:tcW w:w="938" w:type="dxa"/>
            <w:tcBorders>
              <w:top w:val="single" w:sz="4" w:space="0" w:color="auto"/>
              <w:left w:val="single" w:sz="4" w:space="0" w:color="auto"/>
              <w:bottom w:val="single" w:sz="4" w:space="0" w:color="auto"/>
              <w:right w:val="single" w:sz="4" w:space="0" w:color="auto"/>
            </w:tcBorders>
            <w:vAlign w:val="center"/>
            <w:hideMark/>
          </w:tcPr>
          <w:p w14:paraId="5311A712" w14:textId="05692D16" w:rsidR="00C75F0F" w:rsidRPr="00C75F0F" w:rsidRDefault="00E30E9F">
            <w:pPr>
              <w:keepNext/>
              <w:jc w:val="center"/>
              <w:textAlignment w:val="bottom"/>
            </w:pPr>
            <w:r>
              <w:t>0</w:t>
            </w:r>
          </w:p>
        </w:tc>
      </w:tr>
      <w:tr w:rsidR="00C75F0F" w14:paraId="1C9764FD" w14:textId="77777777" w:rsidTr="00C75F0F">
        <w:trPr>
          <w:trHeight w:val="352"/>
        </w:trPr>
        <w:tc>
          <w:tcPr>
            <w:tcW w:w="27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C81A9F1" w14:textId="77777777" w:rsidR="00C75F0F" w:rsidRDefault="00C75F0F">
            <w:pPr>
              <w:keepNext/>
              <w:jc w:val="center"/>
            </w:pPr>
            <w:r>
              <w:t>Br2, Br3</w:t>
            </w:r>
          </w:p>
        </w:tc>
        <w:tc>
          <w:tcPr>
            <w:tcW w:w="939" w:type="dxa"/>
            <w:tcBorders>
              <w:top w:val="single" w:sz="4" w:space="0" w:color="auto"/>
              <w:left w:val="single" w:sz="4" w:space="0" w:color="auto"/>
              <w:bottom w:val="single" w:sz="4" w:space="0" w:color="auto"/>
              <w:right w:val="single" w:sz="4" w:space="0" w:color="auto"/>
            </w:tcBorders>
            <w:vAlign w:val="center"/>
            <w:hideMark/>
          </w:tcPr>
          <w:p w14:paraId="356147DC" w14:textId="2EF36AC0" w:rsidR="00C75F0F" w:rsidRPr="00C75F0F" w:rsidRDefault="00E30E9F">
            <w:pPr>
              <w:keepNext/>
              <w:jc w:val="center"/>
              <w:textAlignment w:val="bottom"/>
            </w:pPr>
            <w:r>
              <w:t>0</w:t>
            </w:r>
          </w:p>
        </w:tc>
        <w:tc>
          <w:tcPr>
            <w:tcW w:w="939" w:type="dxa"/>
            <w:tcBorders>
              <w:top w:val="single" w:sz="4" w:space="0" w:color="auto"/>
              <w:left w:val="single" w:sz="4" w:space="0" w:color="auto"/>
              <w:bottom w:val="single" w:sz="4" w:space="0" w:color="auto"/>
              <w:right w:val="single" w:sz="4" w:space="0" w:color="auto"/>
            </w:tcBorders>
            <w:vAlign w:val="center"/>
            <w:hideMark/>
          </w:tcPr>
          <w:p w14:paraId="700E9D6F" w14:textId="4B5325B6" w:rsidR="00C75F0F" w:rsidRPr="00C75F0F" w:rsidRDefault="00E30E9F">
            <w:pPr>
              <w:keepNext/>
              <w:jc w:val="center"/>
              <w:textAlignment w:val="bottom"/>
            </w:pPr>
            <w:r>
              <w:t>0</w:t>
            </w:r>
          </w:p>
        </w:tc>
        <w:tc>
          <w:tcPr>
            <w:tcW w:w="938" w:type="dxa"/>
            <w:tcBorders>
              <w:top w:val="single" w:sz="4" w:space="0" w:color="auto"/>
              <w:left w:val="single" w:sz="4" w:space="0" w:color="auto"/>
              <w:bottom w:val="single" w:sz="4" w:space="0" w:color="auto"/>
              <w:right w:val="single" w:sz="4" w:space="0" w:color="auto"/>
            </w:tcBorders>
            <w:vAlign w:val="center"/>
            <w:hideMark/>
          </w:tcPr>
          <w:p w14:paraId="7BBA9558" w14:textId="4FDA886A" w:rsidR="00C75F0F" w:rsidRPr="00C75F0F" w:rsidRDefault="00E30E9F">
            <w:pPr>
              <w:keepNext/>
              <w:jc w:val="center"/>
              <w:textAlignment w:val="bottom"/>
            </w:pPr>
            <w:r>
              <w:t>0</w:t>
            </w:r>
          </w:p>
        </w:tc>
        <w:tc>
          <w:tcPr>
            <w:tcW w:w="938" w:type="dxa"/>
            <w:tcBorders>
              <w:top w:val="single" w:sz="4" w:space="0" w:color="auto"/>
              <w:left w:val="single" w:sz="4" w:space="0" w:color="auto"/>
              <w:bottom w:val="single" w:sz="4" w:space="0" w:color="auto"/>
              <w:right w:val="single" w:sz="4" w:space="0" w:color="auto"/>
            </w:tcBorders>
            <w:vAlign w:val="center"/>
            <w:hideMark/>
          </w:tcPr>
          <w:p w14:paraId="40005212" w14:textId="0DB0276C" w:rsidR="00C75F0F" w:rsidRPr="00C75F0F" w:rsidRDefault="00E30E9F">
            <w:pPr>
              <w:keepNext/>
              <w:jc w:val="center"/>
              <w:textAlignment w:val="bottom"/>
            </w:pPr>
            <w:r>
              <w:t>0</w:t>
            </w:r>
          </w:p>
        </w:tc>
        <w:tc>
          <w:tcPr>
            <w:tcW w:w="938" w:type="dxa"/>
            <w:tcBorders>
              <w:top w:val="single" w:sz="4" w:space="0" w:color="auto"/>
              <w:left w:val="single" w:sz="4" w:space="0" w:color="auto"/>
              <w:bottom w:val="single" w:sz="4" w:space="0" w:color="auto"/>
              <w:right w:val="single" w:sz="4" w:space="0" w:color="auto"/>
            </w:tcBorders>
            <w:vAlign w:val="center"/>
            <w:hideMark/>
          </w:tcPr>
          <w:p w14:paraId="6759552D" w14:textId="39E516B4" w:rsidR="00C75F0F" w:rsidRPr="00C75F0F" w:rsidRDefault="00E30E9F">
            <w:pPr>
              <w:keepNext/>
              <w:jc w:val="center"/>
              <w:textAlignment w:val="bottom"/>
            </w:pPr>
            <w:r>
              <w:t>0</w:t>
            </w:r>
          </w:p>
        </w:tc>
        <w:tc>
          <w:tcPr>
            <w:tcW w:w="938" w:type="dxa"/>
            <w:tcBorders>
              <w:top w:val="single" w:sz="4" w:space="0" w:color="auto"/>
              <w:left w:val="single" w:sz="4" w:space="0" w:color="auto"/>
              <w:bottom w:val="single" w:sz="4" w:space="0" w:color="auto"/>
              <w:right w:val="single" w:sz="4" w:space="0" w:color="auto"/>
            </w:tcBorders>
            <w:vAlign w:val="center"/>
            <w:hideMark/>
          </w:tcPr>
          <w:p w14:paraId="69259AFA" w14:textId="24A4C146" w:rsidR="00C75F0F" w:rsidRPr="00C75F0F" w:rsidRDefault="00E30E9F">
            <w:pPr>
              <w:keepNext/>
              <w:jc w:val="center"/>
              <w:textAlignment w:val="bottom"/>
            </w:pPr>
            <w:r>
              <w:t>0</w:t>
            </w:r>
          </w:p>
        </w:tc>
        <w:tc>
          <w:tcPr>
            <w:tcW w:w="938" w:type="dxa"/>
            <w:tcBorders>
              <w:top w:val="single" w:sz="4" w:space="0" w:color="auto"/>
              <w:left w:val="single" w:sz="4" w:space="0" w:color="auto"/>
              <w:bottom w:val="single" w:sz="4" w:space="0" w:color="auto"/>
              <w:right w:val="single" w:sz="4" w:space="0" w:color="auto"/>
            </w:tcBorders>
            <w:vAlign w:val="center"/>
            <w:hideMark/>
          </w:tcPr>
          <w:p w14:paraId="62B75DC8" w14:textId="5F9751A6" w:rsidR="00C75F0F" w:rsidRPr="00C75F0F" w:rsidRDefault="00E30E9F">
            <w:pPr>
              <w:keepNext/>
              <w:jc w:val="center"/>
              <w:textAlignment w:val="bottom"/>
            </w:pPr>
            <w:r>
              <w:t>0</w:t>
            </w:r>
            <w:r w:rsidR="00C75F0F" w:rsidRPr="00C75F0F">
              <w:t>,1</w:t>
            </w:r>
          </w:p>
        </w:tc>
        <w:tc>
          <w:tcPr>
            <w:tcW w:w="938" w:type="dxa"/>
            <w:tcBorders>
              <w:top w:val="single" w:sz="4" w:space="0" w:color="auto"/>
              <w:left w:val="single" w:sz="4" w:space="0" w:color="auto"/>
              <w:bottom w:val="single" w:sz="4" w:space="0" w:color="auto"/>
              <w:right w:val="single" w:sz="4" w:space="0" w:color="auto"/>
            </w:tcBorders>
            <w:vAlign w:val="center"/>
            <w:hideMark/>
          </w:tcPr>
          <w:p w14:paraId="2F95B040" w14:textId="4B24487D" w:rsidR="00C75F0F" w:rsidRPr="00C75F0F" w:rsidRDefault="00E30E9F">
            <w:pPr>
              <w:keepNext/>
              <w:jc w:val="center"/>
              <w:textAlignment w:val="bottom"/>
            </w:pPr>
            <w:r>
              <w:t>0</w:t>
            </w:r>
            <w:r w:rsidR="00C75F0F" w:rsidRPr="00C75F0F">
              <w:t>,1</w:t>
            </w:r>
          </w:p>
        </w:tc>
      </w:tr>
    </w:tbl>
    <w:p w14:paraId="5A645B3D" w14:textId="77777777" w:rsidR="00EE4D02" w:rsidRDefault="00EE4D02" w:rsidP="007B643E"/>
    <w:p w14:paraId="630FA085" w14:textId="115C6517" w:rsidR="006C7734" w:rsidRPr="006C7734" w:rsidRDefault="006C7734" w:rsidP="00A02594">
      <w:pPr>
        <w:pStyle w:val="Titre7"/>
      </w:pPr>
      <w:r>
        <w:t>Logements collectifs :</w:t>
      </w:r>
    </w:p>
    <w:p w14:paraId="277941B9" w14:textId="77777777" w:rsidR="006C7734" w:rsidRDefault="006C7734" w:rsidP="00445109">
      <w:pPr>
        <w:keepNext/>
      </w:pPr>
      <w:r w:rsidRPr="007B643E">
        <w:t xml:space="preserve">Le coefficient </w:t>
      </w:r>
      <w:r w:rsidRPr="007B643E">
        <w:rPr>
          <w:b/>
        </w:rPr>
        <w:t>Mbgéo</w:t>
      </w:r>
      <w:r w:rsidRPr="007B643E">
        <w:t xml:space="preserve"> de modulation du Bbio</w:t>
      </w:r>
      <w:r>
        <w:t>_</w:t>
      </w:r>
      <w:r w:rsidRPr="007B643E">
        <w:t>max selon la localisation géographique</w:t>
      </w:r>
      <w:r>
        <w:t xml:space="preserve"> (zone climatique et altitude) du bâtiment</w:t>
      </w:r>
      <w:r w:rsidRPr="007B643E">
        <w:t xml:space="preserve"> prend les valeurs suivantes :</w:t>
      </w:r>
    </w:p>
    <w:tbl>
      <w:tblPr>
        <w:tblStyle w:val="Grilledutableau"/>
        <w:tblW w:w="10220" w:type="dxa"/>
        <w:tblLook w:val="0600" w:firstRow="0" w:lastRow="0" w:firstColumn="0" w:lastColumn="0" w:noHBand="1" w:noVBand="1"/>
      </w:tblPr>
      <w:tblGrid>
        <w:gridCol w:w="2714"/>
        <w:gridCol w:w="939"/>
        <w:gridCol w:w="939"/>
        <w:gridCol w:w="938"/>
        <w:gridCol w:w="938"/>
        <w:gridCol w:w="938"/>
        <w:gridCol w:w="938"/>
        <w:gridCol w:w="938"/>
        <w:gridCol w:w="938"/>
      </w:tblGrid>
      <w:tr w:rsidR="006C7734" w:rsidRPr="007B643E" w14:paraId="02EC6EB4" w14:textId="77777777" w:rsidTr="00FC0B23">
        <w:trPr>
          <w:trHeight w:val="352"/>
        </w:trPr>
        <w:tc>
          <w:tcPr>
            <w:tcW w:w="2714" w:type="dxa"/>
            <w:tcBorders>
              <w:tl2br w:val="single" w:sz="4" w:space="0" w:color="auto"/>
            </w:tcBorders>
            <w:shd w:val="clear" w:color="auto" w:fill="A6A6A6" w:themeFill="background1" w:themeFillShade="A6"/>
            <w:hideMark/>
          </w:tcPr>
          <w:p w14:paraId="71DB2A20" w14:textId="77777777" w:rsidR="006C7734" w:rsidRDefault="006C7734" w:rsidP="00445109">
            <w:pPr>
              <w:keepNext/>
              <w:jc w:val="right"/>
            </w:pPr>
            <w:r w:rsidRPr="007B643E">
              <w:t xml:space="preserve">Zone climatique </w:t>
            </w:r>
          </w:p>
          <w:p w14:paraId="7FEBF83F" w14:textId="77777777" w:rsidR="006C7734" w:rsidRPr="007B643E" w:rsidRDefault="006C7734" w:rsidP="00445109">
            <w:pPr>
              <w:keepNext/>
            </w:pPr>
            <w:r>
              <w:t>Altitude</w:t>
            </w:r>
          </w:p>
        </w:tc>
        <w:tc>
          <w:tcPr>
            <w:tcW w:w="939" w:type="dxa"/>
            <w:shd w:val="clear" w:color="auto" w:fill="A6A6A6" w:themeFill="background1" w:themeFillShade="A6"/>
            <w:hideMark/>
          </w:tcPr>
          <w:p w14:paraId="1A9F7503" w14:textId="77777777" w:rsidR="006C7734" w:rsidRPr="007B643E" w:rsidRDefault="006C7734" w:rsidP="00445109">
            <w:pPr>
              <w:keepNext/>
            </w:pPr>
            <w:r w:rsidRPr="007B643E">
              <w:t>H1a</w:t>
            </w:r>
          </w:p>
        </w:tc>
        <w:tc>
          <w:tcPr>
            <w:tcW w:w="939" w:type="dxa"/>
            <w:shd w:val="clear" w:color="auto" w:fill="A6A6A6" w:themeFill="background1" w:themeFillShade="A6"/>
            <w:hideMark/>
          </w:tcPr>
          <w:p w14:paraId="7258ABC2" w14:textId="77777777" w:rsidR="006C7734" w:rsidRPr="007B643E" w:rsidRDefault="006C7734" w:rsidP="00445109">
            <w:pPr>
              <w:keepNext/>
            </w:pPr>
            <w:r w:rsidRPr="007B643E">
              <w:t>H1b</w:t>
            </w:r>
          </w:p>
        </w:tc>
        <w:tc>
          <w:tcPr>
            <w:tcW w:w="938" w:type="dxa"/>
            <w:shd w:val="clear" w:color="auto" w:fill="A6A6A6" w:themeFill="background1" w:themeFillShade="A6"/>
            <w:hideMark/>
          </w:tcPr>
          <w:p w14:paraId="4EC2301B" w14:textId="77777777" w:rsidR="006C7734" w:rsidRPr="007B643E" w:rsidRDefault="006C7734" w:rsidP="00445109">
            <w:pPr>
              <w:keepNext/>
            </w:pPr>
            <w:r w:rsidRPr="007B643E">
              <w:t>H1c</w:t>
            </w:r>
          </w:p>
        </w:tc>
        <w:tc>
          <w:tcPr>
            <w:tcW w:w="938" w:type="dxa"/>
            <w:shd w:val="clear" w:color="auto" w:fill="A6A6A6" w:themeFill="background1" w:themeFillShade="A6"/>
            <w:hideMark/>
          </w:tcPr>
          <w:p w14:paraId="0ABC54C1" w14:textId="77777777" w:rsidR="006C7734" w:rsidRPr="007B643E" w:rsidRDefault="006C7734" w:rsidP="00445109">
            <w:pPr>
              <w:keepNext/>
            </w:pPr>
            <w:r w:rsidRPr="007B643E">
              <w:t>H2a</w:t>
            </w:r>
          </w:p>
        </w:tc>
        <w:tc>
          <w:tcPr>
            <w:tcW w:w="938" w:type="dxa"/>
            <w:shd w:val="clear" w:color="auto" w:fill="A6A6A6" w:themeFill="background1" w:themeFillShade="A6"/>
            <w:hideMark/>
          </w:tcPr>
          <w:p w14:paraId="760C1487" w14:textId="77777777" w:rsidR="006C7734" w:rsidRPr="007B643E" w:rsidRDefault="006C7734" w:rsidP="00445109">
            <w:pPr>
              <w:keepNext/>
            </w:pPr>
            <w:r w:rsidRPr="007B643E">
              <w:t>H2b</w:t>
            </w:r>
          </w:p>
        </w:tc>
        <w:tc>
          <w:tcPr>
            <w:tcW w:w="938" w:type="dxa"/>
            <w:shd w:val="clear" w:color="auto" w:fill="A6A6A6" w:themeFill="background1" w:themeFillShade="A6"/>
            <w:hideMark/>
          </w:tcPr>
          <w:p w14:paraId="487C6386" w14:textId="77777777" w:rsidR="006C7734" w:rsidRPr="007B643E" w:rsidRDefault="006C7734" w:rsidP="00445109">
            <w:pPr>
              <w:keepNext/>
            </w:pPr>
            <w:r w:rsidRPr="007B643E">
              <w:t>H2c</w:t>
            </w:r>
          </w:p>
        </w:tc>
        <w:tc>
          <w:tcPr>
            <w:tcW w:w="938" w:type="dxa"/>
            <w:shd w:val="clear" w:color="auto" w:fill="A6A6A6" w:themeFill="background1" w:themeFillShade="A6"/>
            <w:hideMark/>
          </w:tcPr>
          <w:p w14:paraId="6702D57B" w14:textId="77777777" w:rsidR="006C7734" w:rsidRPr="007B643E" w:rsidRDefault="006C7734" w:rsidP="00445109">
            <w:pPr>
              <w:keepNext/>
            </w:pPr>
            <w:r w:rsidRPr="007B643E">
              <w:t>H2d</w:t>
            </w:r>
          </w:p>
        </w:tc>
        <w:tc>
          <w:tcPr>
            <w:tcW w:w="938" w:type="dxa"/>
            <w:shd w:val="clear" w:color="auto" w:fill="A6A6A6" w:themeFill="background1" w:themeFillShade="A6"/>
            <w:hideMark/>
          </w:tcPr>
          <w:p w14:paraId="72C4CCA9" w14:textId="42CE470A" w:rsidR="006C7734" w:rsidRPr="007B643E" w:rsidRDefault="00097506" w:rsidP="00445109">
            <w:pPr>
              <w:keepNext/>
            </w:pPr>
            <w:r>
              <w:t>H3</w:t>
            </w:r>
          </w:p>
        </w:tc>
      </w:tr>
      <w:tr w:rsidR="006C7734" w:rsidRPr="007B643E" w14:paraId="5A71CE0E" w14:textId="77777777" w:rsidTr="006C7734">
        <w:trPr>
          <w:trHeight w:val="352"/>
        </w:trPr>
        <w:tc>
          <w:tcPr>
            <w:tcW w:w="2714" w:type="dxa"/>
            <w:shd w:val="clear" w:color="auto" w:fill="F2F2F2" w:themeFill="background1" w:themeFillShade="F2"/>
            <w:hideMark/>
          </w:tcPr>
          <w:p w14:paraId="435F93E1" w14:textId="77777777" w:rsidR="006C7734" w:rsidRPr="007B643E" w:rsidRDefault="006C7734" w:rsidP="00445109">
            <w:pPr>
              <w:keepNext/>
              <w:jc w:val="center"/>
            </w:pPr>
            <w:r>
              <w:t xml:space="preserve">&lt; </w:t>
            </w:r>
            <w:r w:rsidRPr="007B643E">
              <w:t>400m</w:t>
            </w:r>
          </w:p>
        </w:tc>
        <w:tc>
          <w:tcPr>
            <w:tcW w:w="939" w:type="dxa"/>
            <w:vAlign w:val="center"/>
          </w:tcPr>
          <w:p w14:paraId="44B90A30" w14:textId="49FDAE90" w:rsidR="006C7734" w:rsidRPr="006C7734" w:rsidRDefault="00E30E9F" w:rsidP="00445109">
            <w:pPr>
              <w:keepNext/>
              <w:jc w:val="center"/>
              <w:textAlignment w:val="bottom"/>
            </w:pPr>
            <w:r>
              <w:t>0</w:t>
            </w:r>
            <w:r w:rsidR="006C7734" w:rsidRPr="006C7734">
              <w:t>,15</w:t>
            </w:r>
          </w:p>
        </w:tc>
        <w:tc>
          <w:tcPr>
            <w:tcW w:w="939" w:type="dxa"/>
            <w:vAlign w:val="center"/>
          </w:tcPr>
          <w:p w14:paraId="09C8B00D" w14:textId="241EAB46" w:rsidR="006C7734" w:rsidRPr="006C7734" w:rsidRDefault="00E30E9F" w:rsidP="00445109">
            <w:pPr>
              <w:keepNext/>
              <w:jc w:val="center"/>
              <w:textAlignment w:val="bottom"/>
            </w:pPr>
            <w:r>
              <w:t>0</w:t>
            </w:r>
            <w:r w:rsidR="006C7734" w:rsidRPr="006C7734">
              <w:t>,20</w:t>
            </w:r>
          </w:p>
        </w:tc>
        <w:tc>
          <w:tcPr>
            <w:tcW w:w="938" w:type="dxa"/>
            <w:vAlign w:val="center"/>
          </w:tcPr>
          <w:p w14:paraId="7316A9AD" w14:textId="479D518E" w:rsidR="006C7734" w:rsidRPr="006C7734" w:rsidRDefault="00E30E9F" w:rsidP="00445109">
            <w:pPr>
              <w:keepNext/>
              <w:jc w:val="center"/>
              <w:textAlignment w:val="bottom"/>
            </w:pPr>
            <w:r>
              <w:t>0</w:t>
            </w:r>
            <w:r w:rsidR="006C7734" w:rsidRPr="006C7734">
              <w:t>,10</w:t>
            </w:r>
          </w:p>
        </w:tc>
        <w:tc>
          <w:tcPr>
            <w:tcW w:w="938" w:type="dxa"/>
            <w:vAlign w:val="center"/>
          </w:tcPr>
          <w:p w14:paraId="47785293" w14:textId="794E861B" w:rsidR="006C7734" w:rsidRPr="006C7734" w:rsidRDefault="00E30E9F" w:rsidP="00445109">
            <w:pPr>
              <w:keepNext/>
              <w:jc w:val="center"/>
              <w:textAlignment w:val="bottom"/>
            </w:pPr>
            <w:r>
              <w:t>-0,05</w:t>
            </w:r>
          </w:p>
        </w:tc>
        <w:tc>
          <w:tcPr>
            <w:tcW w:w="938" w:type="dxa"/>
            <w:vAlign w:val="center"/>
          </w:tcPr>
          <w:p w14:paraId="6E04ADA3" w14:textId="2773EFAB" w:rsidR="006C7734" w:rsidRPr="006C7734" w:rsidRDefault="006C7734" w:rsidP="00BD73F5">
            <w:pPr>
              <w:keepNext/>
              <w:jc w:val="center"/>
              <w:textAlignment w:val="bottom"/>
            </w:pPr>
            <w:r w:rsidRPr="006C7734">
              <w:t>0</w:t>
            </w:r>
          </w:p>
        </w:tc>
        <w:tc>
          <w:tcPr>
            <w:tcW w:w="938" w:type="dxa"/>
            <w:vAlign w:val="center"/>
          </w:tcPr>
          <w:p w14:paraId="4486370F" w14:textId="25BE4518" w:rsidR="006C7734" w:rsidRPr="006C7734" w:rsidRDefault="00E30E9F" w:rsidP="00445109">
            <w:pPr>
              <w:keepNext/>
              <w:jc w:val="center"/>
              <w:textAlignment w:val="bottom"/>
            </w:pPr>
            <w:r>
              <w:t>-0,15</w:t>
            </w:r>
          </w:p>
        </w:tc>
        <w:tc>
          <w:tcPr>
            <w:tcW w:w="938" w:type="dxa"/>
            <w:vAlign w:val="center"/>
          </w:tcPr>
          <w:p w14:paraId="6BFB0334" w14:textId="0F6D789F" w:rsidR="006C7734" w:rsidRPr="006C7734" w:rsidRDefault="00E30E9F" w:rsidP="00445109">
            <w:pPr>
              <w:keepNext/>
              <w:jc w:val="center"/>
              <w:textAlignment w:val="bottom"/>
            </w:pPr>
            <w:r>
              <w:t>-0,05</w:t>
            </w:r>
          </w:p>
        </w:tc>
        <w:tc>
          <w:tcPr>
            <w:tcW w:w="938" w:type="dxa"/>
            <w:vAlign w:val="center"/>
          </w:tcPr>
          <w:p w14:paraId="17B6CA0B" w14:textId="75B92980" w:rsidR="006C7734" w:rsidRPr="006C7734" w:rsidRDefault="00E30E9F" w:rsidP="00445109">
            <w:pPr>
              <w:keepNext/>
              <w:jc w:val="center"/>
              <w:textAlignment w:val="bottom"/>
            </w:pPr>
            <w:r>
              <w:t>-0,15</w:t>
            </w:r>
          </w:p>
        </w:tc>
      </w:tr>
      <w:tr w:rsidR="006C7734" w:rsidRPr="007B643E" w14:paraId="32D343FD" w14:textId="77777777" w:rsidTr="006C7734">
        <w:trPr>
          <w:trHeight w:val="352"/>
        </w:trPr>
        <w:tc>
          <w:tcPr>
            <w:tcW w:w="2714" w:type="dxa"/>
            <w:shd w:val="clear" w:color="auto" w:fill="F2F2F2" w:themeFill="background1" w:themeFillShade="F2"/>
            <w:hideMark/>
          </w:tcPr>
          <w:p w14:paraId="5AFAC28E" w14:textId="77777777" w:rsidR="006C7734" w:rsidRPr="007B643E" w:rsidRDefault="006C7734" w:rsidP="00445109">
            <w:pPr>
              <w:keepNext/>
              <w:jc w:val="center"/>
            </w:pPr>
            <w:r w:rsidRPr="007B643E">
              <w:t>400m-800m</w:t>
            </w:r>
          </w:p>
        </w:tc>
        <w:tc>
          <w:tcPr>
            <w:tcW w:w="939" w:type="dxa"/>
            <w:vAlign w:val="center"/>
          </w:tcPr>
          <w:p w14:paraId="6106A8C3" w14:textId="5B7A071D" w:rsidR="006C7734" w:rsidRPr="007B643E" w:rsidRDefault="00E30E9F" w:rsidP="00445109">
            <w:pPr>
              <w:keepNext/>
              <w:jc w:val="center"/>
              <w:textAlignment w:val="bottom"/>
            </w:pPr>
            <w:r>
              <w:t>0</w:t>
            </w:r>
            <w:r w:rsidR="006C7734" w:rsidRPr="00EB758A">
              <w:t>,4</w:t>
            </w:r>
          </w:p>
        </w:tc>
        <w:tc>
          <w:tcPr>
            <w:tcW w:w="939" w:type="dxa"/>
            <w:vAlign w:val="center"/>
          </w:tcPr>
          <w:p w14:paraId="57851F40" w14:textId="736FC7DC" w:rsidR="006C7734" w:rsidRPr="007B643E" w:rsidRDefault="00E30E9F" w:rsidP="00445109">
            <w:pPr>
              <w:keepNext/>
              <w:jc w:val="center"/>
              <w:textAlignment w:val="bottom"/>
            </w:pPr>
            <w:r>
              <w:t>0</w:t>
            </w:r>
            <w:r w:rsidR="006C7734" w:rsidRPr="00EB758A">
              <w:t>,5</w:t>
            </w:r>
          </w:p>
        </w:tc>
        <w:tc>
          <w:tcPr>
            <w:tcW w:w="938" w:type="dxa"/>
            <w:vAlign w:val="center"/>
          </w:tcPr>
          <w:p w14:paraId="290CAEFF" w14:textId="22534B72" w:rsidR="006C7734" w:rsidRPr="007B643E" w:rsidRDefault="00E30E9F" w:rsidP="00445109">
            <w:pPr>
              <w:keepNext/>
              <w:jc w:val="center"/>
              <w:textAlignment w:val="bottom"/>
            </w:pPr>
            <w:r>
              <w:t>0</w:t>
            </w:r>
            <w:r w:rsidR="006C7734" w:rsidRPr="00EB758A">
              <w:t>,45</w:t>
            </w:r>
          </w:p>
        </w:tc>
        <w:tc>
          <w:tcPr>
            <w:tcW w:w="938" w:type="dxa"/>
            <w:vAlign w:val="center"/>
          </w:tcPr>
          <w:p w14:paraId="66A230D2" w14:textId="70820617" w:rsidR="006C7734" w:rsidRPr="007B643E" w:rsidRDefault="00E30E9F" w:rsidP="00445109">
            <w:pPr>
              <w:keepNext/>
              <w:jc w:val="center"/>
              <w:textAlignment w:val="bottom"/>
            </w:pPr>
            <w:r>
              <w:t>0</w:t>
            </w:r>
            <w:r w:rsidR="006C7734" w:rsidRPr="00EB758A">
              <w:t>,2</w:t>
            </w:r>
          </w:p>
        </w:tc>
        <w:tc>
          <w:tcPr>
            <w:tcW w:w="938" w:type="dxa"/>
            <w:vAlign w:val="center"/>
          </w:tcPr>
          <w:p w14:paraId="7737CD5D" w14:textId="47308A9B" w:rsidR="006C7734" w:rsidRPr="007B643E" w:rsidRDefault="00E30E9F" w:rsidP="00445109">
            <w:pPr>
              <w:keepNext/>
              <w:jc w:val="center"/>
              <w:textAlignment w:val="bottom"/>
            </w:pPr>
            <w:r>
              <w:t>0</w:t>
            </w:r>
            <w:r w:rsidR="006C7734" w:rsidRPr="00EB758A">
              <w:t>,3</w:t>
            </w:r>
          </w:p>
        </w:tc>
        <w:tc>
          <w:tcPr>
            <w:tcW w:w="938" w:type="dxa"/>
            <w:vAlign w:val="center"/>
          </w:tcPr>
          <w:p w14:paraId="32CE6A43" w14:textId="2C4225AA" w:rsidR="006C7734" w:rsidRPr="007B643E" w:rsidRDefault="00E30E9F" w:rsidP="00445109">
            <w:pPr>
              <w:keepNext/>
              <w:jc w:val="center"/>
              <w:textAlignment w:val="bottom"/>
            </w:pPr>
            <w:r>
              <w:t>0</w:t>
            </w:r>
            <w:r w:rsidR="006C7734" w:rsidRPr="00EB758A">
              <w:t>,1</w:t>
            </w:r>
          </w:p>
        </w:tc>
        <w:tc>
          <w:tcPr>
            <w:tcW w:w="938" w:type="dxa"/>
            <w:vAlign w:val="center"/>
          </w:tcPr>
          <w:p w14:paraId="33CF6162" w14:textId="00ABBDEF" w:rsidR="006C7734" w:rsidRPr="007B643E" w:rsidRDefault="00E30E9F" w:rsidP="00445109">
            <w:pPr>
              <w:keepNext/>
              <w:jc w:val="center"/>
              <w:textAlignment w:val="bottom"/>
            </w:pPr>
            <w:r>
              <w:t>0</w:t>
            </w:r>
            <w:r w:rsidR="006C7734" w:rsidRPr="00EB758A">
              <w:t>,2</w:t>
            </w:r>
          </w:p>
        </w:tc>
        <w:tc>
          <w:tcPr>
            <w:tcW w:w="938" w:type="dxa"/>
            <w:vAlign w:val="center"/>
          </w:tcPr>
          <w:p w14:paraId="35D7CCA9" w14:textId="57A21EC3" w:rsidR="006C7734" w:rsidRPr="007B643E" w:rsidRDefault="00E30E9F" w:rsidP="00445109">
            <w:pPr>
              <w:keepNext/>
              <w:jc w:val="center"/>
              <w:textAlignment w:val="bottom"/>
            </w:pPr>
            <w:r>
              <w:t>-0,05</w:t>
            </w:r>
          </w:p>
        </w:tc>
      </w:tr>
      <w:tr w:rsidR="006C7734" w:rsidRPr="007B643E" w14:paraId="367B5EAE" w14:textId="77777777" w:rsidTr="006C7734">
        <w:trPr>
          <w:trHeight w:val="352"/>
        </w:trPr>
        <w:tc>
          <w:tcPr>
            <w:tcW w:w="2714" w:type="dxa"/>
            <w:shd w:val="clear" w:color="auto" w:fill="F2F2F2" w:themeFill="background1" w:themeFillShade="F2"/>
            <w:hideMark/>
          </w:tcPr>
          <w:p w14:paraId="6DE41D85" w14:textId="77777777" w:rsidR="006C7734" w:rsidRPr="007B643E" w:rsidRDefault="006C7734" w:rsidP="00445109">
            <w:pPr>
              <w:keepNext/>
              <w:jc w:val="center"/>
            </w:pPr>
            <w:r w:rsidRPr="007B643E">
              <w:t>&gt;800m</w:t>
            </w:r>
          </w:p>
        </w:tc>
        <w:tc>
          <w:tcPr>
            <w:tcW w:w="939" w:type="dxa"/>
            <w:vAlign w:val="center"/>
          </w:tcPr>
          <w:p w14:paraId="634D64A3" w14:textId="01830DBD" w:rsidR="006C7734" w:rsidRPr="007B643E" w:rsidRDefault="00E30E9F" w:rsidP="00445109">
            <w:pPr>
              <w:keepNext/>
              <w:jc w:val="center"/>
              <w:textAlignment w:val="bottom"/>
            </w:pPr>
            <w:r>
              <w:t>0</w:t>
            </w:r>
            <w:r w:rsidR="006C7734" w:rsidRPr="00F30789">
              <w:t>,8</w:t>
            </w:r>
          </w:p>
        </w:tc>
        <w:tc>
          <w:tcPr>
            <w:tcW w:w="939" w:type="dxa"/>
            <w:vAlign w:val="center"/>
          </w:tcPr>
          <w:p w14:paraId="2B1A9BA8" w14:textId="1BB2C402" w:rsidR="006C7734" w:rsidRPr="007B643E" w:rsidRDefault="00E30E9F" w:rsidP="00445109">
            <w:pPr>
              <w:keepNext/>
              <w:jc w:val="center"/>
              <w:textAlignment w:val="bottom"/>
            </w:pPr>
            <w:r>
              <w:t>0</w:t>
            </w:r>
            <w:r w:rsidR="006C7734" w:rsidRPr="00F30789">
              <w:t>,85</w:t>
            </w:r>
          </w:p>
        </w:tc>
        <w:tc>
          <w:tcPr>
            <w:tcW w:w="938" w:type="dxa"/>
            <w:vAlign w:val="center"/>
          </w:tcPr>
          <w:p w14:paraId="36D238B9" w14:textId="34164AFC" w:rsidR="006C7734" w:rsidRPr="007B643E" w:rsidRDefault="00E30E9F" w:rsidP="00445109">
            <w:pPr>
              <w:keepNext/>
              <w:jc w:val="center"/>
              <w:textAlignment w:val="bottom"/>
            </w:pPr>
            <w:r>
              <w:t>0</w:t>
            </w:r>
            <w:r w:rsidR="006C7734" w:rsidRPr="00F30789">
              <w:t>,75</w:t>
            </w:r>
          </w:p>
        </w:tc>
        <w:tc>
          <w:tcPr>
            <w:tcW w:w="938" w:type="dxa"/>
            <w:vAlign w:val="center"/>
          </w:tcPr>
          <w:p w14:paraId="39D6EFFE" w14:textId="564764BF" w:rsidR="006C7734" w:rsidRPr="007B643E" w:rsidRDefault="00E30E9F" w:rsidP="00445109">
            <w:pPr>
              <w:keepNext/>
              <w:jc w:val="center"/>
              <w:textAlignment w:val="bottom"/>
            </w:pPr>
            <w:r>
              <w:t>0</w:t>
            </w:r>
            <w:r w:rsidR="006C7734" w:rsidRPr="00F30789">
              <w:t>,6</w:t>
            </w:r>
          </w:p>
        </w:tc>
        <w:tc>
          <w:tcPr>
            <w:tcW w:w="938" w:type="dxa"/>
            <w:vAlign w:val="center"/>
          </w:tcPr>
          <w:p w14:paraId="05C1B480" w14:textId="0BF0E89E" w:rsidR="006C7734" w:rsidRPr="007B643E" w:rsidRDefault="00E30E9F" w:rsidP="00445109">
            <w:pPr>
              <w:keepNext/>
              <w:jc w:val="center"/>
              <w:textAlignment w:val="bottom"/>
            </w:pPr>
            <w:r>
              <w:t>0</w:t>
            </w:r>
            <w:r w:rsidR="006C7734" w:rsidRPr="00F30789">
              <w:t>,65</w:t>
            </w:r>
          </w:p>
        </w:tc>
        <w:tc>
          <w:tcPr>
            <w:tcW w:w="938" w:type="dxa"/>
            <w:vAlign w:val="center"/>
          </w:tcPr>
          <w:p w14:paraId="73364214" w14:textId="34189C83" w:rsidR="006C7734" w:rsidRPr="007B643E" w:rsidRDefault="00E30E9F" w:rsidP="00445109">
            <w:pPr>
              <w:keepNext/>
              <w:jc w:val="center"/>
              <w:textAlignment w:val="bottom"/>
            </w:pPr>
            <w:r>
              <w:t>0</w:t>
            </w:r>
            <w:r w:rsidR="006C7734" w:rsidRPr="00F30789">
              <w:t>,4</w:t>
            </w:r>
          </w:p>
        </w:tc>
        <w:tc>
          <w:tcPr>
            <w:tcW w:w="938" w:type="dxa"/>
            <w:vAlign w:val="center"/>
          </w:tcPr>
          <w:p w14:paraId="0391E039" w14:textId="2F392063" w:rsidR="006C7734" w:rsidRPr="007B643E" w:rsidRDefault="00E30E9F" w:rsidP="00445109">
            <w:pPr>
              <w:keepNext/>
              <w:jc w:val="center"/>
              <w:textAlignment w:val="bottom"/>
            </w:pPr>
            <w:r>
              <w:t>0</w:t>
            </w:r>
            <w:r w:rsidR="006C7734" w:rsidRPr="00F30789">
              <w:t>,4</w:t>
            </w:r>
          </w:p>
        </w:tc>
        <w:tc>
          <w:tcPr>
            <w:tcW w:w="938" w:type="dxa"/>
            <w:vAlign w:val="center"/>
          </w:tcPr>
          <w:p w14:paraId="0E538E00" w14:textId="3D9C44CA" w:rsidR="006C7734" w:rsidRPr="007B643E" w:rsidRDefault="00E30E9F" w:rsidP="00445109">
            <w:pPr>
              <w:keepNext/>
              <w:jc w:val="center"/>
              <w:textAlignment w:val="bottom"/>
            </w:pPr>
            <w:r>
              <w:t>0</w:t>
            </w:r>
            <w:r w:rsidR="006C7734" w:rsidRPr="00F30789">
              <w:t>,15</w:t>
            </w:r>
          </w:p>
        </w:tc>
      </w:tr>
    </w:tbl>
    <w:p w14:paraId="35EC1A65" w14:textId="77777777" w:rsidR="006C7734" w:rsidRDefault="006C7734" w:rsidP="006C7734"/>
    <w:p w14:paraId="276D2AF6" w14:textId="77777777" w:rsidR="002523E6" w:rsidRPr="00224648" w:rsidRDefault="002523E6" w:rsidP="002523E6">
      <w:r w:rsidRPr="00224648">
        <w:t xml:space="preserve">Le coefficient </w:t>
      </w:r>
      <w:r w:rsidRPr="00224648">
        <w:rPr>
          <w:b/>
        </w:rPr>
        <w:t>M</w:t>
      </w:r>
      <w:r>
        <w:rPr>
          <w:b/>
        </w:rPr>
        <w:t>b</w:t>
      </w:r>
      <w:r w:rsidRPr="00224648">
        <w:rPr>
          <w:b/>
        </w:rPr>
        <w:t>com</w:t>
      </w:r>
      <w:r>
        <w:rPr>
          <w:b/>
        </w:rPr>
        <w:t>bles</w:t>
      </w:r>
      <w:r w:rsidRPr="00224648">
        <w:t xml:space="preserve"> de modulation du </w:t>
      </w:r>
      <w:r>
        <w:rPr>
          <w:rFonts w:cstheme="minorHAnsi"/>
        </w:rPr>
        <w:t>Bbio</w:t>
      </w:r>
      <w:r w:rsidRPr="00224648">
        <w:rPr>
          <w:rFonts w:cstheme="minorHAnsi"/>
        </w:rPr>
        <w:t>_max</w:t>
      </w:r>
      <w:r w:rsidRPr="00224648">
        <w:t xml:space="preserve"> selon la présence de combles aménagés dans le bâtiment ou la partie de bâtiment est calculé selon la formule suivante :</w:t>
      </w:r>
    </w:p>
    <w:p w14:paraId="2215E5F4" w14:textId="5ABD7DB0" w:rsidR="002523E6" w:rsidRPr="00224648" w:rsidRDefault="002523E6" w:rsidP="002523E6">
      <w:pPr>
        <w:jc w:val="center"/>
        <w:rPr>
          <w:rFonts w:eastAsiaTheme="minorEastAsia"/>
        </w:rPr>
      </w:pPr>
      <m:oMathPara>
        <m:oMath>
          <m:r>
            <w:rPr>
              <w:rFonts w:ascii="Cambria Math" w:hAnsi="Cambria Math"/>
            </w:rPr>
            <m:t>Mbcombles=</m:t>
          </m:r>
          <m:f>
            <m:fPr>
              <m:ctrlPr>
                <w:rPr>
                  <w:rFonts w:ascii="Cambria Math" w:hAnsi="Cambria Math"/>
                  <w:i/>
                </w:rPr>
              </m:ctrlPr>
            </m:fPr>
            <m:num>
              <m:r>
                <w:rPr>
                  <w:rFonts w:ascii="Cambria Math" w:hAnsi="Cambria Math"/>
                </w:rPr>
                <m:t>(0,4×Scombles)</m:t>
              </m:r>
            </m:num>
            <m:den>
              <m:r>
                <w:rPr>
                  <w:rFonts w:ascii="Cambria Math" w:hAnsi="Cambria Math"/>
                </w:rPr>
                <m:t>Sref</m:t>
              </m:r>
            </m:den>
          </m:f>
        </m:oMath>
      </m:oMathPara>
    </w:p>
    <w:p w14:paraId="7CCFF9F4" w14:textId="13ACC13A" w:rsidR="002523E6" w:rsidRPr="002523E6" w:rsidRDefault="002523E6" w:rsidP="002523E6">
      <w:pPr>
        <w:rPr>
          <w:rFonts w:eastAsiaTheme="minorEastAsia"/>
        </w:rPr>
      </w:pPr>
      <w:r w:rsidRPr="00224648">
        <w:rPr>
          <w:rFonts w:eastAsiaTheme="minorEastAsia"/>
        </w:rPr>
        <w:t>Où Scom</w:t>
      </w:r>
      <w:r>
        <w:rPr>
          <w:rFonts w:eastAsiaTheme="minorEastAsia"/>
        </w:rPr>
        <w:t>bles</w:t>
      </w:r>
      <w:r w:rsidRPr="00224648">
        <w:rPr>
          <w:rFonts w:eastAsiaTheme="minorEastAsia"/>
        </w:rPr>
        <w:t xml:space="preserve"> représente la surface</w:t>
      </w:r>
      <w:r>
        <w:rPr>
          <w:rFonts w:eastAsiaTheme="minorEastAsia"/>
        </w:rPr>
        <w:t xml:space="preserve"> de plancher</w:t>
      </w:r>
      <w:r w:rsidRPr="00224648">
        <w:rPr>
          <w:rFonts w:eastAsiaTheme="minorEastAsia"/>
        </w:rPr>
        <w:t xml:space="preserve"> des comble</w:t>
      </w:r>
      <w:r>
        <w:rPr>
          <w:rFonts w:eastAsiaTheme="minorEastAsia"/>
        </w:rPr>
        <w:t>s</w:t>
      </w:r>
      <w:r w:rsidRPr="00224648">
        <w:rPr>
          <w:rFonts w:eastAsiaTheme="minorEastAsia"/>
        </w:rPr>
        <w:t xml:space="preserve"> aménagés dont la hauteur sous plafond est inférieure à 1,8 mètres.</w:t>
      </w:r>
    </w:p>
    <w:p w14:paraId="33E9E162" w14:textId="185E82E3" w:rsidR="00A02594" w:rsidRDefault="006C7734" w:rsidP="00A02594">
      <w:pPr>
        <w:keepNext/>
      </w:pPr>
      <w:r>
        <w:t xml:space="preserve">Le coefficient </w:t>
      </w:r>
      <w:r>
        <w:rPr>
          <w:b/>
          <w:bCs/>
        </w:rPr>
        <w:t>M</w:t>
      </w:r>
      <w:r w:rsidRPr="006C7734">
        <w:rPr>
          <w:b/>
          <w:bCs/>
        </w:rPr>
        <w:t>bsur</w:t>
      </w:r>
      <w:r w:rsidRPr="006C7734">
        <w:rPr>
          <w:b/>
        </w:rPr>
        <w:t>f</w:t>
      </w:r>
      <w:r>
        <w:t xml:space="preserve"> de modulation du Bbio_max selon la surface moyenne des logements du bâtiment ou de la partie de bâtiment </w:t>
      </w:r>
      <m:oMath>
        <m:sSub>
          <m:sSubPr>
            <m:ctrlPr>
              <w:rPr>
                <w:rFonts w:ascii="Cambria Math" w:hAnsi="Cambria Math"/>
                <w:i/>
                <w:iCs/>
              </w:rPr>
            </m:ctrlPr>
          </m:sSubPr>
          <m:e>
            <m:r>
              <w:rPr>
                <w:rFonts w:ascii="Cambria Math" w:hAnsi="Cambria Math"/>
              </w:rPr>
              <m:t>Smoy</m:t>
            </m:r>
          </m:e>
          <m:sub>
            <m:r>
              <w:rPr>
                <w:rFonts w:ascii="Cambria Math" w:hAnsi="Cambria Math"/>
              </w:rPr>
              <m:t>lgt</m:t>
            </m:r>
          </m:sub>
        </m:sSub>
        <m:r>
          <w:rPr>
            <w:rFonts w:ascii="Cambria Math" w:hAnsi="Cambria Math"/>
          </w:rPr>
          <m:t xml:space="preserve"> </m:t>
        </m:r>
      </m:oMath>
      <w:r w:rsidR="00A02594">
        <w:t>prend les valeurs suivantes :</w:t>
      </w:r>
      <w:r w:rsidR="00A02594">
        <w:tab/>
      </w:r>
    </w:p>
    <w:tbl>
      <w:tblPr>
        <w:tblStyle w:val="Grilledutableau"/>
        <w:tblW w:w="3441" w:type="pct"/>
        <w:jc w:val="center"/>
        <w:tblLook w:val="04A0" w:firstRow="1" w:lastRow="0" w:firstColumn="1" w:lastColumn="0" w:noHBand="0" w:noVBand="1"/>
      </w:tblPr>
      <w:tblGrid>
        <w:gridCol w:w="3410"/>
        <w:gridCol w:w="2826"/>
      </w:tblGrid>
      <w:tr w:rsidR="006C7734" w14:paraId="4B6C8979" w14:textId="77777777" w:rsidTr="00FC0B23">
        <w:trPr>
          <w:jc w:val="center"/>
        </w:trPr>
        <w:tc>
          <w:tcPr>
            <w:tcW w:w="2734" w:type="pct"/>
            <w:shd w:val="clear" w:color="auto" w:fill="A6A6A6" w:themeFill="background1" w:themeFillShade="A6"/>
          </w:tcPr>
          <w:p w14:paraId="24E7A45E" w14:textId="77777777" w:rsidR="006C7734" w:rsidRDefault="006C7734" w:rsidP="00445109">
            <w:pPr>
              <w:keepNext/>
              <w:jc w:val="center"/>
            </w:pPr>
            <w:r>
              <w:t>Surface moyenne des logements du bâtiment</w:t>
            </w:r>
          </w:p>
        </w:tc>
        <w:tc>
          <w:tcPr>
            <w:tcW w:w="2266" w:type="pct"/>
            <w:shd w:val="clear" w:color="auto" w:fill="A6A6A6" w:themeFill="background1" w:themeFillShade="A6"/>
          </w:tcPr>
          <w:p w14:paraId="659976B9" w14:textId="77777777" w:rsidR="006C7734" w:rsidRDefault="006C7734" w:rsidP="00445109">
            <w:pPr>
              <w:keepNext/>
              <w:jc w:val="center"/>
            </w:pPr>
            <w:r w:rsidRPr="006C7734">
              <w:t>Mbsurf</w:t>
            </w:r>
          </w:p>
        </w:tc>
      </w:tr>
      <w:tr w:rsidR="006C7734" w14:paraId="77AEF2EF" w14:textId="77777777" w:rsidTr="00FC0B23">
        <w:trPr>
          <w:jc w:val="center"/>
        </w:trPr>
        <w:tc>
          <w:tcPr>
            <w:tcW w:w="2734" w:type="pct"/>
            <w:shd w:val="clear" w:color="auto" w:fill="F2F2F2" w:themeFill="background1" w:themeFillShade="F2"/>
          </w:tcPr>
          <w:p w14:paraId="1DE2C0E0" w14:textId="23B71BD0" w:rsidR="006C7734" w:rsidRPr="006C7734" w:rsidRDefault="00866253" w:rsidP="00445109">
            <w:pPr>
              <w:keepNext/>
            </w:pPr>
            <m:oMathPara>
              <m:oMath>
                <m:sSub>
                  <m:sSubPr>
                    <m:ctrlPr>
                      <w:rPr>
                        <w:rFonts w:ascii="Cambria Math" w:hAnsi="Cambria Math"/>
                        <w:i/>
                        <w:iCs/>
                      </w:rPr>
                    </m:ctrlPr>
                  </m:sSubPr>
                  <m:e>
                    <m:r>
                      <w:rPr>
                        <w:rFonts w:ascii="Cambria Math" w:hAnsi="Cambria Math"/>
                      </w:rPr>
                      <m:t>Smoy</m:t>
                    </m:r>
                  </m:e>
                  <m:sub>
                    <m:r>
                      <w:rPr>
                        <w:rFonts w:ascii="Cambria Math" w:hAnsi="Cambria Math"/>
                      </w:rPr>
                      <m:t>lgt</m:t>
                    </m:r>
                  </m:sub>
                </m:sSub>
                <m:r>
                  <w:rPr>
                    <w:rFonts w:ascii="Cambria Math" w:hAnsi="Cambria Math"/>
                  </w:rPr>
                  <m:t>≤40 m²</m:t>
                </m:r>
              </m:oMath>
            </m:oMathPara>
          </w:p>
        </w:tc>
        <w:tc>
          <w:tcPr>
            <w:tcW w:w="2266" w:type="pct"/>
          </w:tcPr>
          <w:p w14:paraId="1F0E03A7" w14:textId="19D7FAA1" w:rsidR="006C7734" w:rsidRDefault="00866253" w:rsidP="00445109">
            <w:pPr>
              <w:keepNext/>
              <w:jc w:val="center"/>
            </w:pPr>
            <m:oMathPara>
              <m:oMath>
                <m:f>
                  <m:fPr>
                    <m:ctrlPr>
                      <w:rPr>
                        <w:rFonts w:ascii="Cambria Math" w:hAnsi="Cambria Math"/>
                        <w:i/>
                        <w:iCs/>
                      </w:rPr>
                    </m:ctrlPr>
                  </m:fPr>
                  <m:num>
                    <m:r>
                      <w:rPr>
                        <w:rFonts w:ascii="Cambria Math" w:hAnsi="Cambria Math"/>
                      </w:rPr>
                      <m:t>-14+0,3*</m:t>
                    </m:r>
                    <m:sSub>
                      <m:sSubPr>
                        <m:ctrlPr>
                          <w:rPr>
                            <w:rFonts w:ascii="Cambria Math" w:hAnsi="Cambria Math"/>
                            <w:i/>
                            <w:iCs/>
                          </w:rPr>
                        </m:ctrlPr>
                      </m:sSubPr>
                      <m:e>
                        <m:r>
                          <w:rPr>
                            <w:rFonts w:ascii="Cambria Math" w:hAnsi="Cambria Math"/>
                          </w:rPr>
                          <m:t>Smoy</m:t>
                        </m:r>
                      </m:e>
                      <m:sub>
                        <m:r>
                          <w:rPr>
                            <w:rFonts w:ascii="Cambria Math" w:hAnsi="Cambria Math"/>
                          </w:rPr>
                          <m:t>lgt</m:t>
                        </m:r>
                      </m:sub>
                    </m:sSub>
                  </m:num>
                  <m:den>
                    <m:r>
                      <w:rPr>
                        <w:rFonts w:ascii="Cambria Math" w:hAnsi="Cambria Math"/>
                      </w:rPr>
                      <m:t>Bbio_maxmoyen </m:t>
                    </m:r>
                  </m:den>
                </m:f>
              </m:oMath>
            </m:oMathPara>
          </w:p>
        </w:tc>
      </w:tr>
      <w:tr w:rsidR="006C7734" w14:paraId="2CEF64A5" w14:textId="77777777" w:rsidTr="00FC0B23">
        <w:trPr>
          <w:jc w:val="center"/>
        </w:trPr>
        <w:tc>
          <w:tcPr>
            <w:tcW w:w="2734" w:type="pct"/>
            <w:shd w:val="clear" w:color="auto" w:fill="F2F2F2" w:themeFill="background1" w:themeFillShade="F2"/>
          </w:tcPr>
          <w:p w14:paraId="0DAAAFCA" w14:textId="5DC769DD" w:rsidR="006C7734" w:rsidRDefault="006C7734" w:rsidP="00445109">
            <w:pPr>
              <w:keepNext/>
            </w:pPr>
            <m:oMathPara>
              <m:oMath>
                <m:r>
                  <w:rPr>
                    <w:rFonts w:ascii="Cambria Math" w:hAnsi="Cambria Math"/>
                  </w:rPr>
                  <m:t xml:space="preserve">40 </m:t>
                </m:r>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&lt;</m:t>
                </m:r>
                <m:sSub>
                  <m:sSubPr>
                    <m:ctrlPr>
                      <w:rPr>
                        <w:rFonts w:ascii="Cambria Math" w:hAnsi="Cambria Math"/>
                        <w:i/>
                        <w:iCs/>
                      </w:rPr>
                    </m:ctrlPr>
                  </m:sSubPr>
                  <m:e>
                    <m:r>
                      <w:rPr>
                        <w:rFonts w:ascii="Cambria Math" w:hAnsi="Cambria Math"/>
                      </w:rPr>
                      <m:t>Smoy</m:t>
                    </m:r>
                  </m:e>
                  <m:sub>
                    <m:r>
                      <w:rPr>
                        <w:rFonts w:ascii="Cambria Math" w:hAnsi="Cambria Math"/>
                      </w:rPr>
                      <m:t>lgt</m:t>
                    </m:r>
                  </m:sub>
                </m:sSub>
                <m:r>
                  <w:rPr>
                    <w:rFonts w:ascii="Cambria Math" w:hAnsi="Cambria Math"/>
                  </w:rPr>
                  <m:t>≤80 m²</m:t>
                </m:r>
              </m:oMath>
            </m:oMathPara>
          </w:p>
        </w:tc>
        <w:tc>
          <w:tcPr>
            <w:tcW w:w="2266" w:type="pct"/>
          </w:tcPr>
          <w:p w14:paraId="6826A0B0" w14:textId="7E00274F" w:rsidR="006C7734" w:rsidRDefault="00866253" w:rsidP="00445109">
            <w:pPr>
              <w:keepNext/>
              <w:jc w:val="center"/>
            </w:pPr>
            <m:oMathPara>
              <m:oMath>
                <m:f>
                  <m:fPr>
                    <m:ctrlPr>
                      <w:rPr>
                        <w:rFonts w:ascii="Cambria Math" w:hAnsi="Cambria Math"/>
                        <w:i/>
                        <w:iCs/>
                      </w:rPr>
                    </m:ctrlPr>
                  </m:fPr>
                  <m:num>
                    <m:r>
                      <w:rPr>
                        <w:rFonts w:ascii="Cambria Math" w:hAnsi="Cambria Math"/>
                      </w:rPr>
                      <m:t>-6+0,1*</m:t>
                    </m:r>
                    <m:sSub>
                      <m:sSubPr>
                        <m:ctrlPr>
                          <w:rPr>
                            <w:rFonts w:ascii="Cambria Math" w:hAnsi="Cambria Math"/>
                            <w:i/>
                            <w:iCs/>
                          </w:rPr>
                        </m:ctrlPr>
                      </m:sSubPr>
                      <m:e>
                        <m:r>
                          <w:rPr>
                            <w:rFonts w:ascii="Cambria Math" w:hAnsi="Cambria Math"/>
                          </w:rPr>
                          <m:t>Smoy</m:t>
                        </m:r>
                      </m:e>
                      <m:sub>
                        <m:r>
                          <w:rPr>
                            <w:rFonts w:ascii="Cambria Math" w:hAnsi="Cambria Math"/>
                          </w:rPr>
                          <m:t>lgt</m:t>
                        </m:r>
                      </m:sub>
                    </m:sSub>
                  </m:num>
                  <m:den>
                    <m:r>
                      <w:rPr>
                        <w:rFonts w:ascii="Cambria Math" w:hAnsi="Cambria Math"/>
                      </w:rPr>
                      <m:t>Bbio_maxmoyen </m:t>
                    </m:r>
                  </m:den>
                </m:f>
              </m:oMath>
            </m:oMathPara>
          </w:p>
        </w:tc>
      </w:tr>
      <w:tr w:rsidR="006C7734" w14:paraId="663BE209" w14:textId="77777777" w:rsidTr="00FC0B23">
        <w:trPr>
          <w:jc w:val="center"/>
        </w:trPr>
        <w:tc>
          <w:tcPr>
            <w:tcW w:w="2734" w:type="pct"/>
            <w:shd w:val="clear" w:color="auto" w:fill="F2F2F2" w:themeFill="background1" w:themeFillShade="F2"/>
          </w:tcPr>
          <w:p w14:paraId="76F4C636" w14:textId="64E732F2" w:rsidR="006C7734" w:rsidRDefault="006C7734" w:rsidP="00445109">
            <w:pPr>
              <w:keepNext/>
            </w:pPr>
            <m:oMathPara>
              <m:oMath>
                <m:r>
                  <w:rPr>
                    <w:rFonts w:ascii="Cambria Math" w:hAnsi="Cambria Math"/>
                  </w:rPr>
                  <m:t xml:space="preserve">80 </m:t>
                </m:r>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&lt;</m:t>
                </m:r>
                <m:sSub>
                  <m:sSubPr>
                    <m:ctrlPr>
                      <w:rPr>
                        <w:rFonts w:ascii="Cambria Math" w:hAnsi="Cambria Math"/>
                        <w:i/>
                        <w:iCs/>
                      </w:rPr>
                    </m:ctrlPr>
                  </m:sSubPr>
                  <m:e>
                    <m:r>
                      <w:rPr>
                        <w:rFonts w:ascii="Cambria Math" w:hAnsi="Cambria Math"/>
                      </w:rPr>
                      <m:t>Smoy</m:t>
                    </m:r>
                  </m:e>
                  <m:sub>
                    <m:r>
                      <w:rPr>
                        <w:rFonts w:ascii="Cambria Math" w:hAnsi="Cambria Math"/>
                      </w:rPr>
                      <m:t>lgt</m:t>
                    </m:r>
                  </m:sub>
                </m:sSub>
                <m:r>
                  <w:rPr>
                    <w:rFonts w:ascii="Cambria Math" w:hAnsi="Cambria Math"/>
                  </w:rPr>
                  <m:t>≤120 m²</m:t>
                </m:r>
              </m:oMath>
            </m:oMathPara>
          </w:p>
        </w:tc>
        <w:tc>
          <w:tcPr>
            <w:tcW w:w="2266" w:type="pct"/>
          </w:tcPr>
          <w:p w14:paraId="2764EF45" w14:textId="7AA6AE34" w:rsidR="006C7734" w:rsidRDefault="00866253" w:rsidP="00445109">
            <w:pPr>
              <w:keepNext/>
              <w:jc w:val="center"/>
            </w:pPr>
            <m:oMathPara>
              <m:oMath>
                <m:f>
                  <m:fPr>
                    <m:ctrlPr>
                      <w:rPr>
                        <w:rFonts w:ascii="Cambria Math" w:hAnsi="Cambria Math"/>
                        <w:i/>
                        <w:iCs/>
                      </w:rPr>
                    </m:ctrlPr>
                  </m:fPr>
                  <m:num>
                    <m:r>
                      <w:rPr>
                        <w:rFonts w:ascii="Cambria Math" w:hAnsi="Cambria Math"/>
                      </w:rPr>
                      <m:t>2+0,05*</m:t>
                    </m:r>
                    <m:sSub>
                      <m:sSubPr>
                        <m:ctrlPr>
                          <w:rPr>
                            <w:rFonts w:ascii="Cambria Math" w:hAnsi="Cambria Math"/>
                            <w:i/>
                            <w:iCs/>
                          </w:rPr>
                        </m:ctrlPr>
                      </m:sSubPr>
                      <m:e>
                        <m:r>
                          <w:rPr>
                            <w:rFonts w:ascii="Cambria Math" w:hAnsi="Cambria Math"/>
                          </w:rPr>
                          <m:t>Smoy</m:t>
                        </m:r>
                      </m:e>
                      <m:sub>
                        <m:r>
                          <w:rPr>
                            <w:rFonts w:ascii="Cambria Math" w:hAnsi="Cambria Math"/>
                          </w:rPr>
                          <m:t>lgt</m:t>
                        </m:r>
                      </m:sub>
                    </m:sSub>
                  </m:num>
                  <m:den>
                    <m:r>
                      <w:rPr>
                        <w:rFonts w:ascii="Cambria Math" w:hAnsi="Cambria Math"/>
                      </w:rPr>
                      <m:t>Bbio_maxmoyen</m:t>
                    </m:r>
                  </m:den>
                </m:f>
              </m:oMath>
            </m:oMathPara>
          </w:p>
        </w:tc>
      </w:tr>
      <w:tr w:rsidR="006C7734" w14:paraId="62B1B860" w14:textId="77777777" w:rsidTr="00FC0B23">
        <w:trPr>
          <w:jc w:val="center"/>
        </w:trPr>
        <w:tc>
          <w:tcPr>
            <w:tcW w:w="2734" w:type="pct"/>
            <w:shd w:val="clear" w:color="auto" w:fill="F2F2F2" w:themeFill="background1" w:themeFillShade="F2"/>
          </w:tcPr>
          <w:p w14:paraId="39D463F4" w14:textId="5ABF6F32" w:rsidR="006C7734" w:rsidRPr="00926816" w:rsidRDefault="00866253" w:rsidP="00445109">
            <w:pPr>
              <w:keepNext/>
              <w:rPr>
                <w:rFonts w:ascii="Calibri" w:eastAsia="Calibri" w:hAnsi="Calibri" w:cs="Times New Roman"/>
              </w:rPr>
            </w:pPr>
            <m:oMathPara>
              <m:oMath>
                <m:sSub>
                  <m:sSubPr>
                    <m:ctrlPr>
                      <w:rPr>
                        <w:rFonts w:ascii="Cambria Math" w:hAnsi="Cambria Math"/>
                        <w:i/>
                        <w:iCs/>
                      </w:rPr>
                    </m:ctrlPr>
                  </m:sSubPr>
                  <m:e>
                    <m:r>
                      <w:rPr>
                        <w:rFonts w:ascii="Cambria Math" w:hAnsi="Cambria Math"/>
                      </w:rPr>
                      <m:t>Smoy</m:t>
                    </m:r>
                  </m:e>
                  <m:sub>
                    <m:r>
                      <w:rPr>
                        <w:rFonts w:ascii="Cambria Math" w:hAnsi="Cambria Math"/>
                      </w:rPr>
                      <m:t>lgt</m:t>
                    </m:r>
                  </m:sub>
                </m:sSub>
                <m:r>
                  <w:rPr>
                    <w:rFonts w:ascii="Cambria Math" w:hAnsi="Cambria Math"/>
                  </w:rPr>
                  <m:t>&gt;120 m²</m:t>
                </m:r>
              </m:oMath>
            </m:oMathPara>
          </w:p>
        </w:tc>
        <w:tc>
          <w:tcPr>
            <w:tcW w:w="2266" w:type="pct"/>
          </w:tcPr>
          <w:p w14:paraId="240B5B13" w14:textId="0A9A8B98" w:rsidR="006C7734" w:rsidRDefault="00866253" w:rsidP="00445109">
            <w:pPr>
              <w:keepNext/>
              <w:jc w:val="center"/>
            </w:pPr>
            <m:oMathPara>
              <m:oMath>
                <m:f>
                  <m:fPr>
                    <m:ctrlPr>
                      <w:rPr>
                        <w:rFonts w:ascii="Cambria Math" w:hAnsi="Cambria Math"/>
                        <w:i/>
                        <w:iCs/>
                      </w:rPr>
                    </m:ctrlPr>
                  </m:fPr>
                  <m:num>
                    <m:r>
                      <w:rPr>
                        <w:rFonts w:ascii="Cambria Math" w:hAnsi="Cambria Math"/>
                      </w:rPr>
                      <m:t>4</m:t>
                    </m:r>
                  </m:num>
                  <m:den>
                    <m:r>
                      <w:rPr>
                        <w:rFonts w:ascii="Cambria Math" w:hAnsi="Cambria Math"/>
                      </w:rPr>
                      <m:t>Bbio_maxmoyen </m:t>
                    </m:r>
                  </m:den>
                </m:f>
              </m:oMath>
            </m:oMathPara>
          </w:p>
        </w:tc>
      </w:tr>
    </w:tbl>
    <w:p w14:paraId="225B6769" w14:textId="77777777" w:rsidR="006C7734" w:rsidRDefault="006C7734" w:rsidP="006C7734"/>
    <w:p w14:paraId="279AEF74" w14:textId="77777777" w:rsidR="006C7734" w:rsidRDefault="006C7734" w:rsidP="006C7734">
      <w:r>
        <w:t xml:space="preserve">Le coefficient </w:t>
      </w:r>
      <w:r>
        <w:rPr>
          <w:b/>
          <w:bCs/>
        </w:rPr>
        <w:t>M</w:t>
      </w:r>
      <w:r w:rsidRPr="006C7734">
        <w:rPr>
          <w:b/>
          <w:bCs/>
        </w:rPr>
        <w:t>b</w:t>
      </w:r>
      <w:r>
        <w:rPr>
          <w:b/>
          <w:bCs/>
        </w:rPr>
        <w:t xml:space="preserve">bruit </w:t>
      </w:r>
      <w:r>
        <w:t>de modulation du Bbio_max selon l’exposition au bruit du bâtiment ou de la partie de bâtiment prend les valeurs suivantes :</w:t>
      </w:r>
    </w:p>
    <w:tbl>
      <w:tblPr>
        <w:tblStyle w:val="Grilledutableau1"/>
        <w:tblW w:w="10220" w:type="dxa"/>
        <w:tblInd w:w="0" w:type="dxa"/>
        <w:tblLook w:val="0600" w:firstRow="0" w:lastRow="0" w:firstColumn="0" w:lastColumn="0" w:noHBand="1" w:noVBand="1"/>
      </w:tblPr>
      <w:tblGrid>
        <w:gridCol w:w="2714"/>
        <w:gridCol w:w="939"/>
        <w:gridCol w:w="939"/>
        <w:gridCol w:w="938"/>
        <w:gridCol w:w="938"/>
        <w:gridCol w:w="938"/>
        <w:gridCol w:w="938"/>
        <w:gridCol w:w="938"/>
        <w:gridCol w:w="938"/>
      </w:tblGrid>
      <w:tr w:rsidR="00C75F0F" w:rsidRPr="00C75F0F" w14:paraId="2964A93F" w14:textId="77777777" w:rsidTr="00C75F0F">
        <w:trPr>
          <w:trHeight w:val="352"/>
        </w:trPr>
        <w:tc>
          <w:tcPr>
            <w:tcW w:w="2714" w:type="dxa"/>
            <w:tcBorders>
              <w:top w:val="single" w:sz="4" w:space="0" w:color="auto"/>
              <w:left w:val="single" w:sz="4" w:space="0" w:color="auto"/>
              <w:bottom w:val="single" w:sz="4" w:space="0" w:color="auto"/>
              <w:right w:val="single" w:sz="4" w:space="0" w:color="auto"/>
              <w:tl2br w:val="single" w:sz="4" w:space="0" w:color="auto"/>
            </w:tcBorders>
            <w:shd w:val="clear" w:color="auto" w:fill="A6A6A6" w:themeFill="background1" w:themeFillShade="A6"/>
            <w:hideMark/>
          </w:tcPr>
          <w:p w14:paraId="6E8F6D9F" w14:textId="77777777" w:rsidR="00C75F0F" w:rsidRPr="00C75F0F" w:rsidRDefault="00C75F0F" w:rsidP="00C75F0F">
            <w:pPr>
              <w:keepNext/>
              <w:jc w:val="right"/>
            </w:pPr>
            <w:r w:rsidRPr="00C75F0F">
              <w:t xml:space="preserve">Zone climatique </w:t>
            </w:r>
          </w:p>
          <w:p w14:paraId="0F6D5BE2" w14:textId="77777777" w:rsidR="00C75F0F" w:rsidRPr="00C75F0F" w:rsidRDefault="00C75F0F" w:rsidP="00C75F0F">
            <w:pPr>
              <w:keepNext/>
            </w:pPr>
            <w:r w:rsidRPr="00C75F0F">
              <w:t>Zone de bruit</w:t>
            </w:r>
          </w:p>
        </w:tc>
        <w:tc>
          <w:tcPr>
            <w:tcW w:w="93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16AAEF6" w14:textId="77777777" w:rsidR="00C75F0F" w:rsidRPr="00C75F0F" w:rsidRDefault="00C75F0F" w:rsidP="00C75F0F">
            <w:pPr>
              <w:keepNext/>
              <w:jc w:val="center"/>
            </w:pPr>
            <w:r w:rsidRPr="00C75F0F">
              <w:t>H1a</w:t>
            </w:r>
          </w:p>
        </w:tc>
        <w:tc>
          <w:tcPr>
            <w:tcW w:w="93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4C7069C" w14:textId="77777777" w:rsidR="00C75F0F" w:rsidRPr="00C75F0F" w:rsidRDefault="00C75F0F" w:rsidP="00C75F0F">
            <w:pPr>
              <w:keepNext/>
              <w:jc w:val="center"/>
            </w:pPr>
            <w:r w:rsidRPr="00C75F0F">
              <w:t>H1b</w:t>
            </w:r>
          </w:p>
        </w:tc>
        <w:tc>
          <w:tcPr>
            <w:tcW w:w="93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255503D" w14:textId="77777777" w:rsidR="00C75F0F" w:rsidRPr="00C75F0F" w:rsidRDefault="00C75F0F" w:rsidP="00C75F0F">
            <w:pPr>
              <w:keepNext/>
              <w:jc w:val="center"/>
            </w:pPr>
            <w:r w:rsidRPr="00C75F0F">
              <w:t>H1c</w:t>
            </w:r>
          </w:p>
        </w:tc>
        <w:tc>
          <w:tcPr>
            <w:tcW w:w="93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DF3E52A" w14:textId="77777777" w:rsidR="00C75F0F" w:rsidRPr="00C75F0F" w:rsidRDefault="00C75F0F" w:rsidP="00C75F0F">
            <w:pPr>
              <w:keepNext/>
              <w:jc w:val="center"/>
            </w:pPr>
            <w:r w:rsidRPr="00C75F0F">
              <w:t>H2a</w:t>
            </w:r>
          </w:p>
        </w:tc>
        <w:tc>
          <w:tcPr>
            <w:tcW w:w="93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30AB4E28" w14:textId="77777777" w:rsidR="00C75F0F" w:rsidRPr="00C75F0F" w:rsidRDefault="00C75F0F" w:rsidP="00C75F0F">
            <w:pPr>
              <w:keepNext/>
              <w:jc w:val="center"/>
            </w:pPr>
            <w:r w:rsidRPr="00C75F0F">
              <w:t>H2b</w:t>
            </w:r>
          </w:p>
        </w:tc>
        <w:tc>
          <w:tcPr>
            <w:tcW w:w="93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36E23377" w14:textId="77777777" w:rsidR="00C75F0F" w:rsidRPr="00C75F0F" w:rsidRDefault="00C75F0F" w:rsidP="00C75F0F">
            <w:pPr>
              <w:keepNext/>
              <w:jc w:val="center"/>
            </w:pPr>
            <w:r w:rsidRPr="00C75F0F">
              <w:t>H2c</w:t>
            </w:r>
          </w:p>
        </w:tc>
        <w:tc>
          <w:tcPr>
            <w:tcW w:w="93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EDD3B64" w14:textId="77777777" w:rsidR="00C75F0F" w:rsidRPr="00C75F0F" w:rsidRDefault="00C75F0F" w:rsidP="00C75F0F">
            <w:pPr>
              <w:keepNext/>
              <w:jc w:val="center"/>
            </w:pPr>
            <w:r w:rsidRPr="00C75F0F">
              <w:t>H2d</w:t>
            </w:r>
          </w:p>
        </w:tc>
        <w:tc>
          <w:tcPr>
            <w:tcW w:w="93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83C3908" w14:textId="5F9F76A9" w:rsidR="00C75F0F" w:rsidRPr="00C75F0F" w:rsidRDefault="00AA57C7" w:rsidP="00C75F0F">
            <w:pPr>
              <w:keepNext/>
              <w:jc w:val="center"/>
            </w:pPr>
            <w:r>
              <w:t>H</w:t>
            </w:r>
            <w:r w:rsidR="00C75F0F" w:rsidRPr="00C75F0F">
              <w:t>3</w:t>
            </w:r>
          </w:p>
        </w:tc>
      </w:tr>
      <w:tr w:rsidR="00C75F0F" w:rsidRPr="00C75F0F" w14:paraId="01541569" w14:textId="77777777" w:rsidTr="00C75F0F">
        <w:trPr>
          <w:trHeight w:val="352"/>
        </w:trPr>
        <w:tc>
          <w:tcPr>
            <w:tcW w:w="27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BD985A" w14:textId="77777777" w:rsidR="00C75F0F" w:rsidRPr="00C75F0F" w:rsidRDefault="00C75F0F" w:rsidP="00C75F0F">
            <w:pPr>
              <w:keepNext/>
              <w:jc w:val="center"/>
            </w:pPr>
            <w:r w:rsidRPr="00C75F0F">
              <w:t>Br1</w:t>
            </w:r>
          </w:p>
        </w:tc>
        <w:tc>
          <w:tcPr>
            <w:tcW w:w="939" w:type="dxa"/>
            <w:tcBorders>
              <w:top w:val="single" w:sz="4" w:space="0" w:color="auto"/>
              <w:left w:val="single" w:sz="4" w:space="0" w:color="auto"/>
              <w:bottom w:val="single" w:sz="4" w:space="0" w:color="auto"/>
              <w:right w:val="single" w:sz="4" w:space="0" w:color="auto"/>
            </w:tcBorders>
            <w:vAlign w:val="center"/>
            <w:hideMark/>
          </w:tcPr>
          <w:p w14:paraId="258A6C98" w14:textId="328BACD1" w:rsidR="00C75F0F" w:rsidRPr="00C75F0F" w:rsidRDefault="00E30E9F" w:rsidP="00C75F0F">
            <w:pPr>
              <w:keepNext/>
              <w:jc w:val="center"/>
              <w:textAlignment w:val="bottom"/>
            </w:pPr>
            <w:r>
              <w:t>0</w:t>
            </w:r>
          </w:p>
        </w:tc>
        <w:tc>
          <w:tcPr>
            <w:tcW w:w="939" w:type="dxa"/>
            <w:tcBorders>
              <w:top w:val="single" w:sz="4" w:space="0" w:color="auto"/>
              <w:left w:val="single" w:sz="4" w:space="0" w:color="auto"/>
              <w:bottom w:val="single" w:sz="4" w:space="0" w:color="auto"/>
              <w:right w:val="single" w:sz="4" w:space="0" w:color="auto"/>
            </w:tcBorders>
            <w:vAlign w:val="center"/>
            <w:hideMark/>
          </w:tcPr>
          <w:p w14:paraId="4A74CA07" w14:textId="3371ACA3" w:rsidR="00C75F0F" w:rsidRPr="00C75F0F" w:rsidRDefault="00E30E9F" w:rsidP="00C75F0F">
            <w:pPr>
              <w:keepNext/>
              <w:jc w:val="center"/>
              <w:textAlignment w:val="bottom"/>
            </w:pPr>
            <w:r>
              <w:t>0</w:t>
            </w:r>
          </w:p>
        </w:tc>
        <w:tc>
          <w:tcPr>
            <w:tcW w:w="938" w:type="dxa"/>
            <w:tcBorders>
              <w:top w:val="single" w:sz="4" w:space="0" w:color="auto"/>
              <w:left w:val="single" w:sz="4" w:space="0" w:color="auto"/>
              <w:bottom w:val="single" w:sz="4" w:space="0" w:color="auto"/>
              <w:right w:val="single" w:sz="4" w:space="0" w:color="auto"/>
            </w:tcBorders>
            <w:vAlign w:val="center"/>
            <w:hideMark/>
          </w:tcPr>
          <w:p w14:paraId="7D773AF7" w14:textId="2AF8B378" w:rsidR="00C75F0F" w:rsidRPr="00C75F0F" w:rsidRDefault="00E30E9F" w:rsidP="00C75F0F">
            <w:pPr>
              <w:keepNext/>
              <w:jc w:val="center"/>
              <w:textAlignment w:val="bottom"/>
            </w:pPr>
            <w:r>
              <w:t>0</w:t>
            </w:r>
          </w:p>
        </w:tc>
        <w:tc>
          <w:tcPr>
            <w:tcW w:w="938" w:type="dxa"/>
            <w:tcBorders>
              <w:top w:val="single" w:sz="4" w:space="0" w:color="auto"/>
              <w:left w:val="single" w:sz="4" w:space="0" w:color="auto"/>
              <w:bottom w:val="single" w:sz="4" w:space="0" w:color="auto"/>
              <w:right w:val="single" w:sz="4" w:space="0" w:color="auto"/>
            </w:tcBorders>
            <w:vAlign w:val="center"/>
            <w:hideMark/>
          </w:tcPr>
          <w:p w14:paraId="621E206C" w14:textId="2209DCA9" w:rsidR="00C75F0F" w:rsidRPr="00C75F0F" w:rsidRDefault="00E30E9F" w:rsidP="00C75F0F">
            <w:pPr>
              <w:keepNext/>
              <w:jc w:val="center"/>
              <w:textAlignment w:val="bottom"/>
            </w:pPr>
            <w:r>
              <w:t>0</w:t>
            </w:r>
          </w:p>
        </w:tc>
        <w:tc>
          <w:tcPr>
            <w:tcW w:w="938" w:type="dxa"/>
            <w:tcBorders>
              <w:top w:val="single" w:sz="4" w:space="0" w:color="auto"/>
              <w:left w:val="single" w:sz="4" w:space="0" w:color="auto"/>
              <w:bottom w:val="single" w:sz="4" w:space="0" w:color="auto"/>
              <w:right w:val="single" w:sz="4" w:space="0" w:color="auto"/>
            </w:tcBorders>
            <w:vAlign w:val="center"/>
            <w:hideMark/>
          </w:tcPr>
          <w:p w14:paraId="38CEB177" w14:textId="6F62FF9B" w:rsidR="00C75F0F" w:rsidRPr="00C75F0F" w:rsidRDefault="00E30E9F" w:rsidP="00C75F0F">
            <w:pPr>
              <w:keepNext/>
              <w:jc w:val="center"/>
              <w:textAlignment w:val="bottom"/>
            </w:pPr>
            <w:r>
              <w:t>0</w:t>
            </w:r>
          </w:p>
        </w:tc>
        <w:tc>
          <w:tcPr>
            <w:tcW w:w="938" w:type="dxa"/>
            <w:tcBorders>
              <w:top w:val="single" w:sz="4" w:space="0" w:color="auto"/>
              <w:left w:val="single" w:sz="4" w:space="0" w:color="auto"/>
              <w:bottom w:val="single" w:sz="4" w:space="0" w:color="auto"/>
              <w:right w:val="single" w:sz="4" w:space="0" w:color="auto"/>
            </w:tcBorders>
            <w:vAlign w:val="center"/>
            <w:hideMark/>
          </w:tcPr>
          <w:p w14:paraId="6C7B0116" w14:textId="43F4D0B3" w:rsidR="00C75F0F" w:rsidRPr="00C75F0F" w:rsidRDefault="00E30E9F" w:rsidP="00C75F0F">
            <w:pPr>
              <w:keepNext/>
              <w:jc w:val="center"/>
              <w:textAlignment w:val="bottom"/>
            </w:pPr>
            <w:r>
              <w:t>0</w:t>
            </w:r>
          </w:p>
        </w:tc>
        <w:tc>
          <w:tcPr>
            <w:tcW w:w="938" w:type="dxa"/>
            <w:tcBorders>
              <w:top w:val="single" w:sz="4" w:space="0" w:color="auto"/>
              <w:left w:val="single" w:sz="4" w:space="0" w:color="auto"/>
              <w:bottom w:val="single" w:sz="4" w:space="0" w:color="auto"/>
              <w:right w:val="single" w:sz="4" w:space="0" w:color="auto"/>
            </w:tcBorders>
            <w:vAlign w:val="center"/>
            <w:hideMark/>
          </w:tcPr>
          <w:p w14:paraId="45E5A78C" w14:textId="21F73261" w:rsidR="00C75F0F" w:rsidRPr="00C75F0F" w:rsidRDefault="00E30E9F" w:rsidP="00C75F0F">
            <w:pPr>
              <w:keepNext/>
              <w:jc w:val="center"/>
              <w:textAlignment w:val="bottom"/>
            </w:pPr>
            <w:r>
              <w:t>0</w:t>
            </w:r>
          </w:p>
        </w:tc>
        <w:tc>
          <w:tcPr>
            <w:tcW w:w="938" w:type="dxa"/>
            <w:tcBorders>
              <w:top w:val="single" w:sz="4" w:space="0" w:color="auto"/>
              <w:left w:val="single" w:sz="4" w:space="0" w:color="auto"/>
              <w:bottom w:val="single" w:sz="4" w:space="0" w:color="auto"/>
              <w:right w:val="single" w:sz="4" w:space="0" w:color="auto"/>
            </w:tcBorders>
            <w:vAlign w:val="center"/>
            <w:hideMark/>
          </w:tcPr>
          <w:p w14:paraId="165977C2" w14:textId="2354746E" w:rsidR="00C75F0F" w:rsidRPr="00C75F0F" w:rsidRDefault="00E30E9F" w:rsidP="00C75F0F">
            <w:pPr>
              <w:keepNext/>
              <w:jc w:val="center"/>
              <w:textAlignment w:val="bottom"/>
            </w:pPr>
            <w:r>
              <w:t>0</w:t>
            </w:r>
          </w:p>
        </w:tc>
      </w:tr>
      <w:tr w:rsidR="00C75F0F" w:rsidRPr="00C75F0F" w14:paraId="6A268584" w14:textId="77777777" w:rsidTr="00C75F0F">
        <w:trPr>
          <w:trHeight w:val="352"/>
        </w:trPr>
        <w:tc>
          <w:tcPr>
            <w:tcW w:w="27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1C61F02" w14:textId="77777777" w:rsidR="00C75F0F" w:rsidRPr="00C75F0F" w:rsidRDefault="00C75F0F" w:rsidP="00C75F0F">
            <w:pPr>
              <w:keepNext/>
              <w:jc w:val="center"/>
            </w:pPr>
            <w:r w:rsidRPr="00C75F0F">
              <w:t>Br2, Br3</w:t>
            </w:r>
          </w:p>
        </w:tc>
        <w:tc>
          <w:tcPr>
            <w:tcW w:w="939" w:type="dxa"/>
            <w:tcBorders>
              <w:top w:val="single" w:sz="4" w:space="0" w:color="auto"/>
              <w:left w:val="single" w:sz="4" w:space="0" w:color="auto"/>
              <w:bottom w:val="single" w:sz="4" w:space="0" w:color="auto"/>
              <w:right w:val="single" w:sz="4" w:space="0" w:color="auto"/>
            </w:tcBorders>
            <w:vAlign w:val="center"/>
            <w:hideMark/>
          </w:tcPr>
          <w:p w14:paraId="78A05C9A" w14:textId="7A03547C" w:rsidR="00C75F0F" w:rsidRPr="00C75F0F" w:rsidRDefault="00E30E9F" w:rsidP="00C75F0F">
            <w:pPr>
              <w:keepNext/>
              <w:jc w:val="center"/>
              <w:textAlignment w:val="bottom"/>
            </w:pPr>
            <w:r>
              <w:t>0</w:t>
            </w:r>
          </w:p>
        </w:tc>
        <w:tc>
          <w:tcPr>
            <w:tcW w:w="939" w:type="dxa"/>
            <w:tcBorders>
              <w:top w:val="single" w:sz="4" w:space="0" w:color="auto"/>
              <w:left w:val="single" w:sz="4" w:space="0" w:color="auto"/>
              <w:bottom w:val="single" w:sz="4" w:space="0" w:color="auto"/>
              <w:right w:val="single" w:sz="4" w:space="0" w:color="auto"/>
            </w:tcBorders>
            <w:vAlign w:val="center"/>
            <w:hideMark/>
          </w:tcPr>
          <w:p w14:paraId="3B0D7339" w14:textId="6CCCFF8C" w:rsidR="00C75F0F" w:rsidRPr="00C75F0F" w:rsidRDefault="00E30E9F" w:rsidP="00C75F0F">
            <w:pPr>
              <w:keepNext/>
              <w:jc w:val="center"/>
              <w:textAlignment w:val="bottom"/>
            </w:pPr>
            <w:r>
              <w:t>0</w:t>
            </w:r>
          </w:p>
        </w:tc>
        <w:tc>
          <w:tcPr>
            <w:tcW w:w="938" w:type="dxa"/>
            <w:tcBorders>
              <w:top w:val="single" w:sz="4" w:space="0" w:color="auto"/>
              <w:left w:val="single" w:sz="4" w:space="0" w:color="auto"/>
              <w:bottom w:val="single" w:sz="4" w:space="0" w:color="auto"/>
              <w:right w:val="single" w:sz="4" w:space="0" w:color="auto"/>
            </w:tcBorders>
            <w:vAlign w:val="center"/>
            <w:hideMark/>
          </w:tcPr>
          <w:p w14:paraId="0E0A29E7" w14:textId="0F748A49" w:rsidR="00C75F0F" w:rsidRPr="00C75F0F" w:rsidRDefault="00E30E9F" w:rsidP="00C75F0F">
            <w:pPr>
              <w:keepNext/>
              <w:jc w:val="center"/>
              <w:textAlignment w:val="bottom"/>
            </w:pPr>
            <w:r>
              <w:t>0</w:t>
            </w:r>
            <w:r w:rsidR="00C75F0F" w:rsidRPr="00C75F0F">
              <w:t>,1</w:t>
            </w:r>
          </w:p>
        </w:tc>
        <w:tc>
          <w:tcPr>
            <w:tcW w:w="938" w:type="dxa"/>
            <w:tcBorders>
              <w:top w:val="single" w:sz="4" w:space="0" w:color="auto"/>
              <w:left w:val="single" w:sz="4" w:space="0" w:color="auto"/>
              <w:bottom w:val="single" w:sz="4" w:space="0" w:color="auto"/>
              <w:right w:val="single" w:sz="4" w:space="0" w:color="auto"/>
            </w:tcBorders>
            <w:vAlign w:val="center"/>
            <w:hideMark/>
          </w:tcPr>
          <w:p w14:paraId="36F62E61" w14:textId="04E9BFB5" w:rsidR="00C75F0F" w:rsidRPr="00C75F0F" w:rsidRDefault="00E30E9F" w:rsidP="00C75F0F">
            <w:pPr>
              <w:keepNext/>
              <w:jc w:val="center"/>
              <w:textAlignment w:val="bottom"/>
            </w:pPr>
            <w:r>
              <w:t>0</w:t>
            </w:r>
          </w:p>
        </w:tc>
        <w:tc>
          <w:tcPr>
            <w:tcW w:w="938" w:type="dxa"/>
            <w:tcBorders>
              <w:top w:val="single" w:sz="4" w:space="0" w:color="auto"/>
              <w:left w:val="single" w:sz="4" w:space="0" w:color="auto"/>
              <w:bottom w:val="single" w:sz="4" w:space="0" w:color="auto"/>
              <w:right w:val="single" w:sz="4" w:space="0" w:color="auto"/>
            </w:tcBorders>
            <w:vAlign w:val="center"/>
            <w:hideMark/>
          </w:tcPr>
          <w:p w14:paraId="1D5E0034" w14:textId="166C242D" w:rsidR="00C75F0F" w:rsidRPr="00C75F0F" w:rsidRDefault="00E30E9F" w:rsidP="00C75F0F">
            <w:pPr>
              <w:keepNext/>
              <w:jc w:val="center"/>
              <w:textAlignment w:val="bottom"/>
            </w:pPr>
            <w:r>
              <w:t>0</w:t>
            </w:r>
          </w:p>
        </w:tc>
        <w:tc>
          <w:tcPr>
            <w:tcW w:w="938" w:type="dxa"/>
            <w:tcBorders>
              <w:top w:val="single" w:sz="4" w:space="0" w:color="auto"/>
              <w:left w:val="single" w:sz="4" w:space="0" w:color="auto"/>
              <w:bottom w:val="single" w:sz="4" w:space="0" w:color="auto"/>
              <w:right w:val="single" w:sz="4" w:space="0" w:color="auto"/>
            </w:tcBorders>
            <w:vAlign w:val="center"/>
            <w:hideMark/>
          </w:tcPr>
          <w:p w14:paraId="3A3A90E0" w14:textId="4DB48646" w:rsidR="00C75F0F" w:rsidRPr="00C75F0F" w:rsidRDefault="00E30E9F" w:rsidP="00C75F0F">
            <w:pPr>
              <w:keepNext/>
              <w:jc w:val="center"/>
              <w:textAlignment w:val="bottom"/>
            </w:pPr>
            <w:r>
              <w:t>0</w:t>
            </w:r>
            <w:r w:rsidR="00C75F0F" w:rsidRPr="00C75F0F">
              <w:t>,1</w:t>
            </w:r>
          </w:p>
        </w:tc>
        <w:tc>
          <w:tcPr>
            <w:tcW w:w="938" w:type="dxa"/>
            <w:tcBorders>
              <w:top w:val="single" w:sz="4" w:space="0" w:color="auto"/>
              <w:left w:val="single" w:sz="4" w:space="0" w:color="auto"/>
              <w:bottom w:val="single" w:sz="4" w:space="0" w:color="auto"/>
              <w:right w:val="single" w:sz="4" w:space="0" w:color="auto"/>
            </w:tcBorders>
            <w:vAlign w:val="center"/>
            <w:hideMark/>
          </w:tcPr>
          <w:p w14:paraId="73D4ADE0" w14:textId="2190008D" w:rsidR="00C75F0F" w:rsidRPr="00C75F0F" w:rsidRDefault="00E30E9F" w:rsidP="00C75F0F">
            <w:pPr>
              <w:keepNext/>
              <w:jc w:val="center"/>
              <w:textAlignment w:val="bottom"/>
            </w:pPr>
            <w:r>
              <w:t>0</w:t>
            </w:r>
            <w:r w:rsidR="00C75F0F" w:rsidRPr="00C75F0F">
              <w:t>,2</w:t>
            </w:r>
          </w:p>
        </w:tc>
        <w:tc>
          <w:tcPr>
            <w:tcW w:w="938" w:type="dxa"/>
            <w:tcBorders>
              <w:top w:val="single" w:sz="4" w:space="0" w:color="auto"/>
              <w:left w:val="single" w:sz="4" w:space="0" w:color="auto"/>
              <w:bottom w:val="single" w:sz="4" w:space="0" w:color="auto"/>
              <w:right w:val="single" w:sz="4" w:space="0" w:color="auto"/>
            </w:tcBorders>
            <w:vAlign w:val="center"/>
            <w:hideMark/>
          </w:tcPr>
          <w:p w14:paraId="411F55AC" w14:textId="2C71E1E3" w:rsidR="00C75F0F" w:rsidRPr="00C75F0F" w:rsidRDefault="00E30E9F" w:rsidP="00C75F0F">
            <w:pPr>
              <w:keepNext/>
              <w:jc w:val="center"/>
              <w:textAlignment w:val="bottom"/>
            </w:pPr>
            <w:r>
              <w:t>0</w:t>
            </w:r>
            <w:r w:rsidR="00C75F0F" w:rsidRPr="00C75F0F">
              <w:t>,2</w:t>
            </w:r>
          </w:p>
        </w:tc>
      </w:tr>
    </w:tbl>
    <w:p w14:paraId="62DD1795" w14:textId="303818CE" w:rsidR="00C75F0F" w:rsidRPr="00C75F0F" w:rsidRDefault="00C75F0F" w:rsidP="00C75F0F">
      <w:pPr>
        <w:spacing w:line="240" w:lineRule="auto"/>
        <w:rPr>
          <w:rFonts w:ascii="Calibri" w:eastAsia="Calibri" w:hAnsi="Calibri" w:cs="Times New Roman"/>
          <w:sz w:val="20"/>
          <w:szCs w:val="20"/>
        </w:rPr>
      </w:pPr>
    </w:p>
    <w:p w14:paraId="1CB43A45" w14:textId="77777777" w:rsidR="006C7734" w:rsidRDefault="006C7734" w:rsidP="007B643E"/>
    <w:p w14:paraId="22ACCE51" w14:textId="70681091" w:rsidR="00224648" w:rsidRPr="007B643E" w:rsidRDefault="00224648" w:rsidP="00B42CF3">
      <w:pPr>
        <w:pStyle w:val="Titre5"/>
      </w:pPr>
      <w:r w:rsidRPr="007B643E">
        <w:lastRenderedPageBreak/>
        <w:t>Valeurs des coefficients décrits à l’</w:t>
      </w:r>
      <w:r>
        <w:fldChar w:fldCharType="begin"/>
      </w:r>
      <w:r>
        <w:instrText xml:space="preserve"> REF _Ref57387808 \r \h </w:instrText>
      </w:r>
      <w:r>
        <w:fldChar w:fldCharType="separate"/>
      </w:r>
      <w:r w:rsidR="00E9780A">
        <w:t>Article 13</w:t>
      </w:r>
      <w:r>
        <w:fldChar w:fldCharType="end"/>
      </w:r>
      <w:r>
        <w:fldChar w:fldCharType="begin"/>
      </w:r>
      <w:r>
        <w:instrText xml:space="preserve"> REF _Ref57387808 \h </w:instrText>
      </w:r>
      <w:r>
        <w:fldChar w:fldCharType="separate"/>
      </w:r>
      <w:r w:rsidR="00E9780A">
        <w:t xml:space="preserve">(Cepmax, Cep,nr_max et </w:t>
      </w:r>
      <w:r w:rsidR="00E9780A" w:rsidRPr="00166544">
        <w:t>Ic</w:t>
      </w:r>
      <w:r w:rsidR="00E9780A" w:rsidRPr="00166544">
        <w:rPr>
          <w:vertAlign w:val="subscript"/>
        </w:rPr>
        <w:t>énergie</w:t>
      </w:r>
      <w:r w:rsidR="00E9780A" w:rsidRPr="00166544">
        <w:t>_max</w:t>
      </w:r>
      <w:r w:rsidR="00E9780A">
        <w:t>)</w:t>
      </w:r>
      <w:r>
        <w:fldChar w:fldCharType="end"/>
      </w:r>
    </w:p>
    <w:p w14:paraId="11AEB7C2" w14:textId="47D00401" w:rsidR="00224648" w:rsidRPr="007B643E" w:rsidRDefault="00224648" w:rsidP="00E8319A">
      <w:pPr>
        <w:pStyle w:val="Titre6"/>
        <w:numPr>
          <w:ilvl w:val="0"/>
          <w:numId w:val="24"/>
        </w:numPr>
      </w:pPr>
      <w:r>
        <w:t>Valeurs de</w:t>
      </w:r>
      <w:r w:rsidRPr="00224648">
        <w:t xml:space="preserve"> </w:t>
      </w:r>
      <w:r>
        <w:t>Cep,nr</w:t>
      </w:r>
      <w:r w:rsidRPr="007B643E">
        <w:t>_maxmoyen</w:t>
      </w:r>
      <w:r>
        <w:t>, Cep</w:t>
      </w:r>
      <w:r w:rsidRPr="007B643E">
        <w:t>_maxmoyen</w:t>
      </w:r>
      <w:r>
        <w:t xml:space="preserve"> </w:t>
      </w:r>
      <w:r w:rsidRPr="00224648">
        <w:t>et Ic</w:t>
      </w:r>
      <w:r w:rsidRPr="00224648">
        <w:rPr>
          <w:vertAlign w:val="subscript"/>
        </w:rPr>
        <w:t>énergie</w:t>
      </w:r>
      <w:r w:rsidRPr="00224648">
        <w:t xml:space="preserve"> _maxmoyen </w:t>
      </w:r>
    </w:p>
    <w:p w14:paraId="3896F12A" w14:textId="77777777" w:rsidR="00224648" w:rsidRDefault="00224648" w:rsidP="00445109">
      <w:pPr>
        <w:keepNext/>
      </w:pPr>
    </w:p>
    <w:p w14:paraId="70E4B54F" w14:textId="35048439" w:rsidR="00445109" w:rsidRPr="00224648" w:rsidRDefault="00445109" w:rsidP="00445109">
      <w:pPr>
        <w:keepNext/>
      </w:pPr>
      <w:r w:rsidRPr="00224648">
        <w:t>Les coefficients Cep,nr_maxmoyen, Cep_maxmoyen et Ic</w:t>
      </w:r>
      <w:r w:rsidRPr="00224648">
        <w:rPr>
          <w:vertAlign w:val="subscript"/>
        </w:rPr>
        <w:t>énergie</w:t>
      </w:r>
      <w:r w:rsidR="00003F58">
        <w:t>_maxmoyen</w:t>
      </w:r>
      <w:r w:rsidRPr="00224648">
        <w:t xml:space="preserve"> prennent les valeurs suivantes, en fonction de l’usage de la partie de bâtiment :</w:t>
      </w:r>
    </w:p>
    <w:tbl>
      <w:tblPr>
        <w:tblStyle w:val="Grilledutableau"/>
        <w:tblW w:w="5000" w:type="pct"/>
        <w:tblLook w:val="04A0" w:firstRow="1" w:lastRow="0" w:firstColumn="1" w:lastColumn="0" w:noHBand="0" w:noVBand="1"/>
      </w:tblPr>
      <w:tblGrid>
        <w:gridCol w:w="3231"/>
        <w:gridCol w:w="1942"/>
        <w:gridCol w:w="1943"/>
        <w:gridCol w:w="1946"/>
      </w:tblGrid>
      <w:tr w:rsidR="00445109" w:rsidRPr="00224648" w14:paraId="7729F403" w14:textId="06A494DB" w:rsidTr="00445109">
        <w:tc>
          <w:tcPr>
            <w:tcW w:w="1783" w:type="pct"/>
            <w:shd w:val="clear" w:color="auto" w:fill="A6A6A6" w:themeFill="background1" w:themeFillShade="A6"/>
            <w:vAlign w:val="center"/>
          </w:tcPr>
          <w:p w14:paraId="110C8A45" w14:textId="77777777" w:rsidR="00445109" w:rsidRPr="00224648" w:rsidRDefault="00445109" w:rsidP="00FC0B23">
            <w:pPr>
              <w:keepNext/>
              <w:jc w:val="center"/>
            </w:pPr>
            <w:r w:rsidRPr="00224648">
              <w:t>Usage de la partie de bâtiment</w:t>
            </w:r>
          </w:p>
        </w:tc>
        <w:tc>
          <w:tcPr>
            <w:tcW w:w="1072" w:type="pct"/>
            <w:shd w:val="clear" w:color="auto" w:fill="A6A6A6" w:themeFill="background1" w:themeFillShade="A6"/>
            <w:vAlign w:val="center"/>
          </w:tcPr>
          <w:p w14:paraId="29212234" w14:textId="39EFB82E" w:rsidR="00445109" w:rsidRPr="00224648" w:rsidRDefault="00445109" w:rsidP="00445109">
            <w:pPr>
              <w:keepNext/>
              <w:jc w:val="center"/>
            </w:pPr>
            <w:r w:rsidRPr="00224648">
              <w:t xml:space="preserve">Valeur de Cep,nr_maxmoyen </w:t>
            </w:r>
          </w:p>
        </w:tc>
        <w:tc>
          <w:tcPr>
            <w:tcW w:w="1072" w:type="pct"/>
            <w:shd w:val="clear" w:color="auto" w:fill="A6A6A6" w:themeFill="background1" w:themeFillShade="A6"/>
          </w:tcPr>
          <w:p w14:paraId="390220B0" w14:textId="29850615" w:rsidR="00445109" w:rsidRPr="00224648" w:rsidRDefault="00445109" w:rsidP="00445109">
            <w:pPr>
              <w:keepNext/>
              <w:jc w:val="center"/>
            </w:pPr>
            <w:r w:rsidRPr="00224648">
              <w:t>Valeur de Cep_maxmoyen</w:t>
            </w:r>
          </w:p>
        </w:tc>
        <w:tc>
          <w:tcPr>
            <w:tcW w:w="1073" w:type="pct"/>
            <w:shd w:val="clear" w:color="auto" w:fill="A6A6A6" w:themeFill="background1" w:themeFillShade="A6"/>
          </w:tcPr>
          <w:p w14:paraId="72EF5073" w14:textId="357BD64F" w:rsidR="00445109" w:rsidRPr="00224648" w:rsidRDefault="00445109" w:rsidP="00445109">
            <w:pPr>
              <w:keepNext/>
              <w:jc w:val="center"/>
            </w:pPr>
            <w:r w:rsidRPr="00224648">
              <w:t>Valeur de Ic</w:t>
            </w:r>
            <w:r w:rsidRPr="00224648">
              <w:rPr>
                <w:vertAlign w:val="subscript"/>
              </w:rPr>
              <w:t>énergie</w:t>
            </w:r>
            <w:r w:rsidRPr="00224648">
              <w:t>_maxmoyen </w:t>
            </w:r>
          </w:p>
        </w:tc>
      </w:tr>
      <w:tr w:rsidR="00445109" w:rsidRPr="00224648" w14:paraId="59846020" w14:textId="61EE4323" w:rsidTr="00445109">
        <w:tc>
          <w:tcPr>
            <w:tcW w:w="1783" w:type="pct"/>
            <w:shd w:val="clear" w:color="auto" w:fill="F2F2F2" w:themeFill="background1" w:themeFillShade="F2"/>
            <w:vAlign w:val="center"/>
          </w:tcPr>
          <w:p w14:paraId="1F83101A" w14:textId="77777777" w:rsidR="00445109" w:rsidRPr="00224648" w:rsidRDefault="00445109" w:rsidP="00FC0B23">
            <w:pPr>
              <w:keepNext/>
              <w:jc w:val="left"/>
            </w:pPr>
            <w:r w:rsidRPr="00224648">
              <w:t>Maisons individuelles ou accolées</w:t>
            </w:r>
          </w:p>
        </w:tc>
        <w:tc>
          <w:tcPr>
            <w:tcW w:w="1072" w:type="pct"/>
            <w:vAlign w:val="center"/>
          </w:tcPr>
          <w:p w14:paraId="020D766A" w14:textId="5464D6C8" w:rsidR="00445109" w:rsidRPr="00224648" w:rsidRDefault="00445109" w:rsidP="00FC0B23">
            <w:pPr>
              <w:keepNext/>
              <w:jc w:val="center"/>
            </w:pPr>
            <w:r w:rsidRPr="00224648">
              <w:t>55 kWhep/(m².an)</w:t>
            </w:r>
          </w:p>
        </w:tc>
        <w:tc>
          <w:tcPr>
            <w:tcW w:w="1072" w:type="pct"/>
          </w:tcPr>
          <w:p w14:paraId="7DEF4730" w14:textId="14727617" w:rsidR="00445109" w:rsidRPr="00224648" w:rsidRDefault="00B64F22" w:rsidP="00FC0B23">
            <w:pPr>
              <w:keepNext/>
              <w:jc w:val="center"/>
            </w:pPr>
            <w:r>
              <w:t>7</w:t>
            </w:r>
            <w:r w:rsidRPr="00224648">
              <w:t xml:space="preserve">5 </w:t>
            </w:r>
            <w:r w:rsidR="00445109" w:rsidRPr="00224648">
              <w:t>kWhep/(m².an)</w:t>
            </w:r>
          </w:p>
        </w:tc>
        <w:tc>
          <w:tcPr>
            <w:tcW w:w="1073" w:type="pct"/>
          </w:tcPr>
          <w:p w14:paraId="0C927D32" w14:textId="569F7E2B" w:rsidR="00445109" w:rsidRPr="00224648" w:rsidRDefault="00445109">
            <w:pPr>
              <w:keepNext/>
              <w:jc w:val="center"/>
            </w:pPr>
            <w:r w:rsidRPr="00224648">
              <w:t>160 kgCO2/m²</w:t>
            </w:r>
          </w:p>
        </w:tc>
      </w:tr>
      <w:tr w:rsidR="00445109" w:rsidRPr="00224648" w14:paraId="1287D217" w14:textId="6AD994B8" w:rsidTr="00445109">
        <w:tc>
          <w:tcPr>
            <w:tcW w:w="1783" w:type="pct"/>
            <w:shd w:val="clear" w:color="auto" w:fill="F2F2F2" w:themeFill="background1" w:themeFillShade="F2"/>
            <w:vAlign w:val="center"/>
          </w:tcPr>
          <w:p w14:paraId="46689E7E" w14:textId="77777777" w:rsidR="00445109" w:rsidRPr="00224648" w:rsidRDefault="00445109" w:rsidP="00FC0B23">
            <w:pPr>
              <w:keepNext/>
              <w:jc w:val="left"/>
            </w:pPr>
            <w:r w:rsidRPr="00224648">
              <w:t>Logements collectifs</w:t>
            </w:r>
          </w:p>
        </w:tc>
        <w:tc>
          <w:tcPr>
            <w:tcW w:w="1072" w:type="pct"/>
            <w:vAlign w:val="center"/>
          </w:tcPr>
          <w:p w14:paraId="369523B6" w14:textId="0CEDE411" w:rsidR="00445109" w:rsidRPr="00224648" w:rsidRDefault="00445109" w:rsidP="00FC0B23">
            <w:pPr>
              <w:keepNext/>
              <w:jc w:val="center"/>
            </w:pPr>
            <w:r w:rsidRPr="00224648">
              <w:t>70 kWhep/(m².an)</w:t>
            </w:r>
          </w:p>
        </w:tc>
        <w:tc>
          <w:tcPr>
            <w:tcW w:w="1072" w:type="pct"/>
          </w:tcPr>
          <w:p w14:paraId="70EB7E41" w14:textId="06291EA9" w:rsidR="00445109" w:rsidRPr="00224648" w:rsidRDefault="00B64F22" w:rsidP="00FC0B23">
            <w:pPr>
              <w:keepNext/>
              <w:jc w:val="center"/>
            </w:pPr>
            <w:r>
              <w:t>8</w:t>
            </w:r>
            <w:r w:rsidRPr="00224648">
              <w:t xml:space="preserve">5 </w:t>
            </w:r>
            <w:r w:rsidR="00445109" w:rsidRPr="00224648">
              <w:t>kWhep/(m².an)</w:t>
            </w:r>
          </w:p>
        </w:tc>
        <w:tc>
          <w:tcPr>
            <w:tcW w:w="1073" w:type="pct"/>
          </w:tcPr>
          <w:p w14:paraId="382B4178" w14:textId="2E23DC98" w:rsidR="00445109" w:rsidRPr="00224648" w:rsidRDefault="00445109">
            <w:pPr>
              <w:keepNext/>
              <w:jc w:val="center"/>
            </w:pPr>
            <w:r w:rsidRPr="00224648">
              <w:t>560 kgCO2/m²</w:t>
            </w:r>
          </w:p>
        </w:tc>
      </w:tr>
      <w:tr w:rsidR="00445109" w:rsidRPr="00224648" w14:paraId="24527935" w14:textId="6E7B5E59" w:rsidTr="00445109">
        <w:tc>
          <w:tcPr>
            <w:tcW w:w="1783" w:type="pct"/>
            <w:shd w:val="clear" w:color="auto" w:fill="F2F2F2" w:themeFill="background1" w:themeFillShade="F2"/>
            <w:vAlign w:val="center"/>
          </w:tcPr>
          <w:p w14:paraId="7F936F14" w14:textId="77777777" w:rsidR="00445109" w:rsidRPr="00224648" w:rsidRDefault="00445109" w:rsidP="00FC0B23">
            <w:pPr>
              <w:keepNext/>
              <w:jc w:val="left"/>
            </w:pPr>
            <w:r w:rsidRPr="00224648">
              <w:t>Bureaux</w:t>
            </w:r>
          </w:p>
        </w:tc>
        <w:tc>
          <w:tcPr>
            <w:tcW w:w="1072" w:type="pct"/>
            <w:vAlign w:val="center"/>
          </w:tcPr>
          <w:p w14:paraId="56195158" w14:textId="77777777" w:rsidR="00445109" w:rsidRPr="00224648" w:rsidRDefault="00445109" w:rsidP="00FC0B23">
            <w:pPr>
              <w:keepNext/>
              <w:jc w:val="center"/>
            </w:pPr>
          </w:p>
        </w:tc>
        <w:tc>
          <w:tcPr>
            <w:tcW w:w="1072" w:type="pct"/>
          </w:tcPr>
          <w:p w14:paraId="58E76091" w14:textId="77777777" w:rsidR="00445109" w:rsidRPr="00224648" w:rsidRDefault="00445109" w:rsidP="00FC0B23">
            <w:pPr>
              <w:keepNext/>
              <w:jc w:val="center"/>
            </w:pPr>
          </w:p>
        </w:tc>
        <w:tc>
          <w:tcPr>
            <w:tcW w:w="1073" w:type="pct"/>
          </w:tcPr>
          <w:p w14:paraId="0DDF80A9" w14:textId="77777777" w:rsidR="00445109" w:rsidRPr="00224648" w:rsidRDefault="00445109" w:rsidP="00FC0B23">
            <w:pPr>
              <w:keepNext/>
              <w:jc w:val="center"/>
            </w:pPr>
          </w:p>
        </w:tc>
      </w:tr>
      <w:tr w:rsidR="00445109" w:rsidRPr="00224648" w14:paraId="02C24C23" w14:textId="52577E7A" w:rsidTr="00445109">
        <w:tc>
          <w:tcPr>
            <w:tcW w:w="1783" w:type="pct"/>
            <w:shd w:val="clear" w:color="auto" w:fill="F2F2F2" w:themeFill="background1" w:themeFillShade="F2"/>
            <w:vAlign w:val="center"/>
          </w:tcPr>
          <w:p w14:paraId="0B00B0BC" w14:textId="77777777" w:rsidR="00445109" w:rsidRPr="00224648" w:rsidRDefault="00445109" w:rsidP="00FC0B23">
            <w:pPr>
              <w:keepNext/>
              <w:jc w:val="left"/>
            </w:pPr>
            <w:r w:rsidRPr="00224648">
              <w:t>Enseignement</w:t>
            </w:r>
          </w:p>
        </w:tc>
        <w:tc>
          <w:tcPr>
            <w:tcW w:w="1072" w:type="pct"/>
            <w:vAlign w:val="center"/>
          </w:tcPr>
          <w:p w14:paraId="3488E4E7" w14:textId="77777777" w:rsidR="00445109" w:rsidRPr="00224648" w:rsidRDefault="00445109" w:rsidP="00FC0B23">
            <w:pPr>
              <w:keepNext/>
              <w:jc w:val="center"/>
            </w:pPr>
          </w:p>
        </w:tc>
        <w:tc>
          <w:tcPr>
            <w:tcW w:w="1072" w:type="pct"/>
          </w:tcPr>
          <w:p w14:paraId="5943D156" w14:textId="77777777" w:rsidR="00445109" w:rsidRPr="00224648" w:rsidRDefault="00445109" w:rsidP="00FC0B23">
            <w:pPr>
              <w:keepNext/>
              <w:jc w:val="center"/>
            </w:pPr>
          </w:p>
        </w:tc>
        <w:tc>
          <w:tcPr>
            <w:tcW w:w="1073" w:type="pct"/>
          </w:tcPr>
          <w:p w14:paraId="019BF92C" w14:textId="77777777" w:rsidR="00445109" w:rsidRPr="00224648" w:rsidRDefault="00445109" w:rsidP="00FC0B23">
            <w:pPr>
              <w:keepNext/>
              <w:jc w:val="center"/>
            </w:pPr>
          </w:p>
        </w:tc>
      </w:tr>
    </w:tbl>
    <w:p w14:paraId="76985302" w14:textId="57352EDC" w:rsidR="00445109" w:rsidRPr="00224648" w:rsidRDefault="00445109" w:rsidP="00445109"/>
    <w:p w14:paraId="2E539D57" w14:textId="2F3FE4F9" w:rsidR="00445109" w:rsidRPr="00224648" w:rsidRDefault="00445109" w:rsidP="00445109">
      <w:r w:rsidRPr="00224648">
        <w:t>À compter du 1</w:t>
      </w:r>
      <w:r w:rsidRPr="00224648">
        <w:rPr>
          <w:vertAlign w:val="superscript"/>
        </w:rPr>
        <w:t>er</w:t>
      </w:r>
      <w:r w:rsidRPr="00224648">
        <w:t xml:space="preserve"> janvier 2024, pour les logements collectifs, la valeur de Ic</w:t>
      </w:r>
      <w:r w:rsidRPr="00224648">
        <w:rPr>
          <w:vertAlign w:val="subscript"/>
        </w:rPr>
        <w:t>énergie</w:t>
      </w:r>
      <w:r w:rsidRPr="00224648">
        <w:t>_maxmoyen devient égale à 240 kgCO2/m².</w:t>
      </w:r>
    </w:p>
    <w:p w14:paraId="7D57D4A5" w14:textId="77777777" w:rsidR="00224648" w:rsidRPr="00224648" w:rsidRDefault="00224648" w:rsidP="00445109"/>
    <w:p w14:paraId="5F79B986" w14:textId="67FDBF8B" w:rsidR="006C7734" w:rsidRPr="00224648" w:rsidRDefault="006C7734" w:rsidP="00A02594">
      <w:pPr>
        <w:pStyle w:val="Titre6"/>
      </w:pPr>
      <w:r w:rsidRPr="00224648">
        <w:lastRenderedPageBreak/>
        <w:t xml:space="preserve">Valeurs des coefficients de modulation des exigences Cep,nr_max, Cep_max et </w:t>
      </w:r>
      <w:r w:rsidR="00F81657" w:rsidRPr="00224648">
        <w:t>de Ic</w:t>
      </w:r>
      <w:r w:rsidR="00F81657" w:rsidRPr="00224648">
        <w:rPr>
          <w:vertAlign w:val="subscript"/>
        </w:rPr>
        <w:t>énergie</w:t>
      </w:r>
      <w:r w:rsidR="00F81657" w:rsidRPr="00224648">
        <w:t xml:space="preserve">_max </w:t>
      </w:r>
      <w:r w:rsidRPr="00224648">
        <w:t>:</w:t>
      </w:r>
    </w:p>
    <w:p w14:paraId="57CCB261" w14:textId="77777777" w:rsidR="00F81657" w:rsidRPr="00224648" w:rsidRDefault="00F81657" w:rsidP="00A02594">
      <w:pPr>
        <w:pStyle w:val="Titre7"/>
      </w:pPr>
      <w:r w:rsidRPr="00224648">
        <w:t>Maisons individuelles ou accolées</w:t>
      </w:r>
    </w:p>
    <w:p w14:paraId="62E4146B" w14:textId="565B7FA8" w:rsidR="00F81657" w:rsidRPr="00224648" w:rsidRDefault="00F81657" w:rsidP="00F81657">
      <w:pPr>
        <w:keepNext/>
      </w:pPr>
      <w:r w:rsidRPr="00224648">
        <w:t xml:space="preserve">Le coefficient </w:t>
      </w:r>
      <w:r w:rsidRPr="00224648">
        <w:rPr>
          <w:b/>
        </w:rPr>
        <w:t>Mcgéo</w:t>
      </w:r>
      <w:r w:rsidRPr="00224648">
        <w:t xml:space="preserve"> de modulation de Cep,nr_max, Cep_max et Ic</w:t>
      </w:r>
      <w:r w:rsidRPr="00224648">
        <w:rPr>
          <w:vertAlign w:val="subscript"/>
        </w:rPr>
        <w:t>énergie</w:t>
      </w:r>
      <w:r w:rsidRPr="00224648">
        <w:t>_max selon la localisation géographique (zone climatique et altitude) du bâtiment prend les valeurs suivantes :</w:t>
      </w:r>
    </w:p>
    <w:tbl>
      <w:tblPr>
        <w:tblStyle w:val="Grilledutableau"/>
        <w:tblW w:w="10220" w:type="dxa"/>
        <w:tblLook w:val="0600" w:firstRow="0" w:lastRow="0" w:firstColumn="0" w:lastColumn="0" w:noHBand="1" w:noVBand="1"/>
      </w:tblPr>
      <w:tblGrid>
        <w:gridCol w:w="2714"/>
        <w:gridCol w:w="939"/>
        <w:gridCol w:w="939"/>
        <w:gridCol w:w="938"/>
        <w:gridCol w:w="938"/>
        <w:gridCol w:w="938"/>
        <w:gridCol w:w="938"/>
        <w:gridCol w:w="938"/>
        <w:gridCol w:w="938"/>
      </w:tblGrid>
      <w:tr w:rsidR="00F81657" w:rsidRPr="00224648" w14:paraId="19EA34D1" w14:textId="77777777" w:rsidTr="00E30E9F">
        <w:trPr>
          <w:trHeight w:val="352"/>
        </w:trPr>
        <w:tc>
          <w:tcPr>
            <w:tcW w:w="2714" w:type="dxa"/>
            <w:tcBorders>
              <w:tl2br w:val="single" w:sz="4" w:space="0" w:color="auto"/>
            </w:tcBorders>
            <w:shd w:val="clear" w:color="auto" w:fill="A6A6A6" w:themeFill="background1" w:themeFillShade="A6"/>
            <w:hideMark/>
          </w:tcPr>
          <w:p w14:paraId="62F03D43" w14:textId="77777777" w:rsidR="00F81657" w:rsidRPr="00224648" w:rsidRDefault="00F81657" w:rsidP="00FC0B23">
            <w:pPr>
              <w:keepNext/>
              <w:jc w:val="right"/>
            </w:pPr>
            <w:r w:rsidRPr="00224648">
              <w:t xml:space="preserve">Zone climatique </w:t>
            </w:r>
          </w:p>
          <w:p w14:paraId="356B1EDD" w14:textId="77777777" w:rsidR="00F81657" w:rsidRPr="00224648" w:rsidRDefault="00F81657" w:rsidP="00FC0B23">
            <w:pPr>
              <w:keepNext/>
            </w:pPr>
            <w:r w:rsidRPr="00224648">
              <w:t>Altitude</w:t>
            </w:r>
          </w:p>
        </w:tc>
        <w:tc>
          <w:tcPr>
            <w:tcW w:w="939" w:type="dxa"/>
            <w:tcBorders>
              <w:bottom w:val="single" w:sz="4" w:space="0" w:color="auto"/>
            </w:tcBorders>
            <w:shd w:val="clear" w:color="auto" w:fill="A6A6A6" w:themeFill="background1" w:themeFillShade="A6"/>
            <w:vAlign w:val="center"/>
            <w:hideMark/>
          </w:tcPr>
          <w:p w14:paraId="698BD0DC" w14:textId="77777777" w:rsidR="00F81657" w:rsidRPr="00224648" w:rsidRDefault="00F81657" w:rsidP="00FC0B23">
            <w:pPr>
              <w:keepNext/>
              <w:jc w:val="center"/>
            </w:pPr>
            <w:r w:rsidRPr="00224648">
              <w:t>H1a</w:t>
            </w:r>
          </w:p>
        </w:tc>
        <w:tc>
          <w:tcPr>
            <w:tcW w:w="939" w:type="dxa"/>
            <w:tcBorders>
              <w:bottom w:val="single" w:sz="4" w:space="0" w:color="auto"/>
            </w:tcBorders>
            <w:shd w:val="clear" w:color="auto" w:fill="A6A6A6" w:themeFill="background1" w:themeFillShade="A6"/>
            <w:vAlign w:val="center"/>
            <w:hideMark/>
          </w:tcPr>
          <w:p w14:paraId="33D87A30" w14:textId="77777777" w:rsidR="00F81657" w:rsidRPr="00224648" w:rsidRDefault="00F81657" w:rsidP="00FC0B23">
            <w:pPr>
              <w:keepNext/>
              <w:jc w:val="center"/>
            </w:pPr>
            <w:r w:rsidRPr="00224648">
              <w:t>H1b</w:t>
            </w:r>
          </w:p>
        </w:tc>
        <w:tc>
          <w:tcPr>
            <w:tcW w:w="938" w:type="dxa"/>
            <w:tcBorders>
              <w:bottom w:val="single" w:sz="4" w:space="0" w:color="auto"/>
            </w:tcBorders>
            <w:shd w:val="clear" w:color="auto" w:fill="A6A6A6" w:themeFill="background1" w:themeFillShade="A6"/>
            <w:vAlign w:val="center"/>
            <w:hideMark/>
          </w:tcPr>
          <w:p w14:paraId="12D45D5B" w14:textId="77777777" w:rsidR="00F81657" w:rsidRPr="00224648" w:rsidRDefault="00F81657" w:rsidP="00FC0B23">
            <w:pPr>
              <w:keepNext/>
              <w:jc w:val="center"/>
            </w:pPr>
            <w:r w:rsidRPr="00224648">
              <w:t>H1c</w:t>
            </w:r>
          </w:p>
        </w:tc>
        <w:tc>
          <w:tcPr>
            <w:tcW w:w="938" w:type="dxa"/>
            <w:tcBorders>
              <w:bottom w:val="single" w:sz="4" w:space="0" w:color="auto"/>
            </w:tcBorders>
            <w:shd w:val="clear" w:color="auto" w:fill="A6A6A6" w:themeFill="background1" w:themeFillShade="A6"/>
            <w:vAlign w:val="center"/>
            <w:hideMark/>
          </w:tcPr>
          <w:p w14:paraId="780E1E55" w14:textId="77777777" w:rsidR="00F81657" w:rsidRPr="00224648" w:rsidRDefault="00F81657" w:rsidP="00FC0B23">
            <w:pPr>
              <w:keepNext/>
              <w:jc w:val="center"/>
            </w:pPr>
            <w:r w:rsidRPr="00224648">
              <w:t>H2a</w:t>
            </w:r>
          </w:p>
        </w:tc>
        <w:tc>
          <w:tcPr>
            <w:tcW w:w="938" w:type="dxa"/>
            <w:tcBorders>
              <w:bottom w:val="single" w:sz="4" w:space="0" w:color="auto"/>
            </w:tcBorders>
            <w:shd w:val="clear" w:color="auto" w:fill="A6A6A6" w:themeFill="background1" w:themeFillShade="A6"/>
            <w:vAlign w:val="center"/>
            <w:hideMark/>
          </w:tcPr>
          <w:p w14:paraId="50AE9E83" w14:textId="77777777" w:rsidR="00F81657" w:rsidRPr="00224648" w:rsidRDefault="00F81657" w:rsidP="00FC0B23">
            <w:pPr>
              <w:keepNext/>
              <w:jc w:val="center"/>
            </w:pPr>
            <w:r w:rsidRPr="00224648">
              <w:t>H2b</w:t>
            </w:r>
          </w:p>
        </w:tc>
        <w:tc>
          <w:tcPr>
            <w:tcW w:w="938" w:type="dxa"/>
            <w:tcBorders>
              <w:bottom w:val="single" w:sz="4" w:space="0" w:color="auto"/>
            </w:tcBorders>
            <w:shd w:val="clear" w:color="auto" w:fill="A6A6A6" w:themeFill="background1" w:themeFillShade="A6"/>
            <w:vAlign w:val="center"/>
            <w:hideMark/>
          </w:tcPr>
          <w:p w14:paraId="5603D657" w14:textId="77777777" w:rsidR="00F81657" w:rsidRPr="00224648" w:rsidRDefault="00F81657" w:rsidP="00FC0B23">
            <w:pPr>
              <w:keepNext/>
              <w:jc w:val="center"/>
            </w:pPr>
            <w:r w:rsidRPr="00224648">
              <w:t>H2c</w:t>
            </w:r>
          </w:p>
        </w:tc>
        <w:tc>
          <w:tcPr>
            <w:tcW w:w="938" w:type="dxa"/>
            <w:tcBorders>
              <w:bottom w:val="single" w:sz="4" w:space="0" w:color="auto"/>
            </w:tcBorders>
            <w:shd w:val="clear" w:color="auto" w:fill="A6A6A6" w:themeFill="background1" w:themeFillShade="A6"/>
            <w:vAlign w:val="center"/>
            <w:hideMark/>
          </w:tcPr>
          <w:p w14:paraId="6C429DC5" w14:textId="77777777" w:rsidR="00F81657" w:rsidRPr="00224648" w:rsidRDefault="00F81657" w:rsidP="00FC0B23">
            <w:pPr>
              <w:keepNext/>
              <w:jc w:val="center"/>
            </w:pPr>
            <w:r w:rsidRPr="00224648">
              <w:t>H2d</w:t>
            </w:r>
          </w:p>
        </w:tc>
        <w:tc>
          <w:tcPr>
            <w:tcW w:w="938" w:type="dxa"/>
            <w:tcBorders>
              <w:bottom w:val="single" w:sz="4" w:space="0" w:color="auto"/>
            </w:tcBorders>
            <w:shd w:val="clear" w:color="auto" w:fill="A6A6A6" w:themeFill="background1" w:themeFillShade="A6"/>
            <w:vAlign w:val="center"/>
            <w:hideMark/>
          </w:tcPr>
          <w:p w14:paraId="52AB8A6C" w14:textId="7CEA5B42" w:rsidR="00F81657" w:rsidRPr="00224648" w:rsidRDefault="00097506" w:rsidP="00FC0B23">
            <w:pPr>
              <w:keepNext/>
              <w:jc w:val="center"/>
            </w:pPr>
            <w:r>
              <w:t>H</w:t>
            </w:r>
            <w:r w:rsidR="00F81657" w:rsidRPr="00224648">
              <w:t>3</w:t>
            </w:r>
          </w:p>
        </w:tc>
      </w:tr>
      <w:tr w:rsidR="00E30E9F" w:rsidRPr="00224648" w14:paraId="317CE528" w14:textId="77777777" w:rsidTr="00E30E9F">
        <w:trPr>
          <w:trHeight w:val="352"/>
        </w:trPr>
        <w:tc>
          <w:tcPr>
            <w:tcW w:w="2714" w:type="dxa"/>
            <w:shd w:val="clear" w:color="auto" w:fill="F2F2F2" w:themeFill="background1" w:themeFillShade="F2"/>
            <w:vAlign w:val="center"/>
            <w:hideMark/>
          </w:tcPr>
          <w:p w14:paraId="48F8F8C3" w14:textId="77777777" w:rsidR="00E30E9F" w:rsidRPr="00224648" w:rsidRDefault="00E30E9F" w:rsidP="00E30E9F">
            <w:pPr>
              <w:keepNext/>
              <w:jc w:val="center"/>
            </w:pPr>
            <w:r w:rsidRPr="00224648">
              <w:t>&lt; 400m</w:t>
            </w:r>
          </w:p>
        </w:tc>
        <w:tc>
          <w:tcPr>
            <w:tcW w:w="939" w:type="dxa"/>
            <w:tcBorders>
              <w:top w:val="single" w:sz="4" w:space="0" w:color="auto"/>
              <w:left w:val="nil"/>
              <w:bottom w:val="single" w:sz="4" w:space="0" w:color="auto"/>
              <w:right w:val="single" w:sz="4" w:space="0" w:color="auto"/>
            </w:tcBorders>
            <w:shd w:val="clear" w:color="auto" w:fill="auto"/>
            <w:vAlign w:val="center"/>
          </w:tcPr>
          <w:p w14:paraId="126C2B95" w14:textId="27F391F1" w:rsidR="00E30E9F" w:rsidRPr="00E30E9F" w:rsidRDefault="00E30E9F" w:rsidP="00E30E9F">
            <w:pPr>
              <w:keepNext/>
              <w:jc w:val="center"/>
            </w:pPr>
            <w:r w:rsidRPr="00E30E9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14:paraId="5AD0A554" w14:textId="4632812C" w:rsidR="00E30E9F" w:rsidRPr="00E30E9F" w:rsidRDefault="00E30E9F" w:rsidP="00E30E9F">
            <w:pPr>
              <w:keepNext/>
              <w:jc w:val="center"/>
            </w:pPr>
            <w:r w:rsidRPr="00E30E9F">
              <w:t>0,15</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14:paraId="11637C2F" w14:textId="1A925EC9" w:rsidR="00E30E9F" w:rsidRPr="00E30E9F" w:rsidRDefault="00E30E9F" w:rsidP="00E30E9F">
            <w:pPr>
              <w:keepNext/>
              <w:jc w:val="center"/>
            </w:pPr>
            <w:r w:rsidRPr="00E30E9F">
              <w:t>0,1</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14:paraId="309FC36F" w14:textId="7C4B0AC6" w:rsidR="00E30E9F" w:rsidRPr="00E30E9F" w:rsidRDefault="00E30E9F" w:rsidP="00E30E9F">
            <w:pPr>
              <w:keepNext/>
              <w:jc w:val="center"/>
            </w:pPr>
            <w:r w:rsidRPr="00E30E9F">
              <w:t>-0,05</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14:paraId="7C19412D" w14:textId="65E95240" w:rsidR="00E30E9F" w:rsidRPr="00E30E9F" w:rsidRDefault="00E30E9F" w:rsidP="00BD73F5">
            <w:pPr>
              <w:keepNext/>
              <w:jc w:val="center"/>
            </w:pPr>
            <w:r w:rsidRPr="00E30E9F">
              <w:t>0</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14:paraId="6FE662F7" w14:textId="4305590F" w:rsidR="00E30E9F" w:rsidRPr="00E30E9F" w:rsidRDefault="00E30E9F" w:rsidP="00430CBB">
            <w:pPr>
              <w:keepNext/>
              <w:jc w:val="center"/>
            </w:pPr>
            <w:r w:rsidRPr="00E30E9F">
              <w:t>-0,1</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14:paraId="746F953D" w14:textId="3F367F4C" w:rsidR="00E30E9F" w:rsidRPr="00E30E9F" w:rsidRDefault="00E30E9F">
            <w:pPr>
              <w:keepNext/>
              <w:jc w:val="center"/>
            </w:pPr>
            <w:r w:rsidRPr="00E30E9F">
              <w:t>-0,2</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14:paraId="77BD3A92" w14:textId="28BE6133" w:rsidR="00E30E9F" w:rsidRPr="00E30E9F" w:rsidRDefault="00E30E9F">
            <w:pPr>
              <w:keepNext/>
              <w:jc w:val="center"/>
            </w:pPr>
            <w:r w:rsidRPr="00E30E9F">
              <w:t>-0,25</w:t>
            </w:r>
          </w:p>
        </w:tc>
      </w:tr>
      <w:tr w:rsidR="00E30E9F" w:rsidRPr="00224648" w14:paraId="5CBD58A9" w14:textId="77777777" w:rsidTr="00E30E9F">
        <w:trPr>
          <w:trHeight w:val="352"/>
        </w:trPr>
        <w:tc>
          <w:tcPr>
            <w:tcW w:w="2714" w:type="dxa"/>
            <w:shd w:val="clear" w:color="auto" w:fill="F2F2F2" w:themeFill="background1" w:themeFillShade="F2"/>
            <w:vAlign w:val="center"/>
            <w:hideMark/>
          </w:tcPr>
          <w:p w14:paraId="1F6FFB96" w14:textId="77777777" w:rsidR="00E30E9F" w:rsidRPr="00224648" w:rsidRDefault="00E30E9F" w:rsidP="00E30E9F">
            <w:pPr>
              <w:keepNext/>
              <w:jc w:val="center"/>
            </w:pPr>
            <w:r w:rsidRPr="00224648">
              <w:t>400m-800m</w:t>
            </w:r>
          </w:p>
        </w:tc>
        <w:tc>
          <w:tcPr>
            <w:tcW w:w="939" w:type="dxa"/>
            <w:tcBorders>
              <w:top w:val="single" w:sz="4" w:space="0" w:color="auto"/>
              <w:left w:val="nil"/>
              <w:bottom w:val="single" w:sz="4" w:space="0" w:color="auto"/>
              <w:right w:val="single" w:sz="4" w:space="0" w:color="auto"/>
            </w:tcBorders>
            <w:shd w:val="clear" w:color="auto" w:fill="auto"/>
            <w:vAlign w:val="center"/>
          </w:tcPr>
          <w:p w14:paraId="26136AFB" w14:textId="2AA3AC28" w:rsidR="00E30E9F" w:rsidRPr="00E30E9F" w:rsidRDefault="00E30E9F" w:rsidP="00E30E9F">
            <w:pPr>
              <w:keepNext/>
              <w:jc w:val="center"/>
            </w:pPr>
            <w:r w:rsidRPr="00E30E9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14:paraId="51FBEF95" w14:textId="64105112" w:rsidR="00E30E9F" w:rsidRPr="00E30E9F" w:rsidRDefault="00E30E9F" w:rsidP="00E30E9F">
            <w:pPr>
              <w:keepNext/>
              <w:jc w:val="center"/>
            </w:pPr>
            <w:r w:rsidRPr="00E30E9F">
              <w:t>0,5</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14:paraId="4922FD25" w14:textId="610317DF" w:rsidR="00E30E9F" w:rsidRPr="00E30E9F" w:rsidRDefault="00E30E9F" w:rsidP="00E30E9F">
            <w:pPr>
              <w:keepNext/>
              <w:jc w:val="center"/>
            </w:pPr>
            <w:r w:rsidRPr="00E30E9F">
              <w:t>0,4</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14:paraId="5E56625C" w14:textId="4EB7BB46" w:rsidR="00E30E9F" w:rsidRPr="00E30E9F" w:rsidRDefault="00E30E9F" w:rsidP="00E30E9F">
            <w:pPr>
              <w:keepNext/>
              <w:jc w:val="center"/>
            </w:pPr>
            <w:r w:rsidRPr="00E30E9F">
              <w:t>0,15</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14:paraId="33084F2B" w14:textId="79985088" w:rsidR="00E30E9F" w:rsidRPr="00E30E9F" w:rsidRDefault="00E30E9F" w:rsidP="00BD73F5">
            <w:pPr>
              <w:keepNext/>
              <w:jc w:val="center"/>
            </w:pPr>
            <w:r w:rsidRPr="00E30E9F">
              <w:t>0,3</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14:paraId="60D2061A" w14:textId="63566505" w:rsidR="00E30E9F" w:rsidRPr="00E30E9F" w:rsidRDefault="00E30E9F" w:rsidP="00430CBB">
            <w:pPr>
              <w:keepNext/>
              <w:jc w:val="center"/>
            </w:pPr>
            <w:r w:rsidRPr="00E30E9F">
              <w:t>0,05</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14:paraId="7440F958" w14:textId="046E5526" w:rsidR="00E30E9F" w:rsidRPr="00E30E9F" w:rsidRDefault="00E30E9F">
            <w:pPr>
              <w:keepNext/>
              <w:jc w:val="center"/>
            </w:pPr>
            <w:r w:rsidRPr="00E30E9F">
              <w:t>0</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14:paraId="7BAAA65E" w14:textId="17C54E9A" w:rsidR="00E30E9F" w:rsidRPr="00E30E9F" w:rsidRDefault="00E30E9F">
            <w:pPr>
              <w:keepNext/>
              <w:jc w:val="center"/>
            </w:pPr>
            <w:r w:rsidRPr="00E30E9F">
              <w:t>-0,1</w:t>
            </w:r>
          </w:p>
        </w:tc>
      </w:tr>
      <w:tr w:rsidR="00E30E9F" w:rsidRPr="00224648" w14:paraId="58947144" w14:textId="77777777" w:rsidTr="00E30E9F">
        <w:trPr>
          <w:trHeight w:val="352"/>
        </w:trPr>
        <w:tc>
          <w:tcPr>
            <w:tcW w:w="2714" w:type="dxa"/>
            <w:shd w:val="clear" w:color="auto" w:fill="F2F2F2" w:themeFill="background1" w:themeFillShade="F2"/>
            <w:vAlign w:val="center"/>
            <w:hideMark/>
          </w:tcPr>
          <w:p w14:paraId="66FF369D" w14:textId="77777777" w:rsidR="00E30E9F" w:rsidRPr="00224648" w:rsidRDefault="00E30E9F" w:rsidP="00E30E9F">
            <w:pPr>
              <w:keepNext/>
              <w:jc w:val="center"/>
            </w:pPr>
            <w:r w:rsidRPr="00224648">
              <w:t>&gt;800m</w:t>
            </w:r>
          </w:p>
        </w:tc>
        <w:tc>
          <w:tcPr>
            <w:tcW w:w="939" w:type="dxa"/>
            <w:tcBorders>
              <w:top w:val="single" w:sz="4" w:space="0" w:color="auto"/>
              <w:left w:val="nil"/>
              <w:bottom w:val="single" w:sz="4" w:space="0" w:color="auto"/>
              <w:right w:val="single" w:sz="4" w:space="0" w:color="auto"/>
            </w:tcBorders>
            <w:shd w:val="clear" w:color="auto" w:fill="auto"/>
            <w:vAlign w:val="center"/>
          </w:tcPr>
          <w:p w14:paraId="67DF2277" w14:textId="07651B7A" w:rsidR="00E30E9F" w:rsidRPr="00E30E9F" w:rsidRDefault="00E30E9F" w:rsidP="00E30E9F">
            <w:pPr>
              <w:keepNext/>
              <w:jc w:val="center"/>
            </w:pPr>
            <w:r w:rsidRPr="00E30E9F">
              <w:t>0,75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14:paraId="763A0B9D" w14:textId="4CDBCD45" w:rsidR="00E30E9F" w:rsidRPr="00E30E9F" w:rsidRDefault="00E30E9F" w:rsidP="00E30E9F">
            <w:pPr>
              <w:keepNext/>
              <w:jc w:val="center"/>
            </w:pPr>
            <w:r w:rsidRPr="00E30E9F">
              <w:t>0,85</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14:paraId="2BDC84D1" w14:textId="275EA184" w:rsidR="00E30E9F" w:rsidRPr="00E30E9F" w:rsidRDefault="00E30E9F" w:rsidP="00E30E9F">
            <w:pPr>
              <w:keepNext/>
              <w:jc w:val="center"/>
            </w:pPr>
            <w:r w:rsidRPr="00E30E9F">
              <w:t>0,75</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14:paraId="45E0064A" w14:textId="7467096F" w:rsidR="00E30E9F" w:rsidRPr="00E30E9F" w:rsidRDefault="00E30E9F" w:rsidP="00E30E9F">
            <w:pPr>
              <w:keepNext/>
              <w:jc w:val="center"/>
            </w:pPr>
            <w:r w:rsidRPr="00E30E9F">
              <w:t>0,55</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14:paraId="3E5E1FD9" w14:textId="2FE1E847" w:rsidR="00E30E9F" w:rsidRPr="00E30E9F" w:rsidRDefault="00E30E9F" w:rsidP="00BD73F5">
            <w:pPr>
              <w:keepNext/>
              <w:jc w:val="center"/>
            </w:pPr>
            <w:r w:rsidRPr="00E30E9F">
              <w:t>0,6</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14:paraId="3BF88EF1" w14:textId="0898B680" w:rsidR="00E30E9F" w:rsidRPr="00E30E9F" w:rsidRDefault="00E30E9F" w:rsidP="00430CBB">
            <w:pPr>
              <w:keepNext/>
              <w:jc w:val="center"/>
            </w:pPr>
            <w:r w:rsidRPr="00E30E9F">
              <w:t>0,35</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14:paraId="4990757D" w14:textId="659E03A5" w:rsidR="00E30E9F" w:rsidRPr="00E30E9F" w:rsidRDefault="00E30E9F">
            <w:pPr>
              <w:keepNext/>
              <w:jc w:val="center"/>
            </w:pPr>
            <w:r w:rsidRPr="00E30E9F">
              <w:t>0,25</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14:paraId="45F81041" w14:textId="79FEC527" w:rsidR="00E30E9F" w:rsidRPr="00E30E9F" w:rsidRDefault="00E30E9F">
            <w:pPr>
              <w:keepNext/>
              <w:jc w:val="center"/>
            </w:pPr>
            <w:r w:rsidRPr="00E30E9F">
              <w:t>0,15</w:t>
            </w:r>
          </w:p>
        </w:tc>
      </w:tr>
    </w:tbl>
    <w:p w14:paraId="51CA2DDF" w14:textId="77777777" w:rsidR="00F81657" w:rsidRPr="00224648" w:rsidRDefault="00F81657" w:rsidP="00E30E9F">
      <w:pPr>
        <w:keepNext/>
        <w:spacing w:after="0" w:line="240" w:lineRule="auto"/>
        <w:jc w:val="left"/>
      </w:pPr>
    </w:p>
    <w:p w14:paraId="6F1DE3A2" w14:textId="4BC87AAB" w:rsidR="002523E6" w:rsidRPr="00224648" w:rsidRDefault="002523E6" w:rsidP="002523E6">
      <w:pPr>
        <w:keepNext/>
      </w:pPr>
      <w:r w:rsidRPr="00224648">
        <w:t xml:space="preserve">Le coefficient </w:t>
      </w:r>
      <w:r w:rsidRPr="00224648">
        <w:rPr>
          <w:b/>
        </w:rPr>
        <w:t>M</w:t>
      </w:r>
      <w:r>
        <w:rPr>
          <w:b/>
        </w:rPr>
        <w:t>c</w:t>
      </w:r>
      <w:r w:rsidRPr="00224648">
        <w:rPr>
          <w:b/>
        </w:rPr>
        <w:t>com</w:t>
      </w:r>
      <w:r>
        <w:rPr>
          <w:b/>
        </w:rPr>
        <w:t>bles</w:t>
      </w:r>
      <w:r w:rsidRPr="00224648">
        <w:t xml:space="preserve"> de modulation du </w:t>
      </w:r>
      <w:r>
        <w:rPr>
          <w:rFonts w:cstheme="minorHAnsi"/>
        </w:rPr>
        <w:t>Cep,nr</w:t>
      </w:r>
      <w:r w:rsidRPr="00224648">
        <w:rPr>
          <w:rFonts w:cstheme="minorHAnsi"/>
        </w:rPr>
        <w:t>_max</w:t>
      </w:r>
      <w:r w:rsidRPr="00224648">
        <w:t>, Cep_max et Ic</w:t>
      </w:r>
      <w:r w:rsidRPr="00224648">
        <w:rPr>
          <w:vertAlign w:val="subscript"/>
        </w:rPr>
        <w:t>énergie</w:t>
      </w:r>
      <w:r w:rsidRPr="00224648">
        <w:t>_max selon la présence de combles aménagés dans le bâtiment ou la partie de bâtiment est calculé selon la formule suivante :</w:t>
      </w:r>
    </w:p>
    <w:p w14:paraId="68B2B762" w14:textId="595ED89F" w:rsidR="002523E6" w:rsidRPr="00224648" w:rsidRDefault="002523E6" w:rsidP="002523E6">
      <w:pPr>
        <w:keepNext/>
        <w:jc w:val="center"/>
        <w:rPr>
          <w:rFonts w:eastAsiaTheme="minorEastAsia"/>
        </w:rPr>
      </w:pPr>
      <m:oMathPara>
        <m:oMath>
          <m:r>
            <w:rPr>
              <w:rFonts w:ascii="Cambria Math" w:hAnsi="Cambria Math"/>
            </w:rPr>
            <m:t>Mccombles=</m:t>
          </m:r>
          <m:f>
            <m:fPr>
              <m:ctrlPr>
                <w:rPr>
                  <w:rFonts w:ascii="Cambria Math" w:hAnsi="Cambria Math"/>
                  <w:i/>
                </w:rPr>
              </m:ctrlPr>
            </m:fPr>
            <m:num>
              <m:r>
                <w:rPr>
                  <w:rFonts w:ascii="Cambria Math" w:hAnsi="Cambria Math"/>
                </w:rPr>
                <m:t>(0,4×Scombles)</m:t>
              </m:r>
            </m:num>
            <m:den>
              <m:r>
                <w:rPr>
                  <w:rFonts w:ascii="Cambria Math" w:hAnsi="Cambria Math"/>
                </w:rPr>
                <m:t>Sref</m:t>
              </m:r>
            </m:den>
          </m:f>
        </m:oMath>
      </m:oMathPara>
    </w:p>
    <w:p w14:paraId="2B321C6B" w14:textId="77777777" w:rsidR="002523E6" w:rsidRDefault="002523E6" w:rsidP="002523E6">
      <w:pPr>
        <w:keepNext/>
        <w:rPr>
          <w:rFonts w:eastAsiaTheme="minorEastAsia"/>
        </w:rPr>
      </w:pPr>
      <w:r w:rsidRPr="00224648">
        <w:rPr>
          <w:rFonts w:eastAsiaTheme="minorEastAsia"/>
        </w:rPr>
        <w:t>Où Scom</w:t>
      </w:r>
      <w:r>
        <w:rPr>
          <w:rFonts w:eastAsiaTheme="minorEastAsia"/>
        </w:rPr>
        <w:t>bles</w:t>
      </w:r>
      <w:r w:rsidRPr="00224648">
        <w:rPr>
          <w:rFonts w:eastAsiaTheme="minorEastAsia"/>
        </w:rPr>
        <w:t xml:space="preserve"> représente la surface</w:t>
      </w:r>
      <w:r>
        <w:rPr>
          <w:rFonts w:eastAsiaTheme="minorEastAsia"/>
        </w:rPr>
        <w:t xml:space="preserve"> de plancher</w:t>
      </w:r>
      <w:r w:rsidRPr="00224648">
        <w:rPr>
          <w:rFonts w:eastAsiaTheme="minorEastAsia"/>
        </w:rPr>
        <w:t xml:space="preserve"> des comble</w:t>
      </w:r>
      <w:r>
        <w:rPr>
          <w:rFonts w:eastAsiaTheme="minorEastAsia"/>
        </w:rPr>
        <w:t>s</w:t>
      </w:r>
      <w:r w:rsidRPr="00224648">
        <w:rPr>
          <w:rFonts w:eastAsiaTheme="minorEastAsia"/>
        </w:rPr>
        <w:t xml:space="preserve"> aménagés dont la hauteur sous plafond est inférieure à 1,8 mètres.</w:t>
      </w:r>
    </w:p>
    <w:p w14:paraId="4CFDC703" w14:textId="77777777" w:rsidR="002523E6" w:rsidRDefault="002523E6" w:rsidP="00F81657">
      <w:pPr>
        <w:keepNext/>
      </w:pPr>
    </w:p>
    <w:p w14:paraId="544E9AA1" w14:textId="7716BAF4" w:rsidR="00F81657" w:rsidRPr="00224648" w:rsidRDefault="00F81657" w:rsidP="00F81657">
      <w:pPr>
        <w:keepNext/>
      </w:pPr>
      <w:r w:rsidRPr="00224648">
        <w:t xml:space="preserve">Le coefficient </w:t>
      </w:r>
      <w:r w:rsidRPr="00224648">
        <w:rPr>
          <w:b/>
          <w:bCs/>
        </w:rPr>
        <w:t>Mcsur</w:t>
      </w:r>
      <w:r w:rsidRPr="00224648">
        <w:rPr>
          <w:b/>
        </w:rPr>
        <w:t>f</w:t>
      </w:r>
      <w:r w:rsidRPr="00224648">
        <w:t xml:space="preserve"> de modulation de Cep,nr_max, Cep_max et Ic</w:t>
      </w:r>
      <w:r w:rsidRPr="00224648">
        <w:rPr>
          <w:vertAlign w:val="subscript"/>
        </w:rPr>
        <w:t>énergie</w:t>
      </w:r>
      <w:r w:rsidRPr="00224648">
        <w:t xml:space="preserve">_max selon la surface moyenne des logements du bâtiment ou de la partie de bâtiment prend les </w:t>
      </w:r>
      <w:r w:rsidRPr="00AA57C7">
        <w:t>valeurs suivante</w:t>
      </w:r>
      <w:r w:rsidR="005E706D" w:rsidRPr="00AA57C7">
        <w:t>s</w:t>
      </w:r>
      <w:r w:rsidRPr="00AA57C7">
        <w:t> :</w:t>
      </w:r>
      <w:r w:rsidRPr="00224648">
        <w:tab/>
      </w:r>
    </w:p>
    <w:tbl>
      <w:tblPr>
        <w:tblStyle w:val="Grilledutableau"/>
        <w:tblW w:w="3441" w:type="pct"/>
        <w:jc w:val="center"/>
        <w:tblLook w:val="04A0" w:firstRow="1" w:lastRow="0" w:firstColumn="1" w:lastColumn="0" w:noHBand="0" w:noVBand="1"/>
      </w:tblPr>
      <w:tblGrid>
        <w:gridCol w:w="3410"/>
        <w:gridCol w:w="2826"/>
      </w:tblGrid>
      <w:tr w:rsidR="00F81657" w14:paraId="2BE52824" w14:textId="77777777" w:rsidTr="00FC0B23">
        <w:trPr>
          <w:jc w:val="center"/>
        </w:trPr>
        <w:tc>
          <w:tcPr>
            <w:tcW w:w="2734" w:type="pct"/>
            <w:shd w:val="clear" w:color="auto" w:fill="A6A6A6" w:themeFill="background1" w:themeFillShade="A6"/>
            <w:vAlign w:val="center"/>
          </w:tcPr>
          <w:p w14:paraId="668EEB6D" w14:textId="77777777" w:rsidR="00F81657" w:rsidRPr="00224648" w:rsidRDefault="00F81657" w:rsidP="00FC0B23">
            <w:pPr>
              <w:keepNext/>
              <w:jc w:val="center"/>
            </w:pPr>
            <w:r w:rsidRPr="00224648">
              <w:t>Surface moyenne des logements du bâtiment</w:t>
            </w:r>
          </w:p>
        </w:tc>
        <w:tc>
          <w:tcPr>
            <w:tcW w:w="2266" w:type="pct"/>
            <w:shd w:val="clear" w:color="auto" w:fill="A6A6A6" w:themeFill="background1" w:themeFillShade="A6"/>
            <w:vAlign w:val="center"/>
          </w:tcPr>
          <w:p w14:paraId="13EAA5BE" w14:textId="26A929A6" w:rsidR="00F81657" w:rsidRDefault="00E214C2" w:rsidP="00E214C2">
            <w:pPr>
              <w:keepNext/>
              <w:jc w:val="center"/>
            </w:pPr>
            <w:r w:rsidRPr="00224648">
              <w:t>M</w:t>
            </w:r>
            <w:r>
              <w:t>c</w:t>
            </w:r>
            <w:r w:rsidRPr="00224648">
              <w:t>surf</w:t>
            </w:r>
          </w:p>
        </w:tc>
      </w:tr>
      <w:tr w:rsidR="00F81657" w14:paraId="55874BE4" w14:textId="77777777" w:rsidTr="00F81657">
        <w:trPr>
          <w:jc w:val="center"/>
        </w:trPr>
        <w:tc>
          <w:tcPr>
            <w:tcW w:w="2734" w:type="pct"/>
            <w:shd w:val="clear" w:color="auto" w:fill="F2F2F2" w:themeFill="background1" w:themeFillShade="F2"/>
            <w:vAlign w:val="center"/>
          </w:tcPr>
          <w:p w14:paraId="1141B6D0" w14:textId="4CF4DACC" w:rsidR="00F81657" w:rsidRPr="006C7734" w:rsidRDefault="00866253" w:rsidP="00FC0B23">
            <w:pPr>
              <w:keepNext/>
              <w:jc w:val="center"/>
            </w:pPr>
            <m:oMathPara>
              <m:oMath>
                <m:sSub>
                  <m:sSubPr>
                    <m:ctrlPr>
                      <w:rPr>
                        <w:rFonts w:ascii="Cambria Math" w:hAnsi="Cambria Math"/>
                        <w:i/>
                        <w:iCs/>
                      </w:rPr>
                    </m:ctrlPr>
                  </m:sSubPr>
                  <m:e>
                    <m:r>
                      <w:rPr>
                        <w:rFonts w:ascii="Cambria Math" w:hAnsi="Cambria Math"/>
                      </w:rPr>
                      <m:t>Smoy</m:t>
                    </m:r>
                  </m:e>
                  <m:sub>
                    <m:r>
                      <w:rPr>
                        <w:rFonts w:ascii="Cambria Math" w:hAnsi="Cambria Math"/>
                      </w:rPr>
                      <m:t>lgt</m:t>
                    </m:r>
                  </m:sub>
                </m:sSub>
                <m:r>
                  <w:rPr>
                    <w:rFonts w:ascii="Cambria Math" w:hAnsi="Cambria Math"/>
                  </w:rPr>
                  <m:t>≤100 m²</m:t>
                </m:r>
              </m:oMath>
            </m:oMathPara>
          </w:p>
        </w:tc>
        <w:tc>
          <w:tcPr>
            <w:tcW w:w="2266" w:type="pct"/>
            <w:vAlign w:val="center"/>
          </w:tcPr>
          <w:p w14:paraId="210EF2DA" w14:textId="3482B1E0" w:rsidR="00F81657" w:rsidRDefault="00866253" w:rsidP="00A02594">
            <w:pPr>
              <w:keepNext/>
              <w:jc w:val="center"/>
            </w:pPr>
            <m:oMathPara>
              <m:oMath>
                <m:f>
                  <m:fPr>
                    <m:ctrlPr>
                      <w:rPr>
                        <w:rFonts w:ascii="Cambria Math" w:hAnsi="Cambria Math"/>
                        <w:i/>
                        <w:iCs/>
                      </w:rPr>
                    </m:ctrlPr>
                  </m:fPr>
                  <m:num>
                    <m:r>
                      <w:rPr>
                        <w:rFonts w:ascii="Cambria Math" w:hAnsi="Cambria Math"/>
                      </w:rPr>
                      <m:t>49,5-0,55*</m:t>
                    </m:r>
                    <m:sSub>
                      <m:sSubPr>
                        <m:ctrlPr>
                          <w:rPr>
                            <w:rFonts w:ascii="Cambria Math" w:hAnsi="Cambria Math"/>
                            <w:i/>
                            <w:iCs/>
                          </w:rPr>
                        </m:ctrlPr>
                      </m:sSubPr>
                      <m:e>
                        <m:r>
                          <w:rPr>
                            <w:rFonts w:ascii="Cambria Math" w:hAnsi="Cambria Math"/>
                          </w:rPr>
                          <m:t>Smoy</m:t>
                        </m:r>
                      </m:e>
                      <m:sub>
                        <m:r>
                          <w:rPr>
                            <w:rFonts w:ascii="Cambria Math" w:hAnsi="Cambria Math"/>
                          </w:rPr>
                          <m:t>lgt</m:t>
                        </m:r>
                      </m:sub>
                    </m:sSub>
                  </m:num>
                  <m:den>
                    <m:r>
                      <w:rPr>
                        <w:rFonts w:ascii="Cambria Math" w:hAnsi="Cambria Math"/>
                      </w:rPr>
                      <m:t>Cep,nr_maxmoyen</m:t>
                    </m:r>
                  </m:den>
                </m:f>
              </m:oMath>
            </m:oMathPara>
          </w:p>
        </w:tc>
      </w:tr>
      <w:tr w:rsidR="00F81657" w14:paraId="362D7FAE" w14:textId="77777777" w:rsidTr="00F81657">
        <w:trPr>
          <w:jc w:val="center"/>
        </w:trPr>
        <w:tc>
          <w:tcPr>
            <w:tcW w:w="2734" w:type="pct"/>
            <w:shd w:val="clear" w:color="auto" w:fill="F2F2F2" w:themeFill="background1" w:themeFillShade="F2"/>
            <w:vAlign w:val="center"/>
          </w:tcPr>
          <w:p w14:paraId="42775A98" w14:textId="35DA3C39" w:rsidR="00F81657" w:rsidRDefault="00F81657" w:rsidP="00F81657">
            <w:pPr>
              <w:keepNext/>
              <w:jc w:val="center"/>
            </w:pPr>
            <m:oMathPara>
              <m:oMath>
                <m:r>
                  <w:rPr>
                    <w:rFonts w:ascii="Cambria Math" w:hAnsi="Cambria Math"/>
                  </w:rPr>
                  <m:t xml:space="preserve">100 </m:t>
                </m:r>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&lt;</m:t>
                </m:r>
                <m:sSub>
                  <m:sSubPr>
                    <m:ctrlPr>
                      <w:rPr>
                        <w:rFonts w:ascii="Cambria Math" w:hAnsi="Cambria Math"/>
                        <w:i/>
                        <w:iCs/>
                      </w:rPr>
                    </m:ctrlPr>
                  </m:sSubPr>
                  <m:e>
                    <m:r>
                      <w:rPr>
                        <w:rFonts w:ascii="Cambria Math" w:hAnsi="Cambria Math"/>
                      </w:rPr>
                      <m:t>Smoy</m:t>
                    </m:r>
                  </m:e>
                  <m:sub>
                    <m:r>
                      <w:rPr>
                        <w:rFonts w:ascii="Cambria Math" w:hAnsi="Cambria Math"/>
                      </w:rPr>
                      <m:t>lgt</m:t>
                    </m:r>
                  </m:sub>
                </m:sSub>
                <m:r>
                  <w:rPr>
                    <w:rFonts w:ascii="Cambria Math" w:hAnsi="Cambria Math"/>
                  </w:rPr>
                  <m:t>≤150 m²</m:t>
                </m:r>
              </m:oMath>
            </m:oMathPara>
          </w:p>
        </w:tc>
        <w:tc>
          <w:tcPr>
            <w:tcW w:w="2266" w:type="pct"/>
            <w:vAlign w:val="center"/>
          </w:tcPr>
          <w:p w14:paraId="77DB6137" w14:textId="7461E44F" w:rsidR="00F81657" w:rsidRDefault="00866253" w:rsidP="00F81657">
            <w:pPr>
              <w:keepNext/>
              <w:jc w:val="center"/>
            </w:pPr>
            <m:oMathPara>
              <m:oMath>
                <m:f>
                  <m:fPr>
                    <m:ctrlPr>
                      <w:rPr>
                        <w:rFonts w:ascii="Cambria Math" w:hAnsi="Cambria Math"/>
                        <w:i/>
                        <w:iCs/>
                      </w:rPr>
                    </m:ctrlPr>
                  </m:fPr>
                  <m:num>
                    <m:r>
                      <w:rPr>
                        <w:rFonts w:ascii="Cambria Math" w:hAnsi="Cambria Math"/>
                      </w:rPr>
                      <m:t>14,5-0,2*</m:t>
                    </m:r>
                    <m:sSub>
                      <m:sSubPr>
                        <m:ctrlPr>
                          <w:rPr>
                            <w:rFonts w:ascii="Cambria Math" w:hAnsi="Cambria Math"/>
                            <w:i/>
                            <w:iCs/>
                          </w:rPr>
                        </m:ctrlPr>
                      </m:sSubPr>
                      <m:e>
                        <m:r>
                          <w:rPr>
                            <w:rFonts w:ascii="Cambria Math" w:hAnsi="Cambria Math"/>
                          </w:rPr>
                          <m:t>Smoy</m:t>
                        </m:r>
                      </m:e>
                      <m:sub>
                        <m:r>
                          <w:rPr>
                            <w:rFonts w:ascii="Cambria Math" w:hAnsi="Cambria Math"/>
                          </w:rPr>
                          <m:t>lgt</m:t>
                        </m:r>
                      </m:sub>
                    </m:sSub>
                  </m:num>
                  <m:den>
                    <m:r>
                      <w:rPr>
                        <w:rFonts w:ascii="Cambria Math" w:hAnsi="Cambria Math"/>
                      </w:rPr>
                      <m:t>Cep,nr_maxmoyen</m:t>
                    </m:r>
                  </m:den>
                </m:f>
              </m:oMath>
            </m:oMathPara>
          </w:p>
        </w:tc>
      </w:tr>
      <w:tr w:rsidR="00F81657" w14:paraId="5D339193" w14:textId="77777777" w:rsidTr="00F81657">
        <w:trPr>
          <w:jc w:val="center"/>
        </w:trPr>
        <w:tc>
          <w:tcPr>
            <w:tcW w:w="2734" w:type="pct"/>
            <w:shd w:val="clear" w:color="auto" w:fill="F2F2F2" w:themeFill="background1" w:themeFillShade="F2"/>
            <w:vAlign w:val="center"/>
          </w:tcPr>
          <w:p w14:paraId="0A880411" w14:textId="3EF7DC51" w:rsidR="00F81657" w:rsidRDefault="00866253" w:rsidP="00F81657">
            <w:pPr>
              <w:keepNext/>
              <w:jc w:val="center"/>
            </w:pPr>
            <m:oMathPara>
              <m:oMath>
                <m:sSub>
                  <m:sSubPr>
                    <m:ctrlPr>
                      <w:rPr>
                        <w:rFonts w:ascii="Cambria Math" w:hAnsi="Cambria Math"/>
                        <w:i/>
                        <w:iCs/>
                      </w:rPr>
                    </m:ctrlPr>
                  </m:sSubPr>
                  <m:e>
                    <m:r>
                      <w:rPr>
                        <w:rFonts w:ascii="Cambria Math" w:hAnsi="Cambria Math"/>
                      </w:rPr>
                      <m:t>Smoy</m:t>
                    </m:r>
                  </m:e>
                  <m:sub>
                    <m:r>
                      <w:rPr>
                        <w:rFonts w:ascii="Cambria Math" w:hAnsi="Cambria Math"/>
                      </w:rPr>
                      <m:t>lgt</m:t>
                    </m:r>
                  </m:sub>
                </m:sSub>
                <m:r>
                  <w:rPr>
                    <w:rFonts w:ascii="Cambria Math" w:hAnsi="Cambria Math"/>
                  </w:rPr>
                  <m:t>&gt;150 m²</m:t>
                </m:r>
              </m:oMath>
            </m:oMathPara>
          </w:p>
        </w:tc>
        <w:tc>
          <w:tcPr>
            <w:tcW w:w="2266" w:type="pct"/>
            <w:vAlign w:val="center"/>
          </w:tcPr>
          <w:p w14:paraId="1F10A917" w14:textId="5112C95A" w:rsidR="00F81657" w:rsidRDefault="00866253" w:rsidP="00F81657">
            <w:pPr>
              <w:keepNext/>
              <w:jc w:val="center"/>
            </w:pPr>
            <m:oMathPara>
              <m:oMath>
                <m:f>
                  <m:fPr>
                    <m:ctrlPr>
                      <w:rPr>
                        <w:rFonts w:ascii="Cambria Math" w:hAnsi="Cambria Math"/>
                        <w:i/>
                        <w:iCs/>
                      </w:rPr>
                    </m:ctrlPr>
                  </m:fPr>
                  <m:num>
                    <m:r>
                      <w:rPr>
                        <w:rFonts w:ascii="Cambria Math" w:hAnsi="Cambria Math"/>
                      </w:rPr>
                      <m:t>-15,5</m:t>
                    </m:r>
                  </m:num>
                  <m:den>
                    <m:r>
                      <w:rPr>
                        <w:rFonts w:ascii="Cambria Math" w:hAnsi="Cambria Math"/>
                      </w:rPr>
                      <m:t>Cep,nr_maxmoyen</m:t>
                    </m:r>
                  </m:den>
                </m:f>
              </m:oMath>
            </m:oMathPara>
          </w:p>
        </w:tc>
      </w:tr>
    </w:tbl>
    <w:p w14:paraId="1E64936A" w14:textId="77777777" w:rsidR="00F81657" w:rsidRDefault="00F81657" w:rsidP="00F81657"/>
    <w:p w14:paraId="13780946" w14:textId="64261AE2" w:rsidR="00F81657" w:rsidRDefault="00F81657" w:rsidP="00F81657">
      <w:r>
        <w:t xml:space="preserve">Le coefficient </w:t>
      </w:r>
      <w:r w:rsidR="00B777F9">
        <w:rPr>
          <w:b/>
          <w:bCs/>
        </w:rPr>
        <w:t xml:space="preserve">Mccat </w:t>
      </w:r>
      <w:r>
        <w:t xml:space="preserve">de modulation de Cep,nr_max, Cep_max et </w:t>
      </w:r>
      <w:r w:rsidRPr="00FC495C">
        <w:t>Ic</w:t>
      </w:r>
      <w:r w:rsidRPr="00FC495C">
        <w:rPr>
          <w:vertAlign w:val="subscript"/>
        </w:rPr>
        <w:t>énergie</w:t>
      </w:r>
      <w:r w:rsidRPr="00FC495C">
        <w:t>_max</w:t>
      </w:r>
      <w:r>
        <w:t xml:space="preserve"> selon </w:t>
      </w:r>
      <w:r w:rsidR="00B777F9">
        <w:t>la catégorie</w:t>
      </w:r>
      <w:r w:rsidR="00B777F9" w:rsidRPr="008B5EC4">
        <w:t xml:space="preserve"> de contraintes extérieures</w:t>
      </w:r>
      <w:r w:rsidR="00B777F9">
        <w:t xml:space="preserve"> </w:t>
      </w:r>
      <w:r>
        <w:t>du bâtiment ou de la partie de bâtiment prend les valeurs suivantes :</w:t>
      </w:r>
    </w:p>
    <w:tbl>
      <w:tblPr>
        <w:tblStyle w:val="Grilledutableau"/>
        <w:tblW w:w="10220" w:type="dxa"/>
        <w:tblLook w:val="0600" w:firstRow="0" w:lastRow="0" w:firstColumn="0" w:lastColumn="0" w:noHBand="1" w:noVBand="1"/>
      </w:tblPr>
      <w:tblGrid>
        <w:gridCol w:w="2972"/>
        <w:gridCol w:w="906"/>
        <w:gridCol w:w="906"/>
        <w:gridCol w:w="906"/>
        <w:gridCol w:w="906"/>
        <w:gridCol w:w="906"/>
        <w:gridCol w:w="906"/>
        <w:gridCol w:w="906"/>
        <w:gridCol w:w="906"/>
      </w:tblGrid>
      <w:tr w:rsidR="00EE4D02" w14:paraId="073CCC09" w14:textId="77777777" w:rsidTr="006941F7">
        <w:trPr>
          <w:trHeight w:val="352"/>
        </w:trPr>
        <w:tc>
          <w:tcPr>
            <w:tcW w:w="2972" w:type="dxa"/>
            <w:tcBorders>
              <w:top w:val="single" w:sz="4" w:space="0" w:color="auto"/>
              <w:left w:val="single" w:sz="4" w:space="0" w:color="auto"/>
              <w:bottom w:val="single" w:sz="4" w:space="0" w:color="auto"/>
              <w:right w:val="single" w:sz="4" w:space="0" w:color="auto"/>
              <w:tl2br w:val="single" w:sz="4" w:space="0" w:color="auto"/>
            </w:tcBorders>
            <w:shd w:val="clear" w:color="auto" w:fill="A6A6A6" w:themeFill="background1" w:themeFillShade="A6"/>
            <w:hideMark/>
          </w:tcPr>
          <w:p w14:paraId="6763158A" w14:textId="77777777" w:rsidR="00EE4D02" w:rsidRDefault="00EE4D02" w:rsidP="006941F7">
            <w:pPr>
              <w:keepNext/>
              <w:jc w:val="right"/>
            </w:pPr>
            <w:r>
              <w:t xml:space="preserve">Zone climatique </w:t>
            </w:r>
          </w:p>
          <w:p w14:paraId="5F3E36E8" w14:textId="77777777" w:rsidR="00EE4D02" w:rsidRDefault="00EE4D02" w:rsidP="006941F7">
            <w:pPr>
              <w:keepNext/>
            </w:pPr>
            <w:r>
              <w:t xml:space="preserve">Catégorie </w:t>
            </w:r>
          </w:p>
          <w:p w14:paraId="70CD5212" w14:textId="77777777" w:rsidR="00EE4D02" w:rsidRDefault="00EE4D02" w:rsidP="006941F7">
            <w:pPr>
              <w:keepNext/>
            </w:pPr>
            <w:r>
              <w:t>de contraintes extérieure</w:t>
            </w:r>
          </w:p>
        </w:tc>
        <w:tc>
          <w:tcPr>
            <w:tcW w:w="90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FD27D0B" w14:textId="77777777" w:rsidR="00EE4D02" w:rsidRDefault="00EE4D02" w:rsidP="006941F7">
            <w:pPr>
              <w:keepNext/>
              <w:jc w:val="center"/>
            </w:pPr>
            <w:r>
              <w:t>H1a</w:t>
            </w:r>
          </w:p>
        </w:tc>
        <w:tc>
          <w:tcPr>
            <w:tcW w:w="90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913D641" w14:textId="77777777" w:rsidR="00EE4D02" w:rsidRDefault="00EE4D02" w:rsidP="006941F7">
            <w:pPr>
              <w:keepNext/>
              <w:jc w:val="center"/>
            </w:pPr>
            <w:r>
              <w:t>H1b</w:t>
            </w:r>
          </w:p>
        </w:tc>
        <w:tc>
          <w:tcPr>
            <w:tcW w:w="90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90F4B7D" w14:textId="77777777" w:rsidR="00EE4D02" w:rsidRDefault="00EE4D02" w:rsidP="006941F7">
            <w:pPr>
              <w:keepNext/>
              <w:jc w:val="center"/>
            </w:pPr>
            <w:r>
              <w:t>H1c</w:t>
            </w:r>
          </w:p>
        </w:tc>
        <w:tc>
          <w:tcPr>
            <w:tcW w:w="90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4ACFC603" w14:textId="77777777" w:rsidR="00EE4D02" w:rsidRDefault="00EE4D02" w:rsidP="006941F7">
            <w:pPr>
              <w:keepNext/>
              <w:jc w:val="center"/>
            </w:pPr>
            <w:r>
              <w:t>H2a</w:t>
            </w:r>
          </w:p>
        </w:tc>
        <w:tc>
          <w:tcPr>
            <w:tcW w:w="90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FEC457F" w14:textId="77777777" w:rsidR="00EE4D02" w:rsidRDefault="00EE4D02" w:rsidP="006941F7">
            <w:pPr>
              <w:keepNext/>
              <w:jc w:val="center"/>
            </w:pPr>
            <w:r>
              <w:t>H2b</w:t>
            </w:r>
          </w:p>
        </w:tc>
        <w:tc>
          <w:tcPr>
            <w:tcW w:w="90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4632DBE6" w14:textId="77777777" w:rsidR="00EE4D02" w:rsidRDefault="00EE4D02" w:rsidP="006941F7">
            <w:pPr>
              <w:keepNext/>
              <w:jc w:val="center"/>
            </w:pPr>
            <w:r>
              <w:t>H2c</w:t>
            </w:r>
          </w:p>
        </w:tc>
        <w:tc>
          <w:tcPr>
            <w:tcW w:w="90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82ADA54" w14:textId="77777777" w:rsidR="00EE4D02" w:rsidRDefault="00EE4D02" w:rsidP="006941F7">
            <w:pPr>
              <w:keepNext/>
              <w:jc w:val="center"/>
            </w:pPr>
            <w:r>
              <w:t>H2d</w:t>
            </w:r>
          </w:p>
        </w:tc>
        <w:tc>
          <w:tcPr>
            <w:tcW w:w="90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F067ED8" w14:textId="0BF7F66B" w:rsidR="00EE4D02" w:rsidRDefault="00097506">
            <w:pPr>
              <w:keepNext/>
              <w:jc w:val="center"/>
            </w:pPr>
            <w:r>
              <w:t>H</w:t>
            </w:r>
            <w:r w:rsidR="00EE4D02">
              <w:t>3</w:t>
            </w:r>
          </w:p>
        </w:tc>
      </w:tr>
      <w:tr w:rsidR="00EE4D02" w14:paraId="272DB621" w14:textId="77777777" w:rsidTr="006941F7">
        <w:trPr>
          <w:trHeight w:val="352"/>
        </w:trPr>
        <w:tc>
          <w:tcPr>
            <w:tcW w:w="29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26C2526" w14:textId="77777777" w:rsidR="00EE4D02" w:rsidRDefault="00EE4D02" w:rsidP="006941F7">
            <w:pPr>
              <w:keepNext/>
              <w:jc w:val="center"/>
            </w:pPr>
            <w:r>
              <w:t>Catégorie 1</w:t>
            </w:r>
          </w:p>
        </w:tc>
        <w:tc>
          <w:tcPr>
            <w:tcW w:w="906" w:type="dxa"/>
            <w:tcBorders>
              <w:top w:val="single" w:sz="4" w:space="0" w:color="auto"/>
              <w:left w:val="single" w:sz="4" w:space="0" w:color="auto"/>
              <w:bottom w:val="single" w:sz="4" w:space="0" w:color="auto"/>
              <w:right w:val="single" w:sz="4" w:space="0" w:color="auto"/>
            </w:tcBorders>
            <w:vAlign w:val="center"/>
            <w:hideMark/>
          </w:tcPr>
          <w:p w14:paraId="49D9FF44" w14:textId="24E2328F" w:rsidR="00EE4D02" w:rsidRPr="00EE4D02" w:rsidRDefault="00E30E9F" w:rsidP="006941F7">
            <w:pPr>
              <w:keepNext/>
              <w:jc w:val="center"/>
              <w:textAlignment w:val="bottom"/>
            </w:pPr>
            <w:r>
              <w:t>0</w:t>
            </w:r>
          </w:p>
        </w:tc>
        <w:tc>
          <w:tcPr>
            <w:tcW w:w="906" w:type="dxa"/>
            <w:tcBorders>
              <w:top w:val="single" w:sz="4" w:space="0" w:color="auto"/>
              <w:left w:val="single" w:sz="4" w:space="0" w:color="auto"/>
              <w:bottom w:val="single" w:sz="4" w:space="0" w:color="auto"/>
              <w:right w:val="single" w:sz="4" w:space="0" w:color="auto"/>
            </w:tcBorders>
            <w:vAlign w:val="center"/>
            <w:hideMark/>
          </w:tcPr>
          <w:p w14:paraId="4B22B316" w14:textId="14BA655A" w:rsidR="00EE4D02" w:rsidRPr="00EE4D02" w:rsidRDefault="00E30E9F" w:rsidP="006941F7">
            <w:pPr>
              <w:keepNext/>
              <w:jc w:val="center"/>
              <w:textAlignment w:val="bottom"/>
            </w:pPr>
            <w:r>
              <w:t>0</w:t>
            </w:r>
          </w:p>
        </w:tc>
        <w:tc>
          <w:tcPr>
            <w:tcW w:w="906" w:type="dxa"/>
            <w:tcBorders>
              <w:top w:val="single" w:sz="4" w:space="0" w:color="auto"/>
              <w:left w:val="single" w:sz="4" w:space="0" w:color="auto"/>
              <w:bottom w:val="single" w:sz="4" w:space="0" w:color="auto"/>
              <w:right w:val="single" w:sz="4" w:space="0" w:color="auto"/>
            </w:tcBorders>
            <w:vAlign w:val="center"/>
            <w:hideMark/>
          </w:tcPr>
          <w:p w14:paraId="0D3D359A" w14:textId="4DCEF986" w:rsidR="00EE4D02" w:rsidRPr="00EE4D02" w:rsidRDefault="00E30E9F" w:rsidP="006941F7">
            <w:pPr>
              <w:keepNext/>
              <w:jc w:val="center"/>
              <w:textAlignment w:val="bottom"/>
            </w:pPr>
            <w:r>
              <w:t>0</w:t>
            </w:r>
          </w:p>
        </w:tc>
        <w:tc>
          <w:tcPr>
            <w:tcW w:w="906" w:type="dxa"/>
            <w:tcBorders>
              <w:top w:val="single" w:sz="4" w:space="0" w:color="auto"/>
              <w:left w:val="single" w:sz="4" w:space="0" w:color="auto"/>
              <w:bottom w:val="single" w:sz="4" w:space="0" w:color="auto"/>
              <w:right w:val="single" w:sz="4" w:space="0" w:color="auto"/>
            </w:tcBorders>
            <w:vAlign w:val="center"/>
            <w:hideMark/>
          </w:tcPr>
          <w:p w14:paraId="003E09ED" w14:textId="18475CA1" w:rsidR="00EE4D02" w:rsidRPr="00EE4D02" w:rsidRDefault="00E30E9F" w:rsidP="006941F7">
            <w:pPr>
              <w:keepNext/>
              <w:jc w:val="center"/>
              <w:textAlignment w:val="bottom"/>
            </w:pPr>
            <w:r>
              <w:t>0</w:t>
            </w:r>
          </w:p>
        </w:tc>
        <w:tc>
          <w:tcPr>
            <w:tcW w:w="906" w:type="dxa"/>
            <w:tcBorders>
              <w:top w:val="single" w:sz="4" w:space="0" w:color="auto"/>
              <w:left w:val="single" w:sz="4" w:space="0" w:color="auto"/>
              <w:bottom w:val="single" w:sz="4" w:space="0" w:color="auto"/>
              <w:right w:val="single" w:sz="4" w:space="0" w:color="auto"/>
            </w:tcBorders>
            <w:vAlign w:val="center"/>
            <w:hideMark/>
          </w:tcPr>
          <w:p w14:paraId="670F6651" w14:textId="04B942E4" w:rsidR="00EE4D02" w:rsidRPr="00EE4D02" w:rsidRDefault="00E30E9F" w:rsidP="006941F7">
            <w:pPr>
              <w:keepNext/>
              <w:jc w:val="center"/>
              <w:textAlignment w:val="bottom"/>
            </w:pPr>
            <w:r>
              <w:t>0</w:t>
            </w:r>
          </w:p>
        </w:tc>
        <w:tc>
          <w:tcPr>
            <w:tcW w:w="906" w:type="dxa"/>
            <w:tcBorders>
              <w:top w:val="single" w:sz="4" w:space="0" w:color="auto"/>
              <w:left w:val="single" w:sz="4" w:space="0" w:color="auto"/>
              <w:bottom w:val="single" w:sz="4" w:space="0" w:color="auto"/>
              <w:right w:val="single" w:sz="4" w:space="0" w:color="auto"/>
            </w:tcBorders>
            <w:vAlign w:val="center"/>
            <w:hideMark/>
          </w:tcPr>
          <w:p w14:paraId="54D52B7C" w14:textId="5247D35C" w:rsidR="00EE4D02" w:rsidRPr="00EE4D02" w:rsidRDefault="00E30E9F" w:rsidP="006941F7">
            <w:pPr>
              <w:keepNext/>
              <w:jc w:val="center"/>
              <w:textAlignment w:val="bottom"/>
            </w:pPr>
            <w:r>
              <w:t>0</w:t>
            </w:r>
          </w:p>
        </w:tc>
        <w:tc>
          <w:tcPr>
            <w:tcW w:w="906" w:type="dxa"/>
            <w:tcBorders>
              <w:top w:val="single" w:sz="4" w:space="0" w:color="auto"/>
              <w:left w:val="single" w:sz="4" w:space="0" w:color="auto"/>
              <w:bottom w:val="single" w:sz="4" w:space="0" w:color="auto"/>
              <w:right w:val="single" w:sz="4" w:space="0" w:color="auto"/>
            </w:tcBorders>
            <w:vAlign w:val="center"/>
            <w:hideMark/>
          </w:tcPr>
          <w:p w14:paraId="10F21827" w14:textId="2884428C" w:rsidR="00EE4D02" w:rsidRPr="00EE4D02" w:rsidRDefault="00E30E9F" w:rsidP="006941F7">
            <w:pPr>
              <w:keepNext/>
              <w:jc w:val="center"/>
              <w:textAlignment w:val="bottom"/>
            </w:pPr>
            <w:r>
              <w:t>0</w:t>
            </w:r>
          </w:p>
        </w:tc>
        <w:tc>
          <w:tcPr>
            <w:tcW w:w="906" w:type="dxa"/>
            <w:tcBorders>
              <w:top w:val="single" w:sz="4" w:space="0" w:color="auto"/>
              <w:left w:val="single" w:sz="4" w:space="0" w:color="auto"/>
              <w:bottom w:val="single" w:sz="4" w:space="0" w:color="auto"/>
              <w:right w:val="single" w:sz="4" w:space="0" w:color="auto"/>
            </w:tcBorders>
            <w:vAlign w:val="center"/>
            <w:hideMark/>
          </w:tcPr>
          <w:p w14:paraId="32955D6C" w14:textId="74F9AB54" w:rsidR="00EE4D02" w:rsidRPr="00EE4D02" w:rsidRDefault="00E30E9F" w:rsidP="006941F7">
            <w:pPr>
              <w:keepNext/>
              <w:jc w:val="center"/>
              <w:textAlignment w:val="bottom"/>
            </w:pPr>
            <w:r>
              <w:t>0</w:t>
            </w:r>
          </w:p>
        </w:tc>
      </w:tr>
      <w:tr w:rsidR="00EE4D02" w14:paraId="25F185A8" w14:textId="77777777" w:rsidTr="006941F7">
        <w:trPr>
          <w:trHeight w:val="352"/>
        </w:trPr>
        <w:tc>
          <w:tcPr>
            <w:tcW w:w="29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B0C4D1" w14:textId="77777777" w:rsidR="00EE4D02" w:rsidRDefault="00EE4D02" w:rsidP="006941F7">
            <w:pPr>
              <w:keepNext/>
              <w:jc w:val="center"/>
            </w:pPr>
            <w:r>
              <w:t>Catégorie 2</w:t>
            </w:r>
          </w:p>
        </w:tc>
        <w:tc>
          <w:tcPr>
            <w:tcW w:w="906" w:type="dxa"/>
            <w:tcBorders>
              <w:top w:val="single" w:sz="4" w:space="0" w:color="auto"/>
              <w:left w:val="single" w:sz="4" w:space="0" w:color="auto"/>
              <w:bottom w:val="single" w:sz="4" w:space="0" w:color="auto"/>
              <w:right w:val="single" w:sz="4" w:space="0" w:color="auto"/>
            </w:tcBorders>
            <w:vAlign w:val="center"/>
            <w:hideMark/>
          </w:tcPr>
          <w:p w14:paraId="5B7B3B93" w14:textId="292EB7BE" w:rsidR="00EE4D02" w:rsidRPr="00EE4D02" w:rsidRDefault="00E30E9F" w:rsidP="006941F7">
            <w:pPr>
              <w:keepNext/>
              <w:jc w:val="center"/>
              <w:textAlignment w:val="bottom"/>
            </w:pPr>
            <w:r>
              <w:t>0</w:t>
            </w:r>
          </w:p>
        </w:tc>
        <w:tc>
          <w:tcPr>
            <w:tcW w:w="906" w:type="dxa"/>
            <w:tcBorders>
              <w:top w:val="single" w:sz="4" w:space="0" w:color="auto"/>
              <w:left w:val="single" w:sz="4" w:space="0" w:color="auto"/>
              <w:bottom w:val="single" w:sz="4" w:space="0" w:color="auto"/>
              <w:right w:val="single" w:sz="4" w:space="0" w:color="auto"/>
            </w:tcBorders>
            <w:vAlign w:val="center"/>
            <w:hideMark/>
          </w:tcPr>
          <w:p w14:paraId="21A95257" w14:textId="004BC22E" w:rsidR="00EE4D02" w:rsidRPr="00EE4D02" w:rsidRDefault="00E30E9F" w:rsidP="006941F7">
            <w:pPr>
              <w:keepNext/>
              <w:jc w:val="center"/>
              <w:textAlignment w:val="bottom"/>
            </w:pPr>
            <w:r>
              <w:t>0</w:t>
            </w:r>
          </w:p>
        </w:tc>
        <w:tc>
          <w:tcPr>
            <w:tcW w:w="906" w:type="dxa"/>
            <w:tcBorders>
              <w:top w:val="single" w:sz="4" w:space="0" w:color="auto"/>
              <w:left w:val="single" w:sz="4" w:space="0" w:color="auto"/>
              <w:bottom w:val="single" w:sz="4" w:space="0" w:color="auto"/>
              <w:right w:val="single" w:sz="4" w:space="0" w:color="auto"/>
            </w:tcBorders>
            <w:vAlign w:val="center"/>
            <w:hideMark/>
          </w:tcPr>
          <w:p w14:paraId="77C8A892" w14:textId="7564FD21" w:rsidR="00EE4D02" w:rsidRPr="00EE4D02" w:rsidRDefault="00E30E9F" w:rsidP="006941F7">
            <w:pPr>
              <w:keepNext/>
              <w:jc w:val="center"/>
              <w:textAlignment w:val="bottom"/>
            </w:pPr>
            <w:r>
              <w:t>0</w:t>
            </w:r>
          </w:p>
        </w:tc>
        <w:tc>
          <w:tcPr>
            <w:tcW w:w="906" w:type="dxa"/>
            <w:tcBorders>
              <w:top w:val="single" w:sz="4" w:space="0" w:color="auto"/>
              <w:left w:val="single" w:sz="4" w:space="0" w:color="auto"/>
              <w:bottom w:val="single" w:sz="4" w:space="0" w:color="auto"/>
              <w:right w:val="single" w:sz="4" w:space="0" w:color="auto"/>
            </w:tcBorders>
            <w:vAlign w:val="center"/>
            <w:hideMark/>
          </w:tcPr>
          <w:p w14:paraId="67F7E87D" w14:textId="3E4FD174" w:rsidR="00EE4D02" w:rsidRPr="00EE4D02" w:rsidRDefault="00E30E9F" w:rsidP="006941F7">
            <w:pPr>
              <w:keepNext/>
              <w:jc w:val="center"/>
              <w:textAlignment w:val="bottom"/>
            </w:pPr>
            <w:r>
              <w:t>0</w:t>
            </w:r>
          </w:p>
        </w:tc>
        <w:tc>
          <w:tcPr>
            <w:tcW w:w="906" w:type="dxa"/>
            <w:tcBorders>
              <w:top w:val="single" w:sz="4" w:space="0" w:color="auto"/>
              <w:left w:val="single" w:sz="4" w:space="0" w:color="auto"/>
              <w:bottom w:val="single" w:sz="4" w:space="0" w:color="auto"/>
              <w:right w:val="single" w:sz="4" w:space="0" w:color="auto"/>
            </w:tcBorders>
            <w:vAlign w:val="center"/>
            <w:hideMark/>
          </w:tcPr>
          <w:p w14:paraId="2C9F0291" w14:textId="172317C0" w:rsidR="00EE4D02" w:rsidRPr="00EE4D02" w:rsidRDefault="00E30E9F" w:rsidP="006941F7">
            <w:pPr>
              <w:keepNext/>
              <w:jc w:val="center"/>
              <w:textAlignment w:val="bottom"/>
            </w:pPr>
            <w:r>
              <w:t>0</w:t>
            </w:r>
          </w:p>
        </w:tc>
        <w:tc>
          <w:tcPr>
            <w:tcW w:w="906" w:type="dxa"/>
            <w:tcBorders>
              <w:top w:val="single" w:sz="4" w:space="0" w:color="auto"/>
              <w:left w:val="single" w:sz="4" w:space="0" w:color="auto"/>
              <w:bottom w:val="single" w:sz="4" w:space="0" w:color="auto"/>
              <w:right w:val="single" w:sz="4" w:space="0" w:color="auto"/>
            </w:tcBorders>
            <w:vAlign w:val="center"/>
            <w:hideMark/>
          </w:tcPr>
          <w:p w14:paraId="6B323184" w14:textId="3852D49A" w:rsidR="00EE4D02" w:rsidRPr="00EE4D02" w:rsidRDefault="00E30E9F" w:rsidP="006941F7">
            <w:pPr>
              <w:keepNext/>
              <w:jc w:val="center"/>
              <w:textAlignment w:val="bottom"/>
            </w:pPr>
            <w:r>
              <w:t>0</w:t>
            </w:r>
          </w:p>
        </w:tc>
        <w:tc>
          <w:tcPr>
            <w:tcW w:w="906" w:type="dxa"/>
            <w:tcBorders>
              <w:top w:val="single" w:sz="4" w:space="0" w:color="auto"/>
              <w:left w:val="single" w:sz="4" w:space="0" w:color="auto"/>
              <w:bottom w:val="single" w:sz="4" w:space="0" w:color="auto"/>
              <w:right w:val="single" w:sz="4" w:space="0" w:color="auto"/>
            </w:tcBorders>
            <w:vAlign w:val="center"/>
            <w:hideMark/>
          </w:tcPr>
          <w:p w14:paraId="7FA281AC" w14:textId="5CB2E618" w:rsidR="00EE4D02" w:rsidRPr="00EE4D02" w:rsidRDefault="00E30E9F" w:rsidP="006941F7">
            <w:pPr>
              <w:keepNext/>
              <w:jc w:val="center"/>
              <w:textAlignment w:val="bottom"/>
            </w:pPr>
            <w:r>
              <w:t>0</w:t>
            </w:r>
            <w:r w:rsidR="00EE4D02" w:rsidRPr="00EE4D02">
              <w:t>,05</w:t>
            </w:r>
          </w:p>
        </w:tc>
        <w:tc>
          <w:tcPr>
            <w:tcW w:w="906" w:type="dxa"/>
            <w:tcBorders>
              <w:top w:val="single" w:sz="4" w:space="0" w:color="auto"/>
              <w:left w:val="single" w:sz="4" w:space="0" w:color="auto"/>
              <w:bottom w:val="single" w:sz="4" w:space="0" w:color="auto"/>
              <w:right w:val="single" w:sz="4" w:space="0" w:color="auto"/>
            </w:tcBorders>
            <w:vAlign w:val="center"/>
            <w:hideMark/>
          </w:tcPr>
          <w:p w14:paraId="185592E8" w14:textId="563211DD" w:rsidR="00EE4D02" w:rsidRPr="00EE4D02" w:rsidRDefault="00E30E9F" w:rsidP="006941F7">
            <w:pPr>
              <w:keepNext/>
              <w:jc w:val="center"/>
              <w:textAlignment w:val="bottom"/>
            </w:pPr>
            <w:r>
              <w:t>0</w:t>
            </w:r>
            <w:r w:rsidR="00EE4D02" w:rsidRPr="00EE4D02">
              <w:t>,05</w:t>
            </w:r>
          </w:p>
        </w:tc>
      </w:tr>
    </w:tbl>
    <w:p w14:paraId="34629491" w14:textId="77777777" w:rsidR="00EE4D02" w:rsidRDefault="00EE4D02" w:rsidP="00F81657"/>
    <w:p w14:paraId="7F088C01" w14:textId="77777777" w:rsidR="00F81657" w:rsidRPr="006C7734" w:rsidRDefault="00F81657" w:rsidP="00A02594">
      <w:pPr>
        <w:pStyle w:val="Titre7"/>
      </w:pPr>
      <w:r>
        <w:lastRenderedPageBreak/>
        <w:t>Logements collectifs :</w:t>
      </w:r>
    </w:p>
    <w:p w14:paraId="05F010CE" w14:textId="22A37424" w:rsidR="00F81657" w:rsidRPr="00224648" w:rsidRDefault="00F81657" w:rsidP="00F81657">
      <w:pPr>
        <w:keepNext/>
      </w:pPr>
      <w:r w:rsidRPr="007B643E">
        <w:t xml:space="preserve">Le coefficient </w:t>
      </w:r>
      <w:r w:rsidRPr="007B643E">
        <w:rPr>
          <w:b/>
        </w:rPr>
        <w:t>M</w:t>
      </w:r>
      <w:r>
        <w:rPr>
          <w:b/>
        </w:rPr>
        <w:t>c</w:t>
      </w:r>
      <w:r w:rsidRPr="007B643E">
        <w:rPr>
          <w:b/>
        </w:rPr>
        <w:t>géo</w:t>
      </w:r>
      <w:r w:rsidRPr="007B643E">
        <w:t xml:space="preserve"> de modulation </w:t>
      </w:r>
      <w:r>
        <w:t>de</w:t>
      </w:r>
      <w:r w:rsidRPr="00F81657">
        <w:t xml:space="preserve"> </w:t>
      </w:r>
      <w:r>
        <w:t xml:space="preserve">Cep,nr_max, Cep_max </w:t>
      </w:r>
      <w:r w:rsidRPr="00224648">
        <w:t>et Ic</w:t>
      </w:r>
      <w:r w:rsidRPr="00224648">
        <w:rPr>
          <w:vertAlign w:val="subscript"/>
        </w:rPr>
        <w:t>énergie</w:t>
      </w:r>
      <w:r w:rsidRPr="00224648">
        <w:t>_max selon la localisation géographique (zone climatique et altitude) du bâtiment prend les valeurs suivantes :</w:t>
      </w:r>
    </w:p>
    <w:tbl>
      <w:tblPr>
        <w:tblStyle w:val="Grilledutableau"/>
        <w:tblW w:w="10220" w:type="dxa"/>
        <w:tblLook w:val="0600" w:firstRow="0" w:lastRow="0" w:firstColumn="0" w:lastColumn="0" w:noHBand="1" w:noVBand="1"/>
      </w:tblPr>
      <w:tblGrid>
        <w:gridCol w:w="2714"/>
        <w:gridCol w:w="939"/>
        <w:gridCol w:w="939"/>
        <w:gridCol w:w="938"/>
        <w:gridCol w:w="938"/>
        <w:gridCol w:w="938"/>
        <w:gridCol w:w="938"/>
        <w:gridCol w:w="938"/>
        <w:gridCol w:w="938"/>
      </w:tblGrid>
      <w:tr w:rsidR="00F81657" w:rsidRPr="00224648" w14:paraId="4DACF877" w14:textId="77777777" w:rsidTr="00FC0B23">
        <w:trPr>
          <w:trHeight w:val="352"/>
        </w:trPr>
        <w:tc>
          <w:tcPr>
            <w:tcW w:w="2714" w:type="dxa"/>
            <w:tcBorders>
              <w:tl2br w:val="single" w:sz="4" w:space="0" w:color="auto"/>
            </w:tcBorders>
            <w:shd w:val="clear" w:color="auto" w:fill="A6A6A6" w:themeFill="background1" w:themeFillShade="A6"/>
            <w:hideMark/>
          </w:tcPr>
          <w:p w14:paraId="65C16DD9" w14:textId="77777777" w:rsidR="00F81657" w:rsidRPr="00224648" w:rsidRDefault="00F81657" w:rsidP="00FC0B23">
            <w:pPr>
              <w:keepNext/>
              <w:jc w:val="right"/>
            </w:pPr>
            <w:r w:rsidRPr="00224648">
              <w:t xml:space="preserve">Zone climatique </w:t>
            </w:r>
          </w:p>
          <w:p w14:paraId="48A014D1" w14:textId="77777777" w:rsidR="00F81657" w:rsidRPr="00224648" w:rsidRDefault="00F81657" w:rsidP="00FC0B23">
            <w:pPr>
              <w:keepNext/>
            </w:pPr>
            <w:r w:rsidRPr="00224648">
              <w:t>Altitude</w:t>
            </w:r>
          </w:p>
        </w:tc>
        <w:tc>
          <w:tcPr>
            <w:tcW w:w="939" w:type="dxa"/>
            <w:shd w:val="clear" w:color="auto" w:fill="A6A6A6" w:themeFill="background1" w:themeFillShade="A6"/>
            <w:hideMark/>
          </w:tcPr>
          <w:p w14:paraId="404B80D9" w14:textId="77777777" w:rsidR="00F81657" w:rsidRPr="00224648" w:rsidRDefault="00F81657" w:rsidP="00FC0B23">
            <w:pPr>
              <w:keepNext/>
            </w:pPr>
            <w:r w:rsidRPr="00224648">
              <w:t>H1a</w:t>
            </w:r>
          </w:p>
        </w:tc>
        <w:tc>
          <w:tcPr>
            <w:tcW w:w="939" w:type="dxa"/>
            <w:shd w:val="clear" w:color="auto" w:fill="A6A6A6" w:themeFill="background1" w:themeFillShade="A6"/>
            <w:hideMark/>
          </w:tcPr>
          <w:p w14:paraId="2B9AE664" w14:textId="77777777" w:rsidR="00F81657" w:rsidRPr="00224648" w:rsidRDefault="00F81657" w:rsidP="00FC0B23">
            <w:pPr>
              <w:keepNext/>
            </w:pPr>
            <w:r w:rsidRPr="00224648">
              <w:t>H1b</w:t>
            </w:r>
          </w:p>
        </w:tc>
        <w:tc>
          <w:tcPr>
            <w:tcW w:w="938" w:type="dxa"/>
            <w:shd w:val="clear" w:color="auto" w:fill="A6A6A6" w:themeFill="background1" w:themeFillShade="A6"/>
            <w:hideMark/>
          </w:tcPr>
          <w:p w14:paraId="708550D5" w14:textId="77777777" w:rsidR="00F81657" w:rsidRPr="00224648" w:rsidRDefault="00F81657" w:rsidP="00FC0B23">
            <w:pPr>
              <w:keepNext/>
            </w:pPr>
            <w:r w:rsidRPr="00224648">
              <w:t>H1c</w:t>
            </w:r>
          </w:p>
        </w:tc>
        <w:tc>
          <w:tcPr>
            <w:tcW w:w="938" w:type="dxa"/>
            <w:shd w:val="clear" w:color="auto" w:fill="A6A6A6" w:themeFill="background1" w:themeFillShade="A6"/>
            <w:hideMark/>
          </w:tcPr>
          <w:p w14:paraId="457AF8A9" w14:textId="77777777" w:rsidR="00F81657" w:rsidRPr="00224648" w:rsidRDefault="00F81657" w:rsidP="00FC0B23">
            <w:pPr>
              <w:keepNext/>
            </w:pPr>
            <w:r w:rsidRPr="00224648">
              <w:t>H2a</w:t>
            </w:r>
          </w:p>
        </w:tc>
        <w:tc>
          <w:tcPr>
            <w:tcW w:w="938" w:type="dxa"/>
            <w:shd w:val="clear" w:color="auto" w:fill="A6A6A6" w:themeFill="background1" w:themeFillShade="A6"/>
            <w:hideMark/>
          </w:tcPr>
          <w:p w14:paraId="19A239D9" w14:textId="77777777" w:rsidR="00F81657" w:rsidRPr="00224648" w:rsidRDefault="00F81657" w:rsidP="00FC0B23">
            <w:pPr>
              <w:keepNext/>
            </w:pPr>
            <w:r w:rsidRPr="00224648">
              <w:t>H2b</w:t>
            </w:r>
          </w:p>
        </w:tc>
        <w:tc>
          <w:tcPr>
            <w:tcW w:w="938" w:type="dxa"/>
            <w:shd w:val="clear" w:color="auto" w:fill="A6A6A6" w:themeFill="background1" w:themeFillShade="A6"/>
            <w:hideMark/>
          </w:tcPr>
          <w:p w14:paraId="7F91F41F" w14:textId="77777777" w:rsidR="00F81657" w:rsidRPr="00224648" w:rsidRDefault="00F81657" w:rsidP="00FC0B23">
            <w:pPr>
              <w:keepNext/>
            </w:pPr>
            <w:r w:rsidRPr="00224648">
              <w:t>H2c</w:t>
            </w:r>
          </w:p>
        </w:tc>
        <w:tc>
          <w:tcPr>
            <w:tcW w:w="938" w:type="dxa"/>
            <w:shd w:val="clear" w:color="auto" w:fill="A6A6A6" w:themeFill="background1" w:themeFillShade="A6"/>
            <w:hideMark/>
          </w:tcPr>
          <w:p w14:paraId="1D4F559B" w14:textId="77777777" w:rsidR="00F81657" w:rsidRPr="00224648" w:rsidRDefault="00F81657" w:rsidP="00FC0B23">
            <w:pPr>
              <w:keepNext/>
            </w:pPr>
            <w:r w:rsidRPr="00224648">
              <w:t>H2d</w:t>
            </w:r>
          </w:p>
        </w:tc>
        <w:tc>
          <w:tcPr>
            <w:tcW w:w="938" w:type="dxa"/>
            <w:shd w:val="clear" w:color="auto" w:fill="A6A6A6" w:themeFill="background1" w:themeFillShade="A6"/>
            <w:hideMark/>
          </w:tcPr>
          <w:p w14:paraId="0793D708" w14:textId="1A518116" w:rsidR="00F81657" w:rsidRPr="00224648" w:rsidRDefault="00097506" w:rsidP="00FC0B23">
            <w:pPr>
              <w:keepNext/>
            </w:pPr>
            <w:r>
              <w:t>H3</w:t>
            </w:r>
          </w:p>
        </w:tc>
      </w:tr>
      <w:tr w:rsidR="00F81657" w:rsidRPr="00224648" w14:paraId="1CA0460A" w14:textId="77777777" w:rsidTr="00F81657">
        <w:trPr>
          <w:trHeight w:val="352"/>
        </w:trPr>
        <w:tc>
          <w:tcPr>
            <w:tcW w:w="2714" w:type="dxa"/>
            <w:shd w:val="clear" w:color="auto" w:fill="F2F2F2" w:themeFill="background1" w:themeFillShade="F2"/>
            <w:hideMark/>
          </w:tcPr>
          <w:p w14:paraId="7FC4CDA9" w14:textId="77777777" w:rsidR="00F81657" w:rsidRPr="00224648" w:rsidRDefault="00F81657" w:rsidP="00F81657">
            <w:pPr>
              <w:keepNext/>
              <w:jc w:val="center"/>
            </w:pPr>
            <w:r w:rsidRPr="00224648">
              <w:t>&lt; 400m</w:t>
            </w:r>
          </w:p>
        </w:tc>
        <w:tc>
          <w:tcPr>
            <w:tcW w:w="939" w:type="dxa"/>
            <w:vAlign w:val="center"/>
          </w:tcPr>
          <w:p w14:paraId="3C12C3D5" w14:textId="59E441BF" w:rsidR="00F81657" w:rsidRPr="00224648" w:rsidRDefault="00E30E9F" w:rsidP="00F81657">
            <w:pPr>
              <w:keepNext/>
              <w:jc w:val="center"/>
            </w:pPr>
            <w:r>
              <w:t>0</w:t>
            </w:r>
            <w:r w:rsidR="00F81657" w:rsidRPr="00224648">
              <w:t>,05</w:t>
            </w:r>
          </w:p>
        </w:tc>
        <w:tc>
          <w:tcPr>
            <w:tcW w:w="939" w:type="dxa"/>
            <w:vAlign w:val="center"/>
          </w:tcPr>
          <w:p w14:paraId="36EF8A89" w14:textId="24BB1CE5" w:rsidR="00F81657" w:rsidRPr="00224648" w:rsidRDefault="00E30E9F" w:rsidP="00F81657">
            <w:pPr>
              <w:keepNext/>
              <w:jc w:val="center"/>
            </w:pPr>
            <w:r>
              <w:t>0</w:t>
            </w:r>
            <w:r w:rsidR="00F81657" w:rsidRPr="00224648">
              <w:t>,05</w:t>
            </w:r>
          </w:p>
        </w:tc>
        <w:tc>
          <w:tcPr>
            <w:tcW w:w="938" w:type="dxa"/>
            <w:vAlign w:val="center"/>
          </w:tcPr>
          <w:p w14:paraId="1EA2808A" w14:textId="3950553C" w:rsidR="00F81657" w:rsidRPr="00224648" w:rsidRDefault="00E30E9F" w:rsidP="00F81657">
            <w:pPr>
              <w:keepNext/>
              <w:jc w:val="center"/>
            </w:pPr>
            <w:r>
              <w:t>0</w:t>
            </w:r>
            <w:r w:rsidR="00F81657" w:rsidRPr="00224648">
              <w:t>,05</w:t>
            </w:r>
          </w:p>
        </w:tc>
        <w:tc>
          <w:tcPr>
            <w:tcW w:w="938" w:type="dxa"/>
            <w:vAlign w:val="center"/>
          </w:tcPr>
          <w:p w14:paraId="5B29EEA5" w14:textId="59E2A2AE" w:rsidR="00F81657" w:rsidRPr="00224648" w:rsidRDefault="00E30E9F" w:rsidP="00F81657">
            <w:pPr>
              <w:keepNext/>
              <w:jc w:val="center"/>
            </w:pPr>
            <w:r>
              <w:t>-0,1</w:t>
            </w:r>
          </w:p>
        </w:tc>
        <w:tc>
          <w:tcPr>
            <w:tcW w:w="938" w:type="dxa"/>
            <w:vAlign w:val="center"/>
          </w:tcPr>
          <w:p w14:paraId="72B518D7" w14:textId="6687DCC7" w:rsidR="00F81657" w:rsidRPr="00224648" w:rsidRDefault="00E30E9F" w:rsidP="00F81657">
            <w:pPr>
              <w:keepNext/>
              <w:jc w:val="center"/>
            </w:pPr>
            <w:r>
              <w:t>0</w:t>
            </w:r>
          </w:p>
        </w:tc>
        <w:tc>
          <w:tcPr>
            <w:tcW w:w="938" w:type="dxa"/>
            <w:vAlign w:val="center"/>
          </w:tcPr>
          <w:p w14:paraId="2886D556" w14:textId="052DA9E5" w:rsidR="00F81657" w:rsidRPr="00224648" w:rsidRDefault="00E30E9F" w:rsidP="00F81657">
            <w:pPr>
              <w:keepNext/>
              <w:jc w:val="center"/>
            </w:pPr>
            <w:r>
              <w:t>-0,15</w:t>
            </w:r>
          </w:p>
        </w:tc>
        <w:tc>
          <w:tcPr>
            <w:tcW w:w="938" w:type="dxa"/>
            <w:vAlign w:val="center"/>
          </w:tcPr>
          <w:p w14:paraId="57B30701" w14:textId="43DB6360" w:rsidR="00F81657" w:rsidRPr="00224648" w:rsidRDefault="00E30E9F" w:rsidP="00F81657">
            <w:pPr>
              <w:keepNext/>
              <w:jc w:val="center"/>
            </w:pPr>
            <w:r>
              <w:t>-0,15</w:t>
            </w:r>
          </w:p>
        </w:tc>
        <w:tc>
          <w:tcPr>
            <w:tcW w:w="938" w:type="dxa"/>
            <w:vAlign w:val="center"/>
          </w:tcPr>
          <w:p w14:paraId="0A208523" w14:textId="528021A8" w:rsidR="00F81657" w:rsidRPr="00224648" w:rsidRDefault="00E30E9F" w:rsidP="00F81657">
            <w:pPr>
              <w:keepNext/>
              <w:jc w:val="center"/>
            </w:pPr>
            <w:r>
              <w:t>-0,25</w:t>
            </w:r>
          </w:p>
        </w:tc>
      </w:tr>
      <w:tr w:rsidR="00F81657" w:rsidRPr="00224648" w14:paraId="77DD932A" w14:textId="77777777" w:rsidTr="00F81657">
        <w:trPr>
          <w:trHeight w:val="352"/>
        </w:trPr>
        <w:tc>
          <w:tcPr>
            <w:tcW w:w="2714" w:type="dxa"/>
            <w:shd w:val="clear" w:color="auto" w:fill="F2F2F2" w:themeFill="background1" w:themeFillShade="F2"/>
            <w:hideMark/>
          </w:tcPr>
          <w:p w14:paraId="4BABBB8F" w14:textId="77777777" w:rsidR="00F81657" w:rsidRPr="00224648" w:rsidRDefault="00F81657" w:rsidP="00F81657">
            <w:pPr>
              <w:keepNext/>
              <w:jc w:val="center"/>
            </w:pPr>
            <w:r w:rsidRPr="00224648">
              <w:t>400m-800m</w:t>
            </w:r>
          </w:p>
        </w:tc>
        <w:tc>
          <w:tcPr>
            <w:tcW w:w="939" w:type="dxa"/>
            <w:vAlign w:val="center"/>
          </w:tcPr>
          <w:p w14:paraId="16473332" w14:textId="18980453" w:rsidR="00F81657" w:rsidRPr="00224648" w:rsidRDefault="00E30E9F" w:rsidP="00F81657">
            <w:pPr>
              <w:keepNext/>
              <w:jc w:val="center"/>
            </w:pPr>
            <w:r>
              <w:t>0</w:t>
            </w:r>
            <w:r w:rsidR="00F81657" w:rsidRPr="00224648">
              <w:t>,35</w:t>
            </w:r>
          </w:p>
        </w:tc>
        <w:tc>
          <w:tcPr>
            <w:tcW w:w="939" w:type="dxa"/>
            <w:vAlign w:val="center"/>
          </w:tcPr>
          <w:p w14:paraId="4483BB43" w14:textId="1AEA92E9" w:rsidR="00F81657" w:rsidRPr="00224648" w:rsidRDefault="00E30E9F" w:rsidP="00F81657">
            <w:pPr>
              <w:keepNext/>
              <w:jc w:val="center"/>
            </w:pPr>
            <w:r>
              <w:t>0</w:t>
            </w:r>
            <w:r w:rsidR="00F81657" w:rsidRPr="00224648">
              <w:t>,4</w:t>
            </w:r>
          </w:p>
        </w:tc>
        <w:tc>
          <w:tcPr>
            <w:tcW w:w="938" w:type="dxa"/>
            <w:vAlign w:val="center"/>
          </w:tcPr>
          <w:p w14:paraId="0CB3D8BA" w14:textId="3412B54F" w:rsidR="00F81657" w:rsidRPr="00224648" w:rsidRDefault="00E30E9F" w:rsidP="00F81657">
            <w:pPr>
              <w:keepNext/>
              <w:jc w:val="center"/>
            </w:pPr>
            <w:r>
              <w:t>0</w:t>
            </w:r>
            <w:r w:rsidR="00F81657" w:rsidRPr="00224648">
              <w:t>,35</w:t>
            </w:r>
          </w:p>
        </w:tc>
        <w:tc>
          <w:tcPr>
            <w:tcW w:w="938" w:type="dxa"/>
            <w:vAlign w:val="center"/>
          </w:tcPr>
          <w:p w14:paraId="6A8E13CF" w14:textId="4CC2682C" w:rsidR="00F81657" w:rsidRPr="00224648" w:rsidRDefault="00E30E9F" w:rsidP="00F81657">
            <w:pPr>
              <w:keepNext/>
              <w:jc w:val="center"/>
            </w:pPr>
            <w:r>
              <w:t>0</w:t>
            </w:r>
            <w:r w:rsidR="00F81657" w:rsidRPr="00224648">
              <w:t>,2</w:t>
            </w:r>
          </w:p>
        </w:tc>
        <w:tc>
          <w:tcPr>
            <w:tcW w:w="938" w:type="dxa"/>
            <w:vAlign w:val="center"/>
          </w:tcPr>
          <w:p w14:paraId="679AEDE6" w14:textId="59233CF8" w:rsidR="00F81657" w:rsidRPr="00224648" w:rsidRDefault="00E30E9F" w:rsidP="00F81657">
            <w:pPr>
              <w:keepNext/>
              <w:jc w:val="center"/>
            </w:pPr>
            <w:r>
              <w:t>0</w:t>
            </w:r>
            <w:r w:rsidR="00F81657" w:rsidRPr="00224648">
              <w:t>,2</w:t>
            </w:r>
          </w:p>
        </w:tc>
        <w:tc>
          <w:tcPr>
            <w:tcW w:w="938" w:type="dxa"/>
            <w:vAlign w:val="center"/>
          </w:tcPr>
          <w:p w14:paraId="3DA57A81" w14:textId="37E6DFE5" w:rsidR="00F81657" w:rsidRPr="00224648" w:rsidRDefault="00E30E9F" w:rsidP="00F81657">
            <w:pPr>
              <w:keepNext/>
              <w:jc w:val="center"/>
            </w:pPr>
            <w:r>
              <w:t>0</w:t>
            </w:r>
            <w:r w:rsidR="00F81657" w:rsidRPr="00224648">
              <w:t>,05</w:t>
            </w:r>
          </w:p>
        </w:tc>
        <w:tc>
          <w:tcPr>
            <w:tcW w:w="938" w:type="dxa"/>
            <w:vAlign w:val="center"/>
          </w:tcPr>
          <w:p w14:paraId="10597A90" w14:textId="2F2819F3" w:rsidR="00F81657" w:rsidRPr="00224648" w:rsidRDefault="00E30E9F" w:rsidP="00F81657">
            <w:pPr>
              <w:keepNext/>
              <w:jc w:val="center"/>
            </w:pPr>
            <w:r>
              <w:t>0</w:t>
            </w:r>
            <w:r w:rsidR="00F81657" w:rsidRPr="00224648">
              <w:t>,05</w:t>
            </w:r>
          </w:p>
        </w:tc>
        <w:tc>
          <w:tcPr>
            <w:tcW w:w="938" w:type="dxa"/>
            <w:vAlign w:val="center"/>
          </w:tcPr>
          <w:p w14:paraId="53BF95AB" w14:textId="30785D3D" w:rsidR="00F81657" w:rsidRPr="00224648" w:rsidRDefault="00E30E9F" w:rsidP="00F81657">
            <w:pPr>
              <w:keepNext/>
              <w:jc w:val="center"/>
            </w:pPr>
            <w:r>
              <w:t>-0,1</w:t>
            </w:r>
          </w:p>
        </w:tc>
      </w:tr>
      <w:tr w:rsidR="00F81657" w:rsidRPr="00224648" w14:paraId="03D94EE6" w14:textId="77777777" w:rsidTr="00F81657">
        <w:trPr>
          <w:trHeight w:val="352"/>
        </w:trPr>
        <w:tc>
          <w:tcPr>
            <w:tcW w:w="2714" w:type="dxa"/>
            <w:shd w:val="clear" w:color="auto" w:fill="F2F2F2" w:themeFill="background1" w:themeFillShade="F2"/>
            <w:hideMark/>
          </w:tcPr>
          <w:p w14:paraId="0A63AE7E" w14:textId="77777777" w:rsidR="00F81657" w:rsidRPr="00224648" w:rsidRDefault="00F81657" w:rsidP="00F81657">
            <w:pPr>
              <w:keepNext/>
              <w:jc w:val="center"/>
            </w:pPr>
            <w:r w:rsidRPr="00224648">
              <w:t>&gt;800m</w:t>
            </w:r>
          </w:p>
        </w:tc>
        <w:tc>
          <w:tcPr>
            <w:tcW w:w="939" w:type="dxa"/>
            <w:vAlign w:val="center"/>
          </w:tcPr>
          <w:p w14:paraId="2D29D18B" w14:textId="149DBE76" w:rsidR="00F81657" w:rsidRPr="00224648" w:rsidRDefault="00E30E9F" w:rsidP="00F81657">
            <w:pPr>
              <w:keepNext/>
              <w:jc w:val="center"/>
            </w:pPr>
            <w:r>
              <w:t>0</w:t>
            </w:r>
            <w:r w:rsidR="00F81657" w:rsidRPr="00224648">
              <w:t>,55</w:t>
            </w:r>
          </w:p>
        </w:tc>
        <w:tc>
          <w:tcPr>
            <w:tcW w:w="939" w:type="dxa"/>
            <w:vAlign w:val="center"/>
          </w:tcPr>
          <w:p w14:paraId="38589D0F" w14:textId="02A06B6B" w:rsidR="00F81657" w:rsidRPr="00224648" w:rsidRDefault="00E30E9F" w:rsidP="00F81657">
            <w:pPr>
              <w:keepNext/>
              <w:jc w:val="center"/>
            </w:pPr>
            <w:r>
              <w:t>0</w:t>
            </w:r>
            <w:r w:rsidR="00F81657" w:rsidRPr="00224648">
              <w:t>,65</w:t>
            </w:r>
          </w:p>
        </w:tc>
        <w:tc>
          <w:tcPr>
            <w:tcW w:w="938" w:type="dxa"/>
            <w:vAlign w:val="center"/>
          </w:tcPr>
          <w:p w14:paraId="3A8E20F1" w14:textId="5F45A456" w:rsidR="00F81657" w:rsidRPr="00224648" w:rsidRDefault="00E30E9F" w:rsidP="00F81657">
            <w:pPr>
              <w:keepNext/>
              <w:jc w:val="center"/>
            </w:pPr>
            <w:r>
              <w:t>0</w:t>
            </w:r>
            <w:r w:rsidR="00F81657" w:rsidRPr="00224648">
              <w:t>,55</w:t>
            </w:r>
          </w:p>
        </w:tc>
        <w:tc>
          <w:tcPr>
            <w:tcW w:w="938" w:type="dxa"/>
            <w:vAlign w:val="center"/>
          </w:tcPr>
          <w:p w14:paraId="799284E1" w14:textId="0DBE677E" w:rsidR="00F81657" w:rsidRPr="00224648" w:rsidRDefault="00E30E9F" w:rsidP="00F81657">
            <w:pPr>
              <w:keepNext/>
              <w:jc w:val="center"/>
            </w:pPr>
            <w:r>
              <w:t>0</w:t>
            </w:r>
            <w:r w:rsidR="00F81657" w:rsidRPr="00224648">
              <w:t>,45</w:t>
            </w:r>
          </w:p>
        </w:tc>
        <w:tc>
          <w:tcPr>
            <w:tcW w:w="938" w:type="dxa"/>
            <w:vAlign w:val="center"/>
          </w:tcPr>
          <w:p w14:paraId="0500A8F3" w14:textId="5C94F4A2" w:rsidR="00F81657" w:rsidRPr="00224648" w:rsidRDefault="00E30E9F" w:rsidP="00F81657">
            <w:pPr>
              <w:keepNext/>
              <w:jc w:val="center"/>
            </w:pPr>
            <w:r>
              <w:t>0</w:t>
            </w:r>
            <w:r w:rsidR="00F81657" w:rsidRPr="00224648">
              <w:t>,5</w:t>
            </w:r>
          </w:p>
        </w:tc>
        <w:tc>
          <w:tcPr>
            <w:tcW w:w="938" w:type="dxa"/>
            <w:vAlign w:val="center"/>
          </w:tcPr>
          <w:p w14:paraId="055E1379" w14:textId="5979DCF7" w:rsidR="00F81657" w:rsidRPr="00224648" w:rsidRDefault="00E30E9F" w:rsidP="00F81657">
            <w:pPr>
              <w:keepNext/>
              <w:jc w:val="center"/>
            </w:pPr>
            <w:r>
              <w:t>0</w:t>
            </w:r>
            <w:r w:rsidR="00F81657" w:rsidRPr="00224648">
              <w:t>,3</w:t>
            </w:r>
          </w:p>
        </w:tc>
        <w:tc>
          <w:tcPr>
            <w:tcW w:w="938" w:type="dxa"/>
            <w:vAlign w:val="center"/>
          </w:tcPr>
          <w:p w14:paraId="051DCE58" w14:textId="331EE212" w:rsidR="00F81657" w:rsidRPr="00224648" w:rsidRDefault="00E30E9F" w:rsidP="00F81657">
            <w:pPr>
              <w:keepNext/>
              <w:jc w:val="center"/>
            </w:pPr>
            <w:r>
              <w:t>0</w:t>
            </w:r>
            <w:r w:rsidR="00F81657" w:rsidRPr="00224648">
              <w:t>,3</w:t>
            </w:r>
          </w:p>
        </w:tc>
        <w:tc>
          <w:tcPr>
            <w:tcW w:w="938" w:type="dxa"/>
            <w:vAlign w:val="center"/>
          </w:tcPr>
          <w:p w14:paraId="6381C116" w14:textId="42D3AD6C" w:rsidR="00F81657" w:rsidRPr="00224648" w:rsidRDefault="00E30E9F" w:rsidP="00F81657">
            <w:pPr>
              <w:keepNext/>
              <w:jc w:val="center"/>
            </w:pPr>
            <w:r>
              <w:t>0</w:t>
            </w:r>
            <w:r w:rsidR="00F81657" w:rsidRPr="00224648">
              <w:t>,15</w:t>
            </w:r>
          </w:p>
        </w:tc>
      </w:tr>
    </w:tbl>
    <w:p w14:paraId="42B4823B" w14:textId="77777777" w:rsidR="00F81657" w:rsidRPr="00224648" w:rsidRDefault="00F81657" w:rsidP="00F81657"/>
    <w:p w14:paraId="580B6458" w14:textId="77777777" w:rsidR="002523E6" w:rsidRPr="00224648" w:rsidRDefault="002523E6" w:rsidP="002523E6">
      <w:pPr>
        <w:keepNext/>
      </w:pPr>
      <w:r w:rsidRPr="00224648">
        <w:t xml:space="preserve">Le coefficient </w:t>
      </w:r>
      <w:r w:rsidRPr="00224648">
        <w:rPr>
          <w:b/>
        </w:rPr>
        <w:t>M</w:t>
      </w:r>
      <w:r>
        <w:rPr>
          <w:b/>
        </w:rPr>
        <w:t>c</w:t>
      </w:r>
      <w:r w:rsidRPr="00224648">
        <w:rPr>
          <w:b/>
        </w:rPr>
        <w:t>com</w:t>
      </w:r>
      <w:r>
        <w:rPr>
          <w:b/>
        </w:rPr>
        <w:t>bles</w:t>
      </w:r>
      <w:r w:rsidRPr="00224648">
        <w:t xml:space="preserve"> de modulation du </w:t>
      </w:r>
      <w:r>
        <w:rPr>
          <w:rFonts w:cstheme="minorHAnsi"/>
        </w:rPr>
        <w:t>Cep,nr</w:t>
      </w:r>
      <w:r w:rsidRPr="00224648">
        <w:rPr>
          <w:rFonts w:cstheme="minorHAnsi"/>
        </w:rPr>
        <w:t>_max</w:t>
      </w:r>
      <w:r w:rsidRPr="00224648">
        <w:t>, Cep_max et Ic</w:t>
      </w:r>
      <w:r w:rsidRPr="00224648">
        <w:rPr>
          <w:vertAlign w:val="subscript"/>
        </w:rPr>
        <w:t>énergie</w:t>
      </w:r>
      <w:r w:rsidRPr="00224648">
        <w:t>_max selon la présence de combles aménagés dans le bâtiment ou la partie de bâtiment est calculé selon la formule suivante :</w:t>
      </w:r>
    </w:p>
    <w:p w14:paraId="481563CD" w14:textId="6243B68E" w:rsidR="002523E6" w:rsidRPr="00224648" w:rsidRDefault="002523E6" w:rsidP="002523E6">
      <w:pPr>
        <w:keepNext/>
        <w:jc w:val="center"/>
        <w:rPr>
          <w:rFonts w:eastAsiaTheme="minorEastAsia"/>
        </w:rPr>
      </w:pPr>
      <m:oMathPara>
        <m:oMath>
          <m:r>
            <w:rPr>
              <w:rFonts w:ascii="Cambria Math" w:hAnsi="Cambria Math"/>
            </w:rPr>
            <m:t>Mccombles=</m:t>
          </m:r>
          <m:f>
            <m:fPr>
              <m:ctrlPr>
                <w:rPr>
                  <w:rFonts w:ascii="Cambria Math" w:hAnsi="Cambria Math"/>
                  <w:i/>
                </w:rPr>
              </m:ctrlPr>
            </m:fPr>
            <m:num>
              <m:r>
                <w:rPr>
                  <w:rFonts w:ascii="Cambria Math" w:hAnsi="Cambria Math"/>
                </w:rPr>
                <m:t>(0,4×Scombles)</m:t>
              </m:r>
            </m:num>
            <m:den>
              <m:r>
                <w:rPr>
                  <w:rFonts w:ascii="Cambria Math" w:hAnsi="Cambria Math"/>
                </w:rPr>
                <m:t>Sref</m:t>
              </m:r>
            </m:den>
          </m:f>
        </m:oMath>
      </m:oMathPara>
    </w:p>
    <w:p w14:paraId="77A29586" w14:textId="77777777" w:rsidR="002523E6" w:rsidRDefault="002523E6" w:rsidP="002523E6">
      <w:pPr>
        <w:keepNext/>
        <w:rPr>
          <w:rFonts w:eastAsiaTheme="minorEastAsia"/>
        </w:rPr>
      </w:pPr>
      <w:r w:rsidRPr="00224648">
        <w:rPr>
          <w:rFonts w:eastAsiaTheme="minorEastAsia"/>
        </w:rPr>
        <w:t>Où Scom</w:t>
      </w:r>
      <w:r>
        <w:rPr>
          <w:rFonts w:eastAsiaTheme="minorEastAsia"/>
        </w:rPr>
        <w:t>bles</w:t>
      </w:r>
      <w:r w:rsidRPr="00224648">
        <w:rPr>
          <w:rFonts w:eastAsiaTheme="minorEastAsia"/>
        </w:rPr>
        <w:t xml:space="preserve"> représente la surface</w:t>
      </w:r>
      <w:r>
        <w:rPr>
          <w:rFonts w:eastAsiaTheme="minorEastAsia"/>
        </w:rPr>
        <w:t xml:space="preserve"> de plancher</w:t>
      </w:r>
      <w:r w:rsidRPr="00224648">
        <w:rPr>
          <w:rFonts w:eastAsiaTheme="minorEastAsia"/>
        </w:rPr>
        <w:t xml:space="preserve"> des comble</w:t>
      </w:r>
      <w:r>
        <w:rPr>
          <w:rFonts w:eastAsiaTheme="minorEastAsia"/>
        </w:rPr>
        <w:t>s</w:t>
      </w:r>
      <w:r w:rsidRPr="00224648">
        <w:rPr>
          <w:rFonts w:eastAsiaTheme="minorEastAsia"/>
        </w:rPr>
        <w:t xml:space="preserve"> aménagés dont la hauteur sous plafond est inférieure à 1,8 mètres.</w:t>
      </w:r>
    </w:p>
    <w:p w14:paraId="21F4DF83" w14:textId="2EC91BFB" w:rsidR="00F81657" w:rsidRPr="00224648" w:rsidRDefault="00F81657" w:rsidP="00F81657">
      <w:pPr>
        <w:keepNext/>
      </w:pPr>
      <w:r w:rsidRPr="00224648">
        <w:t xml:space="preserve">Le coefficient </w:t>
      </w:r>
      <w:r w:rsidRPr="00224648">
        <w:rPr>
          <w:b/>
          <w:bCs/>
        </w:rPr>
        <w:t>Mcsur</w:t>
      </w:r>
      <w:r w:rsidRPr="00224648">
        <w:rPr>
          <w:b/>
        </w:rPr>
        <w:t>f</w:t>
      </w:r>
      <w:r w:rsidRPr="00224648">
        <w:t xml:space="preserve"> de modulation de Cep,nr_max, Cep_max et Ic</w:t>
      </w:r>
      <w:r w:rsidRPr="00224648">
        <w:rPr>
          <w:vertAlign w:val="subscript"/>
        </w:rPr>
        <w:t>énergie</w:t>
      </w:r>
      <w:r w:rsidRPr="00224648">
        <w:t>_max selon la surface moyenne des logements du bâtiment ou de la partie de bâtiment prend les valeurs suivantes, avec N</w:t>
      </w:r>
      <w:r w:rsidRPr="00224648">
        <w:rPr>
          <w:vertAlign w:val="subscript"/>
        </w:rPr>
        <w:t>L</w:t>
      </w:r>
      <w:r w:rsidRPr="00224648">
        <w:t xml:space="preserve"> représentant le nombre de logements du bâtiment :</w:t>
      </w:r>
      <w:r w:rsidRPr="00224648">
        <w:tab/>
      </w:r>
    </w:p>
    <w:tbl>
      <w:tblPr>
        <w:tblStyle w:val="Grilledutableau"/>
        <w:tblW w:w="3441" w:type="pct"/>
        <w:jc w:val="center"/>
        <w:tblLook w:val="04A0" w:firstRow="1" w:lastRow="0" w:firstColumn="1" w:lastColumn="0" w:noHBand="0" w:noVBand="1"/>
      </w:tblPr>
      <w:tblGrid>
        <w:gridCol w:w="3410"/>
        <w:gridCol w:w="2826"/>
      </w:tblGrid>
      <w:tr w:rsidR="00F81657" w14:paraId="04A95423" w14:textId="77777777" w:rsidTr="00FC0B23">
        <w:trPr>
          <w:jc w:val="center"/>
        </w:trPr>
        <w:tc>
          <w:tcPr>
            <w:tcW w:w="2734" w:type="pct"/>
            <w:shd w:val="clear" w:color="auto" w:fill="A6A6A6" w:themeFill="background1" w:themeFillShade="A6"/>
          </w:tcPr>
          <w:p w14:paraId="4A2F6268" w14:textId="77777777" w:rsidR="00F81657" w:rsidRPr="00224648" w:rsidRDefault="00F81657" w:rsidP="00FC0B23">
            <w:pPr>
              <w:keepNext/>
              <w:jc w:val="center"/>
            </w:pPr>
            <w:r w:rsidRPr="00224648">
              <w:t>Surface moyenne des logements du bâtiment</w:t>
            </w:r>
          </w:p>
        </w:tc>
        <w:tc>
          <w:tcPr>
            <w:tcW w:w="2266" w:type="pct"/>
            <w:shd w:val="clear" w:color="auto" w:fill="A6A6A6" w:themeFill="background1" w:themeFillShade="A6"/>
          </w:tcPr>
          <w:p w14:paraId="16DF0401" w14:textId="2F3405D0" w:rsidR="00F81657" w:rsidRDefault="00F81657" w:rsidP="00F81657">
            <w:pPr>
              <w:keepNext/>
              <w:jc w:val="center"/>
            </w:pPr>
            <w:r w:rsidRPr="00224648">
              <w:t>Mcsurf</w:t>
            </w:r>
          </w:p>
        </w:tc>
      </w:tr>
      <w:tr w:rsidR="00A02594" w14:paraId="038B09E9" w14:textId="77777777" w:rsidTr="00FC0B23">
        <w:trPr>
          <w:jc w:val="center"/>
        </w:trPr>
        <w:tc>
          <w:tcPr>
            <w:tcW w:w="2734" w:type="pct"/>
            <w:shd w:val="clear" w:color="auto" w:fill="F2F2F2" w:themeFill="background1" w:themeFillShade="F2"/>
          </w:tcPr>
          <w:p w14:paraId="6F0D77E9" w14:textId="4408407C" w:rsidR="00A02594" w:rsidRPr="006C7734" w:rsidRDefault="00866253" w:rsidP="00A02594">
            <w:pPr>
              <w:keepNext/>
            </w:pPr>
            <m:oMathPara>
              <m:oMath>
                <m:sSub>
                  <m:sSubPr>
                    <m:ctrlPr>
                      <w:rPr>
                        <w:rFonts w:ascii="Cambria Math" w:hAnsi="Cambria Math"/>
                        <w:i/>
                        <w:iCs/>
                      </w:rPr>
                    </m:ctrlPr>
                  </m:sSubPr>
                  <m:e>
                    <m:r>
                      <w:rPr>
                        <w:rFonts w:ascii="Cambria Math" w:hAnsi="Cambria Math"/>
                      </w:rPr>
                      <m:t>Smoy</m:t>
                    </m:r>
                  </m:e>
                  <m:sub>
                    <m:r>
                      <w:rPr>
                        <w:rFonts w:ascii="Cambria Math" w:hAnsi="Cambria Math"/>
                      </w:rPr>
                      <m:t>lgt</m:t>
                    </m:r>
                  </m:sub>
                </m:sSub>
                <m:r>
                  <w:rPr>
                    <w:rFonts w:ascii="Cambria Math" w:hAnsi="Cambria Math"/>
                  </w:rPr>
                  <m:t>≤40 m²</m:t>
                </m:r>
              </m:oMath>
            </m:oMathPara>
          </w:p>
        </w:tc>
        <w:tc>
          <w:tcPr>
            <w:tcW w:w="2266" w:type="pct"/>
          </w:tcPr>
          <w:p w14:paraId="72BE247F" w14:textId="1A72B734" w:rsidR="00A02594" w:rsidRDefault="00866253" w:rsidP="00A02594">
            <w:pPr>
              <w:keepNext/>
              <w:jc w:val="center"/>
            </w:pPr>
            <m:oMathPara>
              <m:oMath>
                <m:f>
                  <m:fPr>
                    <m:ctrlPr>
                      <w:rPr>
                        <w:rFonts w:ascii="Cambria Math" w:hAnsi="Cambria Math"/>
                        <w:i/>
                        <w:iCs/>
                      </w:rPr>
                    </m:ctrlPr>
                  </m:fPr>
                  <m:num>
                    <m:r>
                      <w:rPr>
                        <w:rFonts w:ascii="Cambria Math" w:hAnsi="Cambria Math"/>
                      </w:rPr>
                      <m:t>21-0,45*</m:t>
                    </m:r>
                    <m:sSub>
                      <m:sSubPr>
                        <m:ctrlPr>
                          <w:rPr>
                            <w:rFonts w:ascii="Cambria Math" w:hAnsi="Cambria Math"/>
                            <w:i/>
                            <w:iCs/>
                          </w:rPr>
                        </m:ctrlPr>
                      </m:sSubPr>
                      <m:e>
                        <m:r>
                          <w:rPr>
                            <w:rFonts w:ascii="Cambria Math" w:hAnsi="Cambria Math"/>
                          </w:rPr>
                          <m:t>Smoy</m:t>
                        </m:r>
                      </m:e>
                      <m:sub>
                        <m:r>
                          <w:rPr>
                            <w:rFonts w:ascii="Cambria Math" w:hAnsi="Cambria Math"/>
                          </w:rPr>
                          <m:t>lgt</m:t>
                        </m:r>
                      </m:sub>
                    </m:sSub>
                  </m:num>
                  <m:den>
                    <m:r>
                      <w:rPr>
                        <w:rFonts w:ascii="Cambria Math" w:hAnsi="Cambria Math"/>
                      </w:rPr>
                      <m:t>Cep,nr_maxmoyen</m:t>
                    </m:r>
                  </m:den>
                </m:f>
              </m:oMath>
            </m:oMathPara>
          </w:p>
        </w:tc>
      </w:tr>
      <w:tr w:rsidR="00A02594" w14:paraId="48AF194F" w14:textId="77777777" w:rsidTr="00FC0B23">
        <w:trPr>
          <w:jc w:val="center"/>
        </w:trPr>
        <w:tc>
          <w:tcPr>
            <w:tcW w:w="2734" w:type="pct"/>
            <w:shd w:val="clear" w:color="auto" w:fill="F2F2F2" w:themeFill="background1" w:themeFillShade="F2"/>
          </w:tcPr>
          <w:p w14:paraId="0807E72C" w14:textId="5C366B5F" w:rsidR="00A02594" w:rsidRDefault="00A02594" w:rsidP="00A02594">
            <w:pPr>
              <w:keepNext/>
            </w:pPr>
            <m:oMathPara>
              <m:oMath>
                <m:r>
                  <w:rPr>
                    <w:rFonts w:ascii="Cambria Math" w:hAnsi="Cambria Math"/>
                  </w:rPr>
                  <m:t xml:space="preserve">40 </m:t>
                </m:r>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&lt;</m:t>
                </m:r>
                <m:sSub>
                  <m:sSubPr>
                    <m:ctrlPr>
                      <w:rPr>
                        <w:rFonts w:ascii="Cambria Math" w:hAnsi="Cambria Math"/>
                        <w:i/>
                        <w:iCs/>
                      </w:rPr>
                    </m:ctrlPr>
                  </m:sSubPr>
                  <m:e>
                    <m:r>
                      <w:rPr>
                        <w:rFonts w:ascii="Cambria Math" w:hAnsi="Cambria Math"/>
                      </w:rPr>
                      <m:t>Smoy</m:t>
                    </m:r>
                  </m:e>
                  <m:sub>
                    <m:r>
                      <w:rPr>
                        <w:rFonts w:ascii="Cambria Math" w:hAnsi="Cambria Math"/>
                      </w:rPr>
                      <m:t>lgt</m:t>
                    </m:r>
                  </m:sub>
                </m:sSub>
                <m:r>
                  <w:rPr>
                    <w:rFonts w:ascii="Cambria Math" w:hAnsi="Cambria Math"/>
                  </w:rPr>
                  <m:t>≤80 m²</m:t>
                </m:r>
              </m:oMath>
            </m:oMathPara>
          </w:p>
        </w:tc>
        <w:tc>
          <w:tcPr>
            <w:tcW w:w="2266" w:type="pct"/>
          </w:tcPr>
          <w:p w14:paraId="323C26F3" w14:textId="2D640D59" w:rsidR="00A02594" w:rsidRDefault="00866253" w:rsidP="00A02594">
            <w:pPr>
              <w:keepNext/>
              <w:jc w:val="center"/>
            </w:pPr>
            <m:oMathPara>
              <m:oMath>
                <m:f>
                  <m:fPr>
                    <m:ctrlPr>
                      <w:rPr>
                        <w:rFonts w:ascii="Cambria Math" w:hAnsi="Cambria Math"/>
                        <w:i/>
                        <w:iCs/>
                      </w:rPr>
                    </m:ctrlPr>
                  </m:fPr>
                  <m:num>
                    <m:r>
                      <w:rPr>
                        <w:rFonts w:ascii="Cambria Math" w:hAnsi="Cambria Math"/>
                      </w:rPr>
                      <m:t>9-0,15*</m:t>
                    </m:r>
                    <m:sSub>
                      <m:sSubPr>
                        <m:ctrlPr>
                          <w:rPr>
                            <w:rFonts w:ascii="Cambria Math" w:hAnsi="Cambria Math"/>
                            <w:i/>
                            <w:iCs/>
                          </w:rPr>
                        </m:ctrlPr>
                      </m:sSubPr>
                      <m:e>
                        <m:r>
                          <w:rPr>
                            <w:rFonts w:ascii="Cambria Math" w:hAnsi="Cambria Math"/>
                          </w:rPr>
                          <m:t>Smoy</m:t>
                        </m:r>
                      </m:e>
                      <m:sub>
                        <m:r>
                          <w:rPr>
                            <w:rFonts w:ascii="Cambria Math" w:hAnsi="Cambria Math"/>
                          </w:rPr>
                          <m:t>lgt</m:t>
                        </m:r>
                      </m:sub>
                    </m:sSub>
                  </m:num>
                  <m:den>
                    <m:r>
                      <w:rPr>
                        <w:rFonts w:ascii="Cambria Math" w:hAnsi="Cambria Math"/>
                      </w:rPr>
                      <m:t>Cep,nr_maxmoyen</m:t>
                    </m:r>
                  </m:den>
                </m:f>
              </m:oMath>
            </m:oMathPara>
          </w:p>
        </w:tc>
      </w:tr>
      <w:tr w:rsidR="00A02594" w14:paraId="1B1819A8" w14:textId="77777777" w:rsidTr="00FC0B23">
        <w:trPr>
          <w:jc w:val="center"/>
        </w:trPr>
        <w:tc>
          <w:tcPr>
            <w:tcW w:w="2734" w:type="pct"/>
            <w:shd w:val="clear" w:color="auto" w:fill="F2F2F2" w:themeFill="background1" w:themeFillShade="F2"/>
          </w:tcPr>
          <w:p w14:paraId="006ACE29" w14:textId="66786ECD" w:rsidR="00A02594" w:rsidRDefault="00A02594" w:rsidP="00A02594">
            <w:pPr>
              <w:keepNext/>
            </w:pPr>
            <m:oMathPara>
              <m:oMath>
                <m:r>
                  <w:rPr>
                    <w:rFonts w:ascii="Cambria Math" w:hAnsi="Cambria Math"/>
                  </w:rPr>
                  <m:t xml:space="preserve">80 </m:t>
                </m:r>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&lt;</m:t>
                </m:r>
                <m:sSub>
                  <m:sSubPr>
                    <m:ctrlPr>
                      <w:rPr>
                        <w:rFonts w:ascii="Cambria Math" w:hAnsi="Cambria Math"/>
                        <w:i/>
                        <w:iCs/>
                      </w:rPr>
                    </m:ctrlPr>
                  </m:sSubPr>
                  <m:e>
                    <m:r>
                      <w:rPr>
                        <w:rFonts w:ascii="Cambria Math" w:hAnsi="Cambria Math"/>
                      </w:rPr>
                      <m:t>Smoy</m:t>
                    </m:r>
                  </m:e>
                  <m:sub>
                    <m:r>
                      <w:rPr>
                        <w:rFonts w:ascii="Cambria Math" w:hAnsi="Cambria Math"/>
                      </w:rPr>
                      <m:t>lgt</m:t>
                    </m:r>
                  </m:sub>
                </m:sSub>
                <m:r>
                  <w:rPr>
                    <w:rFonts w:ascii="Cambria Math" w:hAnsi="Cambria Math"/>
                  </w:rPr>
                  <m:t>≤120 m²</m:t>
                </m:r>
              </m:oMath>
            </m:oMathPara>
          </w:p>
        </w:tc>
        <w:tc>
          <w:tcPr>
            <w:tcW w:w="2266" w:type="pct"/>
          </w:tcPr>
          <w:p w14:paraId="1C73A1EF" w14:textId="41875B57" w:rsidR="00A02594" w:rsidRDefault="00866253" w:rsidP="00A02594">
            <w:pPr>
              <w:keepNext/>
              <w:jc w:val="center"/>
            </w:pPr>
            <m:oMathPara>
              <m:oMath>
                <m:f>
                  <m:fPr>
                    <m:ctrlPr>
                      <w:rPr>
                        <w:rFonts w:ascii="Cambria Math" w:hAnsi="Cambria Math"/>
                        <w:i/>
                        <w:iCs/>
                      </w:rPr>
                    </m:ctrlPr>
                  </m:fPr>
                  <m:num>
                    <m:r>
                      <w:rPr>
                        <w:rFonts w:ascii="Cambria Math" w:hAnsi="Cambria Math"/>
                      </w:rPr>
                      <m:t>3,4-0,08*</m:t>
                    </m:r>
                    <m:sSub>
                      <m:sSubPr>
                        <m:ctrlPr>
                          <w:rPr>
                            <w:rFonts w:ascii="Cambria Math" w:hAnsi="Cambria Math"/>
                            <w:i/>
                            <w:iCs/>
                          </w:rPr>
                        </m:ctrlPr>
                      </m:sSubPr>
                      <m:e>
                        <m:r>
                          <w:rPr>
                            <w:rFonts w:ascii="Cambria Math" w:hAnsi="Cambria Math"/>
                          </w:rPr>
                          <m:t>Smoy</m:t>
                        </m:r>
                      </m:e>
                      <m:sub>
                        <m:r>
                          <w:rPr>
                            <w:rFonts w:ascii="Cambria Math" w:hAnsi="Cambria Math"/>
                          </w:rPr>
                          <m:t>lgt</m:t>
                        </m:r>
                      </m:sub>
                    </m:sSub>
                  </m:num>
                  <m:den>
                    <m:r>
                      <w:rPr>
                        <w:rFonts w:ascii="Cambria Math" w:hAnsi="Cambria Math"/>
                      </w:rPr>
                      <m:t>Cep,nr_maxmoyen</m:t>
                    </m:r>
                  </m:den>
                </m:f>
              </m:oMath>
            </m:oMathPara>
          </w:p>
        </w:tc>
      </w:tr>
      <w:tr w:rsidR="00A02594" w14:paraId="1C3ABA39" w14:textId="77777777" w:rsidTr="00FC0B23">
        <w:trPr>
          <w:jc w:val="center"/>
        </w:trPr>
        <w:tc>
          <w:tcPr>
            <w:tcW w:w="2734" w:type="pct"/>
            <w:shd w:val="clear" w:color="auto" w:fill="F2F2F2" w:themeFill="background1" w:themeFillShade="F2"/>
          </w:tcPr>
          <w:p w14:paraId="069CFA1E" w14:textId="7EBE7900" w:rsidR="00A02594" w:rsidRPr="00926816" w:rsidRDefault="00866253" w:rsidP="00A02594">
            <w:pPr>
              <w:keepNext/>
              <w:rPr>
                <w:rFonts w:ascii="Calibri" w:eastAsia="Calibri" w:hAnsi="Calibri" w:cs="Times New Roman"/>
              </w:rPr>
            </w:pPr>
            <m:oMathPara>
              <m:oMath>
                <m:sSub>
                  <m:sSubPr>
                    <m:ctrlPr>
                      <w:rPr>
                        <w:rFonts w:ascii="Cambria Math" w:hAnsi="Cambria Math"/>
                        <w:i/>
                        <w:iCs/>
                      </w:rPr>
                    </m:ctrlPr>
                  </m:sSubPr>
                  <m:e>
                    <m:r>
                      <w:rPr>
                        <w:rFonts w:ascii="Cambria Math" w:hAnsi="Cambria Math"/>
                      </w:rPr>
                      <m:t>Smoy</m:t>
                    </m:r>
                  </m:e>
                  <m:sub>
                    <m:r>
                      <w:rPr>
                        <w:rFonts w:ascii="Cambria Math" w:hAnsi="Cambria Math"/>
                      </w:rPr>
                      <m:t>lgt</m:t>
                    </m:r>
                  </m:sub>
                </m:sSub>
                <m:r>
                  <w:rPr>
                    <w:rFonts w:ascii="Cambria Math" w:hAnsi="Cambria Math"/>
                  </w:rPr>
                  <m:t>&gt;120 m²</m:t>
                </m:r>
              </m:oMath>
            </m:oMathPara>
          </w:p>
        </w:tc>
        <w:tc>
          <w:tcPr>
            <w:tcW w:w="2266" w:type="pct"/>
          </w:tcPr>
          <w:p w14:paraId="4F3415F2" w14:textId="2D1AC4A6" w:rsidR="00A02594" w:rsidRDefault="00866253" w:rsidP="00A02594">
            <w:pPr>
              <w:keepNext/>
              <w:jc w:val="center"/>
            </w:pPr>
            <m:oMathPara>
              <m:oMath>
                <m:f>
                  <m:fPr>
                    <m:ctrlPr>
                      <w:rPr>
                        <w:rFonts w:ascii="Cambria Math" w:hAnsi="Cambria Math"/>
                        <w:i/>
                        <w:iCs/>
                      </w:rPr>
                    </m:ctrlPr>
                  </m:fPr>
                  <m:num>
                    <m:r>
                      <w:rPr>
                        <w:rFonts w:ascii="Cambria Math" w:hAnsi="Cambria Math"/>
                      </w:rPr>
                      <m:t>-6,2</m:t>
                    </m:r>
                  </m:num>
                  <m:den>
                    <m:r>
                      <w:rPr>
                        <w:rFonts w:ascii="Cambria Math" w:hAnsi="Cambria Math"/>
                      </w:rPr>
                      <m:t>Cep,nr_maxmoyen</m:t>
                    </m:r>
                  </m:den>
                </m:f>
              </m:oMath>
            </m:oMathPara>
          </w:p>
        </w:tc>
      </w:tr>
    </w:tbl>
    <w:p w14:paraId="1406DBA6" w14:textId="77777777" w:rsidR="00F81657" w:rsidRDefault="00F81657" w:rsidP="00F81657"/>
    <w:p w14:paraId="662538F5" w14:textId="75F6CA02" w:rsidR="00F81657" w:rsidRDefault="00F81657" w:rsidP="00F81657">
      <w:r>
        <w:t xml:space="preserve">Le coefficient </w:t>
      </w:r>
      <w:r w:rsidR="00537083">
        <w:rPr>
          <w:b/>
          <w:bCs/>
        </w:rPr>
        <w:t xml:space="preserve">Mccat </w:t>
      </w:r>
      <w:r>
        <w:t xml:space="preserve">de modulation de Cep,nr_max, Cep_max </w:t>
      </w:r>
      <w:r w:rsidRPr="00FC495C">
        <w:t>et Ic</w:t>
      </w:r>
      <w:r w:rsidRPr="00FC495C">
        <w:rPr>
          <w:vertAlign w:val="subscript"/>
        </w:rPr>
        <w:t>énergie</w:t>
      </w:r>
      <w:r w:rsidRPr="00FC495C">
        <w:t>_max</w:t>
      </w:r>
      <w:r>
        <w:t xml:space="preserve"> </w:t>
      </w:r>
      <w:r w:rsidR="00537083">
        <w:t>la catégorie</w:t>
      </w:r>
      <w:r w:rsidR="00537083" w:rsidRPr="008B5EC4">
        <w:t xml:space="preserve"> de contraintes extérieures</w:t>
      </w:r>
      <w:r w:rsidR="00537083">
        <w:t xml:space="preserve"> </w:t>
      </w:r>
      <w:r>
        <w:t>du bâtiment ou de la partie de bâtiment prend les valeurs suivantes :</w:t>
      </w:r>
    </w:p>
    <w:tbl>
      <w:tblPr>
        <w:tblStyle w:val="Grilledutableau"/>
        <w:tblW w:w="10220" w:type="dxa"/>
        <w:tblLook w:val="0600" w:firstRow="0" w:lastRow="0" w:firstColumn="0" w:lastColumn="0" w:noHBand="1" w:noVBand="1"/>
      </w:tblPr>
      <w:tblGrid>
        <w:gridCol w:w="2714"/>
        <w:gridCol w:w="939"/>
        <w:gridCol w:w="939"/>
        <w:gridCol w:w="938"/>
        <w:gridCol w:w="938"/>
        <w:gridCol w:w="938"/>
        <w:gridCol w:w="938"/>
        <w:gridCol w:w="938"/>
        <w:gridCol w:w="938"/>
      </w:tblGrid>
      <w:tr w:rsidR="00EE4D02" w14:paraId="173E9A54" w14:textId="77777777" w:rsidTr="00EE4D02">
        <w:trPr>
          <w:trHeight w:val="352"/>
        </w:trPr>
        <w:tc>
          <w:tcPr>
            <w:tcW w:w="2714" w:type="dxa"/>
            <w:tcBorders>
              <w:top w:val="single" w:sz="4" w:space="0" w:color="auto"/>
              <w:left w:val="single" w:sz="4" w:space="0" w:color="auto"/>
              <w:bottom w:val="single" w:sz="4" w:space="0" w:color="auto"/>
              <w:right w:val="single" w:sz="4" w:space="0" w:color="auto"/>
              <w:tl2br w:val="single" w:sz="4" w:space="0" w:color="auto"/>
            </w:tcBorders>
            <w:shd w:val="clear" w:color="auto" w:fill="A6A6A6" w:themeFill="background1" w:themeFillShade="A6"/>
            <w:hideMark/>
          </w:tcPr>
          <w:p w14:paraId="28682C69" w14:textId="77777777" w:rsidR="00EE4D02" w:rsidRDefault="00EE4D02">
            <w:pPr>
              <w:keepNext/>
              <w:jc w:val="right"/>
            </w:pPr>
            <w:r>
              <w:t xml:space="preserve">Zone climatique </w:t>
            </w:r>
          </w:p>
          <w:p w14:paraId="3F7C7822" w14:textId="77777777" w:rsidR="00EE4D02" w:rsidRDefault="00EE4D02">
            <w:pPr>
              <w:keepNext/>
            </w:pPr>
            <w:r>
              <w:t xml:space="preserve">Catégorie </w:t>
            </w:r>
          </w:p>
          <w:p w14:paraId="25198ED7" w14:textId="77777777" w:rsidR="00EE4D02" w:rsidRDefault="00EE4D02">
            <w:pPr>
              <w:keepNext/>
            </w:pPr>
            <w:r>
              <w:t>de contraintes extérieure</w:t>
            </w:r>
          </w:p>
        </w:tc>
        <w:tc>
          <w:tcPr>
            <w:tcW w:w="93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0898374" w14:textId="77777777" w:rsidR="00EE4D02" w:rsidRDefault="00EE4D02">
            <w:pPr>
              <w:keepNext/>
              <w:jc w:val="center"/>
            </w:pPr>
            <w:r>
              <w:t>H1a</w:t>
            </w:r>
          </w:p>
        </w:tc>
        <w:tc>
          <w:tcPr>
            <w:tcW w:w="93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684DF92" w14:textId="77777777" w:rsidR="00EE4D02" w:rsidRDefault="00EE4D02">
            <w:pPr>
              <w:keepNext/>
              <w:jc w:val="center"/>
            </w:pPr>
            <w:r>
              <w:t>H1b</w:t>
            </w:r>
          </w:p>
        </w:tc>
        <w:tc>
          <w:tcPr>
            <w:tcW w:w="93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281A322" w14:textId="77777777" w:rsidR="00EE4D02" w:rsidRDefault="00EE4D02">
            <w:pPr>
              <w:keepNext/>
              <w:jc w:val="center"/>
            </w:pPr>
            <w:r>
              <w:t>H1c</w:t>
            </w:r>
          </w:p>
        </w:tc>
        <w:tc>
          <w:tcPr>
            <w:tcW w:w="93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425C0094" w14:textId="77777777" w:rsidR="00EE4D02" w:rsidRDefault="00EE4D02">
            <w:pPr>
              <w:keepNext/>
              <w:jc w:val="center"/>
            </w:pPr>
            <w:r>
              <w:t>H2a</w:t>
            </w:r>
          </w:p>
        </w:tc>
        <w:tc>
          <w:tcPr>
            <w:tcW w:w="93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5E8F1491" w14:textId="77777777" w:rsidR="00EE4D02" w:rsidRDefault="00EE4D02">
            <w:pPr>
              <w:keepNext/>
              <w:jc w:val="center"/>
            </w:pPr>
            <w:r>
              <w:t>H2b</w:t>
            </w:r>
          </w:p>
        </w:tc>
        <w:tc>
          <w:tcPr>
            <w:tcW w:w="93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3214F79C" w14:textId="77777777" w:rsidR="00EE4D02" w:rsidRDefault="00EE4D02">
            <w:pPr>
              <w:keepNext/>
              <w:jc w:val="center"/>
            </w:pPr>
            <w:r>
              <w:t>H2c</w:t>
            </w:r>
          </w:p>
        </w:tc>
        <w:tc>
          <w:tcPr>
            <w:tcW w:w="93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96BFBF4" w14:textId="77777777" w:rsidR="00EE4D02" w:rsidRDefault="00EE4D02">
            <w:pPr>
              <w:keepNext/>
              <w:jc w:val="center"/>
            </w:pPr>
            <w:r>
              <w:t>H2d</w:t>
            </w:r>
          </w:p>
        </w:tc>
        <w:tc>
          <w:tcPr>
            <w:tcW w:w="93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EADA923" w14:textId="4A31BC94" w:rsidR="00EE4D02" w:rsidRDefault="00097506">
            <w:pPr>
              <w:keepNext/>
              <w:jc w:val="center"/>
            </w:pPr>
            <w:r>
              <w:t>H3</w:t>
            </w:r>
          </w:p>
        </w:tc>
      </w:tr>
      <w:tr w:rsidR="00EE4D02" w14:paraId="3DFDF665" w14:textId="77777777" w:rsidTr="00EE4D02">
        <w:trPr>
          <w:trHeight w:val="352"/>
        </w:trPr>
        <w:tc>
          <w:tcPr>
            <w:tcW w:w="27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B350AC" w14:textId="77777777" w:rsidR="00EE4D02" w:rsidRDefault="00EE4D02">
            <w:pPr>
              <w:keepNext/>
              <w:jc w:val="center"/>
            </w:pPr>
            <w:r>
              <w:t>Catégorie 1</w:t>
            </w:r>
          </w:p>
        </w:tc>
        <w:tc>
          <w:tcPr>
            <w:tcW w:w="939" w:type="dxa"/>
            <w:tcBorders>
              <w:top w:val="single" w:sz="4" w:space="0" w:color="auto"/>
              <w:left w:val="single" w:sz="4" w:space="0" w:color="auto"/>
              <w:bottom w:val="single" w:sz="4" w:space="0" w:color="auto"/>
              <w:right w:val="single" w:sz="4" w:space="0" w:color="auto"/>
            </w:tcBorders>
            <w:vAlign w:val="center"/>
            <w:hideMark/>
          </w:tcPr>
          <w:p w14:paraId="152AAD41" w14:textId="17B0A63D" w:rsidR="00EE4D02" w:rsidRPr="00EE4D02" w:rsidRDefault="00E30E9F">
            <w:pPr>
              <w:keepNext/>
              <w:jc w:val="center"/>
              <w:textAlignment w:val="bottom"/>
            </w:pPr>
            <w:r>
              <w:t>0</w:t>
            </w:r>
          </w:p>
        </w:tc>
        <w:tc>
          <w:tcPr>
            <w:tcW w:w="939" w:type="dxa"/>
            <w:tcBorders>
              <w:top w:val="single" w:sz="4" w:space="0" w:color="auto"/>
              <w:left w:val="single" w:sz="4" w:space="0" w:color="auto"/>
              <w:bottom w:val="single" w:sz="4" w:space="0" w:color="auto"/>
              <w:right w:val="single" w:sz="4" w:space="0" w:color="auto"/>
            </w:tcBorders>
            <w:vAlign w:val="center"/>
            <w:hideMark/>
          </w:tcPr>
          <w:p w14:paraId="21455721" w14:textId="6EE64135" w:rsidR="00EE4D02" w:rsidRPr="00EE4D02" w:rsidRDefault="00E30E9F">
            <w:pPr>
              <w:keepNext/>
              <w:jc w:val="center"/>
              <w:textAlignment w:val="bottom"/>
            </w:pPr>
            <w:r>
              <w:t>0</w:t>
            </w:r>
          </w:p>
        </w:tc>
        <w:tc>
          <w:tcPr>
            <w:tcW w:w="938" w:type="dxa"/>
            <w:tcBorders>
              <w:top w:val="single" w:sz="4" w:space="0" w:color="auto"/>
              <w:left w:val="single" w:sz="4" w:space="0" w:color="auto"/>
              <w:bottom w:val="single" w:sz="4" w:space="0" w:color="auto"/>
              <w:right w:val="single" w:sz="4" w:space="0" w:color="auto"/>
            </w:tcBorders>
            <w:vAlign w:val="center"/>
            <w:hideMark/>
          </w:tcPr>
          <w:p w14:paraId="7C2C4F85" w14:textId="1260804C" w:rsidR="00EE4D02" w:rsidRPr="00EE4D02" w:rsidRDefault="00E30E9F">
            <w:pPr>
              <w:keepNext/>
              <w:jc w:val="center"/>
              <w:textAlignment w:val="bottom"/>
            </w:pPr>
            <w:r>
              <w:t>0</w:t>
            </w:r>
          </w:p>
        </w:tc>
        <w:tc>
          <w:tcPr>
            <w:tcW w:w="938" w:type="dxa"/>
            <w:tcBorders>
              <w:top w:val="single" w:sz="4" w:space="0" w:color="auto"/>
              <w:left w:val="single" w:sz="4" w:space="0" w:color="auto"/>
              <w:bottom w:val="single" w:sz="4" w:space="0" w:color="auto"/>
              <w:right w:val="single" w:sz="4" w:space="0" w:color="auto"/>
            </w:tcBorders>
            <w:vAlign w:val="center"/>
            <w:hideMark/>
          </w:tcPr>
          <w:p w14:paraId="4AF3ACE8" w14:textId="1B26A8C5" w:rsidR="00EE4D02" w:rsidRPr="00EE4D02" w:rsidRDefault="00E30E9F">
            <w:pPr>
              <w:keepNext/>
              <w:jc w:val="center"/>
              <w:textAlignment w:val="bottom"/>
            </w:pPr>
            <w:r>
              <w:t>0</w:t>
            </w:r>
          </w:p>
        </w:tc>
        <w:tc>
          <w:tcPr>
            <w:tcW w:w="938" w:type="dxa"/>
            <w:tcBorders>
              <w:top w:val="single" w:sz="4" w:space="0" w:color="auto"/>
              <w:left w:val="single" w:sz="4" w:space="0" w:color="auto"/>
              <w:bottom w:val="single" w:sz="4" w:space="0" w:color="auto"/>
              <w:right w:val="single" w:sz="4" w:space="0" w:color="auto"/>
            </w:tcBorders>
            <w:vAlign w:val="center"/>
            <w:hideMark/>
          </w:tcPr>
          <w:p w14:paraId="013D2969" w14:textId="35255A25" w:rsidR="00EE4D02" w:rsidRPr="00EE4D02" w:rsidRDefault="00E30E9F">
            <w:pPr>
              <w:keepNext/>
              <w:jc w:val="center"/>
              <w:textAlignment w:val="bottom"/>
            </w:pPr>
            <w:r>
              <w:t>0</w:t>
            </w:r>
          </w:p>
        </w:tc>
        <w:tc>
          <w:tcPr>
            <w:tcW w:w="938" w:type="dxa"/>
            <w:tcBorders>
              <w:top w:val="single" w:sz="4" w:space="0" w:color="auto"/>
              <w:left w:val="single" w:sz="4" w:space="0" w:color="auto"/>
              <w:bottom w:val="single" w:sz="4" w:space="0" w:color="auto"/>
              <w:right w:val="single" w:sz="4" w:space="0" w:color="auto"/>
            </w:tcBorders>
            <w:vAlign w:val="center"/>
            <w:hideMark/>
          </w:tcPr>
          <w:p w14:paraId="226A4E8E" w14:textId="75000957" w:rsidR="00EE4D02" w:rsidRPr="00EE4D02" w:rsidRDefault="00E30E9F">
            <w:pPr>
              <w:keepNext/>
              <w:jc w:val="center"/>
              <w:textAlignment w:val="bottom"/>
            </w:pPr>
            <w:r>
              <w:t>0</w:t>
            </w:r>
          </w:p>
        </w:tc>
        <w:tc>
          <w:tcPr>
            <w:tcW w:w="938" w:type="dxa"/>
            <w:tcBorders>
              <w:top w:val="single" w:sz="4" w:space="0" w:color="auto"/>
              <w:left w:val="single" w:sz="4" w:space="0" w:color="auto"/>
              <w:bottom w:val="single" w:sz="4" w:space="0" w:color="auto"/>
              <w:right w:val="single" w:sz="4" w:space="0" w:color="auto"/>
            </w:tcBorders>
            <w:vAlign w:val="center"/>
            <w:hideMark/>
          </w:tcPr>
          <w:p w14:paraId="635453E9" w14:textId="1D734EE3" w:rsidR="00EE4D02" w:rsidRPr="00EE4D02" w:rsidRDefault="00E30E9F">
            <w:pPr>
              <w:keepNext/>
              <w:jc w:val="center"/>
              <w:textAlignment w:val="bottom"/>
            </w:pPr>
            <w:r>
              <w:t>0</w:t>
            </w:r>
          </w:p>
        </w:tc>
        <w:tc>
          <w:tcPr>
            <w:tcW w:w="938" w:type="dxa"/>
            <w:tcBorders>
              <w:top w:val="single" w:sz="4" w:space="0" w:color="auto"/>
              <w:left w:val="single" w:sz="4" w:space="0" w:color="auto"/>
              <w:bottom w:val="single" w:sz="4" w:space="0" w:color="auto"/>
              <w:right w:val="single" w:sz="4" w:space="0" w:color="auto"/>
            </w:tcBorders>
            <w:vAlign w:val="center"/>
            <w:hideMark/>
          </w:tcPr>
          <w:p w14:paraId="3523EB13" w14:textId="6BA60CBD" w:rsidR="00EE4D02" w:rsidRPr="00EE4D02" w:rsidRDefault="00E30E9F">
            <w:pPr>
              <w:keepNext/>
              <w:jc w:val="center"/>
              <w:textAlignment w:val="bottom"/>
            </w:pPr>
            <w:r>
              <w:t>0</w:t>
            </w:r>
          </w:p>
        </w:tc>
      </w:tr>
      <w:tr w:rsidR="00EE4D02" w14:paraId="6B4A0486" w14:textId="77777777" w:rsidTr="00EE4D02">
        <w:trPr>
          <w:trHeight w:val="352"/>
        </w:trPr>
        <w:tc>
          <w:tcPr>
            <w:tcW w:w="27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2E246E6" w14:textId="77777777" w:rsidR="00EE4D02" w:rsidRDefault="00EE4D02">
            <w:pPr>
              <w:keepNext/>
              <w:jc w:val="center"/>
            </w:pPr>
            <w:r>
              <w:t>Catégorie 2</w:t>
            </w:r>
          </w:p>
        </w:tc>
        <w:tc>
          <w:tcPr>
            <w:tcW w:w="939" w:type="dxa"/>
            <w:tcBorders>
              <w:top w:val="single" w:sz="4" w:space="0" w:color="auto"/>
              <w:left w:val="single" w:sz="4" w:space="0" w:color="auto"/>
              <w:bottom w:val="single" w:sz="4" w:space="0" w:color="auto"/>
              <w:right w:val="single" w:sz="4" w:space="0" w:color="auto"/>
            </w:tcBorders>
            <w:vAlign w:val="center"/>
            <w:hideMark/>
          </w:tcPr>
          <w:p w14:paraId="4DC6C6F6" w14:textId="5C43AA4A" w:rsidR="00EE4D02" w:rsidRPr="00EE4D02" w:rsidRDefault="00E30E9F">
            <w:pPr>
              <w:keepNext/>
              <w:jc w:val="center"/>
              <w:textAlignment w:val="bottom"/>
            </w:pPr>
            <w:r>
              <w:t>0</w:t>
            </w:r>
          </w:p>
        </w:tc>
        <w:tc>
          <w:tcPr>
            <w:tcW w:w="939" w:type="dxa"/>
            <w:tcBorders>
              <w:top w:val="single" w:sz="4" w:space="0" w:color="auto"/>
              <w:left w:val="single" w:sz="4" w:space="0" w:color="auto"/>
              <w:bottom w:val="single" w:sz="4" w:space="0" w:color="auto"/>
              <w:right w:val="single" w:sz="4" w:space="0" w:color="auto"/>
            </w:tcBorders>
            <w:vAlign w:val="center"/>
            <w:hideMark/>
          </w:tcPr>
          <w:p w14:paraId="5DCBAA4D" w14:textId="2AE8CDFF" w:rsidR="00EE4D02" w:rsidRPr="00EE4D02" w:rsidRDefault="00E30E9F">
            <w:pPr>
              <w:keepNext/>
              <w:jc w:val="center"/>
              <w:textAlignment w:val="bottom"/>
            </w:pPr>
            <w:r>
              <w:t>0</w:t>
            </w:r>
          </w:p>
        </w:tc>
        <w:tc>
          <w:tcPr>
            <w:tcW w:w="938" w:type="dxa"/>
            <w:tcBorders>
              <w:top w:val="single" w:sz="4" w:space="0" w:color="auto"/>
              <w:left w:val="single" w:sz="4" w:space="0" w:color="auto"/>
              <w:bottom w:val="single" w:sz="4" w:space="0" w:color="auto"/>
              <w:right w:val="single" w:sz="4" w:space="0" w:color="auto"/>
            </w:tcBorders>
            <w:vAlign w:val="center"/>
            <w:hideMark/>
          </w:tcPr>
          <w:p w14:paraId="69512B21" w14:textId="403385CE" w:rsidR="00EE4D02" w:rsidRPr="00EE4D02" w:rsidRDefault="00E30E9F">
            <w:pPr>
              <w:keepNext/>
              <w:jc w:val="center"/>
              <w:textAlignment w:val="bottom"/>
            </w:pPr>
            <w:r>
              <w:t>0</w:t>
            </w:r>
          </w:p>
        </w:tc>
        <w:tc>
          <w:tcPr>
            <w:tcW w:w="938" w:type="dxa"/>
            <w:tcBorders>
              <w:top w:val="single" w:sz="4" w:space="0" w:color="auto"/>
              <w:left w:val="single" w:sz="4" w:space="0" w:color="auto"/>
              <w:bottom w:val="single" w:sz="4" w:space="0" w:color="auto"/>
              <w:right w:val="single" w:sz="4" w:space="0" w:color="auto"/>
            </w:tcBorders>
            <w:vAlign w:val="center"/>
            <w:hideMark/>
          </w:tcPr>
          <w:p w14:paraId="69F0850D" w14:textId="13A10555" w:rsidR="00EE4D02" w:rsidRPr="00EE4D02" w:rsidRDefault="00E30E9F">
            <w:pPr>
              <w:keepNext/>
              <w:jc w:val="center"/>
              <w:textAlignment w:val="bottom"/>
            </w:pPr>
            <w:r>
              <w:t>0</w:t>
            </w:r>
          </w:p>
        </w:tc>
        <w:tc>
          <w:tcPr>
            <w:tcW w:w="938" w:type="dxa"/>
            <w:tcBorders>
              <w:top w:val="single" w:sz="4" w:space="0" w:color="auto"/>
              <w:left w:val="single" w:sz="4" w:space="0" w:color="auto"/>
              <w:bottom w:val="single" w:sz="4" w:space="0" w:color="auto"/>
              <w:right w:val="single" w:sz="4" w:space="0" w:color="auto"/>
            </w:tcBorders>
            <w:vAlign w:val="center"/>
            <w:hideMark/>
          </w:tcPr>
          <w:p w14:paraId="4B2D2B6C" w14:textId="23564B06" w:rsidR="00EE4D02" w:rsidRPr="00EE4D02" w:rsidRDefault="00E30E9F">
            <w:pPr>
              <w:keepNext/>
              <w:jc w:val="center"/>
              <w:textAlignment w:val="bottom"/>
            </w:pPr>
            <w:r>
              <w:t>0</w:t>
            </w:r>
          </w:p>
        </w:tc>
        <w:tc>
          <w:tcPr>
            <w:tcW w:w="938" w:type="dxa"/>
            <w:tcBorders>
              <w:top w:val="single" w:sz="4" w:space="0" w:color="auto"/>
              <w:left w:val="single" w:sz="4" w:space="0" w:color="auto"/>
              <w:bottom w:val="single" w:sz="4" w:space="0" w:color="auto"/>
              <w:right w:val="single" w:sz="4" w:space="0" w:color="auto"/>
            </w:tcBorders>
            <w:vAlign w:val="center"/>
            <w:hideMark/>
          </w:tcPr>
          <w:p w14:paraId="1EE7B710" w14:textId="4088E10C" w:rsidR="00EE4D02" w:rsidRPr="00EE4D02" w:rsidRDefault="00E30E9F">
            <w:pPr>
              <w:keepNext/>
              <w:jc w:val="center"/>
              <w:textAlignment w:val="bottom"/>
            </w:pPr>
            <w:r>
              <w:t>0</w:t>
            </w:r>
          </w:p>
        </w:tc>
        <w:tc>
          <w:tcPr>
            <w:tcW w:w="938" w:type="dxa"/>
            <w:tcBorders>
              <w:top w:val="single" w:sz="4" w:space="0" w:color="auto"/>
              <w:left w:val="single" w:sz="4" w:space="0" w:color="auto"/>
              <w:bottom w:val="single" w:sz="4" w:space="0" w:color="auto"/>
              <w:right w:val="single" w:sz="4" w:space="0" w:color="auto"/>
            </w:tcBorders>
            <w:vAlign w:val="center"/>
            <w:hideMark/>
          </w:tcPr>
          <w:p w14:paraId="3A6698B6" w14:textId="5E2E6838" w:rsidR="00EE4D02" w:rsidRPr="00EE4D02" w:rsidRDefault="00E30E9F">
            <w:pPr>
              <w:keepNext/>
              <w:jc w:val="center"/>
              <w:textAlignment w:val="bottom"/>
            </w:pPr>
            <w:r>
              <w:t>0</w:t>
            </w:r>
            <w:r w:rsidR="00EE4D02" w:rsidRPr="00EE4D02">
              <w:t>,05</w:t>
            </w:r>
          </w:p>
        </w:tc>
        <w:tc>
          <w:tcPr>
            <w:tcW w:w="938" w:type="dxa"/>
            <w:tcBorders>
              <w:top w:val="single" w:sz="4" w:space="0" w:color="auto"/>
              <w:left w:val="single" w:sz="4" w:space="0" w:color="auto"/>
              <w:bottom w:val="single" w:sz="4" w:space="0" w:color="auto"/>
              <w:right w:val="single" w:sz="4" w:space="0" w:color="auto"/>
            </w:tcBorders>
            <w:vAlign w:val="center"/>
            <w:hideMark/>
          </w:tcPr>
          <w:p w14:paraId="0CFD44EE" w14:textId="35610489" w:rsidR="00EE4D02" w:rsidRPr="00EE4D02" w:rsidRDefault="00E30E9F">
            <w:pPr>
              <w:keepNext/>
              <w:jc w:val="center"/>
              <w:textAlignment w:val="bottom"/>
            </w:pPr>
            <w:r>
              <w:t>0</w:t>
            </w:r>
            <w:r w:rsidR="00EE4D02" w:rsidRPr="00EE4D02">
              <w:t>,05</w:t>
            </w:r>
          </w:p>
        </w:tc>
      </w:tr>
    </w:tbl>
    <w:p w14:paraId="0B8E799B" w14:textId="004BC8AF" w:rsidR="006C7734" w:rsidRDefault="006C7734" w:rsidP="007B643E"/>
    <w:p w14:paraId="765E8277" w14:textId="22C00579" w:rsidR="00224648" w:rsidRDefault="00224648" w:rsidP="007B643E"/>
    <w:p w14:paraId="3B9EA695" w14:textId="506981BD" w:rsidR="00224648" w:rsidRDefault="00224648" w:rsidP="007B643E"/>
    <w:p w14:paraId="5A62D42C" w14:textId="3FEAA689" w:rsidR="00224648" w:rsidRPr="00445109" w:rsidRDefault="00224648" w:rsidP="00324401">
      <w:pPr>
        <w:pStyle w:val="Titre5"/>
        <w:keepNext/>
      </w:pPr>
      <w:r w:rsidRPr="007B643E">
        <w:lastRenderedPageBreak/>
        <w:t>Valeurs des coefficients décrits à l’</w:t>
      </w:r>
      <w:r>
        <w:fldChar w:fldCharType="begin"/>
      </w:r>
      <w:r>
        <w:instrText xml:space="preserve"> REF _Ref57398791 \r \h </w:instrText>
      </w:r>
      <w:r>
        <w:fldChar w:fldCharType="separate"/>
      </w:r>
      <w:r w:rsidR="00E9780A">
        <w:t>Article 14</w:t>
      </w:r>
      <w:r>
        <w:fldChar w:fldCharType="end"/>
      </w:r>
      <w:r>
        <w:fldChar w:fldCharType="begin"/>
      </w:r>
      <w:r>
        <w:instrText xml:space="preserve"> REF _Ref57398791 \h </w:instrText>
      </w:r>
      <w:r>
        <w:fldChar w:fldCharType="separate"/>
      </w:r>
      <w:r w:rsidR="00E9780A">
        <w:t>(</w:t>
      </w:r>
      <w:r w:rsidR="00E9780A" w:rsidRPr="00166544">
        <w:rPr>
          <w:rFonts w:cstheme="minorHAnsi"/>
        </w:rPr>
        <w:t>Ic</w:t>
      </w:r>
      <w:r w:rsidR="00E9780A" w:rsidRPr="00166544">
        <w:rPr>
          <w:rFonts w:cstheme="minorHAnsi"/>
          <w:vertAlign w:val="subscript"/>
        </w:rPr>
        <w:t>composants</w:t>
      </w:r>
      <w:r w:rsidR="00E9780A" w:rsidRPr="00166544">
        <w:rPr>
          <w:rFonts w:cstheme="minorHAnsi"/>
        </w:rPr>
        <w:t>_max</w:t>
      </w:r>
      <w:r w:rsidR="00E9780A">
        <w:t>)</w:t>
      </w:r>
      <w:r>
        <w:fldChar w:fldCharType="end"/>
      </w:r>
      <w:r w:rsidRPr="00445109">
        <w:t xml:space="preserve"> </w:t>
      </w:r>
    </w:p>
    <w:p w14:paraId="37219D14" w14:textId="77777777" w:rsidR="00224648" w:rsidRPr="00224648" w:rsidRDefault="00224648" w:rsidP="00E8319A">
      <w:pPr>
        <w:pStyle w:val="Titre6"/>
        <w:numPr>
          <w:ilvl w:val="0"/>
          <w:numId w:val="25"/>
        </w:numPr>
      </w:pPr>
      <w:r w:rsidRPr="00224648">
        <w:t>Valeurs de Ic</w:t>
      </w:r>
      <w:r w:rsidRPr="00224648">
        <w:rPr>
          <w:vertAlign w:val="subscript"/>
        </w:rPr>
        <w:t>composants</w:t>
      </w:r>
      <w:r w:rsidRPr="00224648">
        <w:t>_maxmoyen</w:t>
      </w:r>
    </w:p>
    <w:p w14:paraId="1F93CA6E" w14:textId="77777777" w:rsidR="00224648" w:rsidRPr="00224648" w:rsidRDefault="00224648" w:rsidP="00224648">
      <w:pPr>
        <w:keepNext/>
      </w:pPr>
      <w:r w:rsidRPr="00224648">
        <w:t xml:space="preserve">Le coefficient </w:t>
      </w:r>
      <w:r w:rsidRPr="00224648">
        <w:rPr>
          <w:rFonts w:cstheme="minorHAnsi"/>
        </w:rPr>
        <w:t>Ic</w:t>
      </w:r>
      <w:r w:rsidRPr="00224648">
        <w:rPr>
          <w:rFonts w:cstheme="minorHAnsi"/>
          <w:vertAlign w:val="subscript"/>
        </w:rPr>
        <w:t>composants</w:t>
      </w:r>
      <w:r w:rsidRPr="00224648">
        <w:rPr>
          <w:rFonts w:cstheme="minorHAnsi"/>
        </w:rPr>
        <w:t>_max</w:t>
      </w:r>
      <w:r w:rsidRPr="00224648">
        <w:t>moyen prend les valeurs suivantes, en fonction de l’usage de la partie de bâtiment et de l’année à laquelle la demande de permis de construire correspondante est déposée :</w:t>
      </w:r>
    </w:p>
    <w:tbl>
      <w:tblPr>
        <w:tblStyle w:val="Grilledutableau"/>
        <w:tblW w:w="8795" w:type="dxa"/>
        <w:tblInd w:w="276" w:type="dxa"/>
        <w:tblLook w:val="04A0" w:firstRow="1" w:lastRow="0" w:firstColumn="1" w:lastColumn="0" w:noHBand="0" w:noVBand="1"/>
      </w:tblPr>
      <w:tblGrid>
        <w:gridCol w:w="1992"/>
        <w:gridCol w:w="1636"/>
        <w:gridCol w:w="1445"/>
        <w:gridCol w:w="1534"/>
        <w:gridCol w:w="2188"/>
      </w:tblGrid>
      <w:tr w:rsidR="00224648" w:rsidRPr="00224648" w14:paraId="0AC3BE0F" w14:textId="77777777" w:rsidTr="00AB5367">
        <w:trPr>
          <w:trHeight w:val="348"/>
        </w:trPr>
        <w:tc>
          <w:tcPr>
            <w:tcW w:w="1992" w:type="dxa"/>
            <w:shd w:val="clear" w:color="auto" w:fill="A6A6A6" w:themeFill="background1" w:themeFillShade="A6"/>
            <w:vAlign w:val="center"/>
          </w:tcPr>
          <w:p w14:paraId="03C9A05A" w14:textId="77777777" w:rsidR="00224648" w:rsidRPr="00224648" w:rsidRDefault="00224648" w:rsidP="00224648">
            <w:pPr>
              <w:keepNext/>
              <w:jc w:val="center"/>
            </w:pPr>
          </w:p>
        </w:tc>
        <w:tc>
          <w:tcPr>
            <w:tcW w:w="6803" w:type="dxa"/>
            <w:gridSpan w:val="4"/>
            <w:shd w:val="clear" w:color="auto" w:fill="A6A6A6" w:themeFill="background1" w:themeFillShade="A6"/>
            <w:vAlign w:val="center"/>
          </w:tcPr>
          <w:p w14:paraId="69194D9F" w14:textId="77777777" w:rsidR="00224648" w:rsidRPr="00224648" w:rsidRDefault="00224648" w:rsidP="00224648">
            <w:pPr>
              <w:keepNext/>
              <w:jc w:val="center"/>
            </w:pPr>
            <w:r w:rsidRPr="00224648">
              <w:t xml:space="preserve">Valeur de </w:t>
            </w:r>
            <w:r w:rsidRPr="00224648">
              <w:rPr>
                <w:rFonts w:cstheme="minorHAnsi"/>
              </w:rPr>
              <w:t>Ic</w:t>
            </w:r>
            <w:r w:rsidRPr="00224648">
              <w:rPr>
                <w:rFonts w:cstheme="minorHAnsi"/>
                <w:vertAlign w:val="subscript"/>
              </w:rPr>
              <w:t>composants</w:t>
            </w:r>
            <w:r w:rsidRPr="00224648">
              <w:rPr>
                <w:rFonts w:cstheme="minorHAnsi"/>
              </w:rPr>
              <w:t>_max</w:t>
            </w:r>
            <w:r w:rsidRPr="00224648">
              <w:t>moyen</w:t>
            </w:r>
          </w:p>
        </w:tc>
      </w:tr>
      <w:tr w:rsidR="00224648" w:rsidRPr="00224648" w14:paraId="72AC5DA0" w14:textId="77777777" w:rsidTr="00AB5367">
        <w:trPr>
          <w:trHeight w:val="676"/>
        </w:trPr>
        <w:tc>
          <w:tcPr>
            <w:tcW w:w="1992" w:type="dxa"/>
            <w:shd w:val="clear" w:color="auto" w:fill="A6A6A6" w:themeFill="background1" w:themeFillShade="A6"/>
            <w:vAlign w:val="center"/>
          </w:tcPr>
          <w:p w14:paraId="125EEB24" w14:textId="77777777" w:rsidR="00224648" w:rsidRPr="00224648" w:rsidRDefault="00224648" w:rsidP="00224648">
            <w:pPr>
              <w:keepNext/>
              <w:jc w:val="center"/>
            </w:pPr>
            <w:r w:rsidRPr="00224648">
              <w:t>Usage de la partie de bâtiment</w:t>
            </w:r>
          </w:p>
        </w:tc>
        <w:tc>
          <w:tcPr>
            <w:tcW w:w="1636" w:type="dxa"/>
            <w:shd w:val="clear" w:color="auto" w:fill="A6A6A6" w:themeFill="background1" w:themeFillShade="A6"/>
            <w:vAlign w:val="center"/>
          </w:tcPr>
          <w:p w14:paraId="5E6F8590" w14:textId="77777777" w:rsidR="00224648" w:rsidRPr="00224648" w:rsidRDefault="00224648" w:rsidP="00224648">
            <w:pPr>
              <w:keepNext/>
              <w:jc w:val="center"/>
            </w:pPr>
            <w:r w:rsidRPr="00224648">
              <w:t>Années 2021 à 2023</w:t>
            </w:r>
          </w:p>
        </w:tc>
        <w:tc>
          <w:tcPr>
            <w:tcW w:w="1445" w:type="dxa"/>
            <w:shd w:val="clear" w:color="auto" w:fill="A6A6A6" w:themeFill="background1" w:themeFillShade="A6"/>
          </w:tcPr>
          <w:p w14:paraId="7763DC12" w14:textId="77777777" w:rsidR="00224648" w:rsidRPr="00224648" w:rsidRDefault="00224648" w:rsidP="00224648">
            <w:pPr>
              <w:keepNext/>
              <w:jc w:val="center"/>
            </w:pPr>
            <w:r w:rsidRPr="00224648">
              <w:t>Années 2024 à 2026</w:t>
            </w:r>
          </w:p>
        </w:tc>
        <w:tc>
          <w:tcPr>
            <w:tcW w:w="1534" w:type="dxa"/>
            <w:shd w:val="clear" w:color="auto" w:fill="A6A6A6" w:themeFill="background1" w:themeFillShade="A6"/>
          </w:tcPr>
          <w:p w14:paraId="4CFE9AEB" w14:textId="77777777" w:rsidR="00224648" w:rsidRPr="00224648" w:rsidRDefault="00224648" w:rsidP="00224648">
            <w:pPr>
              <w:keepNext/>
              <w:jc w:val="center"/>
            </w:pPr>
            <w:r w:rsidRPr="00224648">
              <w:t>Années 2027 à 2029</w:t>
            </w:r>
          </w:p>
        </w:tc>
        <w:tc>
          <w:tcPr>
            <w:tcW w:w="2188" w:type="dxa"/>
            <w:shd w:val="clear" w:color="auto" w:fill="A6A6A6" w:themeFill="background1" w:themeFillShade="A6"/>
          </w:tcPr>
          <w:p w14:paraId="5E8A174A" w14:textId="77777777" w:rsidR="00224648" w:rsidRPr="00224648" w:rsidRDefault="00224648" w:rsidP="00224648">
            <w:pPr>
              <w:keepNext/>
              <w:jc w:val="center"/>
            </w:pPr>
            <w:r w:rsidRPr="00224648">
              <w:t>Année 2030</w:t>
            </w:r>
          </w:p>
        </w:tc>
      </w:tr>
      <w:tr w:rsidR="00257E0C" w:rsidRPr="00224648" w14:paraId="0E49F999" w14:textId="77777777" w:rsidTr="00AA57C7">
        <w:trPr>
          <w:trHeight w:val="1025"/>
        </w:trPr>
        <w:tc>
          <w:tcPr>
            <w:tcW w:w="1992" w:type="dxa"/>
            <w:shd w:val="clear" w:color="auto" w:fill="F2F2F2" w:themeFill="background1" w:themeFillShade="F2"/>
            <w:vAlign w:val="center"/>
          </w:tcPr>
          <w:p w14:paraId="5990CAF8" w14:textId="77777777" w:rsidR="00257E0C" w:rsidRPr="00224648" w:rsidRDefault="00257E0C" w:rsidP="00257E0C">
            <w:pPr>
              <w:keepNext/>
              <w:jc w:val="left"/>
            </w:pPr>
            <w:r w:rsidRPr="00224648">
              <w:t>Maisons individuelles ou accolées</w:t>
            </w:r>
          </w:p>
        </w:tc>
        <w:tc>
          <w:tcPr>
            <w:tcW w:w="1636" w:type="dxa"/>
            <w:vAlign w:val="center"/>
          </w:tcPr>
          <w:p w14:paraId="22C77213" w14:textId="7F991C7E" w:rsidR="00257E0C" w:rsidRPr="00FC495C" w:rsidRDefault="00AF36EA" w:rsidP="00AA57C7">
            <w:pPr>
              <w:keepNext/>
              <w:jc w:val="center"/>
            </w:pPr>
            <w:r w:rsidRPr="00FC495C">
              <w:t xml:space="preserve">630 </w:t>
            </w:r>
            <w:r w:rsidR="00257E0C" w:rsidRPr="00FC495C">
              <w:t>kq éq. CO2/m²</w:t>
            </w:r>
          </w:p>
        </w:tc>
        <w:tc>
          <w:tcPr>
            <w:tcW w:w="1445" w:type="dxa"/>
            <w:vAlign w:val="center"/>
          </w:tcPr>
          <w:p w14:paraId="586FFE8B" w14:textId="2FE7091B" w:rsidR="00257E0C" w:rsidRPr="00FC495C" w:rsidRDefault="00AF36EA" w:rsidP="00AA57C7">
            <w:pPr>
              <w:keepNext/>
              <w:jc w:val="center"/>
            </w:pPr>
            <w:r w:rsidRPr="00FC495C">
              <w:t xml:space="preserve">510 </w:t>
            </w:r>
            <w:r w:rsidR="00257E0C" w:rsidRPr="00FC495C">
              <w:t>kq éq. CO2/m²</w:t>
            </w:r>
          </w:p>
        </w:tc>
        <w:tc>
          <w:tcPr>
            <w:tcW w:w="1534" w:type="dxa"/>
            <w:vAlign w:val="center"/>
          </w:tcPr>
          <w:p w14:paraId="5B850AD0" w14:textId="4D552A0C" w:rsidR="00257E0C" w:rsidRPr="00FC495C" w:rsidRDefault="00AF36EA" w:rsidP="00AA57C7">
            <w:pPr>
              <w:keepNext/>
              <w:jc w:val="center"/>
            </w:pPr>
            <w:r w:rsidRPr="00FC495C">
              <w:t xml:space="preserve">450 </w:t>
            </w:r>
            <w:r w:rsidR="00257E0C" w:rsidRPr="00FC495C">
              <w:t>kq éq. CO2/m²</w:t>
            </w:r>
          </w:p>
        </w:tc>
        <w:tc>
          <w:tcPr>
            <w:tcW w:w="2188" w:type="dxa"/>
            <w:vAlign w:val="center"/>
          </w:tcPr>
          <w:p w14:paraId="19FCB21E" w14:textId="573AF503" w:rsidR="00257E0C" w:rsidRPr="00FC495C" w:rsidRDefault="00AF36EA" w:rsidP="00AA57C7">
            <w:pPr>
              <w:keepNext/>
              <w:jc w:val="center"/>
            </w:pPr>
            <w:r w:rsidRPr="00FC495C">
              <w:t xml:space="preserve">370 </w:t>
            </w:r>
            <w:r w:rsidR="00257E0C" w:rsidRPr="00FC495C">
              <w:t>kq éq. CO2/m²</w:t>
            </w:r>
          </w:p>
        </w:tc>
      </w:tr>
      <w:tr w:rsidR="00257E0C" w:rsidRPr="00224648" w14:paraId="139729BC" w14:textId="77777777" w:rsidTr="00AA57C7">
        <w:trPr>
          <w:trHeight w:val="696"/>
        </w:trPr>
        <w:tc>
          <w:tcPr>
            <w:tcW w:w="1992" w:type="dxa"/>
            <w:shd w:val="clear" w:color="auto" w:fill="F2F2F2" w:themeFill="background1" w:themeFillShade="F2"/>
            <w:vAlign w:val="center"/>
          </w:tcPr>
          <w:p w14:paraId="46F92E1C" w14:textId="77777777" w:rsidR="00257E0C" w:rsidRPr="00224648" w:rsidRDefault="00257E0C" w:rsidP="00257E0C">
            <w:pPr>
              <w:keepNext/>
              <w:jc w:val="left"/>
            </w:pPr>
            <w:r w:rsidRPr="00224648">
              <w:t>Logements collectifs</w:t>
            </w:r>
          </w:p>
        </w:tc>
        <w:tc>
          <w:tcPr>
            <w:tcW w:w="1636" w:type="dxa"/>
            <w:vAlign w:val="center"/>
          </w:tcPr>
          <w:p w14:paraId="606AC59B" w14:textId="4D1196C9" w:rsidR="00257E0C" w:rsidRPr="00257E0C" w:rsidRDefault="00257E0C" w:rsidP="00AA57C7">
            <w:pPr>
              <w:keepNext/>
              <w:jc w:val="center"/>
            </w:pPr>
            <w:r w:rsidRPr="00257E0C">
              <w:t>700 kq éq. CO2/m²</w:t>
            </w:r>
          </w:p>
        </w:tc>
        <w:tc>
          <w:tcPr>
            <w:tcW w:w="1445" w:type="dxa"/>
            <w:vAlign w:val="center"/>
          </w:tcPr>
          <w:p w14:paraId="7B2BB88D" w14:textId="3BCA2DE7" w:rsidR="00257E0C" w:rsidRPr="00257E0C" w:rsidRDefault="00257E0C" w:rsidP="00AA57C7">
            <w:pPr>
              <w:keepNext/>
              <w:jc w:val="center"/>
            </w:pPr>
            <w:r w:rsidRPr="00257E0C">
              <w:t>610 kq éq. CO2/m²</w:t>
            </w:r>
          </w:p>
        </w:tc>
        <w:tc>
          <w:tcPr>
            <w:tcW w:w="1534" w:type="dxa"/>
            <w:vAlign w:val="center"/>
          </w:tcPr>
          <w:p w14:paraId="5753F2FB" w14:textId="291DABC2" w:rsidR="00257E0C" w:rsidRPr="00257E0C" w:rsidRDefault="00257E0C" w:rsidP="00AA57C7">
            <w:pPr>
              <w:keepNext/>
              <w:jc w:val="center"/>
            </w:pPr>
            <w:r w:rsidRPr="00257E0C">
              <w:t>540 kq éq. CO2/m²</w:t>
            </w:r>
          </w:p>
        </w:tc>
        <w:tc>
          <w:tcPr>
            <w:tcW w:w="2188" w:type="dxa"/>
            <w:vAlign w:val="center"/>
          </w:tcPr>
          <w:p w14:paraId="4A9D6777" w14:textId="0E76BE50" w:rsidR="00257E0C" w:rsidRPr="00257E0C" w:rsidRDefault="00257E0C" w:rsidP="00AA57C7">
            <w:pPr>
              <w:keepNext/>
              <w:jc w:val="center"/>
            </w:pPr>
            <w:r w:rsidRPr="00257E0C">
              <w:t>450 kq éq. CO2/m²</w:t>
            </w:r>
          </w:p>
        </w:tc>
      </w:tr>
      <w:tr w:rsidR="00224648" w:rsidRPr="00224648" w14:paraId="3A0E1449" w14:textId="77777777" w:rsidTr="00AB5367">
        <w:trPr>
          <w:trHeight w:val="328"/>
        </w:trPr>
        <w:tc>
          <w:tcPr>
            <w:tcW w:w="1992" w:type="dxa"/>
            <w:shd w:val="clear" w:color="auto" w:fill="F2F2F2" w:themeFill="background1" w:themeFillShade="F2"/>
            <w:vAlign w:val="center"/>
          </w:tcPr>
          <w:p w14:paraId="2928BB2F" w14:textId="77777777" w:rsidR="00224648" w:rsidRPr="00224648" w:rsidRDefault="00224648" w:rsidP="00224648">
            <w:pPr>
              <w:keepNext/>
              <w:jc w:val="left"/>
            </w:pPr>
            <w:r w:rsidRPr="00224648">
              <w:t>Bureaux</w:t>
            </w:r>
          </w:p>
        </w:tc>
        <w:tc>
          <w:tcPr>
            <w:tcW w:w="1636" w:type="dxa"/>
            <w:vAlign w:val="center"/>
          </w:tcPr>
          <w:p w14:paraId="1AA1C228" w14:textId="77777777" w:rsidR="00224648" w:rsidRPr="00224648" w:rsidRDefault="00224648" w:rsidP="00224648">
            <w:pPr>
              <w:keepNext/>
              <w:jc w:val="center"/>
            </w:pPr>
          </w:p>
        </w:tc>
        <w:tc>
          <w:tcPr>
            <w:tcW w:w="1445" w:type="dxa"/>
          </w:tcPr>
          <w:p w14:paraId="4AA24854" w14:textId="77777777" w:rsidR="00224648" w:rsidRPr="00224648" w:rsidRDefault="00224648" w:rsidP="00224648">
            <w:pPr>
              <w:keepNext/>
              <w:jc w:val="center"/>
            </w:pPr>
          </w:p>
        </w:tc>
        <w:tc>
          <w:tcPr>
            <w:tcW w:w="1534" w:type="dxa"/>
          </w:tcPr>
          <w:p w14:paraId="4EBDA983" w14:textId="77777777" w:rsidR="00224648" w:rsidRPr="00224648" w:rsidRDefault="00224648" w:rsidP="00224648">
            <w:pPr>
              <w:keepNext/>
              <w:jc w:val="center"/>
            </w:pPr>
          </w:p>
        </w:tc>
        <w:tc>
          <w:tcPr>
            <w:tcW w:w="2188" w:type="dxa"/>
          </w:tcPr>
          <w:p w14:paraId="5D1CEF1D" w14:textId="77777777" w:rsidR="00224648" w:rsidRPr="00224648" w:rsidRDefault="00224648" w:rsidP="00224648">
            <w:pPr>
              <w:keepNext/>
              <w:jc w:val="center"/>
            </w:pPr>
          </w:p>
        </w:tc>
      </w:tr>
      <w:tr w:rsidR="00224648" w:rsidRPr="00224648" w14:paraId="3396AD1A" w14:textId="77777777" w:rsidTr="00AB5367">
        <w:trPr>
          <w:trHeight w:val="348"/>
        </w:trPr>
        <w:tc>
          <w:tcPr>
            <w:tcW w:w="1992" w:type="dxa"/>
            <w:shd w:val="clear" w:color="auto" w:fill="F2F2F2" w:themeFill="background1" w:themeFillShade="F2"/>
            <w:vAlign w:val="center"/>
          </w:tcPr>
          <w:p w14:paraId="492D0BD0" w14:textId="77777777" w:rsidR="00224648" w:rsidRPr="00224648" w:rsidRDefault="00224648" w:rsidP="00224648">
            <w:pPr>
              <w:keepNext/>
              <w:jc w:val="left"/>
            </w:pPr>
            <w:r w:rsidRPr="00224648">
              <w:t>Enseignement</w:t>
            </w:r>
          </w:p>
        </w:tc>
        <w:tc>
          <w:tcPr>
            <w:tcW w:w="1636" w:type="dxa"/>
            <w:vAlign w:val="center"/>
          </w:tcPr>
          <w:p w14:paraId="602AF57D" w14:textId="77777777" w:rsidR="00224648" w:rsidRPr="00224648" w:rsidRDefault="00224648" w:rsidP="00224648">
            <w:pPr>
              <w:keepNext/>
              <w:jc w:val="center"/>
            </w:pPr>
          </w:p>
        </w:tc>
        <w:tc>
          <w:tcPr>
            <w:tcW w:w="1445" w:type="dxa"/>
          </w:tcPr>
          <w:p w14:paraId="6B18AED3" w14:textId="77777777" w:rsidR="00224648" w:rsidRPr="00224648" w:rsidRDefault="00224648" w:rsidP="00224648">
            <w:pPr>
              <w:keepNext/>
              <w:jc w:val="center"/>
            </w:pPr>
          </w:p>
        </w:tc>
        <w:tc>
          <w:tcPr>
            <w:tcW w:w="1534" w:type="dxa"/>
          </w:tcPr>
          <w:p w14:paraId="2CF7BC81" w14:textId="77777777" w:rsidR="00224648" w:rsidRPr="00224648" w:rsidRDefault="00224648" w:rsidP="00224648">
            <w:pPr>
              <w:keepNext/>
              <w:jc w:val="center"/>
            </w:pPr>
          </w:p>
        </w:tc>
        <w:tc>
          <w:tcPr>
            <w:tcW w:w="2188" w:type="dxa"/>
          </w:tcPr>
          <w:p w14:paraId="37077169" w14:textId="77777777" w:rsidR="00224648" w:rsidRPr="00224648" w:rsidRDefault="00224648" w:rsidP="00224648">
            <w:pPr>
              <w:keepNext/>
              <w:jc w:val="center"/>
            </w:pPr>
          </w:p>
        </w:tc>
      </w:tr>
    </w:tbl>
    <w:p w14:paraId="367B7DC3" w14:textId="77777777" w:rsidR="00224648" w:rsidRPr="00224648" w:rsidRDefault="00224648" w:rsidP="00224648">
      <w:pPr>
        <w:keepNext/>
      </w:pPr>
    </w:p>
    <w:p w14:paraId="3A9467F9" w14:textId="77777777" w:rsidR="00224648" w:rsidRPr="00224648" w:rsidRDefault="00224648" w:rsidP="00E8319A">
      <w:pPr>
        <w:pStyle w:val="Titre6"/>
        <w:numPr>
          <w:ilvl w:val="0"/>
          <w:numId w:val="16"/>
        </w:numPr>
        <w:ind w:left="754" w:hanging="357"/>
      </w:pPr>
      <w:r w:rsidRPr="00224648">
        <w:t>Valeurs des coefficients de modulation de l’exigence Ic</w:t>
      </w:r>
      <w:r w:rsidRPr="00224648">
        <w:rPr>
          <w:vertAlign w:val="subscript"/>
        </w:rPr>
        <w:t>composants</w:t>
      </w:r>
      <w:r w:rsidRPr="00224648">
        <w:t>_max</w:t>
      </w:r>
    </w:p>
    <w:p w14:paraId="6A6595E5" w14:textId="77777777" w:rsidR="00224648" w:rsidRPr="00224648" w:rsidRDefault="00224648" w:rsidP="00E8319A">
      <w:pPr>
        <w:pStyle w:val="Titre7"/>
        <w:numPr>
          <w:ilvl w:val="1"/>
          <w:numId w:val="16"/>
        </w:numPr>
      </w:pPr>
      <w:r w:rsidRPr="00224648">
        <w:t>Maisons individuelles ou accolées</w:t>
      </w:r>
    </w:p>
    <w:p w14:paraId="5634553F" w14:textId="58380340" w:rsidR="00224648" w:rsidRPr="00224648" w:rsidRDefault="00224648" w:rsidP="00224648">
      <w:pPr>
        <w:keepNext/>
      </w:pPr>
      <w:r w:rsidRPr="00224648">
        <w:t xml:space="preserve">Le coefficient </w:t>
      </w:r>
      <w:r w:rsidRPr="00224648">
        <w:rPr>
          <w:b/>
        </w:rPr>
        <w:t>Micom</w:t>
      </w:r>
      <w:r w:rsidR="002523E6">
        <w:rPr>
          <w:b/>
        </w:rPr>
        <w:t>bles</w:t>
      </w:r>
      <w:r w:rsidRPr="00224648">
        <w:t xml:space="preserve"> de modulation du </w:t>
      </w:r>
      <w:r w:rsidRPr="00224648">
        <w:rPr>
          <w:rFonts w:cstheme="minorHAnsi"/>
        </w:rPr>
        <w:t>Ic</w:t>
      </w:r>
      <w:r w:rsidRPr="00224648">
        <w:rPr>
          <w:rFonts w:cstheme="minorHAnsi"/>
          <w:vertAlign w:val="subscript"/>
        </w:rPr>
        <w:t>composants</w:t>
      </w:r>
      <w:r w:rsidRPr="00224648">
        <w:rPr>
          <w:rFonts w:cstheme="minorHAnsi"/>
        </w:rPr>
        <w:t>_max</w:t>
      </w:r>
      <w:r w:rsidRPr="00224648">
        <w:t xml:space="preserve"> selon la présence de combles aménagés dans le bâtiment ou la partie de bâtiment est calculé selon la formule suivante :</w:t>
      </w:r>
    </w:p>
    <w:p w14:paraId="30B730AC" w14:textId="6E97012E" w:rsidR="00224648" w:rsidRPr="00224648" w:rsidRDefault="00224648" w:rsidP="00224648">
      <w:pPr>
        <w:keepNext/>
        <w:jc w:val="center"/>
        <w:rPr>
          <w:rFonts w:eastAsiaTheme="minorEastAsia"/>
        </w:rPr>
      </w:pPr>
      <m:oMathPara>
        <m:oMath>
          <m:r>
            <w:rPr>
              <w:rFonts w:ascii="Cambria Math" w:hAnsi="Cambria Math"/>
            </w:rPr>
            <m:t>Micombles=</m:t>
          </m:r>
          <m:f>
            <m:fPr>
              <m:ctrlPr>
                <w:rPr>
                  <w:rFonts w:ascii="Cambria Math" w:hAnsi="Cambria Math"/>
                  <w:i/>
                </w:rPr>
              </m:ctrlPr>
            </m:fPr>
            <m:num>
              <m:r>
                <w:rPr>
                  <w:rFonts w:ascii="Cambria Math" w:hAnsi="Cambria Math"/>
                </w:rPr>
                <m:t>(0,4×Scombles)</m:t>
              </m:r>
            </m:num>
            <m:den>
              <m:r>
                <w:rPr>
                  <w:rFonts w:ascii="Cambria Math" w:hAnsi="Cambria Math"/>
                </w:rPr>
                <m:t>Sref</m:t>
              </m:r>
            </m:den>
          </m:f>
        </m:oMath>
      </m:oMathPara>
    </w:p>
    <w:p w14:paraId="7ED307B4" w14:textId="30723009" w:rsidR="00224648" w:rsidRPr="00224648" w:rsidRDefault="00224648" w:rsidP="00224648">
      <w:pPr>
        <w:keepNext/>
      </w:pPr>
      <w:r w:rsidRPr="00224648">
        <w:rPr>
          <w:rFonts w:eastAsiaTheme="minorEastAsia"/>
        </w:rPr>
        <w:t xml:space="preserve">Où </w:t>
      </w:r>
      <w:r w:rsidRPr="00AA57C7">
        <w:rPr>
          <w:rFonts w:eastAsiaTheme="minorEastAsia"/>
        </w:rPr>
        <w:t>Scom</w:t>
      </w:r>
      <w:r w:rsidR="003D0336" w:rsidRPr="00AA57C7">
        <w:rPr>
          <w:rFonts w:eastAsiaTheme="minorEastAsia"/>
        </w:rPr>
        <w:t>bles</w:t>
      </w:r>
      <w:r w:rsidRPr="00224648">
        <w:rPr>
          <w:rFonts w:eastAsiaTheme="minorEastAsia"/>
        </w:rPr>
        <w:t xml:space="preserve"> représente la surface </w:t>
      </w:r>
      <w:r w:rsidR="002523E6">
        <w:rPr>
          <w:rFonts w:eastAsiaTheme="minorEastAsia"/>
        </w:rPr>
        <w:t xml:space="preserve">de plancher </w:t>
      </w:r>
      <w:r w:rsidRPr="00224648">
        <w:rPr>
          <w:rFonts w:eastAsiaTheme="minorEastAsia"/>
        </w:rPr>
        <w:t>des comble</w:t>
      </w:r>
      <w:r>
        <w:rPr>
          <w:rFonts w:eastAsiaTheme="minorEastAsia"/>
        </w:rPr>
        <w:t>s</w:t>
      </w:r>
      <w:r w:rsidRPr="00224648">
        <w:rPr>
          <w:rFonts w:eastAsiaTheme="minorEastAsia"/>
        </w:rPr>
        <w:t xml:space="preserve"> aménagés dont la hauteur sous plafond est inférieure à 1,8 mètres.</w:t>
      </w:r>
    </w:p>
    <w:p w14:paraId="00DB80B3" w14:textId="77777777" w:rsidR="00224648" w:rsidRPr="00224648" w:rsidRDefault="00224648" w:rsidP="00224648">
      <w:pPr>
        <w:keepNext/>
      </w:pPr>
      <w:r w:rsidRPr="00224648">
        <w:t xml:space="preserve">Le coefficient </w:t>
      </w:r>
      <w:r w:rsidRPr="00224648">
        <w:rPr>
          <w:b/>
          <w:bCs/>
        </w:rPr>
        <w:t>Misur</w:t>
      </w:r>
      <w:r w:rsidRPr="00224648">
        <w:rPr>
          <w:b/>
        </w:rPr>
        <w:t>f</w:t>
      </w:r>
      <w:r w:rsidRPr="00224648">
        <w:t xml:space="preserve"> de modulation du </w:t>
      </w:r>
      <w:r w:rsidRPr="00224648">
        <w:rPr>
          <w:rFonts w:cstheme="minorHAnsi"/>
        </w:rPr>
        <w:t>Ic</w:t>
      </w:r>
      <w:r w:rsidRPr="00224648">
        <w:rPr>
          <w:rFonts w:cstheme="minorHAnsi"/>
          <w:vertAlign w:val="subscript"/>
        </w:rPr>
        <w:t>composants</w:t>
      </w:r>
      <w:r w:rsidRPr="00224648">
        <w:rPr>
          <w:rFonts w:cstheme="minorHAnsi"/>
        </w:rPr>
        <w:t>_max</w:t>
      </w:r>
      <w:r w:rsidRPr="00224648">
        <w:t xml:space="preserve"> selon la surface moyenne des logements du bâtiment ou de la partie de bâtiment </w:t>
      </w:r>
      <m:oMath>
        <m:sSub>
          <m:sSubPr>
            <m:ctrlPr>
              <w:rPr>
                <w:rFonts w:ascii="Cambria Math" w:hAnsi="Cambria Math"/>
                <w:i/>
                <w:iCs/>
              </w:rPr>
            </m:ctrlPr>
          </m:sSubPr>
          <m:e>
            <m:r>
              <w:rPr>
                <w:rFonts w:ascii="Cambria Math" w:hAnsi="Cambria Math"/>
              </w:rPr>
              <m:t>Smoy</m:t>
            </m:r>
          </m:e>
          <m:sub>
            <m:r>
              <w:rPr>
                <w:rFonts w:ascii="Cambria Math" w:hAnsi="Cambria Math"/>
              </w:rPr>
              <m:t>lgt</m:t>
            </m:r>
          </m:sub>
        </m:sSub>
        <m:r>
          <w:rPr>
            <w:rFonts w:ascii="Cambria Math" w:hAnsi="Cambria Math"/>
          </w:rPr>
          <m:t xml:space="preserve"> </m:t>
        </m:r>
      </m:oMath>
      <w:r w:rsidRPr="00224648">
        <w:t>prend les valeurs suivantes :</w:t>
      </w:r>
      <w:r w:rsidRPr="00224648">
        <w:tab/>
      </w:r>
    </w:p>
    <w:tbl>
      <w:tblPr>
        <w:tblStyle w:val="Grilledutableau"/>
        <w:tblW w:w="3441" w:type="pct"/>
        <w:jc w:val="center"/>
        <w:tblLook w:val="04A0" w:firstRow="1" w:lastRow="0" w:firstColumn="1" w:lastColumn="0" w:noHBand="0" w:noVBand="1"/>
      </w:tblPr>
      <w:tblGrid>
        <w:gridCol w:w="3410"/>
        <w:gridCol w:w="2826"/>
      </w:tblGrid>
      <w:tr w:rsidR="00224648" w:rsidRPr="00224648" w14:paraId="061BBD75" w14:textId="77777777" w:rsidTr="00FC0B23">
        <w:trPr>
          <w:jc w:val="center"/>
        </w:trPr>
        <w:tc>
          <w:tcPr>
            <w:tcW w:w="2734" w:type="pct"/>
            <w:shd w:val="clear" w:color="auto" w:fill="A6A6A6" w:themeFill="background1" w:themeFillShade="A6"/>
            <w:vAlign w:val="center"/>
          </w:tcPr>
          <w:p w14:paraId="7FE513B0" w14:textId="77777777" w:rsidR="00224648" w:rsidRPr="00224648" w:rsidRDefault="00224648" w:rsidP="00FC0B23">
            <w:pPr>
              <w:keepNext/>
              <w:jc w:val="center"/>
            </w:pPr>
            <w:r w:rsidRPr="00224648">
              <w:t>Surface moyenne des logements du bâtiment</w:t>
            </w:r>
          </w:p>
        </w:tc>
        <w:tc>
          <w:tcPr>
            <w:tcW w:w="2266" w:type="pct"/>
            <w:shd w:val="clear" w:color="auto" w:fill="A6A6A6" w:themeFill="background1" w:themeFillShade="A6"/>
            <w:vAlign w:val="center"/>
          </w:tcPr>
          <w:p w14:paraId="12313DC7" w14:textId="77777777" w:rsidR="00224648" w:rsidRPr="00224648" w:rsidRDefault="00224648" w:rsidP="00FC0B23">
            <w:pPr>
              <w:keepNext/>
              <w:jc w:val="center"/>
            </w:pPr>
            <w:r w:rsidRPr="00224648">
              <w:t>Misurf</w:t>
            </w:r>
          </w:p>
        </w:tc>
      </w:tr>
      <w:tr w:rsidR="00224648" w:rsidRPr="00224648" w14:paraId="640DF543" w14:textId="77777777" w:rsidTr="00FC0B23">
        <w:trPr>
          <w:jc w:val="center"/>
        </w:trPr>
        <w:tc>
          <w:tcPr>
            <w:tcW w:w="2734" w:type="pct"/>
            <w:shd w:val="clear" w:color="auto" w:fill="F2F2F2" w:themeFill="background1" w:themeFillShade="F2"/>
            <w:vAlign w:val="center"/>
          </w:tcPr>
          <w:p w14:paraId="713FF3E3" w14:textId="0BD64817" w:rsidR="00224648" w:rsidRPr="00031402" w:rsidRDefault="00224648" w:rsidP="00FC0B23">
            <w:pPr>
              <w:keepNext/>
              <w:jc w:val="center"/>
            </w:pPr>
            <w:r w:rsidRPr="00FC495C">
              <w:rPr>
                <w:rFonts w:eastAsiaTheme="minorEastAsia"/>
                <w:iCs/>
              </w:rPr>
              <w:t xml:space="preserve">Si </w:t>
            </w:r>
            <m:oMath>
              <m:sSub>
                <m:sSubPr>
                  <m:ctrlPr>
                    <w:rPr>
                      <w:rFonts w:ascii="Cambria Math" w:hAnsi="Cambria Math"/>
                      <w:i/>
                      <w:iCs/>
                    </w:rPr>
                  </m:ctrlPr>
                </m:sSubPr>
                <m:e>
                  <m:r>
                    <w:rPr>
                      <w:rFonts w:ascii="Cambria Math" w:hAnsi="Cambria Math"/>
                    </w:rPr>
                    <m:t>Smoy</m:t>
                  </m:r>
                </m:e>
                <m:sub>
                  <m:r>
                    <w:rPr>
                      <w:rFonts w:ascii="Cambria Math" w:hAnsi="Cambria Math"/>
                    </w:rPr>
                    <m:t>lgt</m:t>
                  </m:r>
                </m:sub>
              </m:sSub>
              <m:r>
                <w:rPr>
                  <w:rFonts w:ascii="Cambria Math" w:hAnsi="Cambria Math"/>
                </w:rPr>
                <m:t>≤120 m²</m:t>
              </m:r>
            </m:oMath>
          </w:p>
        </w:tc>
        <w:tc>
          <w:tcPr>
            <w:tcW w:w="2266" w:type="pct"/>
            <w:vAlign w:val="center"/>
          </w:tcPr>
          <w:p w14:paraId="3D7C491F" w14:textId="32152E0F" w:rsidR="00224648" w:rsidRPr="00FC495C" w:rsidRDefault="00224648">
            <w:pPr>
              <w:keepNext/>
              <w:jc w:val="center"/>
            </w:pPr>
            <m:oMathPara>
              <m:oMath>
                <m:r>
                  <w:rPr>
                    <w:rFonts w:ascii="Cambria Math" w:hAnsi="Cambria Math"/>
                  </w:rPr>
                  <m:t>0,36-</m:t>
                </m:r>
                <m:f>
                  <m:fPr>
                    <m:ctrlPr>
                      <w:rPr>
                        <w:rFonts w:ascii="Cambria Math" w:hAnsi="Cambria Math"/>
                        <w:i/>
                        <w:iCs/>
                      </w:rPr>
                    </m:ctrlPr>
                  </m:fPr>
                  <m:num>
                    <m:r>
                      <w:rPr>
                        <w:rFonts w:ascii="Cambria Math" w:hAnsi="Cambria Math"/>
                      </w:rPr>
                      <m:t>3,63×</m:t>
                    </m:r>
                    <m:sSub>
                      <m:sSubPr>
                        <m:ctrlPr>
                          <w:rPr>
                            <w:rFonts w:ascii="Cambria Math" w:hAnsi="Cambria Math"/>
                            <w:i/>
                            <w:iCs/>
                          </w:rPr>
                        </m:ctrlPr>
                      </m:sSubPr>
                      <m:e>
                        <m:r>
                          <w:rPr>
                            <w:rFonts w:ascii="Cambria Math" w:hAnsi="Cambria Math"/>
                          </w:rPr>
                          <m:t>Smoy</m:t>
                        </m:r>
                      </m:e>
                      <m:sub>
                        <m:r>
                          <w:rPr>
                            <w:rFonts w:ascii="Cambria Math" w:hAnsi="Cambria Math"/>
                          </w:rPr>
                          <m:t>lgt</m:t>
                        </m:r>
                      </m:sub>
                    </m:sSub>
                  </m:num>
                  <m:den>
                    <m:r>
                      <w:rPr>
                        <w:rFonts w:ascii="Cambria Math" w:hAnsi="Cambria Math"/>
                      </w:rPr>
                      <m:t>1000</m:t>
                    </m:r>
                  </m:den>
                </m:f>
              </m:oMath>
            </m:oMathPara>
          </w:p>
        </w:tc>
      </w:tr>
      <w:tr w:rsidR="00224648" w:rsidRPr="00224648" w14:paraId="4A0F97F6" w14:textId="77777777" w:rsidTr="00FC0B23">
        <w:trPr>
          <w:jc w:val="center"/>
        </w:trPr>
        <w:tc>
          <w:tcPr>
            <w:tcW w:w="2734" w:type="pct"/>
            <w:shd w:val="clear" w:color="auto" w:fill="F2F2F2" w:themeFill="background1" w:themeFillShade="F2"/>
            <w:vAlign w:val="center"/>
          </w:tcPr>
          <w:p w14:paraId="068704BA" w14:textId="6028416E" w:rsidR="00224648" w:rsidRPr="00031402" w:rsidRDefault="00224648" w:rsidP="00FC0B23">
            <w:pPr>
              <w:keepNext/>
              <w:jc w:val="center"/>
            </w:pPr>
            <m:oMathPara>
              <m:oMath>
                <m:r>
                  <w:rPr>
                    <w:rFonts w:ascii="Cambria Math" w:hAnsi="Cambria Math"/>
                  </w:rPr>
                  <m:t xml:space="preserve">Si </m:t>
                </m:r>
                <m:sSub>
                  <m:sSubPr>
                    <m:ctrlPr>
                      <w:rPr>
                        <w:rFonts w:ascii="Cambria Math" w:hAnsi="Cambria Math"/>
                        <w:i/>
                        <w:iCs/>
                      </w:rPr>
                    </m:ctrlPr>
                  </m:sSubPr>
                  <m:e>
                    <m:r>
                      <w:rPr>
                        <w:rFonts w:ascii="Cambria Math" w:hAnsi="Cambria Math"/>
                      </w:rPr>
                      <m:t>Smoy</m:t>
                    </m:r>
                  </m:e>
                  <m:sub>
                    <m:r>
                      <w:rPr>
                        <w:rFonts w:ascii="Cambria Math" w:hAnsi="Cambria Math"/>
                      </w:rPr>
                      <m:t>lgt</m:t>
                    </m:r>
                  </m:sub>
                </m:sSub>
                <m:r>
                  <w:rPr>
                    <w:rFonts w:ascii="Cambria Math" w:hAnsi="Cambria Math"/>
                  </w:rPr>
                  <m:t>&gt;120 m²</m:t>
                </m:r>
              </m:oMath>
            </m:oMathPara>
          </w:p>
        </w:tc>
        <w:tc>
          <w:tcPr>
            <w:tcW w:w="2266" w:type="pct"/>
            <w:vAlign w:val="center"/>
          </w:tcPr>
          <w:p w14:paraId="04CD10F1" w14:textId="7194C219" w:rsidR="00224648" w:rsidRPr="00031402" w:rsidRDefault="00224648" w:rsidP="00BD73F5">
            <w:pPr>
              <w:keepNext/>
              <w:jc w:val="center"/>
            </w:pPr>
            <m:oMathPara>
              <m:oMath>
                <m:r>
                  <w:rPr>
                    <w:rFonts w:ascii="Cambria Math" w:hAnsi="Cambria Math"/>
                  </w:rPr>
                  <m:t>-0,076</m:t>
                </m:r>
              </m:oMath>
            </m:oMathPara>
          </w:p>
        </w:tc>
      </w:tr>
    </w:tbl>
    <w:p w14:paraId="53458ADD" w14:textId="77777777" w:rsidR="00224648" w:rsidRPr="00224648" w:rsidRDefault="00224648" w:rsidP="00224648"/>
    <w:p w14:paraId="2DED199A" w14:textId="77777777" w:rsidR="00224648" w:rsidRPr="00224648" w:rsidRDefault="00224648" w:rsidP="00224648">
      <w:r w:rsidRPr="00224648">
        <w:t xml:space="preserve">Le coefficient </w:t>
      </w:r>
      <w:r w:rsidRPr="00224648">
        <w:rPr>
          <w:b/>
          <w:bCs/>
        </w:rPr>
        <w:t xml:space="preserve">Miinfra </w:t>
      </w:r>
      <w:r w:rsidRPr="00224648">
        <w:t xml:space="preserve">de modulation du </w:t>
      </w:r>
      <w:r w:rsidRPr="00224648">
        <w:rPr>
          <w:rFonts w:cstheme="minorHAnsi"/>
        </w:rPr>
        <w:t>Ic</w:t>
      </w:r>
      <w:r w:rsidRPr="00224648">
        <w:rPr>
          <w:rFonts w:cstheme="minorHAnsi"/>
          <w:vertAlign w:val="subscript"/>
        </w:rPr>
        <w:t>composants</w:t>
      </w:r>
      <w:r w:rsidRPr="00224648">
        <w:rPr>
          <w:rFonts w:cstheme="minorHAnsi"/>
        </w:rPr>
        <w:t>_max</w:t>
      </w:r>
      <w:r w:rsidRPr="00224648">
        <w:t xml:space="preserve"> selon l’impact des fondations et des espaces en sous-sol du bâtiment prend les valeurs suivantes:</w:t>
      </w:r>
    </w:p>
    <w:tbl>
      <w:tblPr>
        <w:tblStyle w:val="Grilledutableau"/>
        <w:tblW w:w="3572" w:type="pct"/>
        <w:jc w:val="center"/>
        <w:tblLook w:val="04A0" w:firstRow="1" w:lastRow="0" w:firstColumn="1" w:lastColumn="0" w:noHBand="0" w:noVBand="1"/>
      </w:tblPr>
      <w:tblGrid>
        <w:gridCol w:w="3540"/>
        <w:gridCol w:w="2934"/>
      </w:tblGrid>
      <w:tr w:rsidR="00224648" w:rsidRPr="00224648" w14:paraId="69818CF4" w14:textId="77777777" w:rsidTr="00AB5367">
        <w:trPr>
          <w:trHeight w:val="375"/>
          <w:jc w:val="center"/>
        </w:trPr>
        <w:tc>
          <w:tcPr>
            <w:tcW w:w="2734" w:type="pct"/>
            <w:shd w:val="clear" w:color="auto" w:fill="A6A6A6" w:themeFill="background1" w:themeFillShade="A6"/>
            <w:vAlign w:val="center"/>
          </w:tcPr>
          <w:p w14:paraId="7BFBF033" w14:textId="77777777" w:rsidR="00224648" w:rsidRPr="00224648" w:rsidRDefault="00224648" w:rsidP="00FC0B23">
            <w:pPr>
              <w:keepNext/>
              <w:jc w:val="center"/>
            </w:pPr>
            <w:r w:rsidRPr="00224648">
              <w:t xml:space="preserve">Valeur de </w:t>
            </w:r>
            <m:oMath>
              <m:sSub>
                <m:sSubPr>
                  <m:ctrlPr>
                    <w:rPr>
                      <w:rFonts w:ascii="Cambria Math" w:hAnsi="Cambria Math"/>
                      <w:i/>
                      <w:iCs/>
                    </w:rPr>
                  </m:ctrlPr>
                </m:sSubPr>
                <m:e>
                  <m:r>
                    <w:rPr>
                      <w:rFonts w:ascii="Cambria Math" w:hAnsi="Cambria Math"/>
                    </w:rPr>
                    <m:t xml:space="preserve"> I</m:t>
                  </m:r>
                </m:e>
                <m:sub>
                  <m:r>
                    <w:rPr>
                      <w:rFonts w:ascii="Cambria Math" w:hAnsi="Cambria Math"/>
                    </w:rPr>
                    <m:t>lot2</m:t>
                  </m:r>
                </m:sub>
              </m:sSub>
            </m:oMath>
          </w:p>
        </w:tc>
        <w:tc>
          <w:tcPr>
            <w:tcW w:w="2266" w:type="pct"/>
            <w:shd w:val="clear" w:color="auto" w:fill="A6A6A6" w:themeFill="background1" w:themeFillShade="A6"/>
            <w:vAlign w:val="center"/>
          </w:tcPr>
          <w:p w14:paraId="0B3ACAC5" w14:textId="77777777" w:rsidR="00224648" w:rsidRPr="00224648" w:rsidRDefault="00224648" w:rsidP="00FC0B23">
            <w:pPr>
              <w:keepNext/>
              <w:jc w:val="center"/>
            </w:pPr>
            <w:r w:rsidRPr="00224648">
              <w:t>Miinfra</w:t>
            </w:r>
          </w:p>
        </w:tc>
      </w:tr>
      <w:tr w:rsidR="00224648" w:rsidRPr="00224648" w14:paraId="08DBF4B3" w14:textId="77777777" w:rsidTr="00AB5367">
        <w:trPr>
          <w:trHeight w:val="355"/>
          <w:jc w:val="center"/>
        </w:trPr>
        <w:tc>
          <w:tcPr>
            <w:tcW w:w="2734" w:type="pct"/>
            <w:shd w:val="clear" w:color="auto" w:fill="F2F2F2" w:themeFill="background1" w:themeFillShade="F2"/>
            <w:vAlign w:val="center"/>
          </w:tcPr>
          <w:p w14:paraId="2A095EFC" w14:textId="77777777" w:rsidR="00224648" w:rsidRPr="00224648" w:rsidRDefault="00866253" w:rsidP="00FC0B23">
            <w:pPr>
              <w:keepNext/>
              <w:jc w:val="center"/>
            </w:pPr>
            <m:oMathPara>
              <m:oMath>
                <m:sSub>
                  <m:sSubPr>
                    <m:ctrlPr>
                      <w:rPr>
                        <w:rFonts w:ascii="Cambria Math" w:hAnsi="Cambria Math"/>
                        <w:i/>
                        <w:iCs/>
                      </w:rPr>
                    </m:ctrlPr>
                  </m:sSubPr>
                  <m:e>
                    <m:r>
                      <w:rPr>
                        <w:rFonts w:ascii="Cambria Math" w:hAnsi="Cambria Math"/>
                      </w:rPr>
                      <m:t>Si I</m:t>
                    </m:r>
                  </m:e>
                  <m:sub>
                    <m:r>
                      <w:rPr>
                        <w:rFonts w:ascii="Cambria Math" w:hAnsi="Cambria Math"/>
                      </w:rPr>
                      <m:t>lot2</m:t>
                    </m:r>
                  </m:sub>
                </m:sSub>
                <m:r>
                  <w:rPr>
                    <w:rFonts w:ascii="Cambria Math" w:hAnsi="Cambria Math"/>
                  </w:rPr>
                  <m:t>≤40 kg éq. CO2/m²</m:t>
                </m:r>
              </m:oMath>
            </m:oMathPara>
          </w:p>
        </w:tc>
        <w:tc>
          <w:tcPr>
            <w:tcW w:w="2266" w:type="pct"/>
            <w:vAlign w:val="center"/>
          </w:tcPr>
          <w:p w14:paraId="448DA411" w14:textId="77777777" w:rsidR="00224648" w:rsidRPr="00224648" w:rsidRDefault="00224648" w:rsidP="00FC0B23">
            <w:pPr>
              <w:keepNext/>
              <w:jc w:val="center"/>
            </w:pPr>
            <m:oMathPara>
              <m:oMath>
                <m:r>
                  <w:rPr>
                    <w:rFonts w:ascii="Cambria Math" w:hAnsi="Cambria Math"/>
                  </w:rPr>
                  <m:t>0</m:t>
                </m:r>
              </m:oMath>
            </m:oMathPara>
          </w:p>
        </w:tc>
      </w:tr>
      <w:tr w:rsidR="00224648" w:rsidRPr="00224648" w14:paraId="34EDFF6F" w14:textId="77777777" w:rsidTr="00AB5367">
        <w:trPr>
          <w:trHeight w:val="334"/>
          <w:jc w:val="center"/>
        </w:trPr>
        <w:tc>
          <w:tcPr>
            <w:tcW w:w="2734" w:type="pct"/>
            <w:shd w:val="clear" w:color="auto" w:fill="F2F2F2" w:themeFill="background1" w:themeFillShade="F2"/>
            <w:vAlign w:val="center"/>
          </w:tcPr>
          <w:p w14:paraId="7947264E" w14:textId="77777777" w:rsidR="00224648" w:rsidRPr="00224648" w:rsidRDefault="00866253" w:rsidP="00FC0B23">
            <w:pPr>
              <w:keepNext/>
              <w:jc w:val="center"/>
            </w:pPr>
            <m:oMathPara>
              <m:oMath>
                <m:sSub>
                  <m:sSubPr>
                    <m:ctrlPr>
                      <w:rPr>
                        <w:rFonts w:ascii="Cambria Math" w:hAnsi="Cambria Math"/>
                        <w:i/>
                        <w:iCs/>
                      </w:rPr>
                    </m:ctrlPr>
                  </m:sSubPr>
                  <m:e>
                    <m:r>
                      <w:rPr>
                        <w:rFonts w:ascii="Cambria Math" w:hAnsi="Cambria Math"/>
                      </w:rPr>
                      <m:t>Si I</m:t>
                    </m:r>
                  </m:e>
                  <m:sub>
                    <m:r>
                      <w:rPr>
                        <w:rFonts w:ascii="Cambria Math" w:hAnsi="Cambria Math"/>
                      </w:rPr>
                      <m:t>lot2</m:t>
                    </m:r>
                  </m:sub>
                </m:sSub>
                <m:r>
                  <w:rPr>
                    <w:rFonts w:ascii="Cambria Math" w:hAnsi="Cambria Math"/>
                  </w:rPr>
                  <m:t>&gt;40 kg éq. CO2/m²</m:t>
                </m:r>
              </m:oMath>
            </m:oMathPara>
          </w:p>
        </w:tc>
        <w:tc>
          <w:tcPr>
            <w:tcW w:w="2266" w:type="pct"/>
            <w:vAlign w:val="center"/>
          </w:tcPr>
          <w:p w14:paraId="39956FC7" w14:textId="77777777" w:rsidR="00224648" w:rsidRPr="00224648" w:rsidRDefault="00224648" w:rsidP="00FC0B23">
            <w:pPr>
              <w:keepNext/>
              <w:jc w:val="center"/>
            </w:pPr>
            <m:oMathPara>
              <m:oMath>
                <m:r>
                  <w:rPr>
                    <w:rFonts w:ascii="Cambria Math" w:hAnsi="Cambria Math"/>
                  </w:rPr>
                  <m:t>0,5×</m:t>
                </m:r>
                <m:d>
                  <m:dPr>
                    <m:ctrlPr>
                      <w:rPr>
                        <w:rFonts w:ascii="Cambria Math" w:hAnsi="Cambria Math"/>
                        <w:i/>
                        <w:iCs/>
                      </w:rPr>
                    </m:ctrlPr>
                  </m:dPr>
                  <m:e>
                    <m:sSub>
                      <m:sSubPr>
                        <m:ctrlPr>
                          <w:rPr>
                            <w:rFonts w:ascii="Cambria Math" w:hAnsi="Cambria Math"/>
                            <w:i/>
                            <w:iCs/>
                          </w:rPr>
                        </m:ctrlPr>
                      </m:sSubPr>
                      <m:e>
                        <m:r>
                          <w:rPr>
                            <w:rFonts w:ascii="Cambria Math" w:hAnsi="Cambria Math"/>
                          </w:rPr>
                          <m:t>I</m:t>
                        </m:r>
                      </m:e>
                      <m:sub>
                        <m:r>
                          <w:rPr>
                            <w:rFonts w:ascii="Cambria Math" w:hAnsi="Cambria Math"/>
                          </w:rPr>
                          <m:t>lot2</m:t>
                        </m:r>
                      </m:sub>
                    </m:sSub>
                    <m:r>
                      <w:rPr>
                        <w:rFonts w:ascii="Cambria Math" w:hAnsi="Cambria Math"/>
                      </w:rPr>
                      <m:t>-40</m:t>
                    </m:r>
                  </m:e>
                </m:d>
              </m:oMath>
            </m:oMathPara>
          </w:p>
        </w:tc>
      </w:tr>
    </w:tbl>
    <w:p w14:paraId="296D0C82" w14:textId="2DD7037A" w:rsidR="00224648" w:rsidRPr="00224648" w:rsidRDefault="00224648" w:rsidP="00224648">
      <w:r w:rsidRPr="00224648">
        <w:t xml:space="preserve">Où </w:t>
      </w:r>
      <m:oMath>
        <m:sSub>
          <m:sSubPr>
            <m:ctrlPr>
              <w:rPr>
                <w:rFonts w:ascii="Cambria Math" w:hAnsi="Cambria Math"/>
                <w:i/>
                <w:iCs/>
              </w:rPr>
            </m:ctrlPr>
          </m:sSubPr>
          <m:e>
            <m:r>
              <w:rPr>
                <w:rFonts w:ascii="Cambria Math" w:hAnsi="Cambria Math"/>
              </w:rPr>
              <m:t>I</m:t>
            </m:r>
          </m:e>
          <m:sub>
            <m:r>
              <w:rPr>
                <w:rFonts w:ascii="Cambria Math" w:hAnsi="Cambria Math"/>
              </w:rPr>
              <m:t>lot2</m:t>
            </m:r>
          </m:sub>
        </m:sSub>
      </m:oMath>
      <w:r w:rsidRPr="00224648">
        <w:t xml:space="preserve"> représente l’impact sur le changement climatique du lot 2 du bâtiment ou de la partie de bâtiment, calculé selon la méthode dynamique de la méthode de calcul définie à l’</w:t>
      </w:r>
      <w:r w:rsidR="006100F0">
        <w:fldChar w:fldCharType="begin"/>
      </w:r>
      <w:r w:rsidR="006100F0">
        <w:instrText xml:space="preserve"> REF _Ref49446041 \r \h </w:instrText>
      </w:r>
      <w:r w:rsidR="006100F0">
        <w:fldChar w:fldCharType="separate"/>
      </w:r>
      <w:r w:rsidR="00E9780A">
        <w:t>Article 17</w:t>
      </w:r>
      <w:r w:rsidR="006100F0">
        <w:fldChar w:fldCharType="end"/>
      </w:r>
      <w:r w:rsidRPr="00224648">
        <w:t>.</w:t>
      </w:r>
    </w:p>
    <w:p w14:paraId="5785A021" w14:textId="77777777" w:rsidR="00224648" w:rsidRPr="00224648" w:rsidRDefault="00224648" w:rsidP="00224648"/>
    <w:p w14:paraId="3C5D0813" w14:textId="77777777" w:rsidR="00224648" w:rsidRPr="00224648" w:rsidRDefault="00224648" w:rsidP="00E8319A">
      <w:pPr>
        <w:pStyle w:val="Titre7"/>
        <w:numPr>
          <w:ilvl w:val="1"/>
          <w:numId w:val="16"/>
        </w:numPr>
      </w:pPr>
      <w:r w:rsidRPr="00224648">
        <w:lastRenderedPageBreak/>
        <w:t>Logements collectifs :</w:t>
      </w:r>
    </w:p>
    <w:p w14:paraId="580BA4EE" w14:textId="12EB0B0F" w:rsidR="00224648" w:rsidRPr="00224648" w:rsidRDefault="00224648" w:rsidP="00224648">
      <w:pPr>
        <w:keepNext/>
      </w:pPr>
      <w:r w:rsidRPr="00224648">
        <w:t xml:space="preserve">Le coefficient </w:t>
      </w:r>
      <w:r w:rsidRPr="00224648">
        <w:rPr>
          <w:b/>
        </w:rPr>
        <w:t>Micom</w:t>
      </w:r>
      <w:r w:rsidR="002523E6">
        <w:rPr>
          <w:b/>
        </w:rPr>
        <w:t>bles</w:t>
      </w:r>
      <w:r w:rsidRPr="00224648">
        <w:t xml:space="preserve"> de modulation du </w:t>
      </w:r>
      <w:r w:rsidRPr="00224648">
        <w:rPr>
          <w:rFonts w:cstheme="minorHAnsi"/>
        </w:rPr>
        <w:t>Ic</w:t>
      </w:r>
      <w:r w:rsidRPr="00224648">
        <w:rPr>
          <w:rFonts w:cstheme="minorHAnsi"/>
          <w:vertAlign w:val="subscript"/>
        </w:rPr>
        <w:t>composants</w:t>
      </w:r>
      <w:r w:rsidRPr="00224648">
        <w:rPr>
          <w:rFonts w:cstheme="minorHAnsi"/>
        </w:rPr>
        <w:t>_max</w:t>
      </w:r>
      <w:r w:rsidRPr="00224648">
        <w:t xml:space="preserve"> selon la présence de combles aménagés dans le bâtiment ou la partie de bâtiment est calculé selon la formule suivante :</w:t>
      </w:r>
    </w:p>
    <w:p w14:paraId="51C32B1B" w14:textId="2A82235F" w:rsidR="00224648" w:rsidRPr="00224648" w:rsidRDefault="00224648" w:rsidP="00224648">
      <w:pPr>
        <w:keepNext/>
        <w:jc w:val="center"/>
        <w:rPr>
          <w:rFonts w:eastAsiaTheme="minorEastAsia"/>
        </w:rPr>
      </w:pPr>
      <m:oMathPara>
        <m:oMath>
          <m:r>
            <w:rPr>
              <w:rFonts w:ascii="Cambria Math" w:hAnsi="Cambria Math"/>
            </w:rPr>
            <m:t>Micombles=</m:t>
          </m:r>
          <m:f>
            <m:fPr>
              <m:ctrlPr>
                <w:rPr>
                  <w:rFonts w:ascii="Cambria Math" w:hAnsi="Cambria Math"/>
                  <w:i/>
                </w:rPr>
              </m:ctrlPr>
            </m:fPr>
            <m:num>
              <m:r>
                <w:rPr>
                  <w:rFonts w:ascii="Cambria Math" w:hAnsi="Cambria Math"/>
                </w:rPr>
                <m:t>(0,4×Scombles)</m:t>
              </m:r>
            </m:num>
            <m:den>
              <m:r>
                <w:rPr>
                  <w:rFonts w:ascii="Cambria Math" w:hAnsi="Cambria Math"/>
                </w:rPr>
                <m:t>Sref</m:t>
              </m:r>
            </m:den>
          </m:f>
        </m:oMath>
      </m:oMathPara>
    </w:p>
    <w:p w14:paraId="4759932F" w14:textId="63A9DB14" w:rsidR="00224648" w:rsidRPr="00224648" w:rsidRDefault="00224648" w:rsidP="00224648">
      <w:pPr>
        <w:keepNext/>
      </w:pPr>
      <w:r w:rsidRPr="00224648">
        <w:rPr>
          <w:rFonts w:eastAsiaTheme="minorEastAsia"/>
        </w:rPr>
        <w:t>Où Scom représente la surface</w:t>
      </w:r>
      <w:r w:rsidR="002523E6">
        <w:rPr>
          <w:rFonts w:eastAsiaTheme="minorEastAsia"/>
        </w:rPr>
        <w:t xml:space="preserve"> de plancher</w:t>
      </w:r>
      <w:r w:rsidRPr="00224648">
        <w:rPr>
          <w:rFonts w:eastAsiaTheme="minorEastAsia"/>
        </w:rPr>
        <w:t xml:space="preserve"> des combles aménagés dont la hauteur sous plafond est inférieure à 1,8 mètres.</w:t>
      </w:r>
    </w:p>
    <w:p w14:paraId="52704CE3" w14:textId="77777777" w:rsidR="00224648" w:rsidRPr="00224648" w:rsidRDefault="00224648" w:rsidP="00224648">
      <w:pPr>
        <w:keepNext/>
      </w:pPr>
      <w:r w:rsidRPr="00224648">
        <w:t xml:space="preserve">Le coefficient </w:t>
      </w:r>
      <w:r w:rsidRPr="00224648">
        <w:rPr>
          <w:b/>
          <w:bCs/>
        </w:rPr>
        <w:t>Misur</w:t>
      </w:r>
      <w:r w:rsidRPr="00224648">
        <w:rPr>
          <w:b/>
        </w:rPr>
        <w:t>f</w:t>
      </w:r>
      <w:r w:rsidRPr="00224648">
        <w:t xml:space="preserve"> de modulation du </w:t>
      </w:r>
      <w:r w:rsidRPr="00224648">
        <w:rPr>
          <w:rFonts w:cstheme="minorHAnsi"/>
        </w:rPr>
        <w:t>Ic</w:t>
      </w:r>
      <w:r w:rsidRPr="00224648">
        <w:rPr>
          <w:rFonts w:cstheme="minorHAnsi"/>
          <w:vertAlign w:val="subscript"/>
        </w:rPr>
        <w:t>composants</w:t>
      </w:r>
      <w:r w:rsidRPr="00224648">
        <w:rPr>
          <w:rFonts w:cstheme="minorHAnsi"/>
        </w:rPr>
        <w:t>_max</w:t>
      </w:r>
      <w:r w:rsidRPr="00224648">
        <w:t xml:space="preserve"> selon la surface de référence du bâtiment ou de la partie de bâtiment </w:t>
      </w:r>
      <m:oMath>
        <m:r>
          <w:rPr>
            <w:rFonts w:ascii="Cambria Math" w:hAnsi="Cambria Math"/>
          </w:rPr>
          <m:t xml:space="preserve">Sref </m:t>
        </m:r>
      </m:oMath>
      <w:r w:rsidRPr="00224648">
        <w:t>prend les valeurs suivantes :</w:t>
      </w:r>
      <w:r w:rsidRPr="00224648">
        <w:tab/>
      </w:r>
    </w:p>
    <w:tbl>
      <w:tblPr>
        <w:tblStyle w:val="Grilledutableau"/>
        <w:tblW w:w="3441" w:type="pct"/>
        <w:jc w:val="center"/>
        <w:tblLook w:val="04A0" w:firstRow="1" w:lastRow="0" w:firstColumn="1" w:lastColumn="0" w:noHBand="0" w:noVBand="1"/>
      </w:tblPr>
      <w:tblGrid>
        <w:gridCol w:w="3410"/>
        <w:gridCol w:w="2826"/>
      </w:tblGrid>
      <w:tr w:rsidR="00224648" w:rsidRPr="00224648" w14:paraId="626B99CE" w14:textId="77777777" w:rsidTr="00FC0B23">
        <w:trPr>
          <w:jc w:val="center"/>
        </w:trPr>
        <w:tc>
          <w:tcPr>
            <w:tcW w:w="2734" w:type="pct"/>
            <w:shd w:val="clear" w:color="auto" w:fill="A6A6A6" w:themeFill="background1" w:themeFillShade="A6"/>
            <w:vAlign w:val="center"/>
          </w:tcPr>
          <w:p w14:paraId="39428000" w14:textId="58D2D640" w:rsidR="00224648" w:rsidRPr="00224648" w:rsidRDefault="00224648" w:rsidP="00FC0B23">
            <w:pPr>
              <w:keepNext/>
              <w:jc w:val="center"/>
            </w:pPr>
            <w:r w:rsidRPr="00224648">
              <w:t>Surface de référence du bâtiment</w:t>
            </w:r>
          </w:p>
        </w:tc>
        <w:tc>
          <w:tcPr>
            <w:tcW w:w="2266" w:type="pct"/>
            <w:shd w:val="clear" w:color="auto" w:fill="A6A6A6" w:themeFill="background1" w:themeFillShade="A6"/>
            <w:vAlign w:val="center"/>
          </w:tcPr>
          <w:p w14:paraId="47354A2E" w14:textId="216A262F" w:rsidR="00224648" w:rsidRPr="00224648" w:rsidRDefault="00224648" w:rsidP="00FC0B23">
            <w:pPr>
              <w:keepNext/>
              <w:jc w:val="center"/>
            </w:pPr>
            <w:r w:rsidRPr="00224648">
              <w:t>Misurf</w:t>
            </w:r>
          </w:p>
        </w:tc>
      </w:tr>
      <w:tr w:rsidR="00224648" w:rsidRPr="00224648" w14:paraId="1F18541B" w14:textId="77777777" w:rsidTr="00FC0B23">
        <w:trPr>
          <w:jc w:val="center"/>
        </w:trPr>
        <w:tc>
          <w:tcPr>
            <w:tcW w:w="2734" w:type="pct"/>
            <w:shd w:val="clear" w:color="auto" w:fill="F2F2F2" w:themeFill="background1" w:themeFillShade="F2"/>
            <w:vAlign w:val="center"/>
          </w:tcPr>
          <w:p w14:paraId="54F85E88" w14:textId="77777777" w:rsidR="00224648" w:rsidRPr="00224648" w:rsidRDefault="00224648" w:rsidP="00FC0B23">
            <w:pPr>
              <w:keepNext/>
              <w:jc w:val="center"/>
            </w:pPr>
            <w:r w:rsidRPr="00224648">
              <w:rPr>
                <w:rFonts w:eastAsiaTheme="minorEastAsia"/>
                <w:iCs/>
              </w:rPr>
              <w:t xml:space="preserve">Si </w:t>
            </w:r>
            <m:oMath>
              <m:r>
                <w:rPr>
                  <w:rFonts w:ascii="Cambria Math" w:hAnsi="Cambria Math"/>
                </w:rPr>
                <m:t>Sref≤1300 m²</m:t>
              </m:r>
            </m:oMath>
          </w:p>
        </w:tc>
        <w:tc>
          <w:tcPr>
            <w:tcW w:w="2266" w:type="pct"/>
            <w:vAlign w:val="center"/>
          </w:tcPr>
          <w:p w14:paraId="574F7A6C" w14:textId="5D93B42C" w:rsidR="00224648" w:rsidRPr="00224648" w:rsidRDefault="00224648" w:rsidP="00FC0B23">
            <w:pPr>
              <w:keepNext/>
              <w:jc w:val="center"/>
            </w:pPr>
            <m:oMathPara>
              <m:oMath>
                <m:r>
                  <w:rPr>
                    <w:rFonts w:ascii="Cambria Math" w:hAnsi="Cambria Math"/>
                  </w:rPr>
                  <m:t>-0,168+</m:t>
                </m:r>
                <m:f>
                  <m:fPr>
                    <m:ctrlPr>
                      <w:rPr>
                        <w:rFonts w:ascii="Cambria Math" w:hAnsi="Cambria Math"/>
                        <w:i/>
                        <w:iCs/>
                      </w:rPr>
                    </m:ctrlPr>
                  </m:fPr>
                  <m:num>
                    <m:r>
                      <w:rPr>
                        <w:rFonts w:ascii="Cambria Math" w:hAnsi="Cambria Math"/>
                      </w:rPr>
                      <m:t>1,29×Sref</m:t>
                    </m:r>
                  </m:num>
                  <m:den>
                    <m:r>
                      <w:rPr>
                        <w:rFonts w:ascii="Cambria Math" w:hAnsi="Cambria Math"/>
                      </w:rPr>
                      <m:t>10000</m:t>
                    </m:r>
                  </m:den>
                </m:f>
              </m:oMath>
            </m:oMathPara>
          </w:p>
        </w:tc>
      </w:tr>
      <w:tr w:rsidR="00224648" w:rsidRPr="00224648" w14:paraId="3ABDB81D" w14:textId="77777777" w:rsidTr="00FC0B23">
        <w:trPr>
          <w:jc w:val="center"/>
        </w:trPr>
        <w:tc>
          <w:tcPr>
            <w:tcW w:w="2734" w:type="pct"/>
            <w:shd w:val="clear" w:color="auto" w:fill="F2F2F2" w:themeFill="background1" w:themeFillShade="F2"/>
            <w:vAlign w:val="center"/>
          </w:tcPr>
          <w:p w14:paraId="035F659B" w14:textId="493506E3" w:rsidR="00224648" w:rsidRPr="00224648" w:rsidRDefault="00257E0C" w:rsidP="00257E0C">
            <w:pPr>
              <w:keepNext/>
              <w:jc w:val="center"/>
            </w:pPr>
            <m:oMathPara>
              <m:oMath>
                <m:r>
                  <w:rPr>
                    <w:rFonts w:ascii="Cambria Math" w:hAnsi="Cambria Math"/>
                  </w:rPr>
                  <m:t xml:space="preserve">Si 1300 </m:t>
                </m:r>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 xml:space="preserve">&lt;Sref&lt;4000 </m:t>
                </m:r>
                <m:sSup>
                  <m:sSupPr>
                    <m:ctrlPr>
                      <w:rPr>
                        <w:rFonts w:ascii="Cambria Math" w:hAnsi="Cambria Math"/>
                        <w:i/>
                      </w:rPr>
                    </m:ctrlPr>
                  </m:sSupPr>
                  <m:e>
                    <m:r>
                      <w:rPr>
                        <w:rFonts w:ascii="Cambria Math" w:hAnsi="Cambria Math"/>
                      </w:rPr>
                      <m:t>m</m:t>
                    </m:r>
                  </m:e>
                  <m:sup>
                    <m:r>
                      <w:rPr>
                        <w:rFonts w:ascii="Cambria Math" w:hAnsi="Cambria Math"/>
                      </w:rPr>
                      <m:t>2</m:t>
                    </m:r>
                  </m:sup>
                </m:sSup>
              </m:oMath>
            </m:oMathPara>
          </w:p>
        </w:tc>
        <w:tc>
          <w:tcPr>
            <w:tcW w:w="2266" w:type="pct"/>
            <w:vAlign w:val="center"/>
          </w:tcPr>
          <w:p w14:paraId="7DC99DF5" w14:textId="0673F2D3" w:rsidR="00224648" w:rsidRPr="00224648" w:rsidRDefault="00E30E9F" w:rsidP="00FC0B23">
            <w:pPr>
              <w:keepNext/>
              <w:jc w:val="center"/>
            </w:pPr>
            <m:oMathPara>
              <m:oMath>
                <m:r>
                  <w:rPr>
                    <w:rFonts w:ascii="Cambria Math" w:hAnsi="Cambria Math"/>
                  </w:rPr>
                  <m:t>0,04-</m:t>
                </m:r>
                <m:f>
                  <m:fPr>
                    <m:ctrlPr>
                      <w:rPr>
                        <w:rFonts w:ascii="Cambria Math" w:hAnsi="Cambria Math"/>
                        <w:i/>
                        <w:iCs/>
                      </w:rPr>
                    </m:ctrlPr>
                  </m:fPr>
                  <m:num>
                    <m:r>
                      <w:rPr>
                        <w:rFonts w:ascii="Cambria Math" w:hAnsi="Cambria Math"/>
                      </w:rPr>
                      <m:t>0,345×Sref</m:t>
                    </m:r>
                  </m:num>
                  <m:den>
                    <m:r>
                      <w:rPr>
                        <w:rFonts w:ascii="Cambria Math" w:hAnsi="Cambria Math"/>
                      </w:rPr>
                      <m:t>10000</m:t>
                    </m:r>
                  </m:den>
                </m:f>
              </m:oMath>
            </m:oMathPara>
          </w:p>
        </w:tc>
      </w:tr>
      <w:tr w:rsidR="00257E0C" w:rsidRPr="00224648" w14:paraId="7B71D316" w14:textId="77777777" w:rsidTr="00FC0B23">
        <w:trPr>
          <w:jc w:val="center"/>
        </w:trPr>
        <w:tc>
          <w:tcPr>
            <w:tcW w:w="2734" w:type="pct"/>
            <w:shd w:val="clear" w:color="auto" w:fill="F2F2F2" w:themeFill="background1" w:themeFillShade="F2"/>
            <w:vAlign w:val="center"/>
          </w:tcPr>
          <w:p w14:paraId="71D20D16" w14:textId="7ACF6E9A" w:rsidR="00257E0C" w:rsidRPr="00257E0C" w:rsidRDefault="00257E0C" w:rsidP="00257E0C">
            <w:pPr>
              <w:keepNext/>
              <w:jc w:val="center"/>
              <w:rPr>
                <w:rFonts w:ascii="Calibri" w:eastAsia="Calibri" w:hAnsi="Calibri" w:cs="Times New Roman"/>
              </w:rPr>
            </w:pPr>
            <m:oMathPara>
              <m:oMath>
                <m:r>
                  <w:rPr>
                    <w:rFonts w:ascii="Cambria Math" w:hAnsi="Cambria Math"/>
                  </w:rPr>
                  <m:t xml:space="preserve">Si Sref≥4000 </m:t>
                </m:r>
                <m:sSup>
                  <m:sSupPr>
                    <m:ctrlPr>
                      <w:rPr>
                        <w:rFonts w:ascii="Cambria Math" w:hAnsi="Cambria Math"/>
                        <w:i/>
                      </w:rPr>
                    </m:ctrlPr>
                  </m:sSupPr>
                  <m:e>
                    <m:r>
                      <w:rPr>
                        <w:rFonts w:ascii="Cambria Math" w:hAnsi="Cambria Math"/>
                      </w:rPr>
                      <m:t>m</m:t>
                    </m:r>
                  </m:e>
                  <m:sup>
                    <m:r>
                      <w:rPr>
                        <w:rFonts w:ascii="Cambria Math" w:hAnsi="Cambria Math"/>
                      </w:rPr>
                      <m:t>2</m:t>
                    </m:r>
                  </m:sup>
                </m:sSup>
              </m:oMath>
            </m:oMathPara>
          </w:p>
        </w:tc>
        <w:tc>
          <w:tcPr>
            <w:tcW w:w="2266" w:type="pct"/>
            <w:vAlign w:val="center"/>
          </w:tcPr>
          <w:p w14:paraId="224CE820" w14:textId="29373F47" w:rsidR="00257E0C" w:rsidRDefault="00257E0C" w:rsidP="00257E0C">
            <w:pPr>
              <w:keepNext/>
              <w:jc w:val="center"/>
              <w:rPr>
                <w:rFonts w:ascii="Calibri" w:eastAsia="Calibri" w:hAnsi="Calibri" w:cs="Times New Roman"/>
              </w:rPr>
            </w:pPr>
            <m:oMathPara>
              <m:oMath>
                <m:r>
                  <w:rPr>
                    <w:rFonts w:ascii="Cambria Math" w:hAnsi="Cambria Math"/>
                  </w:rPr>
                  <m:t>-0,098</m:t>
                </m:r>
              </m:oMath>
            </m:oMathPara>
          </w:p>
        </w:tc>
      </w:tr>
    </w:tbl>
    <w:p w14:paraId="1B4D10F8" w14:textId="77777777" w:rsidR="00224648" w:rsidRPr="00224648" w:rsidRDefault="00224648" w:rsidP="00224648"/>
    <w:p w14:paraId="7690CB2A" w14:textId="77777777" w:rsidR="00224648" w:rsidRPr="00224648" w:rsidRDefault="00224648" w:rsidP="00224648">
      <w:r w:rsidRPr="00224648">
        <w:t xml:space="preserve">Le coefficient </w:t>
      </w:r>
      <w:r w:rsidRPr="00224648">
        <w:rPr>
          <w:b/>
          <w:bCs/>
        </w:rPr>
        <w:t xml:space="preserve">Miinfra </w:t>
      </w:r>
      <w:r w:rsidRPr="00224648">
        <w:t xml:space="preserve">de modulation du </w:t>
      </w:r>
      <w:r w:rsidRPr="00224648">
        <w:rPr>
          <w:rFonts w:cstheme="minorHAnsi"/>
        </w:rPr>
        <w:t>Ic</w:t>
      </w:r>
      <w:r w:rsidRPr="00224648">
        <w:rPr>
          <w:rFonts w:cstheme="minorHAnsi"/>
          <w:vertAlign w:val="subscript"/>
        </w:rPr>
        <w:t>composants</w:t>
      </w:r>
      <w:r w:rsidRPr="00224648">
        <w:rPr>
          <w:rFonts w:cstheme="minorHAnsi"/>
        </w:rPr>
        <w:t>_max</w:t>
      </w:r>
      <w:r w:rsidRPr="00224648">
        <w:t xml:space="preserve"> selon l’impact des fondations et des espaces en sous-sol du bâtiment prend les valeurs suivantes:</w:t>
      </w:r>
    </w:p>
    <w:tbl>
      <w:tblPr>
        <w:tblStyle w:val="Grilledutableau"/>
        <w:tblW w:w="3441" w:type="pct"/>
        <w:jc w:val="center"/>
        <w:tblLook w:val="04A0" w:firstRow="1" w:lastRow="0" w:firstColumn="1" w:lastColumn="0" w:noHBand="0" w:noVBand="1"/>
      </w:tblPr>
      <w:tblGrid>
        <w:gridCol w:w="3410"/>
        <w:gridCol w:w="2826"/>
      </w:tblGrid>
      <w:tr w:rsidR="00224648" w:rsidRPr="00224648" w14:paraId="2CB34F6B" w14:textId="77777777" w:rsidTr="00224648">
        <w:trPr>
          <w:trHeight w:val="340"/>
          <w:jc w:val="center"/>
        </w:trPr>
        <w:tc>
          <w:tcPr>
            <w:tcW w:w="2734" w:type="pct"/>
            <w:shd w:val="clear" w:color="auto" w:fill="A6A6A6" w:themeFill="background1" w:themeFillShade="A6"/>
            <w:vAlign w:val="center"/>
          </w:tcPr>
          <w:p w14:paraId="2BCEF8A1" w14:textId="77777777" w:rsidR="00224648" w:rsidRPr="00224648" w:rsidRDefault="00224648" w:rsidP="00FC0B23">
            <w:pPr>
              <w:keepNext/>
              <w:jc w:val="center"/>
            </w:pPr>
            <w:r w:rsidRPr="00224648">
              <w:t xml:space="preserve">Valeur de </w:t>
            </w:r>
            <m:oMath>
              <m:sSub>
                <m:sSubPr>
                  <m:ctrlPr>
                    <w:rPr>
                      <w:rFonts w:ascii="Cambria Math" w:hAnsi="Cambria Math"/>
                      <w:i/>
                      <w:iCs/>
                    </w:rPr>
                  </m:ctrlPr>
                </m:sSubPr>
                <m:e>
                  <m:r>
                    <w:rPr>
                      <w:rFonts w:ascii="Cambria Math" w:hAnsi="Cambria Math"/>
                    </w:rPr>
                    <m:t xml:space="preserve"> I</m:t>
                  </m:r>
                </m:e>
                <m:sub>
                  <m:r>
                    <w:rPr>
                      <w:rFonts w:ascii="Cambria Math" w:hAnsi="Cambria Math"/>
                    </w:rPr>
                    <m:t>lot2</m:t>
                  </m:r>
                </m:sub>
              </m:sSub>
            </m:oMath>
          </w:p>
        </w:tc>
        <w:tc>
          <w:tcPr>
            <w:tcW w:w="2266" w:type="pct"/>
            <w:shd w:val="clear" w:color="auto" w:fill="A6A6A6" w:themeFill="background1" w:themeFillShade="A6"/>
            <w:vAlign w:val="center"/>
          </w:tcPr>
          <w:p w14:paraId="3E250165" w14:textId="77777777" w:rsidR="00224648" w:rsidRPr="00224648" w:rsidRDefault="00224648" w:rsidP="00FC0B23">
            <w:pPr>
              <w:keepNext/>
              <w:jc w:val="center"/>
            </w:pPr>
            <w:r w:rsidRPr="00224648">
              <w:t>Miinfra</w:t>
            </w:r>
          </w:p>
        </w:tc>
      </w:tr>
      <w:tr w:rsidR="00224648" w:rsidRPr="00224648" w14:paraId="4179F008" w14:textId="77777777" w:rsidTr="00224648">
        <w:trPr>
          <w:trHeight w:val="340"/>
          <w:jc w:val="center"/>
        </w:trPr>
        <w:tc>
          <w:tcPr>
            <w:tcW w:w="2734" w:type="pct"/>
            <w:shd w:val="clear" w:color="auto" w:fill="F2F2F2" w:themeFill="background1" w:themeFillShade="F2"/>
            <w:vAlign w:val="center"/>
          </w:tcPr>
          <w:p w14:paraId="75FA7989" w14:textId="77777777" w:rsidR="00224648" w:rsidRPr="00224648" w:rsidRDefault="00866253" w:rsidP="00FC0B23">
            <w:pPr>
              <w:keepNext/>
              <w:jc w:val="center"/>
            </w:pPr>
            <m:oMathPara>
              <m:oMath>
                <m:sSub>
                  <m:sSubPr>
                    <m:ctrlPr>
                      <w:rPr>
                        <w:rFonts w:ascii="Cambria Math" w:hAnsi="Cambria Math"/>
                        <w:i/>
                        <w:iCs/>
                      </w:rPr>
                    </m:ctrlPr>
                  </m:sSubPr>
                  <m:e>
                    <m:r>
                      <w:rPr>
                        <w:rFonts w:ascii="Cambria Math" w:hAnsi="Cambria Math"/>
                      </w:rPr>
                      <m:t>Si I</m:t>
                    </m:r>
                  </m:e>
                  <m:sub>
                    <m:r>
                      <w:rPr>
                        <w:rFonts w:ascii="Cambria Math" w:hAnsi="Cambria Math"/>
                      </w:rPr>
                      <m:t>lot2</m:t>
                    </m:r>
                  </m:sub>
                </m:sSub>
                <m:r>
                  <w:rPr>
                    <w:rFonts w:ascii="Cambria Math" w:hAnsi="Cambria Math"/>
                  </w:rPr>
                  <m:t>≤40 kg éq. CO2/m²</m:t>
                </m:r>
              </m:oMath>
            </m:oMathPara>
          </w:p>
        </w:tc>
        <w:tc>
          <w:tcPr>
            <w:tcW w:w="2266" w:type="pct"/>
            <w:vAlign w:val="center"/>
          </w:tcPr>
          <w:p w14:paraId="2515696B" w14:textId="77777777" w:rsidR="00224648" w:rsidRPr="00224648" w:rsidRDefault="00224648" w:rsidP="00FC0B23">
            <w:pPr>
              <w:keepNext/>
              <w:jc w:val="center"/>
            </w:pPr>
            <m:oMathPara>
              <m:oMath>
                <m:r>
                  <w:rPr>
                    <w:rFonts w:ascii="Cambria Math" w:hAnsi="Cambria Math"/>
                  </w:rPr>
                  <m:t>0</m:t>
                </m:r>
              </m:oMath>
            </m:oMathPara>
          </w:p>
        </w:tc>
      </w:tr>
      <w:tr w:rsidR="00224648" w:rsidRPr="00224648" w14:paraId="44649228" w14:textId="77777777" w:rsidTr="00224648">
        <w:trPr>
          <w:trHeight w:val="340"/>
          <w:jc w:val="center"/>
        </w:trPr>
        <w:tc>
          <w:tcPr>
            <w:tcW w:w="2734" w:type="pct"/>
            <w:shd w:val="clear" w:color="auto" w:fill="F2F2F2" w:themeFill="background1" w:themeFillShade="F2"/>
            <w:vAlign w:val="center"/>
          </w:tcPr>
          <w:p w14:paraId="7DFA4BA7" w14:textId="77777777" w:rsidR="00224648" w:rsidRPr="00224648" w:rsidRDefault="00866253" w:rsidP="00FC0B23">
            <w:pPr>
              <w:keepNext/>
              <w:jc w:val="center"/>
            </w:pPr>
            <m:oMathPara>
              <m:oMath>
                <m:sSub>
                  <m:sSubPr>
                    <m:ctrlPr>
                      <w:rPr>
                        <w:rFonts w:ascii="Cambria Math" w:hAnsi="Cambria Math"/>
                        <w:i/>
                        <w:iCs/>
                      </w:rPr>
                    </m:ctrlPr>
                  </m:sSubPr>
                  <m:e>
                    <m:r>
                      <w:rPr>
                        <w:rFonts w:ascii="Cambria Math" w:hAnsi="Cambria Math"/>
                      </w:rPr>
                      <m:t>Si I</m:t>
                    </m:r>
                  </m:e>
                  <m:sub>
                    <m:r>
                      <w:rPr>
                        <w:rFonts w:ascii="Cambria Math" w:hAnsi="Cambria Math"/>
                      </w:rPr>
                      <m:t>lot2</m:t>
                    </m:r>
                  </m:sub>
                </m:sSub>
                <m:r>
                  <w:rPr>
                    <w:rFonts w:ascii="Cambria Math" w:hAnsi="Cambria Math"/>
                  </w:rPr>
                  <m:t>&gt;40 kg éq. CO2/m²</m:t>
                </m:r>
              </m:oMath>
            </m:oMathPara>
          </w:p>
        </w:tc>
        <w:tc>
          <w:tcPr>
            <w:tcW w:w="2266" w:type="pct"/>
            <w:vAlign w:val="center"/>
          </w:tcPr>
          <w:p w14:paraId="06354354" w14:textId="77777777" w:rsidR="00224648" w:rsidRPr="00224648" w:rsidRDefault="00224648" w:rsidP="00FC0B23">
            <w:pPr>
              <w:keepNext/>
              <w:jc w:val="center"/>
            </w:pPr>
            <m:oMathPara>
              <m:oMath>
                <m:r>
                  <w:rPr>
                    <w:rFonts w:ascii="Cambria Math" w:hAnsi="Cambria Math"/>
                  </w:rPr>
                  <m:t>0,5×</m:t>
                </m:r>
                <m:d>
                  <m:dPr>
                    <m:ctrlPr>
                      <w:rPr>
                        <w:rFonts w:ascii="Cambria Math" w:hAnsi="Cambria Math"/>
                        <w:i/>
                        <w:iCs/>
                      </w:rPr>
                    </m:ctrlPr>
                  </m:dPr>
                  <m:e>
                    <m:sSub>
                      <m:sSubPr>
                        <m:ctrlPr>
                          <w:rPr>
                            <w:rFonts w:ascii="Cambria Math" w:hAnsi="Cambria Math"/>
                            <w:i/>
                            <w:iCs/>
                          </w:rPr>
                        </m:ctrlPr>
                      </m:sSubPr>
                      <m:e>
                        <m:r>
                          <w:rPr>
                            <w:rFonts w:ascii="Cambria Math" w:hAnsi="Cambria Math"/>
                          </w:rPr>
                          <m:t>I</m:t>
                        </m:r>
                      </m:e>
                      <m:sub>
                        <m:r>
                          <w:rPr>
                            <w:rFonts w:ascii="Cambria Math" w:hAnsi="Cambria Math"/>
                          </w:rPr>
                          <m:t>lot2</m:t>
                        </m:r>
                      </m:sub>
                    </m:sSub>
                    <m:r>
                      <w:rPr>
                        <w:rFonts w:ascii="Cambria Math" w:hAnsi="Cambria Math"/>
                      </w:rPr>
                      <m:t>-40</m:t>
                    </m:r>
                  </m:e>
                </m:d>
              </m:oMath>
            </m:oMathPara>
          </w:p>
        </w:tc>
      </w:tr>
    </w:tbl>
    <w:p w14:paraId="6147DB8D" w14:textId="0C908A68" w:rsidR="00224648" w:rsidRPr="00C5384F" w:rsidRDefault="00224648" w:rsidP="00224648">
      <w:r w:rsidRPr="00224648">
        <w:t xml:space="preserve">Où </w:t>
      </w:r>
      <m:oMath>
        <m:sSub>
          <m:sSubPr>
            <m:ctrlPr>
              <w:rPr>
                <w:rFonts w:ascii="Cambria Math" w:hAnsi="Cambria Math"/>
                <w:i/>
                <w:iCs/>
              </w:rPr>
            </m:ctrlPr>
          </m:sSubPr>
          <m:e>
            <m:r>
              <w:rPr>
                <w:rFonts w:ascii="Cambria Math" w:hAnsi="Cambria Math"/>
              </w:rPr>
              <m:t>I</m:t>
            </m:r>
          </m:e>
          <m:sub>
            <m:r>
              <w:rPr>
                <w:rFonts w:ascii="Cambria Math" w:hAnsi="Cambria Math"/>
              </w:rPr>
              <m:t>lot2</m:t>
            </m:r>
          </m:sub>
        </m:sSub>
      </m:oMath>
      <w:r w:rsidRPr="00224648">
        <w:t xml:space="preserve"> représente l’impact sur le changement climatique du lot 2 du bâtiment ou de la partie de bâtiment, calculé selon la méthode dynamique de la méthod</w:t>
      </w:r>
      <w:r w:rsidR="006100F0">
        <w:t>e de calcul définie à l’</w:t>
      </w:r>
      <w:r w:rsidR="006100F0">
        <w:fldChar w:fldCharType="begin"/>
      </w:r>
      <w:r w:rsidR="006100F0">
        <w:instrText xml:space="preserve"> REF _Ref49446041 \r \h </w:instrText>
      </w:r>
      <w:r w:rsidR="006100F0">
        <w:fldChar w:fldCharType="separate"/>
      </w:r>
      <w:r w:rsidR="00E9780A">
        <w:t>Article 17</w:t>
      </w:r>
      <w:r w:rsidR="006100F0">
        <w:fldChar w:fldCharType="end"/>
      </w:r>
      <w:r w:rsidRPr="00224648">
        <w:t>.</w:t>
      </w:r>
    </w:p>
    <w:p w14:paraId="14C28960" w14:textId="71EBD2D3" w:rsidR="007B643E" w:rsidRPr="007B643E" w:rsidRDefault="007B643E" w:rsidP="007B643E"/>
    <w:p w14:paraId="0C7235F5" w14:textId="52624051" w:rsidR="007B643E" w:rsidRPr="007B643E" w:rsidRDefault="009265F3" w:rsidP="00B42CF3">
      <w:pPr>
        <w:pStyle w:val="Titre5"/>
      </w:pPr>
      <w:r w:rsidRPr="007B643E">
        <w:t>Valeurs</w:t>
      </w:r>
      <w:r w:rsidR="003134E6" w:rsidRPr="007B643E">
        <w:t xml:space="preserve"> </w:t>
      </w:r>
      <w:r w:rsidR="007B643E" w:rsidRPr="00224648">
        <w:t>de DH_maxcat</w:t>
      </w:r>
    </w:p>
    <w:p w14:paraId="5803788C" w14:textId="4CDF44F3" w:rsidR="00713976" w:rsidRDefault="00713976" w:rsidP="007B643E">
      <w:r>
        <w:t>La valeur DH</w:t>
      </w:r>
      <w:r w:rsidRPr="00D42264">
        <w:t>max</w:t>
      </w:r>
      <w:r w:rsidR="009265F3">
        <w:t>cat</w:t>
      </w:r>
      <w:r>
        <w:t xml:space="preserve"> définie </w:t>
      </w:r>
      <w:r w:rsidR="009265F3">
        <w:t>par catégorie de contraintes extérieures prend les valeurs suivantes</w:t>
      </w:r>
      <w:r>
        <w:t> :</w:t>
      </w:r>
    </w:p>
    <w:tbl>
      <w:tblPr>
        <w:tblStyle w:val="Grilledutableau"/>
        <w:tblW w:w="0" w:type="auto"/>
        <w:jc w:val="center"/>
        <w:tblLook w:val="04A0" w:firstRow="1" w:lastRow="0" w:firstColumn="1" w:lastColumn="0" w:noHBand="0" w:noVBand="1"/>
      </w:tblPr>
      <w:tblGrid>
        <w:gridCol w:w="2291"/>
        <w:gridCol w:w="2291"/>
        <w:gridCol w:w="2291"/>
      </w:tblGrid>
      <w:tr w:rsidR="009265F3" w14:paraId="63E63B79" w14:textId="654EFDFE" w:rsidTr="007A5D47">
        <w:trPr>
          <w:trHeight w:val="312"/>
          <w:jc w:val="center"/>
        </w:trPr>
        <w:tc>
          <w:tcPr>
            <w:tcW w:w="2291" w:type="dxa"/>
            <w:tcBorders>
              <w:top w:val="nil"/>
              <w:left w:val="nil"/>
            </w:tcBorders>
          </w:tcPr>
          <w:p w14:paraId="0112D328" w14:textId="77777777" w:rsidR="009265F3" w:rsidRDefault="009265F3" w:rsidP="00713976">
            <w:pPr>
              <w:jc w:val="center"/>
            </w:pPr>
          </w:p>
        </w:tc>
        <w:tc>
          <w:tcPr>
            <w:tcW w:w="2291" w:type="dxa"/>
            <w:shd w:val="clear" w:color="auto" w:fill="A6A6A6" w:themeFill="background1" w:themeFillShade="A6"/>
          </w:tcPr>
          <w:p w14:paraId="4A3B66DE" w14:textId="5861190A" w:rsidR="009265F3" w:rsidRDefault="009265F3" w:rsidP="00713976">
            <w:pPr>
              <w:jc w:val="center"/>
            </w:pPr>
            <w:r>
              <w:t>Catégorie 1</w:t>
            </w:r>
          </w:p>
        </w:tc>
        <w:tc>
          <w:tcPr>
            <w:tcW w:w="2291" w:type="dxa"/>
            <w:shd w:val="clear" w:color="auto" w:fill="A6A6A6" w:themeFill="background1" w:themeFillShade="A6"/>
          </w:tcPr>
          <w:p w14:paraId="2272F31C" w14:textId="4857B27E" w:rsidR="009265F3" w:rsidRDefault="009265F3" w:rsidP="00713976">
            <w:pPr>
              <w:jc w:val="center"/>
            </w:pPr>
            <w:r>
              <w:t>Catégorie 2</w:t>
            </w:r>
          </w:p>
        </w:tc>
      </w:tr>
      <w:tr w:rsidR="009265F3" w14:paraId="7681FFD5" w14:textId="2EE539FC" w:rsidTr="007A5D47">
        <w:trPr>
          <w:trHeight w:val="312"/>
          <w:jc w:val="center"/>
        </w:trPr>
        <w:tc>
          <w:tcPr>
            <w:tcW w:w="2291" w:type="dxa"/>
            <w:shd w:val="clear" w:color="auto" w:fill="F2F2F2" w:themeFill="background1" w:themeFillShade="F2"/>
          </w:tcPr>
          <w:p w14:paraId="5600D624" w14:textId="14D59316" w:rsidR="009265F3" w:rsidRDefault="009265F3" w:rsidP="007B643E">
            <w:pPr>
              <w:jc w:val="center"/>
            </w:pPr>
            <w:r>
              <w:t>DH</w:t>
            </w:r>
            <w:r w:rsidR="007B643E">
              <w:t>_</w:t>
            </w:r>
            <w:r w:rsidR="007B643E" w:rsidRPr="005E78A2">
              <w:t>max</w:t>
            </w:r>
            <w:r w:rsidR="007B643E">
              <w:t>cat</w:t>
            </w:r>
          </w:p>
        </w:tc>
        <w:tc>
          <w:tcPr>
            <w:tcW w:w="2291" w:type="dxa"/>
          </w:tcPr>
          <w:p w14:paraId="79240934" w14:textId="393C2E88" w:rsidR="009265F3" w:rsidRDefault="009265F3" w:rsidP="007B643E">
            <w:pPr>
              <w:jc w:val="center"/>
            </w:pPr>
            <w:r>
              <w:t>1250</w:t>
            </w:r>
          </w:p>
        </w:tc>
        <w:tc>
          <w:tcPr>
            <w:tcW w:w="2291" w:type="dxa"/>
          </w:tcPr>
          <w:p w14:paraId="2AEE56F5" w14:textId="3BF7236D" w:rsidR="009265F3" w:rsidRDefault="009265F3" w:rsidP="00713976">
            <w:pPr>
              <w:jc w:val="center"/>
            </w:pPr>
            <w:r>
              <w:t>1850</w:t>
            </w:r>
          </w:p>
        </w:tc>
      </w:tr>
    </w:tbl>
    <w:p w14:paraId="16EFD21C" w14:textId="45DBE0E4" w:rsidR="00713976" w:rsidRDefault="00713976" w:rsidP="007B643E"/>
    <w:p w14:paraId="7C518D5A" w14:textId="77777777" w:rsidR="00713976" w:rsidRPr="00D42264" w:rsidRDefault="00713976" w:rsidP="007B643E"/>
    <w:p w14:paraId="6EB696E8" w14:textId="67ADC056" w:rsidR="009F2A30" w:rsidRDefault="009F2A30" w:rsidP="00B64F22">
      <w:pPr>
        <w:pStyle w:val="Titre4"/>
      </w:pPr>
      <w:bookmarkStart w:id="70" w:name="_Ref57918471"/>
      <w:bookmarkStart w:id="71" w:name="_Ref49446495"/>
      <w:r>
        <w:t>(</w:t>
      </w:r>
      <w:r>
        <w:rPr>
          <w:rFonts w:hint="eastAsia"/>
        </w:rPr>
        <w:t>PROC</w:t>
      </w:r>
      <w:r>
        <w:t>É</w:t>
      </w:r>
      <w:r w:rsidRPr="004B7E7F">
        <w:rPr>
          <w:rFonts w:hint="eastAsia"/>
        </w:rPr>
        <w:t>DURE D</w:t>
      </w:r>
      <w:r>
        <w:t>’</w:t>
      </w:r>
      <w:r>
        <w:rPr>
          <w:rFonts w:hint="eastAsia"/>
        </w:rPr>
        <w:t>AUTOCONTR</w:t>
      </w:r>
      <w:r>
        <w:t>Ô</w:t>
      </w:r>
      <w:r w:rsidRPr="004B7E7F">
        <w:rPr>
          <w:rFonts w:hint="eastAsia"/>
        </w:rPr>
        <w:t>LE ET D</w:t>
      </w:r>
      <w:r>
        <w:t>’É</w:t>
      </w:r>
      <w:r>
        <w:rPr>
          <w:rFonts w:hint="eastAsia"/>
        </w:rPr>
        <w:t>VALUATION DES LOGICIEL</w:t>
      </w:r>
      <w:r>
        <w:t>S)</w:t>
      </w:r>
      <w:bookmarkEnd w:id="70"/>
      <w:r>
        <w:t xml:space="preserve"> </w:t>
      </w:r>
    </w:p>
    <w:p w14:paraId="0FB891EA" w14:textId="77777777" w:rsidR="009F40F7" w:rsidRPr="009F40F7" w:rsidRDefault="009F40F7" w:rsidP="009F40F7"/>
    <w:p w14:paraId="7C4F274B" w14:textId="5C45D23D" w:rsidR="00B64F22" w:rsidRDefault="00B64F22" w:rsidP="00B64F22">
      <w:pPr>
        <w:pStyle w:val="Titre4"/>
      </w:pPr>
      <w:r w:rsidRPr="00224648">
        <w:t xml:space="preserve"> </w:t>
      </w:r>
      <w:bookmarkStart w:id="72" w:name="_Ref57918275"/>
      <w:r w:rsidRPr="00224648">
        <w:t>(</w:t>
      </w:r>
      <w:r w:rsidRPr="00224648">
        <w:rPr>
          <w:rFonts w:hint="eastAsia"/>
        </w:rPr>
        <w:t xml:space="preserve">CONTENU DU </w:t>
      </w:r>
      <w:r w:rsidR="00702F49">
        <w:t>RÉCAPITULATIF STANDARDISÉ D’ÉTUDE ÉNERGÉTIQUE ET ENVIRONNEMENTALE</w:t>
      </w:r>
      <w:r w:rsidRPr="00224648">
        <w:t>)</w:t>
      </w:r>
      <w:bookmarkEnd w:id="72"/>
      <w:r w:rsidRPr="00224648">
        <w:t xml:space="preserve"> </w:t>
      </w:r>
    </w:p>
    <w:p w14:paraId="767B2BC1" w14:textId="30B1333A" w:rsidR="00A93FE3" w:rsidRDefault="00A93FE3" w:rsidP="00A93FE3">
      <w:r>
        <w:t>Pour chaque bâtiment relevant du présent arrêté, à l’exception des bâtiments répondant à l’</w:t>
      </w:r>
      <w:r>
        <w:fldChar w:fldCharType="begin"/>
      </w:r>
      <w:r>
        <w:instrText xml:space="preserve"> REF _Ref57881695 \r \h </w:instrText>
      </w:r>
      <w:r>
        <w:fldChar w:fldCharType="separate"/>
      </w:r>
      <w:r w:rsidR="00E9780A">
        <w:t>Article 11</w:t>
      </w:r>
      <w:r>
        <w:fldChar w:fldCharType="end"/>
      </w:r>
      <w:r>
        <w:t>, le récapitulatif standardisé de l'étude énergétique et environnementale est un fichier informatique au format XML, comportant les éléments suivants :</w:t>
      </w:r>
    </w:p>
    <w:p w14:paraId="6E4A7AC1" w14:textId="2435A8C8" w:rsidR="00A93FE3" w:rsidRPr="009F40F7" w:rsidRDefault="00A93FE3" w:rsidP="00A93FE3">
      <w:pPr>
        <w:rPr>
          <w:b/>
        </w:rPr>
      </w:pPr>
      <w:r w:rsidRPr="009F40F7">
        <w:rPr>
          <w:b/>
        </w:rPr>
        <w:lastRenderedPageBreak/>
        <w:t>Chapitre 1er : données administratives du bâtiment</w:t>
      </w:r>
    </w:p>
    <w:p w14:paraId="3A5430D4" w14:textId="77777777" w:rsidR="00A93FE3" w:rsidRDefault="00A93FE3" w:rsidP="00A93FE3"/>
    <w:p w14:paraId="4AE21273" w14:textId="350C2DF4" w:rsidR="00A93FE3" w:rsidRDefault="00A93FE3" w:rsidP="00A93FE3">
      <w:r w:rsidRPr="009F40F7">
        <w:rPr>
          <w:b/>
        </w:rPr>
        <w:t>Chapitre 2 : exigences de performance énergétique du titre II, et caractéri</w:t>
      </w:r>
      <w:r w:rsidR="00003F58" w:rsidRPr="009F40F7">
        <w:rPr>
          <w:b/>
        </w:rPr>
        <w:t>stiques thermiques et exigences</w:t>
      </w:r>
      <w:r w:rsidRPr="009F40F7">
        <w:rPr>
          <w:b/>
        </w:rPr>
        <w:t xml:space="preserve"> du titre III du présent arrêté, comportant</w:t>
      </w:r>
    </w:p>
    <w:p w14:paraId="5DEAB305" w14:textId="37536136" w:rsidR="00A93FE3" w:rsidRDefault="00A93FE3" w:rsidP="00A93FE3">
      <w:r>
        <w:t>-les valeurs de Bbio, Bbio_max, Cep,nr, Cep,nr_max, Cep, Cep_max, Ic</w:t>
      </w:r>
      <w:r>
        <w:rPr>
          <w:vertAlign w:val="subscript"/>
        </w:rPr>
        <w:t>énergie</w:t>
      </w:r>
      <w:r w:rsidR="00003F58">
        <w:t>,</w:t>
      </w:r>
      <w:r>
        <w:t xml:space="preserve"> Ic</w:t>
      </w:r>
      <w:r>
        <w:rPr>
          <w:vertAlign w:val="subscript"/>
        </w:rPr>
        <w:t>énergie</w:t>
      </w:r>
      <w:r>
        <w:t>_max, Ic</w:t>
      </w:r>
      <w:r>
        <w:rPr>
          <w:vertAlign w:val="subscript"/>
        </w:rPr>
        <w:t>Composants</w:t>
      </w:r>
      <w:r>
        <w:t>, Ic</w:t>
      </w:r>
      <w:r>
        <w:rPr>
          <w:vertAlign w:val="subscript"/>
        </w:rPr>
        <w:t>Composants</w:t>
      </w:r>
      <w:r>
        <w:t xml:space="preserve">_max, DH et DH_max du bâtiment, conformément aux dispositions des </w:t>
      </w:r>
      <w:r>
        <w:fldChar w:fldCharType="begin"/>
      </w:r>
      <w:r>
        <w:instrText xml:space="preserve"> REF _Ref57726526 \r \h </w:instrText>
      </w:r>
      <w:r>
        <w:fldChar w:fldCharType="separate"/>
      </w:r>
      <w:r w:rsidR="00E9780A">
        <w:t>TITRE I</w:t>
      </w:r>
      <w:r>
        <w:fldChar w:fldCharType="end"/>
      </w:r>
      <w:r>
        <w:t xml:space="preserve"> et </w:t>
      </w:r>
      <w:r>
        <w:fldChar w:fldCharType="begin"/>
      </w:r>
      <w:r>
        <w:instrText xml:space="preserve"> REF _Ref57881978 \r \h </w:instrText>
      </w:r>
      <w:r>
        <w:fldChar w:fldCharType="separate"/>
      </w:r>
      <w:r w:rsidR="00E9780A">
        <w:t>TITRE II</w:t>
      </w:r>
      <w:r>
        <w:fldChar w:fldCharType="end"/>
      </w:r>
      <w:r>
        <w:t xml:space="preserve"> du présent arrêté ;</w:t>
      </w:r>
    </w:p>
    <w:p w14:paraId="7B9CF3D1" w14:textId="4DF25AC4" w:rsidR="00A93FE3" w:rsidRDefault="00A93FE3" w:rsidP="00A93FE3">
      <w:r>
        <w:t>- les valeurs des exigences pour un bâtiment moyen et des modulations, telles qu’obtenues en application de l’</w:t>
      </w:r>
      <w:r>
        <w:fldChar w:fldCharType="begin"/>
      </w:r>
      <w:r>
        <w:instrText xml:space="preserve"> REF _Ref57988857 \r \h </w:instrText>
      </w:r>
      <w:r>
        <w:fldChar w:fldCharType="separate"/>
      </w:r>
      <w:r w:rsidR="00E9780A">
        <w:t>ANNEXE IV</w:t>
      </w:r>
      <w:r>
        <w:fldChar w:fldCharType="end"/>
      </w:r>
      <w:r>
        <w:t xml:space="preserve"> du présent arrêté</w:t>
      </w:r>
      <w:r w:rsidR="0060473F">
        <w:t> ;</w:t>
      </w:r>
    </w:p>
    <w:p w14:paraId="0FE2C094" w14:textId="77777777" w:rsidR="00A93FE3" w:rsidRDefault="00A93FE3" w:rsidP="00A93FE3">
      <w:r>
        <w:t>-la valeur de la surface de référence du bâtiment utilisée dans les calculs ;</w:t>
      </w:r>
    </w:p>
    <w:p w14:paraId="0902A79D" w14:textId="77777777" w:rsidR="00A93FE3" w:rsidRDefault="00A93FE3" w:rsidP="00A93FE3">
      <w:r>
        <w:t>-le statut du projet de bâtiment vis-à-vis de chacune des exigences de moyens, définies au titre III du présent arrêté, auquel le projet est soumis.</w:t>
      </w:r>
    </w:p>
    <w:p w14:paraId="45E4EE34" w14:textId="77777777" w:rsidR="00A93FE3" w:rsidRDefault="00A93FE3" w:rsidP="00A93FE3"/>
    <w:p w14:paraId="7A931542" w14:textId="2F4BAA74" w:rsidR="00A93FE3" w:rsidRPr="009F40F7" w:rsidRDefault="00A93FE3" w:rsidP="00A93FE3">
      <w:pPr>
        <w:rPr>
          <w:b/>
        </w:rPr>
      </w:pPr>
      <w:r w:rsidRPr="009F40F7">
        <w:rPr>
          <w:b/>
        </w:rPr>
        <w:t>Chapitre 3 : Autres indicateurs prévus par la méthode spécifiée à l’</w:t>
      </w:r>
      <w:r w:rsidRPr="009F40F7">
        <w:rPr>
          <w:b/>
        </w:rPr>
        <w:fldChar w:fldCharType="begin"/>
      </w:r>
      <w:r w:rsidRPr="009F40F7">
        <w:rPr>
          <w:b/>
        </w:rPr>
        <w:instrText xml:space="preserve"> REF _Ref49446041 \r \h </w:instrText>
      </w:r>
      <w:r w:rsidR="0014511E">
        <w:rPr>
          <w:b/>
        </w:rPr>
        <w:instrText xml:space="preserve"> \* MERGEFORMAT </w:instrText>
      </w:r>
      <w:r w:rsidRPr="009F40F7">
        <w:rPr>
          <w:b/>
        </w:rPr>
      </w:r>
      <w:r w:rsidRPr="009F40F7">
        <w:rPr>
          <w:b/>
        </w:rPr>
        <w:fldChar w:fldCharType="separate"/>
      </w:r>
      <w:r w:rsidR="00E9780A" w:rsidRPr="009F40F7">
        <w:rPr>
          <w:b/>
        </w:rPr>
        <w:t>Article 17</w:t>
      </w:r>
      <w:r w:rsidRPr="009F40F7">
        <w:rPr>
          <w:b/>
        </w:rPr>
        <w:fldChar w:fldCharType="end"/>
      </w:r>
    </w:p>
    <w:p w14:paraId="77A3730B" w14:textId="77777777" w:rsidR="00A93FE3" w:rsidRDefault="00A93FE3" w:rsidP="00A93FE3"/>
    <w:p w14:paraId="548166C1" w14:textId="4789AFF7" w:rsidR="00A93FE3" w:rsidRDefault="00A93FE3" w:rsidP="00A93FE3">
      <w:r w:rsidRPr="009F40F7">
        <w:rPr>
          <w:b/>
        </w:rPr>
        <w:t>Chapitre 4 : détail des entrées et sorties des calculs réglementaires, notamment</w:t>
      </w:r>
    </w:p>
    <w:p w14:paraId="034FDA66" w14:textId="77777777" w:rsidR="00A93FE3" w:rsidRDefault="00A93FE3" w:rsidP="00A93FE3">
      <w:r>
        <w:t>-la décomposition des caractéristiques de l'enveloppe du bâtiment, par catégorie de paroi (surfaces, orientations, caractéristiques énergétiques...) ;</w:t>
      </w:r>
    </w:p>
    <w:p w14:paraId="297A3E31" w14:textId="77777777" w:rsidR="00A93FE3" w:rsidRDefault="00A93FE3" w:rsidP="00A93FE3">
      <w:r>
        <w:t>-la décomposition des caractéristiques des systèmes énergétiques du bâtiment ;</w:t>
      </w:r>
    </w:p>
    <w:p w14:paraId="51B0AE0D" w14:textId="77777777" w:rsidR="00A93FE3" w:rsidRDefault="00A93FE3" w:rsidP="00A93FE3">
      <w:r>
        <w:t>-la décomposition des besoins, consommations et productions d'énergie du bâtiment, entre autres par type d'usage et par énergie ;</w:t>
      </w:r>
    </w:p>
    <w:p w14:paraId="13D215BC" w14:textId="77777777" w:rsidR="00DA340A" w:rsidRDefault="00A93FE3" w:rsidP="00A93FE3">
      <w:r>
        <w:t>- les quantités et références des données environnementales de chaque composant du bâtiment, utilisées pour décrire notamment l’impact sur le changement climatique des composant</w:t>
      </w:r>
      <w:r w:rsidR="00DA340A">
        <w:t>s</w:t>
      </w:r>
      <w:r>
        <w:t xml:space="preserve"> du bâtiment ;</w:t>
      </w:r>
    </w:p>
    <w:p w14:paraId="021207D0" w14:textId="4C773250" w:rsidR="00A93FE3" w:rsidRDefault="00A93FE3" w:rsidP="00A93FE3">
      <w:r>
        <w:t>-pour chaque projet, bâtiment, zones, groupes et locaux, l'intégralité des caractéristiques telles que définies dans la méthode spécifiée à l’</w:t>
      </w:r>
      <w:r>
        <w:fldChar w:fldCharType="begin"/>
      </w:r>
      <w:r>
        <w:instrText xml:space="preserve"> REF _Ref49446041 \r \h </w:instrText>
      </w:r>
      <w:r>
        <w:fldChar w:fldCharType="separate"/>
      </w:r>
      <w:r w:rsidR="00E9780A">
        <w:t>Article 17</w:t>
      </w:r>
      <w:r>
        <w:fldChar w:fldCharType="end"/>
      </w:r>
      <w:r>
        <w:t> ;</w:t>
      </w:r>
    </w:p>
    <w:p w14:paraId="08C256EF" w14:textId="77777777" w:rsidR="00A93FE3" w:rsidRDefault="00A93FE3" w:rsidP="00A93FE3">
      <w:r w:rsidRPr="00A93FE3">
        <w:t>- les paramètres saisis pour le calcul des contributions aux impacts des consommations et rejets d’eau et du chantier de construction.</w:t>
      </w:r>
    </w:p>
    <w:p w14:paraId="228DD44A" w14:textId="77777777" w:rsidR="00A93FE3" w:rsidRDefault="00A93FE3" w:rsidP="00A93FE3"/>
    <w:p w14:paraId="3615CD9A" w14:textId="6D3CF71F" w:rsidR="00A93FE3" w:rsidRPr="009F40F7" w:rsidRDefault="00A93FE3" w:rsidP="00A93FE3">
      <w:pPr>
        <w:rPr>
          <w:b/>
        </w:rPr>
      </w:pPr>
      <w:r w:rsidRPr="009F40F7">
        <w:rPr>
          <w:b/>
        </w:rPr>
        <w:t>Chapitre 5, calculé de manière optionnelle : impact de différents paramètres sur les résultats conventionnels (Bbio, Cep,nr, Cep et DH)</w:t>
      </w:r>
    </w:p>
    <w:p w14:paraId="7D7D5669" w14:textId="77777777" w:rsidR="00A93FE3" w:rsidRDefault="00A93FE3" w:rsidP="00A93FE3">
      <w:r>
        <w:t>-à titre informatif pour les concepteurs, sensibilités des résultats de calcul à des modifications de caractéristiques techniques du bâtiment ;</w:t>
      </w:r>
    </w:p>
    <w:p w14:paraId="700BB4AA" w14:textId="77777777" w:rsidR="00A93FE3" w:rsidRDefault="00A93FE3" w:rsidP="00A93FE3">
      <w:r>
        <w:t>-à titre informatif pour les futurs occupants, pour les bâtiments à usage d'habitation, sensibilités des résultats de calcul à des comportements différents des comportements conventionnels servant de base au calcul réglementaire.</w:t>
      </w:r>
    </w:p>
    <w:p w14:paraId="0C1EC5E9" w14:textId="77777777" w:rsidR="00A93FE3" w:rsidRDefault="00A93FE3" w:rsidP="00A93FE3"/>
    <w:p w14:paraId="139B41B5" w14:textId="2B328C2D" w:rsidR="00A93FE3" w:rsidRDefault="00A93FE3" w:rsidP="00A93FE3">
      <w:r>
        <w:lastRenderedPageBreak/>
        <w:t>Pour chaque bâtiment relevant de l’</w:t>
      </w:r>
      <w:r>
        <w:fldChar w:fldCharType="begin"/>
      </w:r>
      <w:r>
        <w:instrText xml:space="preserve"> REF _Ref57881695 \r \h </w:instrText>
      </w:r>
      <w:r>
        <w:fldChar w:fldCharType="separate"/>
      </w:r>
      <w:r w:rsidR="00E9780A">
        <w:t>Article 11</w:t>
      </w:r>
      <w:r>
        <w:fldChar w:fldCharType="end"/>
      </w:r>
      <w:r>
        <w:t xml:space="preserve"> du présent arrêté, le récapitulatif standardisé d'étude énergétique et environnementale précise toutes les données utilisées ainsi que les résultats obtenus permettant de justifier du respect du mode d'application simplifié tant du point de vue champ d'application que des dispositions techniques et architecturales à mettre en œuvre. Dans le cas où des exigences de moyens sont prévues, il précise également le statut du projet de bâtiment vis-à-vis de chacune des exigences de moyens auquel le projet est soumis.</w:t>
      </w:r>
    </w:p>
    <w:p w14:paraId="7D9F5D46" w14:textId="77777777" w:rsidR="00A93FE3" w:rsidRPr="00A93FE3" w:rsidRDefault="00A93FE3" w:rsidP="00A93FE3"/>
    <w:p w14:paraId="1AE35304" w14:textId="59B6FAEB" w:rsidR="008E32DB" w:rsidRDefault="00AA0090" w:rsidP="00B64F22">
      <w:pPr>
        <w:pStyle w:val="Titre4"/>
      </w:pPr>
      <w:bookmarkStart w:id="73" w:name="_Ref57370992"/>
      <w:bookmarkStart w:id="74" w:name="_Ref57898275"/>
      <w:r>
        <w:t xml:space="preserve"> </w:t>
      </w:r>
      <w:r w:rsidR="004E1462">
        <w:t>(</w:t>
      </w:r>
      <w:r w:rsidR="008E32DB">
        <w:t>PERMÉABILITÉ À L’AI</w:t>
      </w:r>
      <w:r w:rsidR="004E1462">
        <w:t>R)</w:t>
      </w:r>
      <w:bookmarkEnd w:id="73"/>
      <w:r w:rsidR="004E1462">
        <w:t xml:space="preserve"> </w:t>
      </w:r>
      <w:bookmarkEnd w:id="71"/>
      <w:bookmarkEnd w:id="74"/>
    </w:p>
    <w:p w14:paraId="5BC4E24F" w14:textId="77777777" w:rsidR="009F40F7" w:rsidRPr="009F40F7" w:rsidRDefault="009F40F7" w:rsidP="009F40F7"/>
    <w:p w14:paraId="6442E642" w14:textId="05B26F5C" w:rsidR="00B64F22" w:rsidRDefault="00B64F22" w:rsidP="00B64F22">
      <w:pPr>
        <w:pStyle w:val="Titre4"/>
      </w:pPr>
      <w:bookmarkStart w:id="75" w:name="_Ref57990115"/>
      <w:r>
        <w:t>(MODALITÉS DE VÉRIFICATION DES SYSTÈMES DE VENTILATION)</w:t>
      </w:r>
      <w:bookmarkEnd w:id="75"/>
      <w:r>
        <w:t xml:space="preserve"> </w:t>
      </w:r>
    </w:p>
    <w:p w14:paraId="2966D31F" w14:textId="77777777" w:rsidR="009F40F7" w:rsidRPr="009F40F7" w:rsidRDefault="009F40F7" w:rsidP="009F40F7"/>
    <w:p w14:paraId="31F125F3" w14:textId="77777777" w:rsidR="00F9619D" w:rsidRDefault="00697894" w:rsidP="00B64F22">
      <w:pPr>
        <w:pStyle w:val="Titre4"/>
      </w:pPr>
      <w:bookmarkStart w:id="76" w:name="_Ref49508336"/>
      <w:r>
        <w:t>(MODES D’APPLICATION SIMPLIFIÉS)</w:t>
      </w:r>
      <w:bookmarkEnd w:id="76"/>
      <w:r>
        <w:t xml:space="preserve"> </w:t>
      </w:r>
    </w:p>
    <w:p w14:paraId="63EF696B" w14:textId="6DE470A3" w:rsidR="00D12E1E" w:rsidRDefault="00D12E1E" w:rsidP="00A93FE3"/>
    <w:p w14:paraId="734A5925" w14:textId="77777777" w:rsidR="00A93FE3" w:rsidRDefault="00A93FE3" w:rsidP="00A93FE3">
      <w:pPr>
        <w:pStyle w:val="Titre4"/>
      </w:pPr>
      <w:r>
        <w:t xml:space="preserve"> (</w:t>
      </w:r>
      <w:r w:rsidRPr="0074061C">
        <w:t>DOSSIER D'ÉTUDES POUR LES CAS PARTICULIERS</w:t>
      </w:r>
      <w:r>
        <w:t xml:space="preserve">) </w:t>
      </w:r>
    </w:p>
    <w:p w14:paraId="064ACBF8" w14:textId="77777777" w:rsidR="00A93FE3" w:rsidRDefault="00A93FE3" w:rsidP="00A93FE3">
      <w:pPr>
        <w:pStyle w:val="Titre5"/>
        <w:numPr>
          <w:ilvl w:val="0"/>
          <w:numId w:val="47"/>
        </w:numPr>
      </w:pPr>
      <w:r>
        <w:t>Objet</w:t>
      </w:r>
    </w:p>
    <w:p w14:paraId="7E7F8F61" w14:textId="72BA7F99" w:rsidR="00A93FE3" w:rsidRDefault="00A93FE3" w:rsidP="00A93FE3">
      <w:r>
        <w:t xml:space="preserve">Cette annexe décrit le contenu du dossier d'étude des projets de construction, des systèmes et des réseaux de chaleur ou de froid spécifiés au </w:t>
      </w:r>
      <w:r>
        <w:fldChar w:fldCharType="begin"/>
      </w:r>
      <w:r>
        <w:instrText xml:space="preserve"> REF _Ref57884999 \r \h </w:instrText>
      </w:r>
      <w:r>
        <w:fldChar w:fldCharType="separate"/>
      </w:r>
      <w:r w:rsidR="00E9780A">
        <w:t>TITRE V</w:t>
      </w:r>
      <w:r>
        <w:fldChar w:fldCharType="end"/>
      </w:r>
      <w:r>
        <w:t xml:space="preserve"> du présent arrêté, fourni à l'appui de la demande </w:t>
      </w:r>
      <w:r w:rsidR="00892EBA">
        <w:t xml:space="preserve">d'approbation </w:t>
      </w:r>
      <w:r>
        <w:t xml:space="preserve">auprès du </w:t>
      </w:r>
      <w:r w:rsidRPr="00697894">
        <w:t xml:space="preserve">ministre </w:t>
      </w:r>
      <w:r w:rsidRPr="00AA57C7">
        <w:t xml:space="preserve">chargé de l'énergie </w:t>
      </w:r>
      <w:r>
        <w:t>et du ministre chargé de la construction et de l'habitation.</w:t>
      </w:r>
    </w:p>
    <w:p w14:paraId="7EAC7578" w14:textId="77777777" w:rsidR="00A93FE3" w:rsidRDefault="00A93FE3" w:rsidP="00A93FE3"/>
    <w:p w14:paraId="392378E7" w14:textId="282BA7D5" w:rsidR="00A93FE3" w:rsidRDefault="00A93FE3" w:rsidP="00A93FE3">
      <w:r>
        <w:t xml:space="preserve">Pour les réseaux de chaleur ou de froid spécifiés au </w:t>
      </w:r>
      <w:r>
        <w:fldChar w:fldCharType="begin"/>
      </w:r>
      <w:r>
        <w:instrText xml:space="preserve"> REF _Ref57884999 \r \h </w:instrText>
      </w:r>
      <w:r>
        <w:fldChar w:fldCharType="separate"/>
      </w:r>
      <w:r w:rsidR="00E9780A">
        <w:t>TITRE V</w:t>
      </w:r>
      <w:r>
        <w:fldChar w:fldCharType="end"/>
      </w:r>
      <w:r>
        <w:t xml:space="preserve"> du présent arrêté, les demandes </w:t>
      </w:r>
      <w:r w:rsidR="00892EBA">
        <w:t xml:space="preserve">d'approbation </w:t>
      </w:r>
      <w:r>
        <w:t>portent exclusivement sur l'a</w:t>
      </w:r>
      <w:r w:rsidR="00D12E1E">
        <w:t>pprobation</w:t>
      </w:r>
      <w:r>
        <w:t xml:space="preserve"> d'une valeur temporaire de contenu en CO2 des kWh énergétiques livrés à ses sous-stations, et du</w:t>
      </w:r>
      <w:r w:rsidRPr="00CE43A6">
        <w:t xml:space="preserve"> </w:t>
      </w:r>
      <w:r>
        <w:t>r</w:t>
      </w:r>
      <w:r w:rsidRPr="00A22FA7">
        <w:t xml:space="preserve">atio d’énergie renouvelable ou de récupération </w:t>
      </w:r>
      <w:r>
        <w:t>des kWh</w:t>
      </w:r>
      <w:r w:rsidRPr="00A22FA7">
        <w:t xml:space="preserve"> </w:t>
      </w:r>
      <w:r>
        <w:t xml:space="preserve">de chaleur (permettant le chauffage et la production d’eau chaude sanitaire) livrés à ses sous-stations. </w:t>
      </w:r>
      <w:r w:rsidR="00D12E1E">
        <w:t xml:space="preserve">L’approbation a une durée de validité maximale </w:t>
      </w:r>
      <w:r>
        <w:t>de trois ans.</w:t>
      </w:r>
    </w:p>
    <w:p w14:paraId="20E1F695" w14:textId="77777777" w:rsidR="00A93FE3" w:rsidRDefault="00A93FE3" w:rsidP="00A93FE3"/>
    <w:p w14:paraId="435F8E19" w14:textId="49E8783B" w:rsidR="00A93FE3" w:rsidRDefault="00A93FE3" w:rsidP="00A93FE3">
      <w:r>
        <w:t>Au sens de l’</w:t>
      </w:r>
      <w:r>
        <w:fldChar w:fldCharType="begin"/>
      </w:r>
      <w:r>
        <w:instrText xml:space="preserve"> REF _Ref57885378 \r \h </w:instrText>
      </w:r>
      <w:r>
        <w:fldChar w:fldCharType="separate"/>
      </w:r>
      <w:r w:rsidR="00E9780A">
        <w:t>Article 57</w:t>
      </w:r>
      <w:r>
        <w:fldChar w:fldCharType="end"/>
      </w:r>
      <w:r>
        <w:t>, une évolution</w:t>
      </w:r>
      <w:r w:rsidRPr="00CE43A6">
        <w:t xml:space="preserve"> </w:t>
      </w:r>
      <w:r w:rsidRPr="00580EBA">
        <w:t xml:space="preserve">importante </w:t>
      </w:r>
      <w:r>
        <w:t xml:space="preserve">du </w:t>
      </w:r>
      <w:r w:rsidRPr="00580EBA">
        <w:t>facteur d’émission</w:t>
      </w:r>
      <w:r>
        <w:t xml:space="preserve"> (respectivement du ratio </w:t>
      </w:r>
      <w:r w:rsidRPr="00580EBA">
        <w:t>d’énergie renouvelable et de récupération</w:t>
      </w:r>
      <w:r>
        <w:t>)</w:t>
      </w:r>
      <w:r w:rsidRPr="00580EBA">
        <w:t xml:space="preserve"> </w:t>
      </w:r>
      <w:r>
        <w:t>d’un réseau de chaleur ou de froid</w:t>
      </w:r>
      <w:r w:rsidRPr="00580EBA">
        <w:t xml:space="preserve"> </w:t>
      </w:r>
      <w:r>
        <w:t xml:space="preserve">consiste en une évolution prévisible, due à des travaux de modification du réseau de chaleur ou de froid, à un horizon inférieur à deux ans, du facteur d’émission (respectivement ratio </w:t>
      </w:r>
      <w:r w:rsidRPr="00580EBA">
        <w:t>d’énergie renouvelable et de récupération</w:t>
      </w:r>
      <w:r>
        <w:t>), d’au moins 30 gCO2/kWh livré en sous-station (respectivement 20 points).</w:t>
      </w:r>
      <w:r w:rsidRPr="00CE43A6">
        <w:t xml:space="preserve"> </w:t>
      </w:r>
    </w:p>
    <w:p w14:paraId="43DB330B" w14:textId="77777777" w:rsidR="00A93FE3" w:rsidRDefault="00A93FE3" w:rsidP="00A93FE3">
      <w:pPr>
        <w:pStyle w:val="Titre5"/>
      </w:pPr>
      <w:r>
        <w:t>Eléments à fournir par le demandeur</w:t>
      </w:r>
    </w:p>
    <w:p w14:paraId="4B41FE4B" w14:textId="59A7BC3F" w:rsidR="00A93FE3" w:rsidRDefault="00A93FE3" w:rsidP="00A93FE3">
      <w:r>
        <w:t>La demande peut être faite uniquement pour les cas prévus à l’</w:t>
      </w:r>
      <w:r>
        <w:fldChar w:fldCharType="begin"/>
      </w:r>
      <w:r>
        <w:instrText xml:space="preserve"> REF _Ref57885378 \r \h </w:instrText>
      </w:r>
      <w:r>
        <w:fldChar w:fldCharType="separate"/>
      </w:r>
      <w:r w:rsidR="00E9780A">
        <w:t>Article 57</w:t>
      </w:r>
      <w:r>
        <w:fldChar w:fldCharType="end"/>
      </w:r>
      <w:r>
        <w:t>.</w:t>
      </w:r>
    </w:p>
    <w:p w14:paraId="3DC56028" w14:textId="77777777" w:rsidR="00A93FE3" w:rsidRDefault="00A93FE3" w:rsidP="00A93FE3"/>
    <w:p w14:paraId="5806C15C" w14:textId="12EDB3CD" w:rsidR="00A93FE3" w:rsidRDefault="00A93FE3" w:rsidP="00A93FE3">
      <w:pPr>
        <w:pStyle w:val="Titre6"/>
        <w:numPr>
          <w:ilvl w:val="0"/>
          <w:numId w:val="19"/>
        </w:numPr>
      </w:pPr>
      <w:r>
        <w:lastRenderedPageBreak/>
        <w:t>Demande pour un projet de construction</w:t>
      </w:r>
    </w:p>
    <w:p w14:paraId="1634D6AB" w14:textId="77777777" w:rsidR="00A93FE3" w:rsidRDefault="00A93FE3" w:rsidP="00A93FE3">
      <w:r>
        <w:t>Le demandeur fournit obligatoirement :</w:t>
      </w:r>
    </w:p>
    <w:p w14:paraId="041C1559" w14:textId="5425B47D" w:rsidR="00A93FE3" w:rsidRDefault="00A93FE3" w:rsidP="00A93FE3">
      <w:r>
        <w:t>- le descriptif du projet de construction concerné, avec ses plans ;</w:t>
      </w:r>
    </w:p>
    <w:p w14:paraId="446BA5CA" w14:textId="77777777" w:rsidR="00A93FE3" w:rsidRDefault="00A93FE3" w:rsidP="00A93FE3">
      <w:r>
        <w:t>- la liste des données d'entrée pour la partie de la méthode de calcul qui est applicable ;</w:t>
      </w:r>
    </w:p>
    <w:p w14:paraId="70C40189" w14:textId="77777777" w:rsidR="00A93FE3" w:rsidRDefault="00A93FE3" w:rsidP="00A93FE3">
      <w:r>
        <w:t>- une description détaillée des raisons qui rendent la méthode de calcul inapplicable pour les autres parties ;</w:t>
      </w:r>
    </w:p>
    <w:p w14:paraId="2A7BC5BA" w14:textId="77777777" w:rsidR="00A93FE3" w:rsidRDefault="00A93FE3" w:rsidP="00A93FE3">
      <w:r>
        <w:t>- le récapitulatif standardisé d'étude thermique, en saisissant le bâtiment de manière dégradée pour les parties pour lesquelles la méthode de calcul est inapplicable ;</w:t>
      </w:r>
    </w:p>
    <w:p w14:paraId="695D4C35" w14:textId="77777777" w:rsidR="00A93FE3" w:rsidRDefault="00A93FE3" w:rsidP="00A93FE3">
      <w:r>
        <w:t>- l'explication de la manière avec laquelle ont été saisis de manière dégradée, dans l'outil d'application de la réglementation, les éléments du projet non modélisables ;</w:t>
      </w:r>
    </w:p>
    <w:p w14:paraId="3B416CB7" w14:textId="458A0BE8" w:rsidR="00A93FE3" w:rsidRDefault="00A93FE3" w:rsidP="00A93FE3">
      <w:r>
        <w:t>- la justification détaillée des modalités de prise en compte et de la performance attendue pour les parties non modélisables.</w:t>
      </w:r>
    </w:p>
    <w:p w14:paraId="57F46BB1" w14:textId="5BF79DB8" w:rsidR="00A93FE3" w:rsidRDefault="00A93FE3" w:rsidP="00A93FE3">
      <w:r>
        <w:t xml:space="preserve">Le dossier justifie du niveau de performance prétendu de l'opération, donc du respect de toutes les exigences de la réglementation, aussi bien en matière d'exigences de performances globales que d'exigences de moyens. </w:t>
      </w:r>
      <w:r w:rsidR="00D12E1E">
        <w:t>L’approbation</w:t>
      </w:r>
      <w:r>
        <w:t>, le cas échéant, valide uniquement le respect du présent arrêté, sur la base des pièces justificatives fournies.</w:t>
      </w:r>
    </w:p>
    <w:p w14:paraId="56D43C84" w14:textId="77777777" w:rsidR="00A93FE3" w:rsidRDefault="00A93FE3" w:rsidP="00A93FE3"/>
    <w:p w14:paraId="27227E47" w14:textId="456A7EE6" w:rsidR="00A93FE3" w:rsidRDefault="00A93FE3" w:rsidP="00A93FE3">
      <w:pPr>
        <w:pStyle w:val="Titre6"/>
        <w:numPr>
          <w:ilvl w:val="0"/>
          <w:numId w:val="16"/>
        </w:numPr>
        <w:ind w:left="754" w:hanging="357"/>
      </w:pPr>
      <w:r>
        <w:t xml:space="preserve">Demande pour un système particulier </w:t>
      </w:r>
    </w:p>
    <w:p w14:paraId="20E3A035" w14:textId="77777777" w:rsidR="00A93FE3" w:rsidRDefault="00A93FE3" w:rsidP="00A93FE3">
      <w:r>
        <w:t>Le demandeur fournit obligatoirement :</w:t>
      </w:r>
    </w:p>
    <w:p w14:paraId="5785E53F" w14:textId="77777777" w:rsidR="00A93FE3" w:rsidRDefault="00A93FE3" w:rsidP="00A93FE3">
      <w:r>
        <w:t>- un descriptif du système considéré accompagné des éléments permettant d'évaluer ses performances thermiques, notamment en vue de l'intégration ultérieure de ce système dans les méthodes de calcul ; ces éléments incluent un retour d’expérience de l’installation du système pour au moins dix projets de construction conformes au présent arrêté, ou aux arrêtés du 26 octobre 2010 ou du 28 décembre 2012 susvisés ;</w:t>
      </w:r>
    </w:p>
    <w:p w14:paraId="46B8937A" w14:textId="77777777" w:rsidR="00A93FE3" w:rsidRDefault="00A93FE3" w:rsidP="00A93FE3">
      <w:r>
        <w:t>- un descriptif des éléments du système qui ne sont pas pris en compte au travers de la méthode de calcul ;</w:t>
      </w:r>
    </w:p>
    <w:p w14:paraId="31FE973F" w14:textId="77777777" w:rsidR="00A93FE3" w:rsidRDefault="00A93FE3" w:rsidP="00A93FE3">
      <w:r>
        <w:t>- un descriptif du champ d'application de ce système ;</w:t>
      </w:r>
    </w:p>
    <w:p w14:paraId="0EFD2342" w14:textId="77777777" w:rsidR="00A93FE3" w:rsidRDefault="00A93FE3" w:rsidP="00A93FE3">
      <w:r>
        <w:t>- la liste des données d'entrée pour les parties de la méthode de calcul qui sont applicables ;</w:t>
      </w:r>
    </w:p>
    <w:p w14:paraId="1023D786" w14:textId="21931C57" w:rsidR="00A93FE3" w:rsidRDefault="00A93FE3" w:rsidP="00A93FE3">
      <w:r>
        <w:t>- une description détaillée des raisons qui rendent la méthode de calcul inapplicable pour les autres éléments du système ;</w:t>
      </w:r>
    </w:p>
    <w:p w14:paraId="4A0FF18B" w14:textId="77777777" w:rsidR="00A93FE3" w:rsidRDefault="00A93FE3" w:rsidP="00A93FE3">
      <w:r>
        <w:t>- une proposition d'adaptation de la méthode de calcul permettant de traiter le système considéré accompagnée d'au moins un exemple d'application numérique ; cette proposition est mise en relation avec le retour d’expérience susmentionné.</w:t>
      </w:r>
    </w:p>
    <w:p w14:paraId="60B22E5F" w14:textId="77777777" w:rsidR="00A93FE3" w:rsidRDefault="00A93FE3" w:rsidP="00A93FE3"/>
    <w:p w14:paraId="2EA9DA4A" w14:textId="77777777" w:rsidR="00A93FE3" w:rsidRDefault="00A93FE3" w:rsidP="00A93FE3">
      <w:pPr>
        <w:pStyle w:val="Titre6"/>
        <w:numPr>
          <w:ilvl w:val="0"/>
          <w:numId w:val="16"/>
        </w:numPr>
        <w:ind w:left="754" w:hanging="357"/>
      </w:pPr>
      <w:r>
        <w:t>Demande pour un réseau de chaleur ou de froid</w:t>
      </w:r>
    </w:p>
    <w:p w14:paraId="45281250" w14:textId="77777777" w:rsidR="00A93FE3" w:rsidRDefault="00A93FE3" w:rsidP="00A93FE3">
      <w:r>
        <w:t>Le demandeur fournit obligatoirement :</w:t>
      </w:r>
    </w:p>
    <w:p w14:paraId="2D536134" w14:textId="77777777" w:rsidR="00A93FE3" w:rsidRDefault="00A93FE3" w:rsidP="00A93FE3">
      <w:r>
        <w:lastRenderedPageBreak/>
        <w:t>- un descriptif du réseau de chaleur ou de froid considéré accompagné des éléments permettant d'évaluer, initialement et dans la durée, ses performances énergétique et environnementale, notamment du fait de son approvisionnement en énergie, de la performance de ses générateurs, de la performance de sa distribution et de ses consommations d'auxiliaires, et du volume prévisionnel de chaleur et de froid livrés ;</w:t>
      </w:r>
    </w:p>
    <w:p w14:paraId="72C4CF12" w14:textId="2619C8F6" w:rsidR="00A93FE3" w:rsidRDefault="00A93FE3" w:rsidP="00A93FE3">
      <w:r>
        <w:t xml:space="preserve">- une proposition de contenu en CO2 des kWh livrés aux sous-stations du réseau, et de ratio </w:t>
      </w:r>
      <w:r w:rsidRPr="00580EBA">
        <w:t>d’énergie renouvelable et de récupération</w:t>
      </w:r>
      <w:r>
        <w:t xml:space="preserve">, basée notamment sur les facteurs d’émission prévus à </w:t>
      </w:r>
      <w:r w:rsidRPr="00A93FE3">
        <w:t>l’</w:t>
      </w:r>
      <w:r w:rsidRPr="00A93FE3">
        <w:fldChar w:fldCharType="begin"/>
      </w:r>
      <w:r w:rsidRPr="00A93FE3">
        <w:instrText xml:space="preserve"> REF _Ref57989590 \r \h </w:instrText>
      </w:r>
      <w:r>
        <w:instrText xml:space="preserve"> \* MERGEFORMAT </w:instrText>
      </w:r>
      <w:r w:rsidRPr="00A93FE3">
        <w:fldChar w:fldCharType="separate"/>
      </w:r>
      <w:r w:rsidR="00E9780A">
        <w:t>Article 19</w:t>
      </w:r>
      <w:r w:rsidRPr="00A93FE3">
        <w:fldChar w:fldCharType="end"/>
      </w:r>
      <w:r w:rsidRPr="00A93FE3">
        <w:t>;</w:t>
      </w:r>
    </w:p>
    <w:p w14:paraId="0348D4D0" w14:textId="3324CC96" w:rsidR="00A93FE3" w:rsidRDefault="00A93FE3" w:rsidP="00A93FE3">
      <w:r>
        <w:t>- un engagement à répondre, de manière annuelle et durant cinq ans à compter de la mise en service du réseau, à l’enquête annuelle des réseaux de chaleur et de froid.</w:t>
      </w:r>
    </w:p>
    <w:p w14:paraId="25C95FA0" w14:textId="77777777" w:rsidR="00A93FE3" w:rsidRDefault="00A93FE3" w:rsidP="00A93FE3"/>
    <w:p w14:paraId="39160D83" w14:textId="77777777" w:rsidR="00A93FE3" w:rsidRPr="00A93FE3" w:rsidRDefault="00A93FE3" w:rsidP="00A93FE3"/>
    <w:p w14:paraId="48264974" w14:textId="77777777" w:rsidR="00CE43A6" w:rsidRDefault="00CE43A6" w:rsidP="00CE43A6"/>
    <w:p w14:paraId="32F10080" w14:textId="77777777" w:rsidR="00A93FE3" w:rsidRDefault="00304DB2" w:rsidP="00A93FE3">
      <w:pPr>
        <w:pStyle w:val="Titre4"/>
      </w:pPr>
      <w:bookmarkStart w:id="77" w:name="_Ref57812333"/>
      <w:bookmarkStart w:id="78" w:name="_Ref57398000"/>
      <w:r>
        <w:t>PERFORMANCES FORFAITAIRES DE CERTAINS LOTS</w:t>
      </w:r>
      <w:bookmarkEnd w:id="77"/>
      <w:r>
        <w:t xml:space="preserve"> </w:t>
      </w:r>
    </w:p>
    <w:p w14:paraId="0AEBF597" w14:textId="2A9BB810" w:rsidR="00A93FE3" w:rsidRPr="00AA57C7" w:rsidRDefault="00A93FE3" w:rsidP="00A93FE3">
      <w:pPr>
        <w:pStyle w:val="Titre6"/>
        <w:numPr>
          <w:ilvl w:val="0"/>
          <w:numId w:val="48"/>
        </w:numPr>
      </w:pPr>
      <w:r w:rsidRPr="00AA57C7">
        <w:t>Maisons individuelles ou accolées</w:t>
      </w:r>
    </w:p>
    <w:p w14:paraId="19394EAA" w14:textId="5BBFDCF4" w:rsidR="00A93FE3" w:rsidRPr="00AA57C7" w:rsidRDefault="00A93FE3" w:rsidP="00A93FE3">
      <w:r w:rsidRPr="00AA57C7">
        <w:t xml:space="preserve">Il est possible d’utiliser les valeurs suivantes pour décrire l’impact de l’ensemble des composants relevant des lots ou sous-lots mentionnés ci-après et définis par la méthode spécifiée à </w:t>
      </w:r>
      <w:r>
        <w:fldChar w:fldCharType="begin"/>
      </w:r>
      <w:r>
        <w:instrText xml:space="preserve"> REF _Ref49446041 \r \h </w:instrText>
      </w:r>
      <w:r>
        <w:fldChar w:fldCharType="separate"/>
      </w:r>
      <w:r w:rsidR="00E9780A">
        <w:t>Article 17</w:t>
      </w:r>
      <w:r>
        <w:fldChar w:fldCharType="end"/>
      </w:r>
      <w:r w:rsidRPr="00AA57C7">
        <w:t>.</w:t>
      </w:r>
    </w:p>
    <w:tbl>
      <w:tblPr>
        <w:tblStyle w:val="Grilledutableau"/>
        <w:tblW w:w="8075" w:type="dxa"/>
        <w:jc w:val="center"/>
        <w:tblLook w:val="0600" w:firstRow="0" w:lastRow="0" w:firstColumn="0" w:lastColumn="0" w:noHBand="1" w:noVBand="1"/>
      </w:tblPr>
      <w:tblGrid>
        <w:gridCol w:w="1839"/>
        <w:gridCol w:w="1203"/>
        <w:gridCol w:w="1366"/>
        <w:gridCol w:w="1287"/>
        <w:gridCol w:w="1120"/>
        <w:gridCol w:w="1260"/>
      </w:tblGrid>
      <w:tr w:rsidR="00A93FE3" w:rsidRPr="00AA57C7" w14:paraId="4A7D6C37" w14:textId="77777777" w:rsidTr="00511F7F">
        <w:trPr>
          <w:trHeight w:val="612"/>
          <w:jc w:val="center"/>
        </w:trPr>
        <w:tc>
          <w:tcPr>
            <w:tcW w:w="1839" w:type="dxa"/>
            <w:tcBorders>
              <w:tl2br w:val="single" w:sz="4" w:space="0" w:color="auto"/>
            </w:tcBorders>
            <w:shd w:val="clear" w:color="auto" w:fill="A6A6A6" w:themeFill="background1" w:themeFillShade="A6"/>
          </w:tcPr>
          <w:p w14:paraId="468B9B10" w14:textId="77777777" w:rsidR="00A93FE3" w:rsidRPr="00AA57C7" w:rsidRDefault="00A93FE3" w:rsidP="00511F7F">
            <w:pPr>
              <w:keepNext/>
              <w:jc w:val="right"/>
            </w:pPr>
          </w:p>
        </w:tc>
        <w:tc>
          <w:tcPr>
            <w:tcW w:w="6236" w:type="dxa"/>
            <w:gridSpan w:val="5"/>
            <w:shd w:val="clear" w:color="auto" w:fill="A6A6A6" w:themeFill="background1" w:themeFillShade="A6"/>
          </w:tcPr>
          <w:p w14:paraId="74C87D57" w14:textId="77777777" w:rsidR="00A93FE3" w:rsidRPr="00AA57C7" w:rsidRDefault="00A93FE3" w:rsidP="00511F7F">
            <w:pPr>
              <w:keepNext/>
              <w:jc w:val="center"/>
            </w:pPr>
            <w:r w:rsidRPr="00AA57C7">
              <w:t>Impact sur le changement climatique par phase du cycle de vie du bâtiment (kg éq. CO2/m²)</w:t>
            </w:r>
          </w:p>
        </w:tc>
      </w:tr>
      <w:tr w:rsidR="00A93FE3" w:rsidRPr="00AA57C7" w14:paraId="05E64F67" w14:textId="77777777" w:rsidTr="00511F7F">
        <w:trPr>
          <w:trHeight w:val="612"/>
          <w:jc w:val="center"/>
        </w:trPr>
        <w:tc>
          <w:tcPr>
            <w:tcW w:w="1839" w:type="dxa"/>
            <w:tcBorders>
              <w:tl2br w:val="single" w:sz="4" w:space="0" w:color="auto"/>
            </w:tcBorders>
            <w:shd w:val="clear" w:color="auto" w:fill="A6A6A6" w:themeFill="background1" w:themeFillShade="A6"/>
            <w:hideMark/>
          </w:tcPr>
          <w:p w14:paraId="48AD4C54" w14:textId="77777777" w:rsidR="00A93FE3" w:rsidRPr="00AA57C7" w:rsidRDefault="00A93FE3" w:rsidP="00511F7F">
            <w:pPr>
              <w:keepNext/>
              <w:jc w:val="right"/>
            </w:pPr>
            <w:r w:rsidRPr="00AA57C7">
              <w:t>Phase du cycle de vie</w:t>
            </w:r>
          </w:p>
          <w:p w14:paraId="3B55FDE5" w14:textId="77777777" w:rsidR="00A93FE3" w:rsidRPr="00AA57C7" w:rsidRDefault="00A93FE3" w:rsidP="00511F7F">
            <w:pPr>
              <w:keepNext/>
            </w:pPr>
            <w:r w:rsidRPr="00AA57C7">
              <w:t>Lot ou sous-lot</w:t>
            </w:r>
          </w:p>
        </w:tc>
        <w:tc>
          <w:tcPr>
            <w:tcW w:w="1203" w:type="dxa"/>
            <w:shd w:val="clear" w:color="auto" w:fill="A6A6A6" w:themeFill="background1" w:themeFillShade="A6"/>
            <w:hideMark/>
          </w:tcPr>
          <w:p w14:paraId="6CFA09B0" w14:textId="77777777" w:rsidR="00A93FE3" w:rsidRPr="00AA57C7" w:rsidRDefault="00A93FE3" w:rsidP="00511F7F">
            <w:pPr>
              <w:keepNext/>
            </w:pPr>
            <w:r w:rsidRPr="00AA57C7">
              <w:t>Production</w:t>
            </w:r>
          </w:p>
        </w:tc>
        <w:tc>
          <w:tcPr>
            <w:tcW w:w="1366" w:type="dxa"/>
            <w:shd w:val="clear" w:color="auto" w:fill="A6A6A6" w:themeFill="background1" w:themeFillShade="A6"/>
            <w:hideMark/>
          </w:tcPr>
          <w:p w14:paraId="4F529A6D" w14:textId="77777777" w:rsidR="00A93FE3" w:rsidRPr="00AA57C7" w:rsidRDefault="00A93FE3" w:rsidP="00511F7F">
            <w:pPr>
              <w:keepNext/>
            </w:pPr>
            <w:r w:rsidRPr="00AA57C7">
              <w:t>Construction</w:t>
            </w:r>
          </w:p>
        </w:tc>
        <w:tc>
          <w:tcPr>
            <w:tcW w:w="1287" w:type="dxa"/>
            <w:shd w:val="clear" w:color="auto" w:fill="A6A6A6" w:themeFill="background1" w:themeFillShade="A6"/>
            <w:hideMark/>
          </w:tcPr>
          <w:p w14:paraId="2EFB1A3F" w14:textId="77777777" w:rsidR="00A93FE3" w:rsidRPr="00AA57C7" w:rsidRDefault="00A93FE3" w:rsidP="00511F7F">
            <w:pPr>
              <w:keepNext/>
            </w:pPr>
            <w:r w:rsidRPr="00AA57C7">
              <w:t>Exploitation</w:t>
            </w:r>
          </w:p>
        </w:tc>
        <w:tc>
          <w:tcPr>
            <w:tcW w:w="1120" w:type="dxa"/>
            <w:shd w:val="clear" w:color="auto" w:fill="A6A6A6" w:themeFill="background1" w:themeFillShade="A6"/>
            <w:hideMark/>
          </w:tcPr>
          <w:p w14:paraId="722AA3C6" w14:textId="77777777" w:rsidR="00A93FE3" w:rsidRPr="00AA57C7" w:rsidRDefault="00A93FE3" w:rsidP="00511F7F">
            <w:pPr>
              <w:keepNext/>
            </w:pPr>
            <w:r w:rsidRPr="00AA57C7">
              <w:t>Fin de vie</w:t>
            </w:r>
          </w:p>
        </w:tc>
        <w:tc>
          <w:tcPr>
            <w:tcW w:w="1260" w:type="dxa"/>
            <w:shd w:val="clear" w:color="auto" w:fill="A6A6A6" w:themeFill="background1" w:themeFillShade="A6"/>
            <w:hideMark/>
          </w:tcPr>
          <w:p w14:paraId="68D9C84E" w14:textId="77777777" w:rsidR="00A93FE3" w:rsidRPr="00AA57C7" w:rsidRDefault="00A93FE3" w:rsidP="00511F7F">
            <w:pPr>
              <w:keepNext/>
            </w:pPr>
            <w:r w:rsidRPr="00AA57C7">
              <w:t>Module D</w:t>
            </w:r>
          </w:p>
        </w:tc>
      </w:tr>
      <w:tr w:rsidR="00A93FE3" w:rsidRPr="00AA57C7" w14:paraId="0B50757B" w14:textId="77777777" w:rsidTr="00511F7F">
        <w:trPr>
          <w:trHeight w:val="352"/>
          <w:jc w:val="center"/>
        </w:trPr>
        <w:tc>
          <w:tcPr>
            <w:tcW w:w="1839" w:type="dxa"/>
            <w:shd w:val="clear" w:color="auto" w:fill="F2F2F2" w:themeFill="background1" w:themeFillShade="F2"/>
            <w:hideMark/>
          </w:tcPr>
          <w:p w14:paraId="6F80C794" w14:textId="77777777" w:rsidR="00A93FE3" w:rsidRPr="00AA57C7" w:rsidRDefault="00A93FE3" w:rsidP="00511F7F">
            <w:pPr>
              <w:keepNext/>
              <w:jc w:val="center"/>
            </w:pPr>
            <w:r w:rsidRPr="00AA57C7">
              <w:t>8.1</w:t>
            </w:r>
          </w:p>
        </w:tc>
        <w:tc>
          <w:tcPr>
            <w:tcW w:w="1203" w:type="dxa"/>
            <w:vAlign w:val="center"/>
          </w:tcPr>
          <w:p w14:paraId="3A757C91" w14:textId="33461D7E" w:rsidR="00A93FE3" w:rsidRPr="0046089D" w:rsidRDefault="00A93FE3" w:rsidP="00511F7F">
            <w:pPr>
              <w:keepNext/>
              <w:jc w:val="center"/>
            </w:pPr>
            <w:r w:rsidRPr="0046089D">
              <w:t>61</w:t>
            </w:r>
          </w:p>
        </w:tc>
        <w:tc>
          <w:tcPr>
            <w:tcW w:w="1366" w:type="dxa"/>
            <w:vAlign w:val="center"/>
          </w:tcPr>
          <w:p w14:paraId="48388DA2" w14:textId="77777777" w:rsidR="00A93FE3" w:rsidRPr="0046089D" w:rsidRDefault="00A93FE3" w:rsidP="00511F7F">
            <w:pPr>
              <w:keepNext/>
              <w:jc w:val="center"/>
            </w:pPr>
            <w:r w:rsidRPr="0046089D">
              <w:t>0</w:t>
            </w:r>
          </w:p>
        </w:tc>
        <w:tc>
          <w:tcPr>
            <w:tcW w:w="1287" w:type="dxa"/>
            <w:vAlign w:val="center"/>
          </w:tcPr>
          <w:p w14:paraId="3C9E5A37" w14:textId="23E63B40" w:rsidR="00A93FE3" w:rsidRPr="0046089D" w:rsidRDefault="00A93FE3" w:rsidP="00511F7F">
            <w:pPr>
              <w:keepNext/>
              <w:jc w:val="center"/>
            </w:pPr>
            <w:r w:rsidRPr="0046089D">
              <w:t>106</w:t>
            </w:r>
          </w:p>
        </w:tc>
        <w:tc>
          <w:tcPr>
            <w:tcW w:w="1120" w:type="dxa"/>
            <w:vAlign w:val="center"/>
          </w:tcPr>
          <w:p w14:paraId="21F7CC12" w14:textId="527BBCDF" w:rsidR="00A93FE3" w:rsidRPr="0046089D" w:rsidRDefault="00A93FE3" w:rsidP="00511F7F">
            <w:pPr>
              <w:keepNext/>
              <w:jc w:val="center"/>
            </w:pPr>
            <w:r w:rsidRPr="0046089D">
              <w:t>3</w:t>
            </w:r>
          </w:p>
        </w:tc>
        <w:tc>
          <w:tcPr>
            <w:tcW w:w="1260" w:type="dxa"/>
            <w:vAlign w:val="center"/>
          </w:tcPr>
          <w:p w14:paraId="3A5C8B15" w14:textId="77777777" w:rsidR="00A93FE3" w:rsidRPr="0046089D" w:rsidRDefault="00A93FE3" w:rsidP="00511F7F">
            <w:pPr>
              <w:keepNext/>
              <w:jc w:val="center"/>
            </w:pPr>
            <w:r w:rsidRPr="0046089D">
              <w:t>0</w:t>
            </w:r>
          </w:p>
        </w:tc>
      </w:tr>
      <w:tr w:rsidR="00A93FE3" w:rsidRPr="00AA57C7" w14:paraId="633E464B" w14:textId="77777777" w:rsidTr="00511F7F">
        <w:trPr>
          <w:trHeight w:val="352"/>
          <w:jc w:val="center"/>
        </w:trPr>
        <w:tc>
          <w:tcPr>
            <w:tcW w:w="1839" w:type="dxa"/>
            <w:shd w:val="clear" w:color="auto" w:fill="F2F2F2" w:themeFill="background1" w:themeFillShade="F2"/>
            <w:hideMark/>
          </w:tcPr>
          <w:p w14:paraId="28B7A2C9" w14:textId="77777777" w:rsidR="00A93FE3" w:rsidRPr="00AA57C7" w:rsidRDefault="00A93FE3" w:rsidP="00511F7F">
            <w:pPr>
              <w:keepNext/>
              <w:jc w:val="center"/>
            </w:pPr>
            <w:r w:rsidRPr="00AA57C7">
              <w:t>10</w:t>
            </w:r>
          </w:p>
        </w:tc>
        <w:tc>
          <w:tcPr>
            <w:tcW w:w="1203" w:type="dxa"/>
          </w:tcPr>
          <w:p w14:paraId="27ECCE37" w14:textId="7009A0CF" w:rsidR="00A93FE3" w:rsidRPr="0046089D" w:rsidRDefault="00A93FE3" w:rsidP="00511F7F">
            <w:pPr>
              <w:keepNext/>
              <w:jc w:val="center"/>
            </w:pPr>
            <w:r w:rsidRPr="0046089D">
              <w:t>50</w:t>
            </w:r>
          </w:p>
        </w:tc>
        <w:tc>
          <w:tcPr>
            <w:tcW w:w="1366" w:type="dxa"/>
          </w:tcPr>
          <w:p w14:paraId="42AFDB9D" w14:textId="77777777" w:rsidR="00A93FE3" w:rsidRPr="0046089D" w:rsidRDefault="00A93FE3" w:rsidP="00511F7F">
            <w:pPr>
              <w:keepNext/>
              <w:jc w:val="center"/>
            </w:pPr>
            <w:r w:rsidRPr="0046089D">
              <w:t>0</w:t>
            </w:r>
          </w:p>
        </w:tc>
        <w:tc>
          <w:tcPr>
            <w:tcW w:w="1287" w:type="dxa"/>
          </w:tcPr>
          <w:p w14:paraId="6F88E262" w14:textId="3C6B1152" w:rsidR="00A93FE3" w:rsidRPr="0046089D" w:rsidRDefault="00A93FE3" w:rsidP="00511F7F">
            <w:pPr>
              <w:keepNext/>
              <w:jc w:val="center"/>
            </w:pPr>
            <w:r w:rsidRPr="0046089D">
              <w:t>45</w:t>
            </w:r>
          </w:p>
        </w:tc>
        <w:tc>
          <w:tcPr>
            <w:tcW w:w="1120" w:type="dxa"/>
          </w:tcPr>
          <w:p w14:paraId="7161CD53" w14:textId="728454D2" w:rsidR="00A93FE3" w:rsidRPr="0046089D" w:rsidRDefault="00A93FE3" w:rsidP="00511F7F">
            <w:pPr>
              <w:keepNext/>
              <w:jc w:val="center"/>
            </w:pPr>
            <w:r w:rsidRPr="0046089D">
              <w:t>3</w:t>
            </w:r>
          </w:p>
        </w:tc>
        <w:tc>
          <w:tcPr>
            <w:tcW w:w="1260" w:type="dxa"/>
          </w:tcPr>
          <w:p w14:paraId="500ECF94" w14:textId="77777777" w:rsidR="00A93FE3" w:rsidRPr="0046089D" w:rsidRDefault="00A93FE3" w:rsidP="00511F7F">
            <w:pPr>
              <w:keepNext/>
              <w:jc w:val="center"/>
            </w:pPr>
            <w:r w:rsidRPr="0046089D">
              <w:t>0</w:t>
            </w:r>
          </w:p>
        </w:tc>
      </w:tr>
      <w:tr w:rsidR="00A93FE3" w:rsidRPr="00AA57C7" w14:paraId="7E749B03" w14:textId="77777777" w:rsidTr="00511F7F">
        <w:trPr>
          <w:trHeight w:val="352"/>
          <w:jc w:val="center"/>
        </w:trPr>
        <w:tc>
          <w:tcPr>
            <w:tcW w:w="1839" w:type="dxa"/>
            <w:shd w:val="clear" w:color="auto" w:fill="F2F2F2" w:themeFill="background1" w:themeFillShade="F2"/>
            <w:hideMark/>
          </w:tcPr>
          <w:p w14:paraId="671B89CE" w14:textId="77777777" w:rsidR="00A93FE3" w:rsidRPr="00AA57C7" w:rsidRDefault="00A93FE3" w:rsidP="00511F7F">
            <w:pPr>
              <w:keepNext/>
              <w:jc w:val="center"/>
            </w:pPr>
            <w:r w:rsidRPr="00AA57C7">
              <w:t>11</w:t>
            </w:r>
          </w:p>
        </w:tc>
        <w:tc>
          <w:tcPr>
            <w:tcW w:w="1203" w:type="dxa"/>
          </w:tcPr>
          <w:p w14:paraId="26828685" w14:textId="77777777" w:rsidR="00A93FE3" w:rsidRPr="00AA57C7" w:rsidRDefault="00A93FE3" w:rsidP="00511F7F">
            <w:pPr>
              <w:keepNext/>
              <w:jc w:val="center"/>
            </w:pPr>
            <w:r w:rsidRPr="00AA57C7">
              <w:t>1</w:t>
            </w:r>
          </w:p>
        </w:tc>
        <w:tc>
          <w:tcPr>
            <w:tcW w:w="1366" w:type="dxa"/>
          </w:tcPr>
          <w:p w14:paraId="786F5842" w14:textId="77777777" w:rsidR="00A93FE3" w:rsidRPr="00AA57C7" w:rsidRDefault="00A93FE3" w:rsidP="00511F7F">
            <w:pPr>
              <w:keepNext/>
              <w:jc w:val="center"/>
            </w:pPr>
            <w:r w:rsidRPr="00AA57C7">
              <w:t>0</w:t>
            </w:r>
          </w:p>
        </w:tc>
        <w:tc>
          <w:tcPr>
            <w:tcW w:w="1287" w:type="dxa"/>
          </w:tcPr>
          <w:p w14:paraId="6299C1CD" w14:textId="77777777" w:rsidR="00A93FE3" w:rsidRPr="00AA57C7" w:rsidRDefault="00A93FE3" w:rsidP="00511F7F">
            <w:pPr>
              <w:keepNext/>
              <w:jc w:val="center"/>
            </w:pPr>
            <w:r w:rsidRPr="00AA57C7">
              <w:t>1</w:t>
            </w:r>
          </w:p>
        </w:tc>
        <w:tc>
          <w:tcPr>
            <w:tcW w:w="1120" w:type="dxa"/>
          </w:tcPr>
          <w:p w14:paraId="3FACCFFB" w14:textId="77777777" w:rsidR="00A93FE3" w:rsidRPr="00AA57C7" w:rsidRDefault="00A93FE3" w:rsidP="00511F7F">
            <w:pPr>
              <w:keepNext/>
              <w:jc w:val="center"/>
            </w:pPr>
            <w:r w:rsidRPr="00AA57C7">
              <w:t>0</w:t>
            </w:r>
          </w:p>
        </w:tc>
        <w:tc>
          <w:tcPr>
            <w:tcW w:w="1260" w:type="dxa"/>
          </w:tcPr>
          <w:p w14:paraId="63B3A959" w14:textId="77777777" w:rsidR="00A93FE3" w:rsidRPr="00AA57C7" w:rsidRDefault="00A93FE3" w:rsidP="00511F7F">
            <w:pPr>
              <w:keepNext/>
              <w:jc w:val="center"/>
            </w:pPr>
            <w:r w:rsidRPr="00AA57C7">
              <w:t>0</w:t>
            </w:r>
          </w:p>
        </w:tc>
      </w:tr>
    </w:tbl>
    <w:p w14:paraId="5A6BC091" w14:textId="77777777" w:rsidR="00A93FE3" w:rsidRPr="00AA57C7" w:rsidRDefault="00A93FE3" w:rsidP="00A93FE3"/>
    <w:p w14:paraId="72C76BE4" w14:textId="77777777" w:rsidR="00A93FE3" w:rsidRPr="00AA57C7" w:rsidRDefault="00A93FE3" w:rsidP="00A93FE3">
      <w:pPr>
        <w:pStyle w:val="Titre6"/>
        <w:numPr>
          <w:ilvl w:val="0"/>
          <w:numId w:val="19"/>
        </w:numPr>
      </w:pPr>
      <w:r w:rsidRPr="00AA57C7">
        <w:t>Logements collectifs</w:t>
      </w:r>
    </w:p>
    <w:p w14:paraId="6782F546" w14:textId="272EA3B7" w:rsidR="00A93FE3" w:rsidRPr="00AA57C7" w:rsidRDefault="00A93FE3" w:rsidP="00A93FE3">
      <w:r w:rsidRPr="00AA57C7">
        <w:t xml:space="preserve">Il est possible d’utiliser les valeurs suivantes pour décrire l’impact de l’ensemble des composants relevant des lots ou sous-lots mentionnés ci-après et définis par la méthode spécifiée à </w:t>
      </w:r>
      <w:r>
        <w:t>l’</w:t>
      </w:r>
      <w:r>
        <w:fldChar w:fldCharType="begin"/>
      </w:r>
      <w:r>
        <w:instrText xml:space="preserve"> REF _Ref49446041 \r \h </w:instrText>
      </w:r>
      <w:r>
        <w:fldChar w:fldCharType="separate"/>
      </w:r>
      <w:r w:rsidR="00E9780A">
        <w:t>Article 17</w:t>
      </w:r>
      <w:r>
        <w:fldChar w:fldCharType="end"/>
      </w:r>
      <w:r w:rsidRPr="00AA57C7">
        <w:t>.</w:t>
      </w:r>
    </w:p>
    <w:tbl>
      <w:tblPr>
        <w:tblStyle w:val="Grilledutableau"/>
        <w:tblW w:w="8075" w:type="dxa"/>
        <w:jc w:val="center"/>
        <w:tblLook w:val="0600" w:firstRow="0" w:lastRow="0" w:firstColumn="0" w:lastColumn="0" w:noHBand="1" w:noVBand="1"/>
      </w:tblPr>
      <w:tblGrid>
        <w:gridCol w:w="1839"/>
        <w:gridCol w:w="1203"/>
        <w:gridCol w:w="1366"/>
        <w:gridCol w:w="1287"/>
        <w:gridCol w:w="1120"/>
        <w:gridCol w:w="1260"/>
      </w:tblGrid>
      <w:tr w:rsidR="00A93FE3" w:rsidRPr="00AA57C7" w14:paraId="2B24B95F" w14:textId="77777777" w:rsidTr="00511F7F">
        <w:trPr>
          <w:trHeight w:val="612"/>
          <w:jc w:val="center"/>
        </w:trPr>
        <w:tc>
          <w:tcPr>
            <w:tcW w:w="1839" w:type="dxa"/>
            <w:tcBorders>
              <w:tl2br w:val="single" w:sz="4" w:space="0" w:color="auto"/>
            </w:tcBorders>
            <w:shd w:val="clear" w:color="auto" w:fill="A6A6A6" w:themeFill="background1" w:themeFillShade="A6"/>
          </w:tcPr>
          <w:p w14:paraId="26086A8E" w14:textId="77777777" w:rsidR="00A93FE3" w:rsidRPr="00AA57C7" w:rsidRDefault="00A93FE3" w:rsidP="00511F7F">
            <w:pPr>
              <w:keepNext/>
              <w:jc w:val="right"/>
            </w:pPr>
          </w:p>
        </w:tc>
        <w:tc>
          <w:tcPr>
            <w:tcW w:w="6236" w:type="dxa"/>
            <w:gridSpan w:val="5"/>
            <w:shd w:val="clear" w:color="auto" w:fill="A6A6A6" w:themeFill="background1" w:themeFillShade="A6"/>
          </w:tcPr>
          <w:p w14:paraId="2BEC812F" w14:textId="77777777" w:rsidR="00A93FE3" w:rsidRPr="00AA57C7" w:rsidRDefault="00A93FE3" w:rsidP="00511F7F">
            <w:pPr>
              <w:keepNext/>
              <w:jc w:val="center"/>
            </w:pPr>
            <w:r w:rsidRPr="00AA57C7">
              <w:t>Impact sur le changement climatique par phase du cycle de vie du bâtiment (kg éq. CO2/m²)</w:t>
            </w:r>
          </w:p>
        </w:tc>
      </w:tr>
      <w:tr w:rsidR="00A93FE3" w:rsidRPr="00AA57C7" w14:paraId="08038261" w14:textId="77777777" w:rsidTr="00511F7F">
        <w:trPr>
          <w:trHeight w:val="612"/>
          <w:jc w:val="center"/>
        </w:trPr>
        <w:tc>
          <w:tcPr>
            <w:tcW w:w="1839" w:type="dxa"/>
            <w:tcBorders>
              <w:tl2br w:val="single" w:sz="4" w:space="0" w:color="auto"/>
            </w:tcBorders>
            <w:shd w:val="clear" w:color="auto" w:fill="A6A6A6" w:themeFill="background1" w:themeFillShade="A6"/>
            <w:hideMark/>
          </w:tcPr>
          <w:p w14:paraId="3AE84E6C" w14:textId="77777777" w:rsidR="00A93FE3" w:rsidRPr="00AA57C7" w:rsidRDefault="00A93FE3" w:rsidP="00511F7F">
            <w:pPr>
              <w:keepNext/>
              <w:jc w:val="right"/>
            </w:pPr>
            <w:r w:rsidRPr="00AA57C7">
              <w:t>Phase du cycle de vie</w:t>
            </w:r>
          </w:p>
          <w:p w14:paraId="7D156810" w14:textId="77777777" w:rsidR="00A93FE3" w:rsidRPr="00AA57C7" w:rsidRDefault="00A93FE3" w:rsidP="00511F7F">
            <w:pPr>
              <w:keepNext/>
            </w:pPr>
            <w:r w:rsidRPr="00AA57C7">
              <w:t>Lot ou sous-lot</w:t>
            </w:r>
          </w:p>
        </w:tc>
        <w:tc>
          <w:tcPr>
            <w:tcW w:w="1203" w:type="dxa"/>
            <w:shd w:val="clear" w:color="auto" w:fill="A6A6A6" w:themeFill="background1" w:themeFillShade="A6"/>
            <w:hideMark/>
          </w:tcPr>
          <w:p w14:paraId="39461E0E" w14:textId="77777777" w:rsidR="00A93FE3" w:rsidRPr="00AA57C7" w:rsidRDefault="00A93FE3" w:rsidP="00511F7F">
            <w:pPr>
              <w:keepNext/>
            </w:pPr>
            <w:r w:rsidRPr="00AA57C7">
              <w:t>Production</w:t>
            </w:r>
          </w:p>
        </w:tc>
        <w:tc>
          <w:tcPr>
            <w:tcW w:w="1366" w:type="dxa"/>
            <w:shd w:val="clear" w:color="auto" w:fill="A6A6A6" w:themeFill="background1" w:themeFillShade="A6"/>
            <w:hideMark/>
          </w:tcPr>
          <w:p w14:paraId="51FBDCD2" w14:textId="77777777" w:rsidR="00A93FE3" w:rsidRPr="00AA57C7" w:rsidRDefault="00A93FE3" w:rsidP="00511F7F">
            <w:pPr>
              <w:keepNext/>
            </w:pPr>
            <w:r w:rsidRPr="00AA57C7">
              <w:t>Construction</w:t>
            </w:r>
          </w:p>
        </w:tc>
        <w:tc>
          <w:tcPr>
            <w:tcW w:w="1287" w:type="dxa"/>
            <w:shd w:val="clear" w:color="auto" w:fill="A6A6A6" w:themeFill="background1" w:themeFillShade="A6"/>
            <w:hideMark/>
          </w:tcPr>
          <w:p w14:paraId="4653470B" w14:textId="77777777" w:rsidR="00A93FE3" w:rsidRPr="00AA57C7" w:rsidRDefault="00A93FE3" w:rsidP="00511F7F">
            <w:pPr>
              <w:keepNext/>
            </w:pPr>
            <w:r w:rsidRPr="00AA57C7">
              <w:t>Exploitation</w:t>
            </w:r>
          </w:p>
        </w:tc>
        <w:tc>
          <w:tcPr>
            <w:tcW w:w="1120" w:type="dxa"/>
            <w:shd w:val="clear" w:color="auto" w:fill="A6A6A6" w:themeFill="background1" w:themeFillShade="A6"/>
            <w:hideMark/>
          </w:tcPr>
          <w:p w14:paraId="03D95A46" w14:textId="77777777" w:rsidR="00A93FE3" w:rsidRPr="00AA57C7" w:rsidRDefault="00A93FE3" w:rsidP="00511F7F">
            <w:pPr>
              <w:keepNext/>
            </w:pPr>
            <w:r w:rsidRPr="00AA57C7">
              <w:t>Fin de vie</w:t>
            </w:r>
          </w:p>
        </w:tc>
        <w:tc>
          <w:tcPr>
            <w:tcW w:w="1260" w:type="dxa"/>
            <w:shd w:val="clear" w:color="auto" w:fill="A6A6A6" w:themeFill="background1" w:themeFillShade="A6"/>
            <w:hideMark/>
          </w:tcPr>
          <w:p w14:paraId="4468EAC6" w14:textId="77777777" w:rsidR="00A93FE3" w:rsidRPr="00AA57C7" w:rsidRDefault="00A93FE3" w:rsidP="00511F7F">
            <w:pPr>
              <w:keepNext/>
            </w:pPr>
            <w:r w:rsidRPr="00AA57C7">
              <w:t>Module D</w:t>
            </w:r>
          </w:p>
        </w:tc>
      </w:tr>
      <w:tr w:rsidR="00A93FE3" w:rsidRPr="00AA57C7" w14:paraId="5A7DE2FE" w14:textId="77777777" w:rsidTr="00511F7F">
        <w:trPr>
          <w:trHeight w:val="352"/>
          <w:jc w:val="center"/>
        </w:trPr>
        <w:tc>
          <w:tcPr>
            <w:tcW w:w="1839" w:type="dxa"/>
            <w:shd w:val="clear" w:color="auto" w:fill="F2F2F2" w:themeFill="background1" w:themeFillShade="F2"/>
            <w:hideMark/>
          </w:tcPr>
          <w:p w14:paraId="09AD6B8E" w14:textId="77777777" w:rsidR="00A93FE3" w:rsidRPr="00AA57C7" w:rsidRDefault="00A93FE3" w:rsidP="00511F7F">
            <w:pPr>
              <w:keepNext/>
              <w:jc w:val="center"/>
            </w:pPr>
            <w:r w:rsidRPr="00AA57C7">
              <w:t>8.1</w:t>
            </w:r>
          </w:p>
        </w:tc>
        <w:tc>
          <w:tcPr>
            <w:tcW w:w="1203" w:type="dxa"/>
            <w:vAlign w:val="center"/>
          </w:tcPr>
          <w:p w14:paraId="5D03CF6C" w14:textId="77777777" w:rsidR="00A93FE3" w:rsidRPr="0046089D" w:rsidRDefault="00A93FE3" w:rsidP="00511F7F">
            <w:pPr>
              <w:keepNext/>
              <w:jc w:val="center"/>
            </w:pPr>
            <w:r w:rsidRPr="0046089D">
              <w:t>16</w:t>
            </w:r>
          </w:p>
        </w:tc>
        <w:tc>
          <w:tcPr>
            <w:tcW w:w="1366" w:type="dxa"/>
            <w:vAlign w:val="center"/>
          </w:tcPr>
          <w:p w14:paraId="76393BD8" w14:textId="77777777" w:rsidR="00A93FE3" w:rsidRPr="0046089D" w:rsidRDefault="00A93FE3" w:rsidP="00511F7F">
            <w:pPr>
              <w:keepNext/>
              <w:jc w:val="center"/>
            </w:pPr>
            <w:r w:rsidRPr="0046089D">
              <w:t>0</w:t>
            </w:r>
          </w:p>
        </w:tc>
        <w:tc>
          <w:tcPr>
            <w:tcW w:w="1287" w:type="dxa"/>
            <w:vAlign w:val="center"/>
          </w:tcPr>
          <w:p w14:paraId="0CB9D6F7" w14:textId="77777777" w:rsidR="00A93FE3" w:rsidRPr="0046089D" w:rsidRDefault="00A93FE3" w:rsidP="00511F7F">
            <w:pPr>
              <w:keepNext/>
              <w:jc w:val="center"/>
            </w:pPr>
            <w:r w:rsidRPr="0046089D">
              <w:t>57</w:t>
            </w:r>
          </w:p>
        </w:tc>
        <w:tc>
          <w:tcPr>
            <w:tcW w:w="1120" w:type="dxa"/>
            <w:vAlign w:val="center"/>
          </w:tcPr>
          <w:p w14:paraId="50788132" w14:textId="77777777" w:rsidR="00A93FE3" w:rsidRPr="0046089D" w:rsidRDefault="00A93FE3" w:rsidP="00511F7F">
            <w:pPr>
              <w:keepNext/>
              <w:jc w:val="center"/>
            </w:pPr>
            <w:r w:rsidRPr="0046089D">
              <w:t>1</w:t>
            </w:r>
          </w:p>
        </w:tc>
        <w:tc>
          <w:tcPr>
            <w:tcW w:w="1260" w:type="dxa"/>
            <w:vAlign w:val="center"/>
          </w:tcPr>
          <w:p w14:paraId="3A012F3C" w14:textId="77777777" w:rsidR="00A93FE3" w:rsidRPr="0046089D" w:rsidRDefault="00A93FE3" w:rsidP="00511F7F">
            <w:pPr>
              <w:keepNext/>
              <w:jc w:val="center"/>
            </w:pPr>
            <w:r w:rsidRPr="0046089D">
              <w:t>0</w:t>
            </w:r>
          </w:p>
        </w:tc>
      </w:tr>
      <w:tr w:rsidR="00A93FE3" w:rsidRPr="00AA57C7" w14:paraId="25EDD39F" w14:textId="77777777" w:rsidTr="00511F7F">
        <w:trPr>
          <w:trHeight w:val="352"/>
          <w:jc w:val="center"/>
        </w:trPr>
        <w:tc>
          <w:tcPr>
            <w:tcW w:w="1839" w:type="dxa"/>
            <w:shd w:val="clear" w:color="auto" w:fill="F2F2F2" w:themeFill="background1" w:themeFillShade="F2"/>
            <w:hideMark/>
          </w:tcPr>
          <w:p w14:paraId="2A7A0E14" w14:textId="77777777" w:rsidR="00A93FE3" w:rsidRPr="00AA57C7" w:rsidRDefault="00A93FE3" w:rsidP="00511F7F">
            <w:pPr>
              <w:keepNext/>
              <w:jc w:val="center"/>
            </w:pPr>
            <w:r w:rsidRPr="00AA57C7">
              <w:t>10</w:t>
            </w:r>
          </w:p>
        </w:tc>
        <w:tc>
          <w:tcPr>
            <w:tcW w:w="1203" w:type="dxa"/>
          </w:tcPr>
          <w:p w14:paraId="277AED02" w14:textId="77777777" w:rsidR="00A93FE3" w:rsidRPr="00AA57C7" w:rsidRDefault="00A93FE3" w:rsidP="00511F7F">
            <w:pPr>
              <w:keepNext/>
              <w:jc w:val="center"/>
            </w:pPr>
            <w:r>
              <w:t>24</w:t>
            </w:r>
          </w:p>
        </w:tc>
        <w:tc>
          <w:tcPr>
            <w:tcW w:w="1366" w:type="dxa"/>
          </w:tcPr>
          <w:p w14:paraId="31E3341A" w14:textId="77777777" w:rsidR="00A93FE3" w:rsidRPr="00AA57C7" w:rsidRDefault="00A93FE3" w:rsidP="00511F7F">
            <w:pPr>
              <w:keepNext/>
              <w:jc w:val="center"/>
            </w:pPr>
            <w:r>
              <w:t>0</w:t>
            </w:r>
          </w:p>
        </w:tc>
        <w:tc>
          <w:tcPr>
            <w:tcW w:w="1287" w:type="dxa"/>
          </w:tcPr>
          <w:p w14:paraId="7452A322" w14:textId="77777777" w:rsidR="00A93FE3" w:rsidRPr="00AA57C7" w:rsidRDefault="00A93FE3" w:rsidP="00511F7F">
            <w:pPr>
              <w:keepNext/>
              <w:jc w:val="center"/>
            </w:pPr>
            <w:r>
              <w:t>23</w:t>
            </w:r>
          </w:p>
        </w:tc>
        <w:tc>
          <w:tcPr>
            <w:tcW w:w="1120" w:type="dxa"/>
          </w:tcPr>
          <w:p w14:paraId="21493974" w14:textId="77777777" w:rsidR="00A93FE3" w:rsidRPr="00AA57C7" w:rsidRDefault="00A93FE3" w:rsidP="00511F7F">
            <w:pPr>
              <w:keepNext/>
              <w:jc w:val="center"/>
            </w:pPr>
            <w:r>
              <w:t>1</w:t>
            </w:r>
          </w:p>
        </w:tc>
        <w:tc>
          <w:tcPr>
            <w:tcW w:w="1260" w:type="dxa"/>
          </w:tcPr>
          <w:p w14:paraId="112DD269" w14:textId="77777777" w:rsidR="00A93FE3" w:rsidRPr="00AA57C7" w:rsidRDefault="00A93FE3" w:rsidP="00511F7F">
            <w:pPr>
              <w:keepNext/>
              <w:jc w:val="center"/>
            </w:pPr>
            <w:r>
              <w:t>0</w:t>
            </w:r>
          </w:p>
        </w:tc>
      </w:tr>
      <w:tr w:rsidR="00A93FE3" w:rsidRPr="00224648" w14:paraId="5777DCC4" w14:textId="77777777" w:rsidTr="00511F7F">
        <w:trPr>
          <w:trHeight w:val="352"/>
          <w:jc w:val="center"/>
        </w:trPr>
        <w:tc>
          <w:tcPr>
            <w:tcW w:w="1839" w:type="dxa"/>
            <w:shd w:val="clear" w:color="auto" w:fill="F2F2F2" w:themeFill="background1" w:themeFillShade="F2"/>
            <w:hideMark/>
          </w:tcPr>
          <w:p w14:paraId="2FDC4D8F" w14:textId="77777777" w:rsidR="00A93FE3" w:rsidRPr="00224648" w:rsidRDefault="00A93FE3" w:rsidP="00511F7F">
            <w:pPr>
              <w:keepNext/>
              <w:jc w:val="center"/>
            </w:pPr>
            <w:r w:rsidRPr="00AA57C7">
              <w:t>11</w:t>
            </w:r>
          </w:p>
        </w:tc>
        <w:tc>
          <w:tcPr>
            <w:tcW w:w="1203" w:type="dxa"/>
          </w:tcPr>
          <w:p w14:paraId="319835C6" w14:textId="77777777" w:rsidR="00A93FE3" w:rsidRPr="00224648" w:rsidRDefault="00A93FE3" w:rsidP="00511F7F">
            <w:pPr>
              <w:keepNext/>
              <w:jc w:val="center"/>
            </w:pPr>
            <w:r>
              <w:t>1</w:t>
            </w:r>
          </w:p>
        </w:tc>
        <w:tc>
          <w:tcPr>
            <w:tcW w:w="1366" w:type="dxa"/>
          </w:tcPr>
          <w:p w14:paraId="3753CA11" w14:textId="77777777" w:rsidR="00A93FE3" w:rsidRPr="00224648" w:rsidRDefault="00A93FE3" w:rsidP="00511F7F">
            <w:pPr>
              <w:keepNext/>
              <w:jc w:val="center"/>
            </w:pPr>
            <w:r>
              <w:t>0</w:t>
            </w:r>
          </w:p>
        </w:tc>
        <w:tc>
          <w:tcPr>
            <w:tcW w:w="1287" w:type="dxa"/>
          </w:tcPr>
          <w:p w14:paraId="247BBF8D" w14:textId="77777777" w:rsidR="00A93FE3" w:rsidRPr="00224648" w:rsidRDefault="00A93FE3" w:rsidP="00511F7F">
            <w:pPr>
              <w:keepNext/>
              <w:jc w:val="center"/>
            </w:pPr>
            <w:r>
              <w:t>1</w:t>
            </w:r>
          </w:p>
        </w:tc>
        <w:tc>
          <w:tcPr>
            <w:tcW w:w="1120" w:type="dxa"/>
          </w:tcPr>
          <w:p w14:paraId="3A7041BD" w14:textId="77777777" w:rsidR="00A93FE3" w:rsidRPr="00224648" w:rsidRDefault="00A93FE3" w:rsidP="00511F7F">
            <w:pPr>
              <w:keepNext/>
              <w:jc w:val="center"/>
            </w:pPr>
            <w:r>
              <w:t>0</w:t>
            </w:r>
          </w:p>
        </w:tc>
        <w:tc>
          <w:tcPr>
            <w:tcW w:w="1260" w:type="dxa"/>
          </w:tcPr>
          <w:p w14:paraId="7F96CE5E" w14:textId="77777777" w:rsidR="00A93FE3" w:rsidRPr="00224648" w:rsidRDefault="00A93FE3" w:rsidP="00511F7F">
            <w:pPr>
              <w:keepNext/>
              <w:jc w:val="center"/>
            </w:pPr>
            <w:r>
              <w:t>0</w:t>
            </w:r>
          </w:p>
        </w:tc>
      </w:tr>
    </w:tbl>
    <w:p w14:paraId="2C5D2558" w14:textId="77777777" w:rsidR="00A93FE3" w:rsidRDefault="00A93FE3" w:rsidP="00A93FE3"/>
    <w:p w14:paraId="0C6E6827" w14:textId="77777777" w:rsidR="00A93FE3" w:rsidRDefault="00A93FE3" w:rsidP="00A93FE3">
      <w:pPr>
        <w:jc w:val="left"/>
      </w:pPr>
      <w:r>
        <w:br w:type="page"/>
      </w:r>
    </w:p>
    <w:p w14:paraId="029E6914" w14:textId="77777777" w:rsidR="00A93FE3" w:rsidRDefault="00A93FE3" w:rsidP="00A93FE3">
      <w:pPr>
        <w:pStyle w:val="Titre4"/>
      </w:pPr>
      <w:bookmarkStart w:id="79" w:name="_Ref57990085"/>
      <w:r>
        <w:lastRenderedPageBreak/>
        <w:t>PERFORMANCE PAR DÉFAUT DES ISOLANTS BIO-SOURCÉS</w:t>
      </w:r>
      <w:bookmarkEnd w:id="79"/>
    </w:p>
    <w:p w14:paraId="1231CDA1" w14:textId="41448DC6" w:rsidR="00A93FE3" w:rsidRPr="00AA5256" w:rsidRDefault="00A93FE3" w:rsidP="00A93FE3">
      <w:r w:rsidRPr="00AA5256">
        <w:t xml:space="preserve">A défaut de pouvoir justifier une valeur de conductivité thermique utile d'un isolant bio-sourcé définie selon les modalités précisées à </w:t>
      </w:r>
      <w:r>
        <w:t>l’</w:t>
      </w:r>
      <w:r>
        <w:fldChar w:fldCharType="begin"/>
      </w:r>
      <w:r>
        <w:instrText xml:space="preserve"> REF _Ref57890312 \r \h </w:instrText>
      </w:r>
      <w:r>
        <w:fldChar w:fldCharType="separate"/>
      </w:r>
      <w:r w:rsidR="00E9780A">
        <w:t>Article 24</w:t>
      </w:r>
      <w:r>
        <w:fldChar w:fldCharType="end"/>
      </w:r>
      <w:r w:rsidRPr="00AA5256">
        <w:t xml:space="preserve"> du présent arrêté, la valeur à utiliser est la valeur par défaut définie dans le tableau ci-après :</w:t>
      </w:r>
    </w:p>
    <w:tbl>
      <w:tblPr>
        <w:tblStyle w:val="Grilledutableau1"/>
        <w:tblW w:w="5000" w:type="pct"/>
        <w:tblInd w:w="3" w:type="dxa"/>
        <w:tblLook w:val="04A0" w:firstRow="1" w:lastRow="0" w:firstColumn="1" w:lastColumn="0" w:noHBand="0" w:noVBand="1"/>
      </w:tblPr>
      <w:tblGrid>
        <w:gridCol w:w="1065"/>
        <w:gridCol w:w="4585"/>
        <w:gridCol w:w="1707"/>
        <w:gridCol w:w="1705"/>
      </w:tblGrid>
      <w:tr w:rsidR="00A93FE3" w:rsidRPr="00AA5256" w14:paraId="6F324C6E" w14:textId="77777777" w:rsidTr="00511F7F">
        <w:tc>
          <w:tcPr>
            <w:tcW w:w="3116" w:type="pct"/>
            <w:gridSpan w:val="2"/>
            <w:shd w:val="clear" w:color="auto" w:fill="A6A6A6" w:themeFill="background1" w:themeFillShade="A6"/>
            <w:vAlign w:val="center"/>
            <w:hideMark/>
          </w:tcPr>
          <w:p w14:paraId="1BAA5729" w14:textId="77777777" w:rsidR="00A93FE3" w:rsidRPr="00AA5256" w:rsidRDefault="00A93FE3" w:rsidP="00511F7F">
            <w:pPr>
              <w:spacing w:before="100" w:beforeAutospacing="1" w:after="100" w:afterAutospacing="1"/>
              <w:jc w:val="center"/>
              <w:rPr>
                <w:rFonts w:asciiTheme="minorHAnsi" w:eastAsia="Times New Roman" w:hAnsiTheme="minorHAnsi" w:cstheme="minorHAnsi"/>
                <w:szCs w:val="24"/>
                <w:lang w:eastAsia="fr-FR" w:bidi="ar-SA"/>
              </w:rPr>
            </w:pPr>
            <w:r w:rsidRPr="00AA5256">
              <w:rPr>
                <w:rFonts w:asciiTheme="minorHAnsi" w:eastAsia="Times New Roman" w:hAnsiTheme="minorHAnsi" w:cstheme="minorHAnsi"/>
                <w:szCs w:val="24"/>
                <w:lang w:eastAsia="fr-FR" w:bidi="ar-SA"/>
              </w:rPr>
              <w:t>TYPE D'ISOLANT</w:t>
            </w:r>
          </w:p>
        </w:tc>
        <w:tc>
          <w:tcPr>
            <w:tcW w:w="942" w:type="pct"/>
            <w:shd w:val="clear" w:color="auto" w:fill="A6A6A6" w:themeFill="background1" w:themeFillShade="A6"/>
            <w:vAlign w:val="center"/>
            <w:hideMark/>
          </w:tcPr>
          <w:p w14:paraId="70DE76D0" w14:textId="77777777" w:rsidR="00A93FE3" w:rsidRPr="00AA5256" w:rsidRDefault="00A93FE3" w:rsidP="00511F7F">
            <w:pPr>
              <w:spacing w:before="100" w:beforeAutospacing="1" w:after="100" w:afterAutospacing="1"/>
              <w:jc w:val="center"/>
              <w:rPr>
                <w:rFonts w:asciiTheme="minorHAnsi" w:eastAsia="Times New Roman" w:hAnsiTheme="minorHAnsi" w:cstheme="minorHAnsi"/>
                <w:szCs w:val="24"/>
                <w:lang w:eastAsia="fr-FR" w:bidi="ar-SA"/>
              </w:rPr>
            </w:pPr>
            <w:r w:rsidRPr="00AA5256">
              <w:rPr>
                <w:rFonts w:asciiTheme="minorHAnsi" w:eastAsia="Times New Roman" w:hAnsiTheme="minorHAnsi" w:cstheme="minorHAnsi"/>
                <w:szCs w:val="24"/>
                <w:lang w:eastAsia="fr-FR" w:bidi="ar-SA"/>
              </w:rPr>
              <w:t>MASSE VOLUMIQUE SÈCHE (r)</w:t>
            </w:r>
            <w:r w:rsidRPr="00AA5256">
              <w:rPr>
                <w:rFonts w:asciiTheme="minorHAnsi" w:eastAsia="Times New Roman" w:hAnsiTheme="minorHAnsi" w:cstheme="minorHAnsi"/>
                <w:szCs w:val="24"/>
                <w:lang w:eastAsia="fr-FR" w:bidi="ar-SA"/>
              </w:rPr>
              <w:br/>
              <w:t>en kg/m³</w:t>
            </w:r>
          </w:p>
        </w:tc>
        <w:tc>
          <w:tcPr>
            <w:tcW w:w="942" w:type="pct"/>
            <w:shd w:val="clear" w:color="auto" w:fill="A6A6A6" w:themeFill="background1" w:themeFillShade="A6"/>
            <w:vAlign w:val="center"/>
            <w:hideMark/>
          </w:tcPr>
          <w:p w14:paraId="21810F3D" w14:textId="77777777" w:rsidR="00A93FE3" w:rsidRPr="00AA5256" w:rsidRDefault="00A93FE3" w:rsidP="00511F7F">
            <w:pPr>
              <w:spacing w:before="100" w:beforeAutospacing="1" w:after="100" w:afterAutospacing="1"/>
              <w:jc w:val="center"/>
              <w:rPr>
                <w:rFonts w:asciiTheme="minorHAnsi" w:eastAsia="Times New Roman" w:hAnsiTheme="minorHAnsi" w:cstheme="minorHAnsi"/>
                <w:szCs w:val="24"/>
                <w:lang w:eastAsia="fr-FR" w:bidi="ar-SA"/>
              </w:rPr>
            </w:pPr>
            <w:r>
              <w:rPr>
                <w:rFonts w:asciiTheme="minorHAnsi" w:eastAsia="Times New Roman" w:hAnsiTheme="minorHAnsi" w:cstheme="minorHAnsi"/>
                <w:szCs w:val="24"/>
                <w:lang w:eastAsia="fr-FR" w:bidi="ar-SA"/>
              </w:rPr>
              <w:t>CONDUCTIVITÉ THERMIQUE UTILE (λ</w:t>
            </w:r>
            <w:r w:rsidRPr="00AA5256">
              <w:rPr>
                <w:rFonts w:asciiTheme="minorHAnsi" w:eastAsia="Times New Roman" w:hAnsiTheme="minorHAnsi" w:cstheme="minorHAnsi"/>
                <w:szCs w:val="24"/>
                <w:lang w:eastAsia="fr-FR" w:bidi="ar-SA"/>
              </w:rPr>
              <w:t>)</w:t>
            </w:r>
            <w:r w:rsidRPr="00AA5256">
              <w:rPr>
                <w:rFonts w:asciiTheme="minorHAnsi" w:eastAsia="Times New Roman" w:hAnsiTheme="minorHAnsi" w:cstheme="minorHAnsi"/>
                <w:szCs w:val="24"/>
                <w:lang w:eastAsia="fr-FR" w:bidi="ar-SA"/>
              </w:rPr>
              <w:br/>
              <w:t>en W/(m.K)</w:t>
            </w:r>
          </w:p>
        </w:tc>
      </w:tr>
      <w:tr w:rsidR="00A93FE3" w:rsidRPr="00AA5256" w14:paraId="19FCF1D5" w14:textId="77777777" w:rsidTr="00511F7F">
        <w:trPr>
          <w:trHeight w:val="454"/>
        </w:trPr>
        <w:tc>
          <w:tcPr>
            <w:tcW w:w="587" w:type="pct"/>
            <w:vMerge w:val="restart"/>
            <w:shd w:val="clear" w:color="auto" w:fill="F2F2F2" w:themeFill="background1" w:themeFillShade="F2"/>
            <w:vAlign w:val="center"/>
            <w:hideMark/>
          </w:tcPr>
          <w:p w14:paraId="77AB1DC8" w14:textId="77777777" w:rsidR="00A93FE3" w:rsidRPr="00AA5256" w:rsidRDefault="00A93FE3" w:rsidP="00511F7F">
            <w:pPr>
              <w:spacing w:before="100" w:beforeAutospacing="1" w:after="100" w:afterAutospacing="1"/>
              <w:jc w:val="center"/>
              <w:rPr>
                <w:rFonts w:asciiTheme="minorHAnsi" w:eastAsia="Times New Roman" w:hAnsiTheme="minorHAnsi" w:cstheme="minorHAnsi"/>
                <w:lang w:eastAsia="fr-FR" w:bidi="ar-SA"/>
              </w:rPr>
            </w:pPr>
            <w:r w:rsidRPr="00AA5256">
              <w:rPr>
                <w:rFonts w:asciiTheme="minorHAnsi" w:eastAsia="Times New Roman" w:hAnsiTheme="minorHAnsi" w:cstheme="minorHAnsi"/>
                <w:lang w:eastAsia="fr-FR" w:bidi="ar-SA"/>
              </w:rPr>
              <w:t>Isolants dérivés du bois</w:t>
            </w:r>
          </w:p>
        </w:tc>
        <w:tc>
          <w:tcPr>
            <w:tcW w:w="2530" w:type="pct"/>
            <w:vMerge w:val="restart"/>
            <w:shd w:val="clear" w:color="auto" w:fill="F2F2F2" w:themeFill="background1" w:themeFillShade="F2"/>
            <w:vAlign w:val="center"/>
            <w:hideMark/>
          </w:tcPr>
          <w:p w14:paraId="7AA26B60" w14:textId="77777777" w:rsidR="00A93FE3" w:rsidRPr="00AA5256" w:rsidRDefault="00A93FE3" w:rsidP="00511F7F">
            <w:pPr>
              <w:spacing w:before="100" w:beforeAutospacing="1" w:after="100" w:afterAutospacing="1"/>
              <w:jc w:val="left"/>
              <w:rPr>
                <w:rFonts w:asciiTheme="minorHAnsi" w:eastAsia="Times New Roman" w:hAnsiTheme="minorHAnsi" w:cstheme="minorHAnsi"/>
                <w:lang w:eastAsia="fr-FR" w:bidi="ar-SA"/>
              </w:rPr>
            </w:pPr>
            <w:r w:rsidRPr="00AA5256">
              <w:rPr>
                <w:rFonts w:asciiTheme="minorHAnsi" w:eastAsia="Times New Roman" w:hAnsiTheme="minorHAnsi" w:cstheme="minorHAnsi"/>
                <w:lang w:eastAsia="fr-FR" w:bidi="ar-SA"/>
              </w:rPr>
              <w:t>Liège défini conformément à la norme</w:t>
            </w:r>
            <w:r w:rsidRPr="00AA5256">
              <w:rPr>
                <w:rFonts w:asciiTheme="minorHAnsi" w:eastAsia="Times New Roman" w:hAnsiTheme="minorHAnsi" w:cstheme="minorHAnsi"/>
                <w:lang w:eastAsia="fr-FR" w:bidi="ar-SA"/>
              </w:rPr>
              <w:br/>
              <w:t>NF B 57-000</w:t>
            </w:r>
            <w:r w:rsidRPr="00AA5256">
              <w:rPr>
                <w:rFonts w:asciiTheme="minorHAnsi" w:eastAsia="Times New Roman" w:hAnsiTheme="minorHAnsi" w:cstheme="minorHAnsi"/>
                <w:lang w:eastAsia="fr-FR" w:bidi="ar-SA"/>
              </w:rPr>
              <w:br/>
              <w:t>- comprimé</w:t>
            </w:r>
            <w:r w:rsidRPr="00AA5256">
              <w:rPr>
                <w:rFonts w:asciiTheme="minorHAnsi" w:eastAsia="Times New Roman" w:hAnsiTheme="minorHAnsi" w:cstheme="minorHAnsi"/>
                <w:lang w:eastAsia="fr-FR" w:bidi="ar-SA"/>
              </w:rPr>
              <w:br/>
              <w:t>- expansé pur conforme à la norme NF EN 13170 (ICB)</w:t>
            </w:r>
            <w:r w:rsidRPr="00AA5256">
              <w:rPr>
                <w:rFonts w:asciiTheme="minorHAnsi" w:eastAsia="Times New Roman" w:hAnsiTheme="minorHAnsi" w:cstheme="minorHAnsi"/>
                <w:lang w:eastAsia="fr-FR" w:bidi="ar-SA"/>
              </w:rPr>
              <w:br/>
              <w:t>- expansé aggloméré au brai ou aux résines synthétiques</w:t>
            </w:r>
          </w:p>
        </w:tc>
        <w:tc>
          <w:tcPr>
            <w:tcW w:w="942" w:type="pct"/>
            <w:vAlign w:val="center"/>
            <w:hideMark/>
          </w:tcPr>
          <w:p w14:paraId="43FE4D77" w14:textId="77777777" w:rsidR="00A93FE3" w:rsidRPr="00AA5256" w:rsidRDefault="00A93FE3" w:rsidP="00511F7F">
            <w:pPr>
              <w:jc w:val="center"/>
              <w:rPr>
                <w:rFonts w:asciiTheme="minorHAnsi" w:eastAsia="Times New Roman" w:hAnsiTheme="minorHAnsi" w:cstheme="minorHAnsi"/>
                <w:lang w:eastAsia="fr-FR" w:bidi="ar-SA"/>
              </w:rPr>
            </w:pPr>
            <w:r w:rsidRPr="00AA5256">
              <w:rPr>
                <w:rFonts w:asciiTheme="minorHAnsi" w:eastAsia="Times New Roman" w:hAnsiTheme="minorHAnsi" w:cstheme="minorHAnsi"/>
                <w:lang w:eastAsia="fr-FR" w:bidi="ar-SA"/>
              </w:rPr>
              <w:t>ρ ≤ 500</w:t>
            </w:r>
          </w:p>
        </w:tc>
        <w:tc>
          <w:tcPr>
            <w:tcW w:w="942" w:type="pct"/>
            <w:vAlign w:val="center"/>
            <w:hideMark/>
          </w:tcPr>
          <w:p w14:paraId="0DEEB75C" w14:textId="77777777" w:rsidR="00A93FE3" w:rsidRPr="00AA5256" w:rsidRDefault="00A93FE3" w:rsidP="00511F7F">
            <w:pPr>
              <w:jc w:val="center"/>
              <w:rPr>
                <w:rFonts w:asciiTheme="minorHAnsi" w:eastAsia="Times New Roman" w:hAnsiTheme="minorHAnsi" w:cstheme="minorHAnsi"/>
                <w:lang w:eastAsia="fr-FR" w:bidi="ar-SA"/>
              </w:rPr>
            </w:pPr>
            <w:r w:rsidRPr="00AA5256">
              <w:rPr>
                <w:rFonts w:asciiTheme="minorHAnsi" w:eastAsia="Times New Roman" w:hAnsiTheme="minorHAnsi" w:cstheme="minorHAnsi"/>
                <w:lang w:eastAsia="fr-FR" w:bidi="ar-SA"/>
              </w:rPr>
              <w:t>0,10</w:t>
            </w:r>
          </w:p>
        </w:tc>
      </w:tr>
      <w:tr w:rsidR="00A93FE3" w:rsidRPr="00AA5256" w14:paraId="2E933184" w14:textId="77777777" w:rsidTr="00511F7F">
        <w:trPr>
          <w:trHeight w:val="454"/>
        </w:trPr>
        <w:tc>
          <w:tcPr>
            <w:tcW w:w="587" w:type="pct"/>
            <w:vMerge/>
            <w:shd w:val="clear" w:color="auto" w:fill="F2F2F2" w:themeFill="background1" w:themeFillShade="F2"/>
            <w:vAlign w:val="center"/>
            <w:hideMark/>
          </w:tcPr>
          <w:p w14:paraId="17D62EB4" w14:textId="77777777" w:rsidR="00A93FE3" w:rsidRPr="00AA5256" w:rsidRDefault="00A93FE3" w:rsidP="00511F7F">
            <w:pPr>
              <w:jc w:val="center"/>
              <w:rPr>
                <w:rFonts w:asciiTheme="minorHAnsi" w:eastAsia="Times New Roman" w:hAnsiTheme="minorHAnsi" w:cstheme="minorHAnsi"/>
                <w:lang w:eastAsia="fr-FR" w:bidi="ar-SA"/>
              </w:rPr>
            </w:pPr>
          </w:p>
        </w:tc>
        <w:tc>
          <w:tcPr>
            <w:tcW w:w="2530" w:type="pct"/>
            <w:vMerge/>
            <w:shd w:val="clear" w:color="auto" w:fill="F2F2F2" w:themeFill="background1" w:themeFillShade="F2"/>
            <w:vAlign w:val="center"/>
            <w:hideMark/>
          </w:tcPr>
          <w:p w14:paraId="0ECA7D52" w14:textId="77777777" w:rsidR="00A93FE3" w:rsidRPr="00AA5256" w:rsidRDefault="00A93FE3" w:rsidP="00511F7F">
            <w:pPr>
              <w:jc w:val="left"/>
              <w:rPr>
                <w:rFonts w:asciiTheme="minorHAnsi" w:eastAsia="Times New Roman" w:hAnsiTheme="minorHAnsi" w:cstheme="minorHAnsi"/>
                <w:lang w:eastAsia="fr-FR" w:bidi="ar-SA"/>
              </w:rPr>
            </w:pPr>
          </w:p>
        </w:tc>
        <w:tc>
          <w:tcPr>
            <w:tcW w:w="942" w:type="pct"/>
            <w:vAlign w:val="center"/>
            <w:hideMark/>
          </w:tcPr>
          <w:p w14:paraId="093662AC" w14:textId="77777777" w:rsidR="00A93FE3" w:rsidRPr="00AA5256" w:rsidRDefault="00A93FE3" w:rsidP="00511F7F">
            <w:pPr>
              <w:jc w:val="center"/>
              <w:rPr>
                <w:rFonts w:asciiTheme="minorHAnsi" w:eastAsia="Times New Roman" w:hAnsiTheme="minorHAnsi" w:cstheme="minorHAnsi"/>
                <w:lang w:eastAsia="fr-FR" w:bidi="ar-SA"/>
              </w:rPr>
            </w:pPr>
            <w:r w:rsidRPr="00AA5256">
              <w:rPr>
                <w:rFonts w:asciiTheme="minorHAnsi" w:eastAsia="Times New Roman" w:hAnsiTheme="minorHAnsi" w:cstheme="minorHAnsi"/>
                <w:lang w:eastAsia="fr-FR" w:bidi="ar-SA"/>
              </w:rPr>
              <w:t>100 ≤ ρ ≤ 150</w:t>
            </w:r>
          </w:p>
        </w:tc>
        <w:tc>
          <w:tcPr>
            <w:tcW w:w="942" w:type="pct"/>
            <w:vAlign w:val="center"/>
            <w:hideMark/>
          </w:tcPr>
          <w:p w14:paraId="06741696" w14:textId="77777777" w:rsidR="00A93FE3" w:rsidRPr="00AA5256" w:rsidRDefault="00A93FE3" w:rsidP="00511F7F">
            <w:pPr>
              <w:jc w:val="center"/>
              <w:rPr>
                <w:rFonts w:asciiTheme="minorHAnsi" w:eastAsia="Times New Roman" w:hAnsiTheme="minorHAnsi" w:cstheme="minorHAnsi"/>
                <w:lang w:eastAsia="fr-FR" w:bidi="ar-SA"/>
              </w:rPr>
            </w:pPr>
            <w:r w:rsidRPr="00AA5256">
              <w:rPr>
                <w:rFonts w:asciiTheme="minorHAnsi" w:eastAsia="Times New Roman" w:hAnsiTheme="minorHAnsi" w:cstheme="minorHAnsi"/>
                <w:lang w:eastAsia="fr-FR" w:bidi="ar-SA"/>
              </w:rPr>
              <w:t>0,049</w:t>
            </w:r>
          </w:p>
        </w:tc>
      </w:tr>
      <w:tr w:rsidR="00A93FE3" w:rsidRPr="00AA5256" w14:paraId="580520AD" w14:textId="77777777" w:rsidTr="00511F7F">
        <w:trPr>
          <w:trHeight w:val="454"/>
        </w:trPr>
        <w:tc>
          <w:tcPr>
            <w:tcW w:w="587" w:type="pct"/>
            <w:vMerge/>
            <w:shd w:val="clear" w:color="auto" w:fill="F2F2F2" w:themeFill="background1" w:themeFillShade="F2"/>
            <w:vAlign w:val="center"/>
            <w:hideMark/>
          </w:tcPr>
          <w:p w14:paraId="5FDF5132" w14:textId="77777777" w:rsidR="00A93FE3" w:rsidRPr="00AA5256" w:rsidRDefault="00A93FE3" w:rsidP="00511F7F">
            <w:pPr>
              <w:jc w:val="center"/>
              <w:rPr>
                <w:rFonts w:asciiTheme="minorHAnsi" w:eastAsia="Times New Roman" w:hAnsiTheme="minorHAnsi" w:cstheme="minorHAnsi"/>
                <w:lang w:eastAsia="fr-FR" w:bidi="ar-SA"/>
              </w:rPr>
            </w:pPr>
          </w:p>
        </w:tc>
        <w:tc>
          <w:tcPr>
            <w:tcW w:w="2530" w:type="pct"/>
            <w:vMerge/>
            <w:shd w:val="clear" w:color="auto" w:fill="F2F2F2" w:themeFill="background1" w:themeFillShade="F2"/>
            <w:vAlign w:val="center"/>
            <w:hideMark/>
          </w:tcPr>
          <w:p w14:paraId="153AC681" w14:textId="77777777" w:rsidR="00A93FE3" w:rsidRPr="00AA5256" w:rsidRDefault="00A93FE3" w:rsidP="00511F7F">
            <w:pPr>
              <w:jc w:val="left"/>
              <w:rPr>
                <w:rFonts w:asciiTheme="minorHAnsi" w:eastAsia="Times New Roman" w:hAnsiTheme="minorHAnsi" w:cstheme="minorHAnsi"/>
                <w:lang w:eastAsia="fr-FR" w:bidi="ar-SA"/>
              </w:rPr>
            </w:pPr>
          </w:p>
        </w:tc>
        <w:tc>
          <w:tcPr>
            <w:tcW w:w="942" w:type="pct"/>
            <w:vAlign w:val="center"/>
            <w:hideMark/>
          </w:tcPr>
          <w:p w14:paraId="0ADE0674" w14:textId="77777777" w:rsidR="00A93FE3" w:rsidRPr="00AA5256" w:rsidRDefault="00A93FE3" w:rsidP="00511F7F">
            <w:pPr>
              <w:jc w:val="center"/>
              <w:rPr>
                <w:rFonts w:asciiTheme="minorHAnsi" w:eastAsia="Times New Roman" w:hAnsiTheme="minorHAnsi" w:cstheme="minorHAnsi"/>
                <w:lang w:eastAsia="fr-FR" w:bidi="ar-SA"/>
              </w:rPr>
            </w:pPr>
            <w:r w:rsidRPr="00AA5256">
              <w:rPr>
                <w:rFonts w:asciiTheme="minorHAnsi" w:eastAsia="Times New Roman" w:hAnsiTheme="minorHAnsi" w:cstheme="minorHAnsi"/>
                <w:lang w:eastAsia="fr-FR" w:bidi="ar-SA"/>
              </w:rPr>
              <w:t>100 ≤ ρ &lt; 150</w:t>
            </w:r>
          </w:p>
        </w:tc>
        <w:tc>
          <w:tcPr>
            <w:tcW w:w="942" w:type="pct"/>
            <w:vAlign w:val="center"/>
            <w:hideMark/>
          </w:tcPr>
          <w:p w14:paraId="02AA3D7A" w14:textId="77777777" w:rsidR="00A93FE3" w:rsidRPr="00AA5256" w:rsidRDefault="00A93FE3" w:rsidP="00511F7F">
            <w:pPr>
              <w:jc w:val="center"/>
              <w:rPr>
                <w:rFonts w:asciiTheme="minorHAnsi" w:eastAsia="Times New Roman" w:hAnsiTheme="minorHAnsi" w:cstheme="minorHAnsi"/>
                <w:lang w:eastAsia="fr-FR" w:bidi="ar-SA"/>
              </w:rPr>
            </w:pPr>
            <w:r w:rsidRPr="00AA5256">
              <w:rPr>
                <w:rFonts w:asciiTheme="minorHAnsi" w:eastAsia="Times New Roman" w:hAnsiTheme="minorHAnsi" w:cstheme="minorHAnsi"/>
                <w:lang w:eastAsia="fr-FR" w:bidi="ar-SA"/>
              </w:rPr>
              <w:t>0,049</w:t>
            </w:r>
          </w:p>
        </w:tc>
      </w:tr>
      <w:tr w:rsidR="00A93FE3" w:rsidRPr="00AA5256" w14:paraId="5658A442" w14:textId="77777777" w:rsidTr="00511F7F">
        <w:trPr>
          <w:trHeight w:val="454"/>
        </w:trPr>
        <w:tc>
          <w:tcPr>
            <w:tcW w:w="587" w:type="pct"/>
            <w:vMerge/>
            <w:shd w:val="clear" w:color="auto" w:fill="F2F2F2" w:themeFill="background1" w:themeFillShade="F2"/>
            <w:vAlign w:val="center"/>
            <w:hideMark/>
          </w:tcPr>
          <w:p w14:paraId="57C35EE5" w14:textId="77777777" w:rsidR="00A93FE3" w:rsidRPr="00AA5256" w:rsidRDefault="00A93FE3" w:rsidP="00511F7F">
            <w:pPr>
              <w:jc w:val="center"/>
              <w:rPr>
                <w:rFonts w:asciiTheme="minorHAnsi" w:eastAsia="Times New Roman" w:hAnsiTheme="minorHAnsi" w:cstheme="minorHAnsi"/>
                <w:lang w:eastAsia="fr-FR" w:bidi="ar-SA"/>
              </w:rPr>
            </w:pPr>
          </w:p>
        </w:tc>
        <w:tc>
          <w:tcPr>
            <w:tcW w:w="2530" w:type="pct"/>
            <w:vMerge/>
            <w:shd w:val="clear" w:color="auto" w:fill="F2F2F2" w:themeFill="background1" w:themeFillShade="F2"/>
            <w:vAlign w:val="center"/>
            <w:hideMark/>
          </w:tcPr>
          <w:p w14:paraId="7D1C640F" w14:textId="77777777" w:rsidR="00A93FE3" w:rsidRPr="00AA5256" w:rsidRDefault="00A93FE3" w:rsidP="00511F7F">
            <w:pPr>
              <w:jc w:val="left"/>
              <w:rPr>
                <w:rFonts w:asciiTheme="minorHAnsi" w:eastAsia="Times New Roman" w:hAnsiTheme="minorHAnsi" w:cstheme="minorHAnsi"/>
                <w:lang w:eastAsia="fr-FR" w:bidi="ar-SA"/>
              </w:rPr>
            </w:pPr>
          </w:p>
        </w:tc>
        <w:tc>
          <w:tcPr>
            <w:tcW w:w="942" w:type="pct"/>
            <w:vAlign w:val="center"/>
            <w:hideMark/>
          </w:tcPr>
          <w:p w14:paraId="453790BB" w14:textId="77777777" w:rsidR="00A93FE3" w:rsidRPr="00AA5256" w:rsidRDefault="00A93FE3" w:rsidP="00511F7F">
            <w:pPr>
              <w:jc w:val="center"/>
              <w:rPr>
                <w:rFonts w:asciiTheme="minorHAnsi" w:eastAsia="Times New Roman" w:hAnsiTheme="minorHAnsi" w:cstheme="minorHAnsi"/>
                <w:lang w:eastAsia="fr-FR" w:bidi="ar-SA"/>
              </w:rPr>
            </w:pPr>
            <w:r w:rsidRPr="00AA5256">
              <w:rPr>
                <w:rFonts w:asciiTheme="minorHAnsi" w:eastAsia="Times New Roman" w:hAnsiTheme="minorHAnsi" w:cstheme="minorHAnsi"/>
                <w:lang w:eastAsia="fr-FR" w:bidi="ar-SA"/>
              </w:rPr>
              <w:t>150 ≤ ρ ≤ 250</w:t>
            </w:r>
          </w:p>
        </w:tc>
        <w:tc>
          <w:tcPr>
            <w:tcW w:w="942" w:type="pct"/>
            <w:vAlign w:val="center"/>
            <w:hideMark/>
          </w:tcPr>
          <w:p w14:paraId="7FB82461" w14:textId="77777777" w:rsidR="00A93FE3" w:rsidRPr="00AA5256" w:rsidRDefault="00A93FE3" w:rsidP="00511F7F">
            <w:pPr>
              <w:jc w:val="center"/>
              <w:rPr>
                <w:rFonts w:asciiTheme="minorHAnsi" w:eastAsia="Times New Roman" w:hAnsiTheme="minorHAnsi" w:cstheme="minorHAnsi"/>
                <w:lang w:eastAsia="fr-FR" w:bidi="ar-SA"/>
              </w:rPr>
            </w:pPr>
            <w:r w:rsidRPr="00AA5256">
              <w:rPr>
                <w:rFonts w:asciiTheme="minorHAnsi" w:eastAsia="Times New Roman" w:hAnsiTheme="minorHAnsi" w:cstheme="minorHAnsi"/>
                <w:lang w:eastAsia="fr-FR" w:bidi="ar-SA"/>
              </w:rPr>
              <w:t>0,055</w:t>
            </w:r>
          </w:p>
        </w:tc>
      </w:tr>
      <w:tr w:rsidR="00A93FE3" w:rsidRPr="00AA5256" w14:paraId="5E7109B6" w14:textId="77777777" w:rsidTr="00511F7F">
        <w:tc>
          <w:tcPr>
            <w:tcW w:w="587" w:type="pct"/>
            <w:vMerge/>
            <w:shd w:val="clear" w:color="auto" w:fill="F2F2F2" w:themeFill="background1" w:themeFillShade="F2"/>
            <w:vAlign w:val="center"/>
            <w:hideMark/>
          </w:tcPr>
          <w:p w14:paraId="21A25E1B" w14:textId="77777777" w:rsidR="00A93FE3" w:rsidRPr="00AA5256" w:rsidRDefault="00A93FE3" w:rsidP="00511F7F">
            <w:pPr>
              <w:jc w:val="center"/>
              <w:rPr>
                <w:rFonts w:asciiTheme="minorHAnsi" w:eastAsia="Times New Roman" w:hAnsiTheme="minorHAnsi" w:cstheme="minorHAnsi"/>
                <w:lang w:eastAsia="fr-FR" w:bidi="ar-SA"/>
              </w:rPr>
            </w:pPr>
          </w:p>
        </w:tc>
        <w:tc>
          <w:tcPr>
            <w:tcW w:w="2530" w:type="pct"/>
            <w:vMerge w:val="restart"/>
            <w:shd w:val="clear" w:color="auto" w:fill="F2F2F2" w:themeFill="background1" w:themeFillShade="F2"/>
            <w:vAlign w:val="center"/>
            <w:hideMark/>
          </w:tcPr>
          <w:p w14:paraId="6D00FB63" w14:textId="77777777" w:rsidR="00A93FE3" w:rsidRPr="00AA5256" w:rsidRDefault="00A93FE3" w:rsidP="00511F7F">
            <w:pPr>
              <w:spacing w:before="100" w:beforeAutospacing="1" w:after="100" w:afterAutospacing="1"/>
              <w:jc w:val="left"/>
              <w:rPr>
                <w:rFonts w:asciiTheme="minorHAnsi" w:eastAsia="Times New Roman" w:hAnsiTheme="minorHAnsi" w:cstheme="minorHAnsi"/>
                <w:lang w:eastAsia="fr-FR" w:bidi="ar-SA"/>
              </w:rPr>
            </w:pPr>
            <w:r w:rsidRPr="00AA5256">
              <w:rPr>
                <w:rFonts w:asciiTheme="minorHAnsi" w:eastAsia="Times New Roman" w:hAnsiTheme="minorHAnsi" w:cstheme="minorHAnsi"/>
                <w:lang w:eastAsia="fr-FR" w:bidi="ar-SA"/>
              </w:rPr>
              <w:t>Panneaux de fibres de bois définis selon la norme NF EN 316</w:t>
            </w:r>
          </w:p>
        </w:tc>
        <w:tc>
          <w:tcPr>
            <w:tcW w:w="942" w:type="pct"/>
            <w:vAlign w:val="center"/>
            <w:hideMark/>
          </w:tcPr>
          <w:p w14:paraId="59B8ED0A" w14:textId="77777777" w:rsidR="00A93FE3" w:rsidRPr="00AA5256" w:rsidRDefault="00A93FE3" w:rsidP="00511F7F">
            <w:pPr>
              <w:jc w:val="center"/>
              <w:rPr>
                <w:rFonts w:asciiTheme="minorHAnsi" w:eastAsia="Times New Roman" w:hAnsiTheme="minorHAnsi" w:cstheme="minorHAnsi"/>
                <w:lang w:eastAsia="fr-FR" w:bidi="ar-SA"/>
              </w:rPr>
            </w:pPr>
            <w:r w:rsidRPr="00AA5256">
              <w:rPr>
                <w:rFonts w:asciiTheme="minorHAnsi" w:eastAsia="Times New Roman" w:hAnsiTheme="minorHAnsi" w:cstheme="minorHAnsi"/>
                <w:lang w:eastAsia="fr-FR" w:bidi="ar-SA"/>
              </w:rPr>
              <w:t>750 ≤ ρ ≤ 1 000</w:t>
            </w:r>
          </w:p>
        </w:tc>
        <w:tc>
          <w:tcPr>
            <w:tcW w:w="942" w:type="pct"/>
            <w:vAlign w:val="center"/>
            <w:hideMark/>
          </w:tcPr>
          <w:p w14:paraId="266A7E03" w14:textId="77777777" w:rsidR="00A93FE3" w:rsidRPr="00AA5256" w:rsidRDefault="00A93FE3" w:rsidP="00511F7F">
            <w:pPr>
              <w:jc w:val="center"/>
              <w:rPr>
                <w:rFonts w:asciiTheme="minorHAnsi" w:eastAsia="Times New Roman" w:hAnsiTheme="minorHAnsi" w:cstheme="minorHAnsi"/>
                <w:lang w:eastAsia="fr-FR" w:bidi="ar-SA"/>
              </w:rPr>
            </w:pPr>
            <w:r w:rsidRPr="00AA5256">
              <w:rPr>
                <w:rFonts w:asciiTheme="minorHAnsi" w:eastAsia="Times New Roman" w:hAnsiTheme="minorHAnsi" w:cstheme="minorHAnsi"/>
                <w:lang w:eastAsia="fr-FR" w:bidi="ar-SA"/>
              </w:rPr>
              <w:t>0,20</w:t>
            </w:r>
          </w:p>
        </w:tc>
      </w:tr>
      <w:tr w:rsidR="00A93FE3" w:rsidRPr="00AA5256" w14:paraId="58931DD9" w14:textId="77777777" w:rsidTr="00511F7F">
        <w:tc>
          <w:tcPr>
            <w:tcW w:w="587" w:type="pct"/>
            <w:vMerge/>
            <w:shd w:val="clear" w:color="auto" w:fill="F2F2F2" w:themeFill="background1" w:themeFillShade="F2"/>
            <w:vAlign w:val="center"/>
            <w:hideMark/>
          </w:tcPr>
          <w:p w14:paraId="318E760B" w14:textId="77777777" w:rsidR="00A93FE3" w:rsidRPr="00AA5256" w:rsidRDefault="00A93FE3" w:rsidP="00511F7F">
            <w:pPr>
              <w:jc w:val="center"/>
              <w:rPr>
                <w:rFonts w:asciiTheme="minorHAnsi" w:eastAsia="Times New Roman" w:hAnsiTheme="minorHAnsi" w:cstheme="minorHAnsi"/>
                <w:lang w:eastAsia="fr-FR" w:bidi="ar-SA"/>
              </w:rPr>
            </w:pPr>
          </w:p>
        </w:tc>
        <w:tc>
          <w:tcPr>
            <w:tcW w:w="2530" w:type="pct"/>
            <w:vMerge/>
            <w:shd w:val="clear" w:color="auto" w:fill="F2F2F2" w:themeFill="background1" w:themeFillShade="F2"/>
            <w:vAlign w:val="center"/>
            <w:hideMark/>
          </w:tcPr>
          <w:p w14:paraId="41533F31" w14:textId="77777777" w:rsidR="00A93FE3" w:rsidRPr="00AA5256" w:rsidRDefault="00A93FE3" w:rsidP="00511F7F">
            <w:pPr>
              <w:jc w:val="left"/>
              <w:rPr>
                <w:rFonts w:asciiTheme="minorHAnsi" w:eastAsia="Times New Roman" w:hAnsiTheme="minorHAnsi" w:cstheme="minorHAnsi"/>
                <w:lang w:eastAsia="fr-FR" w:bidi="ar-SA"/>
              </w:rPr>
            </w:pPr>
          </w:p>
        </w:tc>
        <w:tc>
          <w:tcPr>
            <w:tcW w:w="942" w:type="pct"/>
            <w:vAlign w:val="center"/>
            <w:hideMark/>
          </w:tcPr>
          <w:p w14:paraId="31AC014F" w14:textId="77777777" w:rsidR="00A93FE3" w:rsidRPr="00AA5256" w:rsidRDefault="00A93FE3" w:rsidP="00511F7F">
            <w:pPr>
              <w:jc w:val="center"/>
              <w:rPr>
                <w:rFonts w:asciiTheme="minorHAnsi" w:eastAsia="Times New Roman" w:hAnsiTheme="minorHAnsi" w:cstheme="minorHAnsi"/>
                <w:lang w:eastAsia="fr-FR" w:bidi="ar-SA"/>
              </w:rPr>
            </w:pPr>
            <w:r w:rsidRPr="00AA5256">
              <w:rPr>
                <w:rFonts w:asciiTheme="minorHAnsi" w:eastAsia="Times New Roman" w:hAnsiTheme="minorHAnsi" w:cstheme="minorHAnsi"/>
                <w:lang w:eastAsia="fr-FR" w:bidi="ar-SA"/>
              </w:rPr>
              <w:t>550 ≤ ρ ≤ 750</w:t>
            </w:r>
          </w:p>
        </w:tc>
        <w:tc>
          <w:tcPr>
            <w:tcW w:w="942" w:type="pct"/>
            <w:vAlign w:val="center"/>
            <w:hideMark/>
          </w:tcPr>
          <w:p w14:paraId="2EBB0A9E" w14:textId="77777777" w:rsidR="00A93FE3" w:rsidRPr="00AA5256" w:rsidRDefault="00A93FE3" w:rsidP="00511F7F">
            <w:pPr>
              <w:jc w:val="center"/>
              <w:rPr>
                <w:rFonts w:asciiTheme="minorHAnsi" w:eastAsia="Times New Roman" w:hAnsiTheme="minorHAnsi" w:cstheme="minorHAnsi"/>
                <w:lang w:eastAsia="fr-FR" w:bidi="ar-SA"/>
              </w:rPr>
            </w:pPr>
            <w:r w:rsidRPr="00AA5256">
              <w:rPr>
                <w:rFonts w:asciiTheme="minorHAnsi" w:eastAsia="Times New Roman" w:hAnsiTheme="minorHAnsi" w:cstheme="minorHAnsi"/>
                <w:lang w:eastAsia="fr-FR" w:bidi="ar-SA"/>
              </w:rPr>
              <w:t>0,18</w:t>
            </w:r>
          </w:p>
        </w:tc>
      </w:tr>
      <w:tr w:rsidR="00A93FE3" w:rsidRPr="00AA5256" w14:paraId="77A04BB3" w14:textId="77777777" w:rsidTr="00511F7F">
        <w:tc>
          <w:tcPr>
            <w:tcW w:w="587" w:type="pct"/>
            <w:vMerge/>
            <w:shd w:val="clear" w:color="auto" w:fill="F2F2F2" w:themeFill="background1" w:themeFillShade="F2"/>
            <w:vAlign w:val="center"/>
            <w:hideMark/>
          </w:tcPr>
          <w:p w14:paraId="1EECEE7E" w14:textId="77777777" w:rsidR="00A93FE3" w:rsidRPr="00AA5256" w:rsidRDefault="00A93FE3" w:rsidP="00511F7F">
            <w:pPr>
              <w:jc w:val="center"/>
              <w:rPr>
                <w:rFonts w:asciiTheme="minorHAnsi" w:eastAsia="Times New Roman" w:hAnsiTheme="minorHAnsi" w:cstheme="minorHAnsi"/>
                <w:lang w:eastAsia="fr-FR" w:bidi="ar-SA"/>
              </w:rPr>
            </w:pPr>
          </w:p>
        </w:tc>
        <w:tc>
          <w:tcPr>
            <w:tcW w:w="2530" w:type="pct"/>
            <w:vMerge/>
            <w:shd w:val="clear" w:color="auto" w:fill="F2F2F2" w:themeFill="background1" w:themeFillShade="F2"/>
            <w:vAlign w:val="center"/>
            <w:hideMark/>
          </w:tcPr>
          <w:p w14:paraId="02861764" w14:textId="77777777" w:rsidR="00A93FE3" w:rsidRPr="00AA5256" w:rsidRDefault="00A93FE3" w:rsidP="00511F7F">
            <w:pPr>
              <w:jc w:val="left"/>
              <w:rPr>
                <w:rFonts w:asciiTheme="minorHAnsi" w:eastAsia="Times New Roman" w:hAnsiTheme="minorHAnsi" w:cstheme="minorHAnsi"/>
                <w:lang w:eastAsia="fr-FR" w:bidi="ar-SA"/>
              </w:rPr>
            </w:pPr>
          </w:p>
        </w:tc>
        <w:tc>
          <w:tcPr>
            <w:tcW w:w="942" w:type="pct"/>
            <w:vAlign w:val="center"/>
            <w:hideMark/>
          </w:tcPr>
          <w:p w14:paraId="6D3C12F8" w14:textId="77777777" w:rsidR="00A93FE3" w:rsidRPr="00AA5256" w:rsidRDefault="00A93FE3" w:rsidP="00511F7F">
            <w:pPr>
              <w:jc w:val="center"/>
              <w:rPr>
                <w:rFonts w:asciiTheme="minorHAnsi" w:eastAsia="Times New Roman" w:hAnsiTheme="minorHAnsi" w:cstheme="minorHAnsi"/>
                <w:lang w:eastAsia="fr-FR" w:bidi="ar-SA"/>
              </w:rPr>
            </w:pPr>
            <w:r w:rsidRPr="00AA5256">
              <w:rPr>
                <w:rFonts w:asciiTheme="minorHAnsi" w:eastAsia="Times New Roman" w:hAnsiTheme="minorHAnsi" w:cstheme="minorHAnsi"/>
                <w:lang w:eastAsia="fr-FR" w:bidi="ar-SA"/>
              </w:rPr>
              <w:t>350 ≤ ρ ≤ 550</w:t>
            </w:r>
          </w:p>
        </w:tc>
        <w:tc>
          <w:tcPr>
            <w:tcW w:w="942" w:type="pct"/>
            <w:vAlign w:val="center"/>
            <w:hideMark/>
          </w:tcPr>
          <w:p w14:paraId="34B0A46A" w14:textId="77777777" w:rsidR="00A93FE3" w:rsidRPr="00AA5256" w:rsidRDefault="00A93FE3" w:rsidP="00511F7F">
            <w:pPr>
              <w:jc w:val="center"/>
              <w:rPr>
                <w:rFonts w:asciiTheme="minorHAnsi" w:eastAsia="Times New Roman" w:hAnsiTheme="minorHAnsi" w:cstheme="minorHAnsi"/>
                <w:lang w:eastAsia="fr-FR" w:bidi="ar-SA"/>
              </w:rPr>
            </w:pPr>
            <w:r w:rsidRPr="00AA5256">
              <w:rPr>
                <w:rFonts w:asciiTheme="minorHAnsi" w:eastAsia="Times New Roman" w:hAnsiTheme="minorHAnsi" w:cstheme="minorHAnsi"/>
                <w:lang w:eastAsia="fr-FR" w:bidi="ar-SA"/>
              </w:rPr>
              <w:t>0,14</w:t>
            </w:r>
          </w:p>
        </w:tc>
      </w:tr>
      <w:tr w:rsidR="00A93FE3" w:rsidRPr="00AA5256" w14:paraId="04817F34" w14:textId="77777777" w:rsidTr="00511F7F">
        <w:tc>
          <w:tcPr>
            <w:tcW w:w="587" w:type="pct"/>
            <w:vMerge/>
            <w:shd w:val="clear" w:color="auto" w:fill="F2F2F2" w:themeFill="background1" w:themeFillShade="F2"/>
            <w:vAlign w:val="center"/>
            <w:hideMark/>
          </w:tcPr>
          <w:p w14:paraId="5B850005" w14:textId="77777777" w:rsidR="00A93FE3" w:rsidRPr="00AA5256" w:rsidRDefault="00A93FE3" w:rsidP="00511F7F">
            <w:pPr>
              <w:jc w:val="center"/>
              <w:rPr>
                <w:rFonts w:asciiTheme="minorHAnsi" w:eastAsia="Times New Roman" w:hAnsiTheme="minorHAnsi" w:cstheme="minorHAnsi"/>
                <w:lang w:eastAsia="fr-FR" w:bidi="ar-SA"/>
              </w:rPr>
            </w:pPr>
          </w:p>
        </w:tc>
        <w:tc>
          <w:tcPr>
            <w:tcW w:w="2530" w:type="pct"/>
            <w:vMerge/>
            <w:shd w:val="clear" w:color="auto" w:fill="F2F2F2" w:themeFill="background1" w:themeFillShade="F2"/>
            <w:vAlign w:val="center"/>
            <w:hideMark/>
          </w:tcPr>
          <w:p w14:paraId="185EB289" w14:textId="77777777" w:rsidR="00A93FE3" w:rsidRPr="00AA5256" w:rsidRDefault="00A93FE3" w:rsidP="00511F7F">
            <w:pPr>
              <w:jc w:val="left"/>
              <w:rPr>
                <w:rFonts w:asciiTheme="minorHAnsi" w:eastAsia="Times New Roman" w:hAnsiTheme="minorHAnsi" w:cstheme="minorHAnsi"/>
                <w:lang w:eastAsia="fr-FR" w:bidi="ar-SA"/>
              </w:rPr>
            </w:pPr>
          </w:p>
        </w:tc>
        <w:tc>
          <w:tcPr>
            <w:tcW w:w="942" w:type="pct"/>
            <w:vAlign w:val="center"/>
            <w:hideMark/>
          </w:tcPr>
          <w:p w14:paraId="03F3E8C5" w14:textId="77777777" w:rsidR="00A93FE3" w:rsidRPr="00AA5256" w:rsidRDefault="00A93FE3" w:rsidP="00511F7F">
            <w:pPr>
              <w:jc w:val="center"/>
              <w:rPr>
                <w:rFonts w:asciiTheme="minorHAnsi" w:eastAsia="Times New Roman" w:hAnsiTheme="minorHAnsi" w:cstheme="minorHAnsi"/>
                <w:lang w:eastAsia="fr-FR" w:bidi="ar-SA"/>
              </w:rPr>
            </w:pPr>
            <w:r w:rsidRPr="00AA5256">
              <w:rPr>
                <w:rFonts w:asciiTheme="minorHAnsi" w:eastAsia="Times New Roman" w:hAnsiTheme="minorHAnsi" w:cstheme="minorHAnsi"/>
                <w:lang w:eastAsia="fr-FR" w:bidi="ar-SA"/>
              </w:rPr>
              <w:t>200 ≤ ρ ≤ 350</w:t>
            </w:r>
          </w:p>
        </w:tc>
        <w:tc>
          <w:tcPr>
            <w:tcW w:w="942" w:type="pct"/>
            <w:vAlign w:val="center"/>
            <w:hideMark/>
          </w:tcPr>
          <w:p w14:paraId="3F358D7B" w14:textId="77777777" w:rsidR="00A93FE3" w:rsidRPr="00AA5256" w:rsidRDefault="00A93FE3" w:rsidP="00511F7F">
            <w:pPr>
              <w:jc w:val="center"/>
              <w:rPr>
                <w:rFonts w:asciiTheme="minorHAnsi" w:eastAsia="Times New Roman" w:hAnsiTheme="minorHAnsi" w:cstheme="minorHAnsi"/>
                <w:lang w:eastAsia="fr-FR" w:bidi="ar-SA"/>
              </w:rPr>
            </w:pPr>
            <w:r w:rsidRPr="00AA5256">
              <w:rPr>
                <w:rFonts w:asciiTheme="minorHAnsi" w:eastAsia="Times New Roman" w:hAnsiTheme="minorHAnsi" w:cstheme="minorHAnsi"/>
                <w:lang w:eastAsia="fr-FR" w:bidi="ar-SA"/>
              </w:rPr>
              <w:t>0,10</w:t>
            </w:r>
          </w:p>
        </w:tc>
      </w:tr>
      <w:tr w:rsidR="00A93FE3" w:rsidRPr="00AA5256" w14:paraId="4B9DFFBE" w14:textId="77777777" w:rsidTr="00511F7F">
        <w:tc>
          <w:tcPr>
            <w:tcW w:w="587" w:type="pct"/>
            <w:vMerge/>
            <w:shd w:val="clear" w:color="auto" w:fill="F2F2F2" w:themeFill="background1" w:themeFillShade="F2"/>
            <w:vAlign w:val="center"/>
            <w:hideMark/>
          </w:tcPr>
          <w:p w14:paraId="76F9A75C" w14:textId="77777777" w:rsidR="00A93FE3" w:rsidRPr="00AA5256" w:rsidRDefault="00A93FE3" w:rsidP="00511F7F">
            <w:pPr>
              <w:jc w:val="center"/>
              <w:rPr>
                <w:rFonts w:asciiTheme="minorHAnsi" w:eastAsia="Times New Roman" w:hAnsiTheme="minorHAnsi" w:cstheme="minorHAnsi"/>
                <w:lang w:eastAsia="fr-FR" w:bidi="ar-SA"/>
              </w:rPr>
            </w:pPr>
          </w:p>
        </w:tc>
        <w:tc>
          <w:tcPr>
            <w:tcW w:w="2530" w:type="pct"/>
            <w:vMerge/>
            <w:shd w:val="clear" w:color="auto" w:fill="F2F2F2" w:themeFill="background1" w:themeFillShade="F2"/>
            <w:vAlign w:val="center"/>
            <w:hideMark/>
          </w:tcPr>
          <w:p w14:paraId="62965A79" w14:textId="77777777" w:rsidR="00A93FE3" w:rsidRPr="00AA5256" w:rsidRDefault="00A93FE3" w:rsidP="00511F7F">
            <w:pPr>
              <w:jc w:val="left"/>
              <w:rPr>
                <w:rFonts w:asciiTheme="minorHAnsi" w:eastAsia="Times New Roman" w:hAnsiTheme="minorHAnsi" w:cstheme="minorHAnsi"/>
                <w:lang w:eastAsia="fr-FR" w:bidi="ar-SA"/>
              </w:rPr>
            </w:pPr>
          </w:p>
        </w:tc>
        <w:tc>
          <w:tcPr>
            <w:tcW w:w="942" w:type="pct"/>
            <w:vAlign w:val="center"/>
            <w:hideMark/>
          </w:tcPr>
          <w:p w14:paraId="3D19BD15" w14:textId="77777777" w:rsidR="00A93FE3" w:rsidRPr="00AA5256" w:rsidRDefault="00A93FE3" w:rsidP="00511F7F">
            <w:pPr>
              <w:jc w:val="center"/>
              <w:rPr>
                <w:rFonts w:asciiTheme="minorHAnsi" w:eastAsia="Times New Roman" w:hAnsiTheme="minorHAnsi" w:cstheme="minorHAnsi"/>
                <w:lang w:eastAsia="fr-FR" w:bidi="ar-SA"/>
              </w:rPr>
            </w:pPr>
            <w:r w:rsidRPr="00AA5256">
              <w:rPr>
                <w:rFonts w:asciiTheme="minorHAnsi" w:eastAsia="Times New Roman" w:hAnsiTheme="minorHAnsi" w:cstheme="minorHAnsi"/>
                <w:lang w:eastAsia="fr-FR" w:bidi="ar-SA"/>
              </w:rPr>
              <w:t>ρ ≤ 200</w:t>
            </w:r>
          </w:p>
        </w:tc>
        <w:tc>
          <w:tcPr>
            <w:tcW w:w="942" w:type="pct"/>
            <w:vAlign w:val="center"/>
            <w:hideMark/>
          </w:tcPr>
          <w:p w14:paraId="1F77A267" w14:textId="77777777" w:rsidR="00A93FE3" w:rsidRPr="00AA5256" w:rsidRDefault="00A93FE3" w:rsidP="00511F7F">
            <w:pPr>
              <w:jc w:val="center"/>
              <w:rPr>
                <w:rFonts w:asciiTheme="minorHAnsi" w:eastAsia="Times New Roman" w:hAnsiTheme="minorHAnsi" w:cstheme="minorHAnsi"/>
                <w:lang w:eastAsia="fr-FR" w:bidi="ar-SA"/>
              </w:rPr>
            </w:pPr>
            <w:r w:rsidRPr="00AA5256">
              <w:rPr>
                <w:rFonts w:asciiTheme="minorHAnsi" w:eastAsia="Times New Roman" w:hAnsiTheme="minorHAnsi" w:cstheme="minorHAnsi"/>
                <w:lang w:eastAsia="fr-FR" w:bidi="ar-SA"/>
              </w:rPr>
              <w:t>0,07</w:t>
            </w:r>
          </w:p>
        </w:tc>
      </w:tr>
      <w:tr w:rsidR="00A93FE3" w:rsidRPr="00AA5256" w14:paraId="2C2B2F74" w14:textId="77777777" w:rsidTr="00511F7F">
        <w:trPr>
          <w:trHeight w:val="454"/>
        </w:trPr>
        <w:tc>
          <w:tcPr>
            <w:tcW w:w="587" w:type="pct"/>
            <w:vMerge/>
            <w:shd w:val="clear" w:color="auto" w:fill="F2F2F2" w:themeFill="background1" w:themeFillShade="F2"/>
            <w:vAlign w:val="center"/>
            <w:hideMark/>
          </w:tcPr>
          <w:p w14:paraId="0768E9F4" w14:textId="77777777" w:rsidR="00A93FE3" w:rsidRPr="00AA5256" w:rsidRDefault="00A93FE3" w:rsidP="00511F7F">
            <w:pPr>
              <w:jc w:val="center"/>
              <w:rPr>
                <w:rFonts w:asciiTheme="minorHAnsi" w:eastAsia="Times New Roman" w:hAnsiTheme="minorHAnsi" w:cstheme="minorHAnsi"/>
                <w:lang w:eastAsia="fr-FR" w:bidi="ar-SA"/>
              </w:rPr>
            </w:pPr>
          </w:p>
        </w:tc>
        <w:tc>
          <w:tcPr>
            <w:tcW w:w="2530" w:type="pct"/>
            <w:vMerge w:val="restart"/>
            <w:shd w:val="clear" w:color="auto" w:fill="F2F2F2" w:themeFill="background1" w:themeFillShade="F2"/>
            <w:vAlign w:val="center"/>
            <w:hideMark/>
          </w:tcPr>
          <w:p w14:paraId="5EE3E585" w14:textId="77777777" w:rsidR="00A93FE3" w:rsidRPr="00AA5256" w:rsidRDefault="00A93FE3" w:rsidP="00511F7F">
            <w:pPr>
              <w:spacing w:before="100" w:beforeAutospacing="1" w:after="100" w:afterAutospacing="1"/>
              <w:jc w:val="left"/>
              <w:rPr>
                <w:rFonts w:asciiTheme="minorHAnsi" w:eastAsia="Times New Roman" w:hAnsiTheme="minorHAnsi" w:cstheme="minorHAnsi"/>
                <w:lang w:eastAsia="fr-FR" w:bidi="ar-SA"/>
              </w:rPr>
            </w:pPr>
            <w:r w:rsidRPr="00AA5256">
              <w:rPr>
                <w:rFonts w:asciiTheme="minorHAnsi" w:eastAsia="Times New Roman" w:hAnsiTheme="minorHAnsi" w:cstheme="minorHAnsi"/>
                <w:lang w:eastAsia="fr-FR" w:bidi="ar-SA"/>
              </w:rPr>
              <w:t>Panneaux de laine de bois</w:t>
            </w:r>
            <w:r w:rsidRPr="00AA5256">
              <w:rPr>
                <w:rFonts w:asciiTheme="minorHAnsi" w:eastAsia="Times New Roman" w:hAnsiTheme="minorHAnsi" w:cstheme="minorHAnsi"/>
                <w:lang w:eastAsia="fr-FR" w:bidi="ar-SA"/>
              </w:rPr>
              <w:br/>
              <w:t>- panneaux de laine de bois agglomérés avec un liant hydraulique, définis conformément à la norme NF EN 13168</w:t>
            </w:r>
            <w:r w:rsidRPr="00AA5256">
              <w:rPr>
                <w:rFonts w:asciiTheme="minorHAnsi" w:eastAsia="Times New Roman" w:hAnsiTheme="minorHAnsi" w:cstheme="minorHAnsi"/>
                <w:lang w:eastAsia="fr-FR" w:bidi="ar-SA"/>
              </w:rPr>
              <w:br/>
              <w:t>- panneaux de laine de bois agglomérés</w:t>
            </w:r>
          </w:p>
        </w:tc>
        <w:tc>
          <w:tcPr>
            <w:tcW w:w="942" w:type="pct"/>
            <w:vAlign w:val="center"/>
            <w:hideMark/>
          </w:tcPr>
          <w:p w14:paraId="67E8FBC7" w14:textId="77777777" w:rsidR="00A93FE3" w:rsidRPr="00AA5256" w:rsidRDefault="00A93FE3" w:rsidP="00511F7F">
            <w:pPr>
              <w:jc w:val="center"/>
              <w:rPr>
                <w:rFonts w:asciiTheme="minorHAnsi" w:eastAsia="Times New Roman" w:hAnsiTheme="minorHAnsi" w:cstheme="minorHAnsi"/>
                <w:lang w:eastAsia="fr-FR" w:bidi="ar-SA"/>
              </w:rPr>
            </w:pPr>
            <w:r w:rsidRPr="00AA5256">
              <w:rPr>
                <w:rFonts w:asciiTheme="minorHAnsi" w:eastAsia="Times New Roman" w:hAnsiTheme="minorHAnsi" w:cstheme="minorHAnsi"/>
                <w:lang w:eastAsia="fr-FR" w:bidi="ar-SA"/>
              </w:rPr>
              <w:t>350 ≤ ρ ≤ 450</w:t>
            </w:r>
          </w:p>
        </w:tc>
        <w:tc>
          <w:tcPr>
            <w:tcW w:w="942" w:type="pct"/>
            <w:vAlign w:val="center"/>
            <w:hideMark/>
          </w:tcPr>
          <w:p w14:paraId="700FE0AD" w14:textId="77777777" w:rsidR="00A93FE3" w:rsidRPr="00AA5256" w:rsidRDefault="00A93FE3" w:rsidP="00511F7F">
            <w:pPr>
              <w:jc w:val="center"/>
              <w:rPr>
                <w:rFonts w:asciiTheme="minorHAnsi" w:eastAsia="Times New Roman" w:hAnsiTheme="minorHAnsi" w:cstheme="minorHAnsi"/>
                <w:lang w:eastAsia="fr-FR" w:bidi="ar-SA"/>
              </w:rPr>
            </w:pPr>
            <w:r w:rsidRPr="00AA5256">
              <w:rPr>
                <w:rFonts w:asciiTheme="minorHAnsi" w:eastAsia="Times New Roman" w:hAnsiTheme="minorHAnsi" w:cstheme="minorHAnsi"/>
                <w:lang w:eastAsia="fr-FR" w:bidi="ar-SA"/>
              </w:rPr>
              <w:t>0,10</w:t>
            </w:r>
          </w:p>
        </w:tc>
      </w:tr>
      <w:tr w:rsidR="00A93FE3" w:rsidRPr="00AA5256" w14:paraId="04149A00" w14:textId="77777777" w:rsidTr="00511F7F">
        <w:trPr>
          <w:trHeight w:val="454"/>
        </w:trPr>
        <w:tc>
          <w:tcPr>
            <w:tcW w:w="587" w:type="pct"/>
            <w:vMerge/>
            <w:shd w:val="clear" w:color="auto" w:fill="F2F2F2" w:themeFill="background1" w:themeFillShade="F2"/>
            <w:vAlign w:val="center"/>
            <w:hideMark/>
          </w:tcPr>
          <w:p w14:paraId="0FC8507B" w14:textId="77777777" w:rsidR="00A93FE3" w:rsidRPr="00AA5256" w:rsidRDefault="00A93FE3" w:rsidP="00511F7F">
            <w:pPr>
              <w:jc w:val="center"/>
              <w:rPr>
                <w:rFonts w:asciiTheme="minorHAnsi" w:eastAsia="Times New Roman" w:hAnsiTheme="minorHAnsi" w:cstheme="minorHAnsi"/>
                <w:lang w:eastAsia="fr-FR" w:bidi="ar-SA"/>
              </w:rPr>
            </w:pPr>
          </w:p>
        </w:tc>
        <w:tc>
          <w:tcPr>
            <w:tcW w:w="2530" w:type="pct"/>
            <w:vMerge/>
            <w:shd w:val="clear" w:color="auto" w:fill="F2F2F2" w:themeFill="background1" w:themeFillShade="F2"/>
            <w:vAlign w:val="center"/>
            <w:hideMark/>
          </w:tcPr>
          <w:p w14:paraId="12C44246" w14:textId="77777777" w:rsidR="00A93FE3" w:rsidRPr="00AA5256" w:rsidRDefault="00A93FE3" w:rsidP="00511F7F">
            <w:pPr>
              <w:jc w:val="left"/>
              <w:rPr>
                <w:rFonts w:asciiTheme="minorHAnsi" w:eastAsia="Times New Roman" w:hAnsiTheme="minorHAnsi" w:cstheme="minorHAnsi"/>
                <w:lang w:eastAsia="fr-FR" w:bidi="ar-SA"/>
              </w:rPr>
            </w:pPr>
          </w:p>
        </w:tc>
        <w:tc>
          <w:tcPr>
            <w:tcW w:w="942" w:type="pct"/>
            <w:vAlign w:val="center"/>
            <w:hideMark/>
          </w:tcPr>
          <w:p w14:paraId="0E2F24C4" w14:textId="77777777" w:rsidR="00A93FE3" w:rsidRPr="00AA5256" w:rsidRDefault="00A93FE3" w:rsidP="00511F7F">
            <w:pPr>
              <w:jc w:val="center"/>
              <w:rPr>
                <w:rFonts w:asciiTheme="minorHAnsi" w:eastAsia="Times New Roman" w:hAnsiTheme="minorHAnsi" w:cstheme="minorHAnsi"/>
                <w:lang w:eastAsia="fr-FR" w:bidi="ar-SA"/>
              </w:rPr>
            </w:pPr>
            <w:r w:rsidRPr="00AA5256">
              <w:rPr>
                <w:rFonts w:asciiTheme="minorHAnsi" w:eastAsia="Times New Roman" w:hAnsiTheme="minorHAnsi" w:cstheme="minorHAnsi"/>
                <w:lang w:eastAsia="fr-FR" w:bidi="ar-SA"/>
              </w:rPr>
              <w:t>30 ≤ ρ ≤ 350</w:t>
            </w:r>
          </w:p>
        </w:tc>
        <w:tc>
          <w:tcPr>
            <w:tcW w:w="942" w:type="pct"/>
            <w:vAlign w:val="center"/>
            <w:hideMark/>
          </w:tcPr>
          <w:p w14:paraId="41A2228F" w14:textId="77777777" w:rsidR="00A93FE3" w:rsidRPr="00AA5256" w:rsidRDefault="00A93FE3" w:rsidP="00511F7F">
            <w:pPr>
              <w:jc w:val="center"/>
              <w:rPr>
                <w:rFonts w:asciiTheme="minorHAnsi" w:eastAsia="Times New Roman" w:hAnsiTheme="minorHAnsi" w:cstheme="minorHAnsi"/>
                <w:lang w:eastAsia="fr-FR" w:bidi="ar-SA"/>
              </w:rPr>
            </w:pPr>
            <w:r w:rsidRPr="00AA5256">
              <w:rPr>
                <w:rFonts w:asciiTheme="minorHAnsi" w:eastAsia="Times New Roman" w:hAnsiTheme="minorHAnsi" w:cstheme="minorHAnsi"/>
                <w:lang w:eastAsia="fr-FR" w:bidi="ar-SA"/>
              </w:rPr>
              <w:t>0,08</w:t>
            </w:r>
          </w:p>
        </w:tc>
      </w:tr>
      <w:tr w:rsidR="00A93FE3" w:rsidRPr="00AA5256" w14:paraId="2306E6BF" w14:textId="77777777" w:rsidTr="00511F7F">
        <w:trPr>
          <w:trHeight w:val="454"/>
        </w:trPr>
        <w:tc>
          <w:tcPr>
            <w:tcW w:w="587" w:type="pct"/>
            <w:vMerge/>
            <w:shd w:val="clear" w:color="auto" w:fill="F2F2F2" w:themeFill="background1" w:themeFillShade="F2"/>
            <w:vAlign w:val="center"/>
            <w:hideMark/>
          </w:tcPr>
          <w:p w14:paraId="2564A182" w14:textId="77777777" w:rsidR="00A93FE3" w:rsidRPr="00AA5256" w:rsidRDefault="00A93FE3" w:rsidP="00511F7F">
            <w:pPr>
              <w:jc w:val="center"/>
              <w:rPr>
                <w:rFonts w:asciiTheme="minorHAnsi" w:eastAsia="Times New Roman" w:hAnsiTheme="minorHAnsi" w:cstheme="minorHAnsi"/>
                <w:lang w:eastAsia="fr-FR" w:bidi="ar-SA"/>
              </w:rPr>
            </w:pPr>
          </w:p>
        </w:tc>
        <w:tc>
          <w:tcPr>
            <w:tcW w:w="2530" w:type="pct"/>
            <w:vMerge/>
            <w:shd w:val="clear" w:color="auto" w:fill="F2F2F2" w:themeFill="background1" w:themeFillShade="F2"/>
            <w:vAlign w:val="center"/>
            <w:hideMark/>
          </w:tcPr>
          <w:p w14:paraId="2094B1D9" w14:textId="77777777" w:rsidR="00A93FE3" w:rsidRPr="00AA5256" w:rsidRDefault="00A93FE3" w:rsidP="00511F7F">
            <w:pPr>
              <w:jc w:val="left"/>
              <w:rPr>
                <w:rFonts w:asciiTheme="minorHAnsi" w:eastAsia="Times New Roman" w:hAnsiTheme="minorHAnsi" w:cstheme="minorHAnsi"/>
                <w:lang w:eastAsia="fr-FR" w:bidi="ar-SA"/>
              </w:rPr>
            </w:pPr>
          </w:p>
        </w:tc>
        <w:tc>
          <w:tcPr>
            <w:tcW w:w="942" w:type="pct"/>
            <w:vAlign w:val="center"/>
            <w:hideMark/>
          </w:tcPr>
          <w:p w14:paraId="03779F76" w14:textId="77777777" w:rsidR="00A93FE3" w:rsidRPr="00AA5256" w:rsidRDefault="00A93FE3" w:rsidP="00511F7F">
            <w:pPr>
              <w:jc w:val="center"/>
              <w:rPr>
                <w:rFonts w:asciiTheme="minorHAnsi" w:eastAsia="Times New Roman" w:hAnsiTheme="minorHAnsi" w:cstheme="minorHAnsi"/>
                <w:lang w:eastAsia="fr-FR" w:bidi="ar-SA"/>
              </w:rPr>
            </w:pPr>
            <w:r w:rsidRPr="00AA5256">
              <w:rPr>
                <w:rFonts w:asciiTheme="minorHAnsi" w:eastAsia="Times New Roman" w:hAnsiTheme="minorHAnsi" w:cstheme="minorHAnsi"/>
                <w:lang w:eastAsia="fr-FR" w:bidi="ar-SA"/>
              </w:rPr>
              <w:t>450 ≤ ρ ≤ 600</w:t>
            </w:r>
          </w:p>
        </w:tc>
        <w:tc>
          <w:tcPr>
            <w:tcW w:w="942" w:type="pct"/>
            <w:vAlign w:val="center"/>
            <w:hideMark/>
          </w:tcPr>
          <w:p w14:paraId="1F2D2C3D" w14:textId="77777777" w:rsidR="00A93FE3" w:rsidRPr="00AA5256" w:rsidRDefault="00A93FE3" w:rsidP="00511F7F">
            <w:pPr>
              <w:jc w:val="center"/>
              <w:rPr>
                <w:rFonts w:asciiTheme="minorHAnsi" w:eastAsia="Times New Roman" w:hAnsiTheme="minorHAnsi" w:cstheme="minorHAnsi"/>
                <w:lang w:eastAsia="fr-FR" w:bidi="ar-SA"/>
              </w:rPr>
            </w:pPr>
            <w:r w:rsidRPr="00AA5256">
              <w:rPr>
                <w:rFonts w:asciiTheme="minorHAnsi" w:eastAsia="Times New Roman" w:hAnsiTheme="minorHAnsi" w:cstheme="minorHAnsi"/>
                <w:lang w:eastAsia="fr-FR" w:bidi="ar-SA"/>
              </w:rPr>
              <w:t>0,10</w:t>
            </w:r>
          </w:p>
        </w:tc>
      </w:tr>
      <w:tr w:rsidR="00A93FE3" w:rsidRPr="00AA5256" w14:paraId="27C03C0D" w14:textId="77777777" w:rsidTr="00511F7F">
        <w:tc>
          <w:tcPr>
            <w:tcW w:w="587" w:type="pct"/>
            <w:vMerge w:val="restart"/>
            <w:shd w:val="clear" w:color="auto" w:fill="F2F2F2" w:themeFill="background1" w:themeFillShade="F2"/>
            <w:vAlign w:val="center"/>
            <w:hideMark/>
          </w:tcPr>
          <w:p w14:paraId="5ACEE4E8" w14:textId="77777777" w:rsidR="00A93FE3" w:rsidRPr="00AA5256" w:rsidRDefault="00A93FE3" w:rsidP="00511F7F">
            <w:pPr>
              <w:jc w:val="center"/>
              <w:rPr>
                <w:rFonts w:asciiTheme="minorHAnsi" w:eastAsia="Times New Roman" w:hAnsiTheme="minorHAnsi" w:cstheme="minorHAnsi"/>
                <w:lang w:eastAsia="fr-FR" w:bidi="ar-SA"/>
              </w:rPr>
            </w:pPr>
            <w:r w:rsidRPr="00AA5256">
              <w:rPr>
                <w:rFonts w:asciiTheme="minorHAnsi" w:eastAsia="Times New Roman" w:hAnsiTheme="minorHAnsi" w:cstheme="minorHAnsi"/>
                <w:lang w:eastAsia="fr-FR" w:bidi="ar-SA"/>
              </w:rPr>
              <w:t>Isolants à base de fibres végétales</w:t>
            </w:r>
          </w:p>
        </w:tc>
        <w:tc>
          <w:tcPr>
            <w:tcW w:w="2530" w:type="pct"/>
            <w:shd w:val="clear" w:color="auto" w:fill="F2F2F2" w:themeFill="background1" w:themeFillShade="F2"/>
            <w:vAlign w:val="center"/>
            <w:hideMark/>
          </w:tcPr>
          <w:p w14:paraId="4E3088F9" w14:textId="77777777" w:rsidR="00A93FE3" w:rsidRPr="00AA5256" w:rsidRDefault="00A93FE3" w:rsidP="00511F7F">
            <w:pPr>
              <w:spacing w:before="100" w:beforeAutospacing="1" w:after="100" w:afterAutospacing="1"/>
              <w:jc w:val="left"/>
              <w:rPr>
                <w:rFonts w:asciiTheme="minorHAnsi" w:eastAsia="Times New Roman" w:hAnsiTheme="minorHAnsi" w:cstheme="minorHAnsi"/>
                <w:lang w:eastAsia="fr-FR" w:bidi="ar-SA"/>
              </w:rPr>
            </w:pPr>
            <w:r w:rsidRPr="00AA5256">
              <w:rPr>
                <w:rFonts w:asciiTheme="minorHAnsi" w:eastAsia="Times New Roman" w:hAnsiTheme="minorHAnsi" w:cstheme="minorHAnsi"/>
                <w:lang w:eastAsia="fr-FR" w:bidi="ar-SA"/>
              </w:rPr>
              <w:t>Cellulose</w:t>
            </w:r>
          </w:p>
        </w:tc>
        <w:tc>
          <w:tcPr>
            <w:tcW w:w="942" w:type="pct"/>
            <w:vAlign w:val="center"/>
            <w:hideMark/>
          </w:tcPr>
          <w:p w14:paraId="3703997D" w14:textId="77777777" w:rsidR="00A93FE3" w:rsidRPr="00AA5256" w:rsidRDefault="00A93FE3" w:rsidP="00511F7F">
            <w:pPr>
              <w:jc w:val="center"/>
              <w:rPr>
                <w:rFonts w:asciiTheme="minorHAnsi" w:eastAsia="Times New Roman" w:hAnsiTheme="minorHAnsi" w:cstheme="minorHAnsi"/>
                <w:lang w:eastAsia="fr-FR" w:bidi="ar-SA"/>
              </w:rPr>
            </w:pPr>
            <w:r w:rsidRPr="00AA5256">
              <w:rPr>
                <w:rFonts w:asciiTheme="minorHAnsi" w:eastAsia="Times New Roman" w:hAnsiTheme="minorHAnsi" w:cstheme="minorHAnsi"/>
                <w:lang w:eastAsia="fr-FR" w:bidi="ar-SA"/>
              </w:rPr>
              <w:t>20 ≤ ρ ≤ 100</w:t>
            </w:r>
          </w:p>
        </w:tc>
        <w:tc>
          <w:tcPr>
            <w:tcW w:w="942" w:type="pct"/>
            <w:vAlign w:val="center"/>
            <w:hideMark/>
          </w:tcPr>
          <w:p w14:paraId="202432DE" w14:textId="77777777" w:rsidR="00A93FE3" w:rsidRPr="00AA5256" w:rsidRDefault="00A93FE3" w:rsidP="00511F7F">
            <w:pPr>
              <w:jc w:val="center"/>
              <w:rPr>
                <w:rFonts w:asciiTheme="minorHAnsi" w:eastAsia="Times New Roman" w:hAnsiTheme="minorHAnsi" w:cstheme="minorHAnsi"/>
                <w:lang w:eastAsia="fr-FR" w:bidi="ar-SA"/>
              </w:rPr>
            </w:pPr>
            <w:r w:rsidRPr="00AA5256">
              <w:rPr>
                <w:rFonts w:asciiTheme="minorHAnsi" w:eastAsia="Times New Roman" w:hAnsiTheme="minorHAnsi" w:cstheme="minorHAnsi"/>
                <w:lang w:eastAsia="fr-FR" w:bidi="ar-SA"/>
              </w:rPr>
              <w:t>0,049</w:t>
            </w:r>
          </w:p>
        </w:tc>
      </w:tr>
      <w:tr w:rsidR="00A93FE3" w:rsidRPr="00AA5256" w14:paraId="6F417A41" w14:textId="77777777" w:rsidTr="00511F7F">
        <w:trPr>
          <w:trHeight w:val="397"/>
        </w:trPr>
        <w:tc>
          <w:tcPr>
            <w:tcW w:w="587" w:type="pct"/>
            <w:vMerge/>
            <w:shd w:val="clear" w:color="auto" w:fill="F2F2F2" w:themeFill="background1" w:themeFillShade="F2"/>
            <w:vAlign w:val="center"/>
            <w:hideMark/>
          </w:tcPr>
          <w:p w14:paraId="14CC8A8E" w14:textId="77777777" w:rsidR="00A93FE3" w:rsidRPr="00AA5256" w:rsidRDefault="00A93FE3" w:rsidP="00511F7F">
            <w:pPr>
              <w:jc w:val="center"/>
              <w:rPr>
                <w:rFonts w:asciiTheme="minorHAnsi" w:eastAsia="Times New Roman" w:hAnsiTheme="minorHAnsi" w:cstheme="minorHAnsi"/>
                <w:lang w:eastAsia="fr-FR" w:bidi="ar-SA"/>
              </w:rPr>
            </w:pPr>
          </w:p>
        </w:tc>
        <w:tc>
          <w:tcPr>
            <w:tcW w:w="2530" w:type="pct"/>
            <w:vMerge w:val="restart"/>
            <w:shd w:val="clear" w:color="auto" w:fill="F2F2F2" w:themeFill="background1" w:themeFillShade="F2"/>
            <w:vAlign w:val="center"/>
            <w:hideMark/>
          </w:tcPr>
          <w:p w14:paraId="05EC162C" w14:textId="77777777" w:rsidR="00A93FE3" w:rsidRPr="00AA5256" w:rsidRDefault="00A93FE3" w:rsidP="00511F7F">
            <w:pPr>
              <w:spacing w:before="100" w:beforeAutospacing="1" w:after="100" w:afterAutospacing="1"/>
              <w:jc w:val="left"/>
              <w:rPr>
                <w:rFonts w:asciiTheme="minorHAnsi" w:eastAsia="Times New Roman" w:hAnsiTheme="minorHAnsi" w:cstheme="minorHAnsi"/>
                <w:lang w:eastAsia="fr-FR" w:bidi="ar-SA"/>
              </w:rPr>
            </w:pPr>
            <w:r w:rsidRPr="00AA5256">
              <w:rPr>
                <w:rFonts w:asciiTheme="minorHAnsi" w:eastAsia="Times New Roman" w:hAnsiTheme="minorHAnsi" w:cstheme="minorHAnsi"/>
                <w:lang w:eastAsia="fr-FR" w:bidi="ar-SA"/>
              </w:rPr>
              <w:t>Chanvre et lin</w:t>
            </w:r>
            <w:r w:rsidRPr="00AA5256">
              <w:rPr>
                <w:rFonts w:asciiTheme="minorHAnsi" w:eastAsia="Times New Roman" w:hAnsiTheme="minorHAnsi" w:cstheme="minorHAnsi"/>
                <w:lang w:eastAsia="fr-FR" w:bidi="ar-SA"/>
              </w:rPr>
              <w:br/>
              <w:t>- fibres liées</w:t>
            </w:r>
            <w:r w:rsidRPr="00AA5256">
              <w:rPr>
                <w:rFonts w:asciiTheme="minorHAnsi" w:eastAsia="Times New Roman" w:hAnsiTheme="minorHAnsi" w:cstheme="minorHAnsi"/>
                <w:lang w:eastAsia="fr-FR" w:bidi="ar-SA"/>
              </w:rPr>
              <w:br/>
              <w:t>- fibres lâches (isolant en vrac, fibres non liées)</w:t>
            </w:r>
          </w:p>
        </w:tc>
        <w:tc>
          <w:tcPr>
            <w:tcW w:w="942" w:type="pct"/>
            <w:vMerge w:val="restart"/>
            <w:vAlign w:val="center"/>
            <w:hideMark/>
          </w:tcPr>
          <w:p w14:paraId="4D1B4C62" w14:textId="77777777" w:rsidR="00A93FE3" w:rsidRPr="00AA5256" w:rsidRDefault="00A93FE3" w:rsidP="00511F7F">
            <w:pPr>
              <w:jc w:val="center"/>
              <w:rPr>
                <w:rFonts w:asciiTheme="minorHAnsi" w:eastAsia="Times New Roman" w:hAnsiTheme="minorHAnsi" w:cstheme="minorHAnsi"/>
                <w:lang w:eastAsia="fr-FR" w:bidi="ar-SA"/>
              </w:rPr>
            </w:pPr>
            <w:r w:rsidRPr="00AA5256">
              <w:rPr>
                <w:rFonts w:asciiTheme="minorHAnsi" w:eastAsia="Times New Roman" w:hAnsiTheme="minorHAnsi" w:cstheme="minorHAnsi"/>
                <w:lang w:eastAsia="fr-FR" w:bidi="ar-SA"/>
              </w:rPr>
              <w:t>20 ≤ ρ ≤ 200</w:t>
            </w:r>
          </w:p>
        </w:tc>
        <w:tc>
          <w:tcPr>
            <w:tcW w:w="942" w:type="pct"/>
            <w:vAlign w:val="center"/>
            <w:hideMark/>
          </w:tcPr>
          <w:p w14:paraId="2B4E207F" w14:textId="77777777" w:rsidR="00A93FE3" w:rsidRPr="00AA5256" w:rsidRDefault="00A93FE3" w:rsidP="00511F7F">
            <w:pPr>
              <w:jc w:val="center"/>
              <w:rPr>
                <w:rFonts w:asciiTheme="minorHAnsi" w:eastAsia="Times New Roman" w:hAnsiTheme="minorHAnsi" w:cstheme="minorHAnsi"/>
                <w:lang w:eastAsia="fr-FR" w:bidi="ar-SA"/>
              </w:rPr>
            </w:pPr>
            <w:r w:rsidRPr="00AA5256">
              <w:rPr>
                <w:rFonts w:asciiTheme="minorHAnsi" w:eastAsia="Times New Roman" w:hAnsiTheme="minorHAnsi" w:cstheme="minorHAnsi"/>
                <w:lang w:eastAsia="fr-FR" w:bidi="ar-SA"/>
              </w:rPr>
              <w:t>0,048</w:t>
            </w:r>
          </w:p>
        </w:tc>
      </w:tr>
      <w:tr w:rsidR="00A93FE3" w:rsidRPr="00AA5256" w14:paraId="2C88464A" w14:textId="77777777" w:rsidTr="00511F7F">
        <w:trPr>
          <w:trHeight w:val="397"/>
        </w:trPr>
        <w:tc>
          <w:tcPr>
            <w:tcW w:w="587" w:type="pct"/>
            <w:vMerge/>
            <w:shd w:val="clear" w:color="auto" w:fill="F2F2F2" w:themeFill="background1" w:themeFillShade="F2"/>
            <w:vAlign w:val="center"/>
            <w:hideMark/>
          </w:tcPr>
          <w:p w14:paraId="3DFC12D0" w14:textId="77777777" w:rsidR="00A93FE3" w:rsidRPr="00AA5256" w:rsidRDefault="00A93FE3" w:rsidP="00511F7F">
            <w:pPr>
              <w:jc w:val="center"/>
              <w:rPr>
                <w:rFonts w:asciiTheme="minorHAnsi" w:eastAsia="Times New Roman" w:hAnsiTheme="minorHAnsi" w:cstheme="minorHAnsi"/>
                <w:lang w:eastAsia="fr-FR" w:bidi="ar-SA"/>
              </w:rPr>
            </w:pPr>
          </w:p>
        </w:tc>
        <w:tc>
          <w:tcPr>
            <w:tcW w:w="2530" w:type="pct"/>
            <w:vMerge/>
            <w:shd w:val="clear" w:color="auto" w:fill="F2F2F2" w:themeFill="background1" w:themeFillShade="F2"/>
            <w:vAlign w:val="center"/>
            <w:hideMark/>
          </w:tcPr>
          <w:p w14:paraId="0A6A9181" w14:textId="77777777" w:rsidR="00A93FE3" w:rsidRPr="00AA5256" w:rsidRDefault="00A93FE3" w:rsidP="00511F7F">
            <w:pPr>
              <w:jc w:val="left"/>
              <w:rPr>
                <w:rFonts w:asciiTheme="minorHAnsi" w:eastAsia="Times New Roman" w:hAnsiTheme="minorHAnsi" w:cstheme="minorHAnsi"/>
                <w:lang w:eastAsia="fr-FR" w:bidi="ar-SA"/>
              </w:rPr>
            </w:pPr>
          </w:p>
        </w:tc>
        <w:tc>
          <w:tcPr>
            <w:tcW w:w="942" w:type="pct"/>
            <w:vMerge/>
            <w:vAlign w:val="center"/>
            <w:hideMark/>
          </w:tcPr>
          <w:p w14:paraId="355CB078" w14:textId="77777777" w:rsidR="00A93FE3" w:rsidRPr="00AA5256" w:rsidRDefault="00A93FE3" w:rsidP="00511F7F">
            <w:pPr>
              <w:jc w:val="center"/>
              <w:rPr>
                <w:rFonts w:asciiTheme="minorHAnsi" w:eastAsia="Times New Roman" w:hAnsiTheme="minorHAnsi" w:cstheme="minorHAnsi"/>
                <w:lang w:eastAsia="fr-FR" w:bidi="ar-SA"/>
              </w:rPr>
            </w:pPr>
          </w:p>
        </w:tc>
        <w:tc>
          <w:tcPr>
            <w:tcW w:w="942" w:type="pct"/>
            <w:vAlign w:val="center"/>
            <w:hideMark/>
          </w:tcPr>
          <w:p w14:paraId="3FEAC4AF" w14:textId="77777777" w:rsidR="00A93FE3" w:rsidRPr="00AA5256" w:rsidRDefault="00A93FE3" w:rsidP="00511F7F">
            <w:pPr>
              <w:jc w:val="center"/>
              <w:rPr>
                <w:rFonts w:asciiTheme="minorHAnsi" w:eastAsia="Times New Roman" w:hAnsiTheme="minorHAnsi" w:cstheme="minorHAnsi"/>
                <w:lang w:eastAsia="fr-FR" w:bidi="ar-SA"/>
              </w:rPr>
            </w:pPr>
            <w:r w:rsidRPr="00AA5256">
              <w:rPr>
                <w:rFonts w:asciiTheme="minorHAnsi" w:eastAsia="Times New Roman" w:hAnsiTheme="minorHAnsi" w:cstheme="minorHAnsi"/>
                <w:lang w:eastAsia="fr-FR" w:bidi="ar-SA"/>
              </w:rPr>
              <w:t>0,056</w:t>
            </w:r>
          </w:p>
        </w:tc>
      </w:tr>
      <w:tr w:rsidR="00A93FE3" w:rsidRPr="00AA5256" w14:paraId="657876D6" w14:textId="77777777" w:rsidTr="00511F7F">
        <w:trPr>
          <w:trHeight w:val="397"/>
        </w:trPr>
        <w:tc>
          <w:tcPr>
            <w:tcW w:w="587" w:type="pct"/>
            <w:vMerge/>
            <w:shd w:val="clear" w:color="auto" w:fill="F2F2F2" w:themeFill="background1" w:themeFillShade="F2"/>
            <w:vAlign w:val="center"/>
            <w:hideMark/>
          </w:tcPr>
          <w:p w14:paraId="02FD6120" w14:textId="77777777" w:rsidR="00A93FE3" w:rsidRPr="00AA5256" w:rsidRDefault="00A93FE3" w:rsidP="00511F7F">
            <w:pPr>
              <w:jc w:val="center"/>
              <w:rPr>
                <w:rFonts w:asciiTheme="minorHAnsi" w:eastAsia="Times New Roman" w:hAnsiTheme="minorHAnsi" w:cstheme="minorHAnsi"/>
                <w:lang w:eastAsia="fr-FR" w:bidi="ar-SA"/>
              </w:rPr>
            </w:pPr>
          </w:p>
        </w:tc>
        <w:tc>
          <w:tcPr>
            <w:tcW w:w="2530" w:type="pct"/>
            <w:vMerge w:val="restart"/>
            <w:shd w:val="clear" w:color="auto" w:fill="F2F2F2" w:themeFill="background1" w:themeFillShade="F2"/>
            <w:vAlign w:val="center"/>
            <w:hideMark/>
          </w:tcPr>
          <w:p w14:paraId="4D83ACBD" w14:textId="77777777" w:rsidR="00A93FE3" w:rsidRPr="00AA5256" w:rsidRDefault="00A93FE3" w:rsidP="00511F7F">
            <w:pPr>
              <w:spacing w:before="100" w:beforeAutospacing="1" w:after="100" w:afterAutospacing="1"/>
              <w:jc w:val="left"/>
              <w:rPr>
                <w:rFonts w:asciiTheme="minorHAnsi" w:eastAsia="Times New Roman" w:hAnsiTheme="minorHAnsi" w:cstheme="minorHAnsi"/>
                <w:lang w:eastAsia="fr-FR" w:bidi="ar-SA"/>
              </w:rPr>
            </w:pPr>
            <w:r w:rsidRPr="00AA5256">
              <w:rPr>
                <w:rFonts w:asciiTheme="minorHAnsi" w:eastAsia="Times New Roman" w:hAnsiTheme="minorHAnsi" w:cstheme="minorHAnsi"/>
                <w:lang w:eastAsia="fr-FR" w:bidi="ar-SA"/>
              </w:rPr>
              <w:t>Paille comprimée</w:t>
            </w:r>
            <w:r w:rsidRPr="00AA5256">
              <w:rPr>
                <w:rFonts w:asciiTheme="minorHAnsi" w:eastAsia="Times New Roman" w:hAnsiTheme="minorHAnsi" w:cstheme="minorHAnsi"/>
                <w:lang w:eastAsia="fr-FR" w:bidi="ar-SA"/>
              </w:rPr>
              <w:br/>
              <w:t>- transversalement au sens de la paillette</w:t>
            </w:r>
            <w:r w:rsidRPr="00AA5256">
              <w:rPr>
                <w:rFonts w:asciiTheme="minorHAnsi" w:eastAsia="Times New Roman" w:hAnsiTheme="minorHAnsi" w:cstheme="minorHAnsi"/>
                <w:lang w:eastAsia="fr-FR" w:bidi="ar-SA"/>
              </w:rPr>
              <w:br/>
              <w:t>- dans le sens de la paille</w:t>
            </w:r>
          </w:p>
        </w:tc>
        <w:tc>
          <w:tcPr>
            <w:tcW w:w="942" w:type="pct"/>
            <w:vMerge w:val="restart"/>
            <w:vAlign w:val="center"/>
            <w:hideMark/>
          </w:tcPr>
          <w:p w14:paraId="4F86BDA1" w14:textId="77777777" w:rsidR="00A93FE3" w:rsidRPr="00AA5256" w:rsidRDefault="00A93FE3" w:rsidP="00511F7F">
            <w:pPr>
              <w:jc w:val="center"/>
              <w:rPr>
                <w:rFonts w:asciiTheme="minorHAnsi" w:eastAsia="Times New Roman" w:hAnsiTheme="minorHAnsi" w:cstheme="minorHAnsi"/>
                <w:lang w:eastAsia="fr-FR" w:bidi="ar-SA"/>
              </w:rPr>
            </w:pPr>
            <w:r w:rsidRPr="00AA5256">
              <w:rPr>
                <w:rFonts w:asciiTheme="minorHAnsi" w:eastAsia="Times New Roman" w:hAnsiTheme="minorHAnsi" w:cstheme="minorHAnsi"/>
                <w:lang w:eastAsia="fr-FR" w:bidi="ar-SA"/>
              </w:rPr>
              <w:t>80 ≤ ρ ≤ 120</w:t>
            </w:r>
          </w:p>
        </w:tc>
        <w:tc>
          <w:tcPr>
            <w:tcW w:w="942" w:type="pct"/>
            <w:vAlign w:val="center"/>
            <w:hideMark/>
          </w:tcPr>
          <w:p w14:paraId="7F25BAB4" w14:textId="77777777" w:rsidR="00A93FE3" w:rsidRPr="00AA5256" w:rsidRDefault="00A93FE3" w:rsidP="00511F7F">
            <w:pPr>
              <w:jc w:val="center"/>
              <w:rPr>
                <w:rFonts w:asciiTheme="minorHAnsi" w:eastAsia="Times New Roman" w:hAnsiTheme="minorHAnsi" w:cstheme="minorHAnsi"/>
                <w:lang w:eastAsia="fr-FR" w:bidi="ar-SA"/>
              </w:rPr>
            </w:pPr>
            <w:r w:rsidRPr="00AA5256">
              <w:rPr>
                <w:rFonts w:asciiTheme="minorHAnsi" w:eastAsia="Times New Roman" w:hAnsiTheme="minorHAnsi" w:cstheme="minorHAnsi"/>
                <w:lang w:eastAsia="fr-FR" w:bidi="ar-SA"/>
              </w:rPr>
              <w:t>0,052</w:t>
            </w:r>
          </w:p>
        </w:tc>
      </w:tr>
      <w:tr w:rsidR="00A93FE3" w:rsidRPr="00AA5256" w14:paraId="04641A62" w14:textId="77777777" w:rsidTr="00511F7F">
        <w:trPr>
          <w:trHeight w:val="397"/>
        </w:trPr>
        <w:tc>
          <w:tcPr>
            <w:tcW w:w="587" w:type="pct"/>
            <w:vMerge/>
            <w:shd w:val="clear" w:color="auto" w:fill="F2F2F2" w:themeFill="background1" w:themeFillShade="F2"/>
            <w:vAlign w:val="center"/>
            <w:hideMark/>
          </w:tcPr>
          <w:p w14:paraId="5973DBDD" w14:textId="77777777" w:rsidR="00A93FE3" w:rsidRPr="00AA5256" w:rsidRDefault="00A93FE3" w:rsidP="00511F7F">
            <w:pPr>
              <w:jc w:val="center"/>
              <w:rPr>
                <w:rFonts w:asciiTheme="minorHAnsi" w:eastAsia="Times New Roman" w:hAnsiTheme="minorHAnsi" w:cstheme="minorHAnsi"/>
                <w:lang w:eastAsia="fr-FR" w:bidi="ar-SA"/>
              </w:rPr>
            </w:pPr>
          </w:p>
        </w:tc>
        <w:tc>
          <w:tcPr>
            <w:tcW w:w="2530" w:type="pct"/>
            <w:vMerge/>
            <w:shd w:val="clear" w:color="auto" w:fill="F2F2F2" w:themeFill="background1" w:themeFillShade="F2"/>
            <w:vAlign w:val="center"/>
            <w:hideMark/>
          </w:tcPr>
          <w:p w14:paraId="4CC68B3F" w14:textId="77777777" w:rsidR="00A93FE3" w:rsidRPr="00AA5256" w:rsidRDefault="00A93FE3" w:rsidP="00511F7F">
            <w:pPr>
              <w:jc w:val="left"/>
              <w:rPr>
                <w:rFonts w:asciiTheme="minorHAnsi" w:eastAsia="Times New Roman" w:hAnsiTheme="minorHAnsi" w:cstheme="minorHAnsi"/>
                <w:lang w:eastAsia="fr-FR" w:bidi="ar-SA"/>
              </w:rPr>
            </w:pPr>
          </w:p>
        </w:tc>
        <w:tc>
          <w:tcPr>
            <w:tcW w:w="942" w:type="pct"/>
            <w:vMerge/>
            <w:vAlign w:val="center"/>
            <w:hideMark/>
          </w:tcPr>
          <w:p w14:paraId="77D8C12E" w14:textId="77777777" w:rsidR="00A93FE3" w:rsidRPr="00AA5256" w:rsidRDefault="00A93FE3" w:rsidP="00511F7F">
            <w:pPr>
              <w:jc w:val="center"/>
              <w:rPr>
                <w:rFonts w:asciiTheme="minorHAnsi" w:eastAsia="Times New Roman" w:hAnsiTheme="minorHAnsi" w:cstheme="minorHAnsi"/>
                <w:lang w:eastAsia="fr-FR" w:bidi="ar-SA"/>
              </w:rPr>
            </w:pPr>
          </w:p>
        </w:tc>
        <w:tc>
          <w:tcPr>
            <w:tcW w:w="942" w:type="pct"/>
            <w:vAlign w:val="center"/>
            <w:hideMark/>
          </w:tcPr>
          <w:p w14:paraId="517804FC" w14:textId="77777777" w:rsidR="00A93FE3" w:rsidRPr="00AA5256" w:rsidRDefault="00A93FE3" w:rsidP="00511F7F">
            <w:pPr>
              <w:jc w:val="center"/>
              <w:rPr>
                <w:rFonts w:asciiTheme="minorHAnsi" w:eastAsia="Times New Roman" w:hAnsiTheme="minorHAnsi" w:cstheme="minorHAnsi"/>
                <w:lang w:eastAsia="fr-FR" w:bidi="ar-SA"/>
              </w:rPr>
            </w:pPr>
            <w:r w:rsidRPr="00AA5256">
              <w:rPr>
                <w:rFonts w:asciiTheme="minorHAnsi" w:eastAsia="Times New Roman" w:hAnsiTheme="minorHAnsi" w:cstheme="minorHAnsi"/>
                <w:lang w:eastAsia="fr-FR" w:bidi="ar-SA"/>
              </w:rPr>
              <w:t>0,080</w:t>
            </w:r>
          </w:p>
        </w:tc>
      </w:tr>
      <w:tr w:rsidR="00A93FE3" w:rsidRPr="00AA5256" w14:paraId="4EFE1E6E" w14:textId="77777777" w:rsidTr="00511F7F">
        <w:tc>
          <w:tcPr>
            <w:tcW w:w="587" w:type="pct"/>
            <w:vMerge/>
            <w:shd w:val="clear" w:color="auto" w:fill="F2F2F2" w:themeFill="background1" w:themeFillShade="F2"/>
            <w:vAlign w:val="center"/>
            <w:hideMark/>
          </w:tcPr>
          <w:p w14:paraId="0F54C51F" w14:textId="77777777" w:rsidR="00A93FE3" w:rsidRPr="00AA5256" w:rsidRDefault="00A93FE3" w:rsidP="00511F7F">
            <w:pPr>
              <w:jc w:val="center"/>
              <w:rPr>
                <w:rFonts w:asciiTheme="minorHAnsi" w:eastAsia="Times New Roman" w:hAnsiTheme="minorHAnsi" w:cstheme="minorHAnsi"/>
                <w:lang w:eastAsia="fr-FR" w:bidi="ar-SA"/>
              </w:rPr>
            </w:pPr>
          </w:p>
        </w:tc>
        <w:tc>
          <w:tcPr>
            <w:tcW w:w="2530" w:type="pct"/>
            <w:vMerge w:val="restart"/>
            <w:shd w:val="clear" w:color="auto" w:fill="F2F2F2" w:themeFill="background1" w:themeFillShade="F2"/>
            <w:vAlign w:val="center"/>
            <w:hideMark/>
          </w:tcPr>
          <w:p w14:paraId="421AED7C" w14:textId="77777777" w:rsidR="00A93FE3" w:rsidRPr="00AA5256" w:rsidRDefault="00A93FE3" w:rsidP="00511F7F">
            <w:pPr>
              <w:spacing w:before="100" w:beforeAutospacing="1" w:after="100" w:afterAutospacing="1"/>
              <w:jc w:val="left"/>
              <w:rPr>
                <w:rFonts w:asciiTheme="minorHAnsi" w:eastAsia="Times New Roman" w:hAnsiTheme="minorHAnsi" w:cstheme="minorHAnsi"/>
                <w:lang w:eastAsia="fr-FR" w:bidi="ar-SA"/>
              </w:rPr>
            </w:pPr>
            <w:r w:rsidRPr="00AA5256">
              <w:rPr>
                <w:rFonts w:asciiTheme="minorHAnsi" w:eastAsia="Times New Roman" w:hAnsiTheme="minorHAnsi" w:cstheme="minorHAnsi"/>
                <w:lang w:eastAsia="fr-FR" w:bidi="ar-SA"/>
              </w:rPr>
              <w:t xml:space="preserve">Autres isolants à base de fibres végétales </w:t>
            </w:r>
          </w:p>
        </w:tc>
        <w:tc>
          <w:tcPr>
            <w:tcW w:w="942" w:type="pct"/>
            <w:vAlign w:val="center"/>
            <w:hideMark/>
          </w:tcPr>
          <w:p w14:paraId="1E1582DE" w14:textId="77777777" w:rsidR="00A93FE3" w:rsidRPr="00AA5256" w:rsidRDefault="00A93FE3" w:rsidP="00511F7F">
            <w:pPr>
              <w:spacing w:before="100" w:beforeAutospacing="1" w:after="100" w:afterAutospacing="1"/>
              <w:jc w:val="center"/>
              <w:rPr>
                <w:rFonts w:asciiTheme="minorHAnsi" w:eastAsia="Times New Roman" w:hAnsiTheme="minorHAnsi" w:cstheme="minorHAnsi"/>
                <w:lang w:eastAsia="fr-FR" w:bidi="ar-SA"/>
              </w:rPr>
            </w:pPr>
            <w:r w:rsidRPr="00AA5256">
              <w:rPr>
                <w:rFonts w:asciiTheme="minorHAnsi" w:eastAsia="Times New Roman" w:hAnsiTheme="minorHAnsi" w:cstheme="minorHAnsi"/>
                <w:lang w:eastAsia="fr-FR" w:bidi="ar-SA"/>
              </w:rPr>
              <w:t>20 ≤ ρ &lt; 40</w:t>
            </w:r>
          </w:p>
        </w:tc>
        <w:tc>
          <w:tcPr>
            <w:tcW w:w="942" w:type="pct"/>
            <w:vAlign w:val="center"/>
            <w:hideMark/>
          </w:tcPr>
          <w:p w14:paraId="3A4A49CD" w14:textId="77777777" w:rsidR="00A93FE3" w:rsidRPr="00AA5256" w:rsidRDefault="00A93FE3" w:rsidP="00511F7F">
            <w:pPr>
              <w:spacing w:before="100" w:beforeAutospacing="1" w:after="100" w:afterAutospacing="1"/>
              <w:jc w:val="center"/>
              <w:rPr>
                <w:rFonts w:asciiTheme="minorHAnsi" w:eastAsia="Times New Roman" w:hAnsiTheme="minorHAnsi" w:cstheme="minorHAnsi"/>
                <w:lang w:eastAsia="fr-FR" w:bidi="ar-SA"/>
              </w:rPr>
            </w:pPr>
            <w:r w:rsidRPr="00AA5256">
              <w:rPr>
                <w:rFonts w:asciiTheme="minorHAnsi" w:eastAsia="Times New Roman" w:hAnsiTheme="minorHAnsi" w:cstheme="minorHAnsi"/>
                <w:lang w:eastAsia="fr-FR" w:bidi="ar-SA"/>
              </w:rPr>
              <w:t>0,065</w:t>
            </w:r>
          </w:p>
        </w:tc>
      </w:tr>
      <w:tr w:rsidR="00A93FE3" w:rsidRPr="00AA5256" w14:paraId="1E091E2E" w14:textId="77777777" w:rsidTr="00511F7F">
        <w:tc>
          <w:tcPr>
            <w:tcW w:w="587" w:type="pct"/>
            <w:vMerge/>
            <w:shd w:val="clear" w:color="auto" w:fill="F2F2F2" w:themeFill="background1" w:themeFillShade="F2"/>
            <w:vAlign w:val="center"/>
            <w:hideMark/>
          </w:tcPr>
          <w:p w14:paraId="05E23D74" w14:textId="77777777" w:rsidR="00A93FE3" w:rsidRPr="00AA5256" w:rsidRDefault="00A93FE3" w:rsidP="00511F7F">
            <w:pPr>
              <w:jc w:val="center"/>
              <w:rPr>
                <w:rFonts w:asciiTheme="minorHAnsi" w:eastAsia="Times New Roman" w:hAnsiTheme="minorHAnsi" w:cstheme="minorHAnsi"/>
                <w:lang w:eastAsia="fr-FR" w:bidi="ar-SA"/>
              </w:rPr>
            </w:pPr>
          </w:p>
        </w:tc>
        <w:tc>
          <w:tcPr>
            <w:tcW w:w="2530" w:type="pct"/>
            <w:vMerge/>
            <w:shd w:val="clear" w:color="auto" w:fill="F2F2F2" w:themeFill="background1" w:themeFillShade="F2"/>
            <w:vAlign w:val="center"/>
            <w:hideMark/>
          </w:tcPr>
          <w:p w14:paraId="535C364C" w14:textId="77777777" w:rsidR="00A93FE3" w:rsidRPr="00AA5256" w:rsidRDefault="00A93FE3" w:rsidP="00511F7F">
            <w:pPr>
              <w:jc w:val="left"/>
              <w:rPr>
                <w:rFonts w:asciiTheme="minorHAnsi" w:eastAsia="Times New Roman" w:hAnsiTheme="minorHAnsi" w:cstheme="minorHAnsi"/>
                <w:lang w:eastAsia="fr-FR" w:bidi="ar-SA"/>
              </w:rPr>
            </w:pPr>
          </w:p>
        </w:tc>
        <w:tc>
          <w:tcPr>
            <w:tcW w:w="942" w:type="pct"/>
            <w:vAlign w:val="center"/>
            <w:hideMark/>
          </w:tcPr>
          <w:p w14:paraId="139BF36E" w14:textId="77777777" w:rsidR="00A93FE3" w:rsidRPr="00AA5256" w:rsidRDefault="00A93FE3" w:rsidP="00511F7F">
            <w:pPr>
              <w:spacing w:before="100" w:beforeAutospacing="1" w:after="100" w:afterAutospacing="1"/>
              <w:jc w:val="center"/>
              <w:rPr>
                <w:rFonts w:asciiTheme="minorHAnsi" w:eastAsia="Times New Roman" w:hAnsiTheme="minorHAnsi" w:cstheme="minorHAnsi"/>
                <w:lang w:eastAsia="fr-FR" w:bidi="ar-SA"/>
              </w:rPr>
            </w:pPr>
            <w:r w:rsidRPr="00AA5256">
              <w:rPr>
                <w:rFonts w:asciiTheme="minorHAnsi" w:eastAsia="Times New Roman" w:hAnsiTheme="minorHAnsi" w:cstheme="minorHAnsi"/>
                <w:lang w:eastAsia="fr-FR" w:bidi="ar-SA"/>
              </w:rPr>
              <w:t>40 ≤ ρ &lt; 60</w:t>
            </w:r>
          </w:p>
        </w:tc>
        <w:tc>
          <w:tcPr>
            <w:tcW w:w="942" w:type="pct"/>
            <w:vAlign w:val="center"/>
            <w:hideMark/>
          </w:tcPr>
          <w:p w14:paraId="60D67310" w14:textId="77777777" w:rsidR="00A93FE3" w:rsidRPr="00AA5256" w:rsidRDefault="00A93FE3" w:rsidP="00511F7F">
            <w:pPr>
              <w:spacing w:before="100" w:beforeAutospacing="1" w:after="100" w:afterAutospacing="1"/>
              <w:jc w:val="center"/>
              <w:rPr>
                <w:rFonts w:asciiTheme="minorHAnsi" w:eastAsia="Times New Roman" w:hAnsiTheme="minorHAnsi" w:cstheme="minorHAnsi"/>
                <w:lang w:eastAsia="fr-FR" w:bidi="ar-SA"/>
              </w:rPr>
            </w:pPr>
            <w:r w:rsidRPr="00AA5256">
              <w:rPr>
                <w:rFonts w:asciiTheme="minorHAnsi" w:eastAsia="Times New Roman" w:hAnsiTheme="minorHAnsi" w:cstheme="minorHAnsi"/>
                <w:lang w:eastAsia="fr-FR" w:bidi="ar-SA"/>
              </w:rPr>
              <w:t>0,060</w:t>
            </w:r>
          </w:p>
        </w:tc>
      </w:tr>
      <w:tr w:rsidR="00A93FE3" w:rsidRPr="00AA5256" w14:paraId="0689D23C" w14:textId="77777777" w:rsidTr="00511F7F">
        <w:tc>
          <w:tcPr>
            <w:tcW w:w="587" w:type="pct"/>
            <w:vMerge/>
            <w:shd w:val="clear" w:color="auto" w:fill="F2F2F2" w:themeFill="background1" w:themeFillShade="F2"/>
            <w:vAlign w:val="center"/>
            <w:hideMark/>
          </w:tcPr>
          <w:p w14:paraId="5ED79DBB" w14:textId="77777777" w:rsidR="00A93FE3" w:rsidRPr="00AA5256" w:rsidRDefault="00A93FE3" w:rsidP="00511F7F">
            <w:pPr>
              <w:jc w:val="center"/>
              <w:rPr>
                <w:rFonts w:asciiTheme="minorHAnsi" w:eastAsia="Times New Roman" w:hAnsiTheme="minorHAnsi" w:cstheme="minorHAnsi"/>
                <w:lang w:eastAsia="fr-FR" w:bidi="ar-SA"/>
              </w:rPr>
            </w:pPr>
          </w:p>
        </w:tc>
        <w:tc>
          <w:tcPr>
            <w:tcW w:w="2530" w:type="pct"/>
            <w:vMerge/>
            <w:shd w:val="clear" w:color="auto" w:fill="F2F2F2" w:themeFill="background1" w:themeFillShade="F2"/>
            <w:vAlign w:val="center"/>
            <w:hideMark/>
          </w:tcPr>
          <w:p w14:paraId="10CAF2AB" w14:textId="77777777" w:rsidR="00A93FE3" w:rsidRPr="00AA5256" w:rsidRDefault="00A93FE3" w:rsidP="00511F7F">
            <w:pPr>
              <w:jc w:val="left"/>
              <w:rPr>
                <w:rFonts w:asciiTheme="minorHAnsi" w:eastAsia="Times New Roman" w:hAnsiTheme="minorHAnsi" w:cstheme="minorHAnsi"/>
                <w:lang w:eastAsia="fr-FR" w:bidi="ar-SA"/>
              </w:rPr>
            </w:pPr>
          </w:p>
        </w:tc>
        <w:tc>
          <w:tcPr>
            <w:tcW w:w="942" w:type="pct"/>
            <w:vAlign w:val="center"/>
            <w:hideMark/>
          </w:tcPr>
          <w:p w14:paraId="54CC3488" w14:textId="77777777" w:rsidR="00A93FE3" w:rsidRPr="00AA5256" w:rsidRDefault="00A93FE3" w:rsidP="00511F7F">
            <w:pPr>
              <w:spacing w:before="100" w:beforeAutospacing="1" w:after="100" w:afterAutospacing="1"/>
              <w:jc w:val="center"/>
              <w:rPr>
                <w:rFonts w:asciiTheme="minorHAnsi" w:eastAsia="Times New Roman" w:hAnsiTheme="minorHAnsi" w:cstheme="minorHAnsi"/>
                <w:lang w:eastAsia="fr-FR" w:bidi="ar-SA"/>
              </w:rPr>
            </w:pPr>
            <w:r w:rsidRPr="00AA5256">
              <w:rPr>
                <w:rFonts w:asciiTheme="minorHAnsi" w:eastAsia="Times New Roman" w:hAnsiTheme="minorHAnsi" w:cstheme="minorHAnsi"/>
                <w:lang w:eastAsia="fr-FR" w:bidi="ar-SA"/>
              </w:rPr>
              <w:t>60 ≤ ρ &lt; 200</w:t>
            </w:r>
          </w:p>
        </w:tc>
        <w:tc>
          <w:tcPr>
            <w:tcW w:w="942" w:type="pct"/>
            <w:vAlign w:val="center"/>
            <w:hideMark/>
          </w:tcPr>
          <w:p w14:paraId="390817E7" w14:textId="77777777" w:rsidR="00A93FE3" w:rsidRPr="00AA5256" w:rsidRDefault="00A93FE3" w:rsidP="00511F7F">
            <w:pPr>
              <w:spacing w:before="100" w:beforeAutospacing="1" w:after="100" w:afterAutospacing="1"/>
              <w:jc w:val="center"/>
              <w:rPr>
                <w:rFonts w:asciiTheme="minorHAnsi" w:eastAsia="Times New Roman" w:hAnsiTheme="minorHAnsi" w:cstheme="minorHAnsi"/>
                <w:lang w:eastAsia="fr-FR" w:bidi="ar-SA"/>
              </w:rPr>
            </w:pPr>
            <w:r w:rsidRPr="00AA5256">
              <w:rPr>
                <w:rFonts w:asciiTheme="minorHAnsi" w:eastAsia="Times New Roman" w:hAnsiTheme="minorHAnsi" w:cstheme="minorHAnsi"/>
                <w:lang w:eastAsia="fr-FR" w:bidi="ar-SA"/>
              </w:rPr>
              <w:t>0,065</w:t>
            </w:r>
          </w:p>
        </w:tc>
      </w:tr>
      <w:tr w:rsidR="00A93FE3" w:rsidRPr="00AA5256" w14:paraId="05578A0C" w14:textId="77777777" w:rsidTr="00511F7F">
        <w:tc>
          <w:tcPr>
            <w:tcW w:w="587" w:type="pct"/>
            <w:vMerge w:val="restart"/>
            <w:shd w:val="clear" w:color="auto" w:fill="F2F2F2" w:themeFill="background1" w:themeFillShade="F2"/>
            <w:vAlign w:val="center"/>
            <w:hideMark/>
          </w:tcPr>
          <w:p w14:paraId="70530F0D" w14:textId="77777777" w:rsidR="00A93FE3" w:rsidRPr="00AA5256" w:rsidRDefault="00A93FE3" w:rsidP="00511F7F">
            <w:pPr>
              <w:jc w:val="center"/>
              <w:rPr>
                <w:rFonts w:asciiTheme="minorHAnsi" w:eastAsia="Times New Roman" w:hAnsiTheme="minorHAnsi" w:cstheme="minorHAnsi"/>
                <w:lang w:eastAsia="fr-FR" w:bidi="ar-SA"/>
              </w:rPr>
            </w:pPr>
            <w:r w:rsidRPr="00AA5256">
              <w:rPr>
                <w:rFonts w:asciiTheme="minorHAnsi" w:eastAsia="Times New Roman" w:hAnsiTheme="minorHAnsi" w:cstheme="minorHAnsi"/>
                <w:lang w:eastAsia="fr-FR" w:bidi="ar-SA"/>
              </w:rPr>
              <w:t>Isolants à base de fibres animales</w:t>
            </w:r>
          </w:p>
        </w:tc>
        <w:tc>
          <w:tcPr>
            <w:tcW w:w="2530" w:type="pct"/>
            <w:shd w:val="clear" w:color="auto" w:fill="F2F2F2" w:themeFill="background1" w:themeFillShade="F2"/>
            <w:vAlign w:val="center"/>
            <w:hideMark/>
          </w:tcPr>
          <w:p w14:paraId="3D755BF6" w14:textId="77777777" w:rsidR="00A93FE3" w:rsidRPr="00AA5256" w:rsidRDefault="00A93FE3" w:rsidP="00511F7F">
            <w:pPr>
              <w:spacing w:before="100" w:beforeAutospacing="1" w:after="100" w:afterAutospacing="1"/>
              <w:jc w:val="left"/>
              <w:rPr>
                <w:rFonts w:asciiTheme="minorHAnsi" w:eastAsia="Times New Roman" w:hAnsiTheme="minorHAnsi" w:cstheme="minorHAnsi"/>
                <w:lang w:eastAsia="fr-FR" w:bidi="ar-SA"/>
              </w:rPr>
            </w:pPr>
            <w:r w:rsidRPr="00AA5256">
              <w:rPr>
                <w:rFonts w:asciiTheme="minorHAnsi" w:eastAsia="Times New Roman" w:hAnsiTheme="minorHAnsi" w:cstheme="minorHAnsi"/>
                <w:lang w:eastAsia="fr-FR" w:bidi="ar-SA"/>
              </w:rPr>
              <w:t>Laine de mouton</w:t>
            </w:r>
          </w:p>
        </w:tc>
        <w:tc>
          <w:tcPr>
            <w:tcW w:w="942" w:type="pct"/>
            <w:vAlign w:val="center"/>
            <w:hideMark/>
          </w:tcPr>
          <w:p w14:paraId="5A55B81E" w14:textId="77777777" w:rsidR="00A93FE3" w:rsidRPr="00AA5256" w:rsidRDefault="00A93FE3" w:rsidP="00511F7F">
            <w:pPr>
              <w:spacing w:before="100" w:beforeAutospacing="1" w:after="100" w:afterAutospacing="1"/>
              <w:jc w:val="center"/>
              <w:rPr>
                <w:rFonts w:asciiTheme="minorHAnsi" w:eastAsia="Times New Roman" w:hAnsiTheme="minorHAnsi" w:cstheme="minorHAnsi"/>
                <w:lang w:eastAsia="fr-FR" w:bidi="ar-SA"/>
              </w:rPr>
            </w:pPr>
            <w:r w:rsidRPr="00AA5256">
              <w:rPr>
                <w:rFonts w:asciiTheme="minorHAnsi" w:eastAsia="Times New Roman" w:hAnsiTheme="minorHAnsi" w:cstheme="minorHAnsi"/>
                <w:lang w:eastAsia="fr-FR" w:bidi="ar-SA"/>
              </w:rPr>
              <w:t>10 ≤ ρ &lt; 100</w:t>
            </w:r>
          </w:p>
        </w:tc>
        <w:tc>
          <w:tcPr>
            <w:tcW w:w="942" w:type="pct"/>
            <w:vAlign w:val="center"/>
            <w:hideMark/>
          </w:tcPr>
          <w:p w14:paraId="2585493E" w14:textId="77777777" w:rsidR="00A93FE3" w:rsidRPr="00AA5256" w:rsidRDefault="00A93FE3" w:rsidP="00511F7F">
            <w:pPr>
              <w:spacing w:before="100" w:beforeAutospacing="1" w:after="100" w:afterAutospacing="1"/>
              <w:jc w:val="center"/>
              <w:rPr>
                <w:rFonts w:asciiTheme="minorHAnsi" w:eastAsia="Times New Roman" w:hAnsiTheme="minorHAnsi" w:cstheme="minorHAnsi"/>
                <w:lang w:eastAsia="fr-FR" w:bidi="ar-SA"/>
              </w:rPr>
            </w:pPr>
            <w:r w:rsidRPr="00AA5256">
              <w:rPr>
                <w:rFonts w:asciiTheme="minorHAnsi" w:eastAsia="Times New Roman" w:hAnsiTheme="minorHAnsi" w:cstheme="minorHAnsi"/>
                <w:lang w:eastAsia="fr-FR" w:bidi="ar-SA"/>
              </w:rPr>
              <w:t>0,046</w:t>
            </w:r>
          </w:p>
        </w:tc>
      </w:tr>
      <w:tr w:rsidR="00A93FE3" w:rsidRPr="00AA5256" w14:paraId="3320CD49" w14:textId="77777777" w:rsidTr="00511F7F">
        <w:tc>
          <w:tcPr>
            <w:tcW w:w="587" w:type="pct"/>
            <w:vMerge/>
            <w:shd w:val="clear" w:color="auto" w:fill="F2F2F2" w:themeFill="background1" w:themeFillShade="F2"/>
            <w:vAlign w:val="center"/>
            <w:hideMark/>
          </w:tcPr>
          <w:p w14:paraId="0A579C85" w14:textId="77777777" w:rsidR="00A93FE3" w:rsidRPr="00AA5256" w:rsidRDefault="00A93FE3" w:rsidP="00511F7F">
            <w:pPr>
              <w:jc w:val="left"/>
              <w:rPr>
                <w:rFonts w:asciiTheme="minorHAnsi" w:eastAsia="Times New Roman" w:hAnsiTheme="minorHAnsi" w:cstheme="minorHAnsi"/>
                <w:lang w:eastAsia="fr-FR" w:bidi="ar-SA"/>
              </w:rPr>
            </w:pPr>
          </w:p>
        </w:tc>
        <w:tc>
          <w:tcPr>
            <w:tcW w:w="2530" w:type="pct"/>
            <w:vMerge w:val="restart"/>
            <w:shd w:val="clear" w:color="auto" w:fill="F2F2F2" w:themeFill="background1" w:themeFillShade="F2"/>
            <w:vAlign w:val="center"/>
            <w:hideMark/>
          </w:tcPr>
          <w:p w14:paraId="5E1C4998" w14:textId="77777777" w:rsidR="00A93FE3" w:rsidRPr="00AA5256" w:rsidRDefault="00A93FE3" w:rsidP="00511F7F">
            <w:pPr>
              <w:spacing w:before="100" w:beforeAutospacing="1" w:after="100" w:afterAutospacing="1"/>
              <w:jc w:val="left"/>
              <w:rPr>
                <w:rFonts w:asciiTheme="minorHAnsi" w:eastAsia="Times New Roman" w:hAnsiTheme="minorHAnsi" w:cstheme="minorHAnsi"/>
                <w:lang w:eastAsia="fr-FR" w:bidi="ar-SA"/>
              </w:rPr>
            </w:pPr>
            <w:r w:rsidRPr="00AA5256">
              <w:rPr>
                <w:rFonts w:asciiTheme="minorHAnsi" w:eastAsia="Times New Roman" w:hAnsiTheme="minorHAnsi" w:cstheme="minorHAnsi"/>
                <w:lang w:eastAsia="fr-FR" w:bidi="ar-SA"/>
              </w:rPr>
              <w:t xml:space="preserve">Autres isolants à base de fibres animales </w:t>
            </w:r>
          </w:p>
        </w:tc>
        <w:tc>
          <w:tcPr>
            <w:tcW w:w="942" w:type="pct"/>
            <w:vAlign w:val="center"/>
            <w:hideMark/>
          </w:tcPr>
          <w:p w14:paraId="7E403DA8" w14:textId="77777777" w:rsidR="00A93FE3" w:rsidRPr="00AA5256" w:rsidRDefault="00A93FE3" w:rsidP="00511F7F">
            <w:pPr>
              <w:spacing w:before="100" w:beforeAutospacing="1" w:after="100" w:afterAutospacing="1"/>
              <w:jc w:val="center"/>
              <w:rPr>
                <w:rFonts w:asciiTheme="minorHAnsi" w:eastAsia="Times New Roman" w:hAnsiTheme="minorHAnsi" w:cstheme="minorHAnsi"/>
                <w:lang w:eastAsia="fr-FR" w:bidi="ar-SA"/>
              </w:rPr>
            </w:pPr>
            <w:r w:rsidRPr="00AA5256">
              <w:rPr>
                <w:rFonts w:asciiTheme="minorHAnsi" w:eastAsia="Times New Roman" w:hAnsiTheme="minorHAnsi" w:cstheme="minorHAnsi"/>
                <w:lang w:eastAsia="fr-FR" w:bidi="ar-SA"/>
              </w:rPr>
              <w:t>10 ≤ ρ &lt; 20</w:t>
            </w:r>
          </w:p>
        </w:tc>
        <w:tc>
          <w:tcPr>
            <w:tcW w:w="942" w:type="pct"/>
            <w:vAlign w:val="center"/>
            <w:hideMark/>
          </w:tcPr>
          <w:p w14:paraId="018A5663" w14:textId="77777777" w:rsidR="00A93FE3" w:rsidRPr="00AA5256" w:rsidRDefault="00A93FE3" w:rsidP="00511F7F">
            <w:pPr>
              <w:spacing w:before="100" w:beforeAutospacing="1" w:after="100" w:afterAutospacing="1"/>
              <w:jc w:val="center"/>
              <w:rPr>
                <w:rFonts w:asciiTheme="minorHAnsi" w:eastAsia="Times New Roman" w:hAnsiTheme="minorHAnsi" w:cstheme="minorHAnsi"/>
                <w:lang w:eastAsia="fr-FR" w:bidi="ar-SA"/>
              </w:rPr>
            </w:pPr>
            <w:r w:rsidRPr="00AA5256">
              <w:rPr>
                <w:rFonts w:asciiTheme="minorHAnsi" w:eastAsia="Times New Roman" w:hAnsiTheme="minorHAnsi" w:cstheme="minorHAnsi"/>
                <w:lang w:eastAsia="fr-FR" w:bidi="ar-SA"/>
              </w:rPr>
              <w:t>0,065</w:t>
            </w:r>
          </w:p>
        </w:tc>
      </w:tr>
      <w:tr w:rsidR="00A93FE3" w:rsidRPr="00AA5256" w14:paraId="4E629E82" w14:textId="77777777" w:rsidTr="00511F7F">
        <w:tc>
          <w:tcPr>
            <w:tcW w:w="587" w:type="pct"/>
            <w:vMerge/>
            <w:shd w:val="clear" w:color="auto" w:fill="F2F2F2" w:themeFill="background1" w:themeFillShade="F2"/>
            <w:hideMark/>
          </w:tcPr>
          <w:p w14:paraId="0C7041A4" w14:textId="77777777" w:rsidR="00A93FE3" w:rsidRPr="00AA5256" w:rsidRDefault="00A93FE3" w:rsidP="00511F7F">
            <w:pPr>
              <w:jc w:val="left"/>
              <w:rPr>
                <w:rFonts w:asciiTheme="minorHAnsi" w:eastAsia="Times New Roman" w:hAnsiTheme="minorHAnsi" w:cstheme="minorHAnsi"/>
                <w:lang w:eastAsia="fr-FR" w:bidi="ar-SA"/>
              </w:rPr>
            </w:pPr>
          </w:p>
        </w:tc>
        <w:tc>
          <w:tcPr>
            <w:tcW w:w="2530" w:type="pct"/>
            <w:vMerge/>
            <w:shd w:val="clear" w:color="auto" w:fill="F2F2F2" w:themeFill="background1" w:themeFillShade="F2"/>
            <w:hideMark/>
          </w:tcPr>
          <w:p w14:paraId="4992E092" w14:textId="77777777" w:rsidR="00A93FE3" w:rsidRPr="00AA5256" w:rsidRDefault="00A93FE3" w:rsidP="00511F7F">
            <w:pPr>
              <w:jc w:val="left"/>
              <w:rPr>
                <w:rFonts w:asciiTheme="minorHAnsi" w:eastAsia="Times New Roman" w:hAnsiTheme="minorHAnsi" w:cstheme="minorHAnsi"/>
                <w:lang w:eastAsia="fr-FR" w:bidi="ar-SA"/>
              </w:rPr>
            </w:pPr>
          </w:p>
        </w:tc>
        <w:tc>
          <w:tcPr>
            <w:tcW w:w="942" w:type="pct"/>
            <w:vAlign w:val="center"/>
            <w:hideMark/>
          </w:tcPr>
          <w:p w14:paraId="22BE14C6" w14:textId="77777777" w:rsidR="00A93FE3" w:rsidRPr="00AA5256" w:rsidRDefault="00A93FE3" w:rsidP="00511F7F">
            <w:pPr>
              <w:spacing w:before="100" w:beforeAutospacing="1" w:after="100" w:afterAutospacing="1"/>
              <w:jc w:val="center"/>
              <w:rPr>
                <w:rFonts w:asciiTheme="minorHAnsi" w:eastAsia="Times New Roman" w:hAnsiTheme="minorHAnsi" w:cstheme="minorHAnsi"/>
                <w:lang w:eastAsia="fr-FR" w:bidi="ar-SA"/>
              </w:rPr>
            </w:pPr>
            <w:r w:rsidRPr="00AA5256">
              <w:rPr>
                <w:rFonts w:asciiTheme="minorHAnsi" w:eastAsia="Times New Roman" w:hAnsiTheme="minorHAnsi" w:cstheme="minorHAnsi"/>
                <w:lang w:eastAsia="fr-FR" w:bidi="ar-SA"/>
              </w:rPr>
              <w:t>20 ≤ ρ &lt; 50</w:t>
            </w:r>
          </w:p>
        </w:tc>
        <w:tc>
          <w:tcPr>
            <w:tcW w:w="942" w:type="pct"/>
            <w:vAlign w:val="center"/>
            <w:hideMark/>
          </w:tcPr>
          <w:p w14:paraId="712FB5E9" w14:textId="77777777" w:rsidR="00A93FE3" w:rsidRPr="00AA5256" w:rsidRDefault="00A93FE3" w:rsidP="00511F7F">
            <w:pPr>
              <w:spacing w:before="100" w:beforeAutospacing="1" w:after="100" w:afterAutospacing="1"/>
              <w:jc w:val="center"/>
              <w:rPr>
                <w:rFonts w:asciiTheme="minorHAnsi" w:eastAsia="Times New Roman" w:hAnsiTheme="minorHAnsi" w:cstheme="minorHAnsi"/>
                <w:lang w:eastAsia="fr-FR" w:bidi="ar-SA"/>
              </w:rPr>
            </w:pPr>
            <w:r w:rsidRPr="00AA5256">
              <w:rPr>
                <w:rFonts w:asciiTheme="minorHAnsi" w:eastAsia="Times New Roman" w:hAnsiTheme="minorHAnsi" w:cstheme="minorHAnsi"/>
                <w:lang w:eastAsia="fr-FR" w:bidi="ar-SA"/>
              </w:rPr>
              <w:t>0,060</w:t>
            </w:r>
          </w:p>
        </w:tc>
      </w:tr>
      <w:tr w:rsidR="00A93FE3" w:rsidRPr="00AA5256" w14:paraId="7AECC662" w14:textId="77777777" w:rsidTr="00511F7F">
        <w:tc>
          <w:tcPr>
            <w:tcW w:w="587" w:type="pct"/>
            <w:vMerge/>
            <w:shd w:val="clear" w:color="auto" w:fill="F2F2F2" w:themeFill="background1" w:themeFillShade="F2"/>
            <w:hideMark/>
          </w:tcPr>
          <w:p w14:paraId="3867CC99" w14:textId="77777777" w:rsidR="00A93FE3" w:rsidRPr="00AA5256" w:rsidRDefault="00A93FE3" w:rsidP="00511F7F">
            <w:pPr>
              <w:jc w:val="left"/>
              <w:rPr>
                <w:rFonts w:asciiTheme="minorHAnsi" w:eastAsia="Times New Roman" w:hAnsiTheme="minorHAnsi" w:cstheme="minorHAnsi"/>
                <w:lang w:eastAsia="fr-FR" w:bidi="ar-SA"/>
              </w:rPr>
            </w:pPr>
          </w:p>
        </w:tc>
        <w:tc>
          <w:tcPr>
            <w:tcW w:w="2530" w:type="pct"/>
            <w:vMerge/>
            <w:shd w:val="clear" w:color="auto" w:fill="F2F2F2" w:themeFill="background1" w:themeFillShade="F2"/>
            <w:hideMark/>
          </w:tcPr>
          <w:p w14:paraId="0120EE97" w14:textId="77777777" w:rsidR="00A93FE3" w:rsidRPr="00AA5256" w:rsidRDefault="00A93FE3" w:rsidP="00511F7F">
            <w:pPr>
              <w:jc w:val="left"/>
              <w:rPr>
                <w:rFonts w:asciiTheme="minorHAnsi" w:eastAsia="Times New Roman" w:hAnsiTheme="minorHAnsi" w:cstheme="minorHAnsi"/>
                <w:lang w:eastAsia="fr-FR" w:bidi="ar-SA"/>
              </w:rPr>
            </w:pPr>
          </w:p>
        </w:tc>
        <w:tc>
          <w:tcPr>
            <w:tcW w:w="942" w:type="pct"/>
            <w:vAlign w:val="center"/>
            <w:hideMark/>
          </w:tcPr>
          <w:p w14:paraId="676DC4A2" w14:textId="77777777" w:rsidR="00A93FE3" w:rsidRPr="00AA5256" w:rsidRDefault="00A93FE3" w:rsidP="00511F7F">
            <w:pPr>
              <w:spacing w:before="100" w:beforeAutospacing="1" w:after="100" w:afterAutospacing="1"/>
              <w:jc w:val="center"/>
              <w:rPr>
                <w:rFonts w:asciiTheme="minorHAnsi" w:eastAsia="Times New Roman" w:hAnsiTheme="minorHAnsi" w:cstheme="minorHAnsi"/>
                <w:lang w:eastAsia="fr-FR" w:bidi="ar-SA"/>
              </w:rPr>
            </w:pPr>
            <w:r w:rsidRPr="00AA5256">
              <w:rPr>
                <w:rFonts w:asciiTheme="minorHAnsi" w:eastAsia="Times New Roman" w:hAnsiTheme="minorHAnsi" w:cstheme="minorHAnsi"/>
                <w:lang w:eastAsia="fr-FR" w:bidi="ar-SA"/>
              </w:rPr>
              <w:t>50 ≤ ρ &lt; 100</w:t>
            </w:r>
          </w:p>
        </w:tc>
        <w:tc>
          <w:tcPr>
            <w:tcW w:w="942" w:type="pct"/>
            <w:vAlign w:val="center"/>
            <w:hideMark/>
          </w:tcPr>
          <w:p w14:paraId="791D7A61" w14:textId="77777777" w:rsidR="00A93FE3" w:rsidRPr="00AA5256" w:rsidRDefault="00A93FE3" w:rsidP="00511F7F">
            <w:pPr>
              <w:spacing w:before="100" w:beforeAutospacing="1" w:after="100" w:afterAutospacing="1"/>
              <w:jc w:val="center"/>
              <w:rPr>
                <w:rFonts w:asciiTheme="minorHAnsi" w:eastAsia="Times New Roman" w:hAnsiTheme="minorHAnsi" w:cstheme="minorHAnsi"/>
                <w:lang w:eastAsia="fr-FR" w:bidi="ar-SA"/>
              </w:rPr>
            </w:pPr>
            <w:r w:rsidRPr="00AA5256">
              <w:rPr>
                <w:rFonts w:asciiTheme="minorHAnsi" w:eastAsia="Times New Roman" w:hAnsiTheme="minorHAnsi" w:cstheme="minorHAnsi"/>
                <w:lang w:eastAsia="fr-FR" w:bidi="ar-SA"/>
              </w:rPr>
              <w:t>0,050</w:t>
            </w:r>
          </w:p>
        </w:tc>
      </w:tr>
      <w:bookmarkEnd w:id="78"/>
    </w:tbl>
    <w:p w14:paraId="59DD52FB" w14:textId="302C777C" w:rsidR="00E8319A" w:rsidRDefault="00E8319A" w:rsidP="00A93FE3">
      <w:pPr>
        <w:pStyle w:val="Titre4"/>
        <w:numPr>
          <w:ilvl w:val="0"/>
          <w:numId w:val="0"/>
        </w:numPr>
      </w:pPr>
    </w:p>
    <w:sectPr w:rsidR="00E8319A">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13E328" w16cid:durableId="2373DE0C"/>
  <w16cid:commentId w16cid:paraId="477434D5" w16cid:durableId="2373DE0D"/>
  <w16cid:commentId w16cid:paraId="62A43C4F" w16cid:durableId="2373DE0E"/>
  <w16cid:commentId w16cid:paraId="6198165F" w16cid:durableId="2373DE0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078C22" w14:textId="77777777" w:rsidR="002861D4" w:rsidRDefault="002861D4" w:rsidP="003230A3">
      <w:pPr>
        <w:spacing w:after="0" w:line="240" w:lineRule="auto"/>
      </w:pPr>
      <w:r>
        <w:separator/>
      </w:r>
    </w:p>
  </w:endnote>
  <w:endnote w:type="continuationSeparator" w:id="0">
    <w:p w14:paraId="65503333" w14:textId="77777777" w:rsidR="002861D4" w:rsidRDefault="002861D4" w:rsidP="00323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charset w:val="00"/>
    <w:family w:val="auto"/>
    <w:pitch w:val="default"/>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Math">
    <w:panose1 w:val="02040503050406030204"/>
    <w:charset w:val="00"/>
    <w:family w:val="roman"/>
    <w:pitch w:val="variable"/>
    <w:sig w:usb0="E00006FF" w:usb1="420024FF" w:usb2="02000000" w:usb3="00000000" w:csb0="0000019F" w:csb1="00000000"/>
  </w:font>
  <w:font w:name="Roboto">
    <w:altName w:val="Arial"/>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1EFCA7" w14:textId="77777777" w:rsidR="002861D4" w:rsidRDefault="002861D4" w:rsidP="003230A3">
      <w:pPr>
        <w:spacing w:after="0" w:line="240" w:lineRule="auto"/>
      </w:pPr>
      <w:r>
        <w:separator/>
      </w:r>
    </w:p>
  </w:footnote>
  <w:footnote w:type="continuationSeparator" w:id="0">
    <w:p w14:paraId="2BD91C0A" w14:textId="77777777" w:rsidR="002861D4" w:rsidRDefault="002861D4" w:rsidP="003230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6184A"/>
    <w:multiLevelType w:val="hybridMultilevel"/>
    <w:tmpl w:val="D51EA27A"/>
    <w:lvl w:ilvl="0" w:tplc="BB728842">
      <w:start w:val="1"/>
      <w:numFmt w:val="decimal"/>
      <w:pStyle w:val="Titre3"/>
      <w:lvlText w:val="Article %1."/>
      <w:lvlJc w:val="left"/>
      <w:pPr>
        <w:ind w:left="644"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7976239"/>
    <w:multiLevelType w:val="hybridMultilevel"/>
    <w:tmpl w:val="C026F66E"/>
    <w:lvl w:ilvl="0" w:tplc="00000002">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E93D55"/>
    <w:multiLevelType w:val="hybridMultilevel"/>
    <w:tmpl w:val="E0E8E46C"/>
    <w:lvl w:ilvl="0" w:tplc="A992D0B4">
      <w:start w:val="1"/>
      <w:numFmt w:val="upperRoman"/>
      <w:pStyle w:val="Titre4"/>
      <w:lvlText w:val="ANNEXE %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327605D"/>
    <w:multiLevelType w:val="hybridMultilevel"/>
    <w:tmpl w:val="380EF682"/>
    <w:lvl w:ilvl="0" w:tplc="49F0CFB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4C611DF"/>
    <w:multiLevelType w:val="hybridMultilevel"/>
    <w:tmpl w:val="3074209A"/>
    <w:lvl w:ilvl="0" w:tplc="8C64633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EDB7309"/>
    <w:multiLevelType w:val="hybridMultilevel"/>
    <w:tmpl w:val="350437C2"/>
    <w:lvl w:ilvl="0" w:tplc="BA98F8BE">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39C53CB"/>
    <w:multiLevelType w:val="hybridMultilevel"/>
    <w:tmpl w:val="891A1336"/>
    <w:lvl w:ilvl="0" w:tplc="932C8186">
      <w:start w:val="95"/>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CFC6F9C"/>
    <w:multiLevelType w:val="hybridMultilevel"/>
    <w:tmpl w:val="7FD8EEB0"/>
    <w:lvl w:ilvl="0" w:tplc="87AAEF64">
      <w:start w:val="1"/>
      <w:numFmt w:val="upperRoman"/>
      <w:pStyle w:val="Titre2"/>
      <w:lvlText w:val="CHAPITRE %1."/>
      <w:lvlJc w:val="left"/>
      <w:pPr>
        <w:ind w:left="107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D6243A3"/>
    <w:multiLevelType w:val="hybridMultilevel"/>
    <w:tmpl w:val="8F508A20"/>
    <w:lvl w:ilvl="0" w:tplc="582E78B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1392629"/>
    <w:multiLevelType w:val="multilevel"/>
    <w:tmpl w:val="5E263950"/>
    <w:styleLink w:val="Style1"/>
    <w:lvl w:ilvl="0">
      <w:start w:val="1"/>
      <w:numFmt w:val="upperRoman"/>
      <w:lvlText w:val="PARTIE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2064D0A"/>
    <w:multiLevelType w:val="hybridMultilevel"/>
    <w:tmpl w:val="11C05F28"/>
    <w:lvl w:ilvl="0" w:tplc="9850BAA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4056A70"/>
    <w:multiLevelType w:val="hybridMultilevel"/>
    <w:tmpl w:val="B30458B2"/>
    <w:lvl w:ilvl="0" w:tplc="3388376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83036C8"/>
    <w:multiLevelType w:val="hybridMultilevel"/>
    <w:tmpl w:val="A58C71AC"/>
    <w:lvl w:ilvl="0" w:tplc="BA98F8BE">
      <w:start w:val="1"/>
      <w:numFmt w:val="bullet"/>
      <w:lvlText w:val="-"/>
      <w:lvlJc w:val="left"/>
      <w:pPr>
        <w:ind w:left="1798" w:hanging="360"/>
      </w:pPr>
      <w:rPr>
        <w:rFonts w:ascii="Calibri" w:eastAsiaTheme="minorHAnsi" w:hAnsi="Calibri" w:cs="Calibri" w:hint="default"/>
      </w:rPr>
    </w:lvl>
    <w:lvl w:ilvl="1" w:tplc="040C0003" w:tentative="1">
      <w:start w:val="1"/>
      <w:numFmt w:val="bullet"/>
      <w:lvlText w:val="o"/>
      <w:lvlJc w:val="left"/>
      <w:pPr>
        <w:ind w:left="2518" w:hanging="360"/>
      </w:pPr>
      <w:rPr>
        <w:rFonts w:ascii="Courier New" w:hAnsi="Courier New" w:cs="Courier New" w:hint="default"/>
      </w:rPr>
    </w:lvl>
    <w:lvl w:ilvl="2" w:tplc="040C0005" w:tentative="1">
      <w:start w:val="1"/>
      <w:numFmt w:val="bullet"/>
      <w:lvlText w:val=""/>
      <w:lvlJc w:val="left"/>
      <w:pPr>
        <w:ind w:left="3238" w:hanging="360"/>
      </w:pPr>
      <w:rPr>
        <w:rFonts w:ascii="Wingdings" w:hAnsi="Wingdings" w:hint="default"/>
      </w:rPr>
    </w:lvl>
    <w:lvl w:ilvl="3" w:tplc="040C0001" w:tentative="1">
      <w:start w:val="1"/>
      <w:numFmt w:val="bullet"/>
      <w:lvlText w:val=""/>
      <w:lvlJc w:val="left"/>
      <w:pPr>
        <w:ind w:left="3958" w:hanging="360"/>
      </w:pPr>
      <w:rPr>
        <w:rFonts w:ascii="Symbol" w:hAnsi="Symbol" w:hint="default"/>
      </w:rPr>
    </w:lvl>
    <w:lvl w:ilvl="4" w:tplc="040C0003" w:tentative="1">
      <w:start w:val="1"/>
      <w:numFmt w:val="bullet"/>
      <w:lvlText w:val="o"/>
      <w:lvlJc w:val="left"/>
      <w:pPr>
        <w:ind w:left="4678" w:hanging="360"/>
      </w:pPr>
      <w:rPr>
        <w:rFonts w:ascii="Courier New" w:hAnsi="Courier New" w:cs="Courier New" w:hint="default"/>
      </w:rPr>
    </w:lvl>
    <w:lvl w:ilvl="5" w:tplc="040C0005" w:tentative="1">
      <w:start w:val="1"/>
      <w:numFmt w:val="bullet"/>
      <w:lvlText w:val=""/>
      <w:lvlJc w:val="left"/>
      <w:pPr>
        <w:ind w:left="5398" w:hanging="360"/>
      </w:pPr>
      <w:rPr>
        <w:rFonts w:ascii="Wingdings" w:hAnsi="Wingdings" w:hint="default"/>
      </w:rPr>
    </w:lvl>
    <w:lvl w:ilvl="6" w:tplc="040C0001" w:tentative="1">
      <w:start w:val="1"/>
      <w:numFmt w:val="bullet"/>
      <w:lvlText w:val=""/>
      <w:lvlJc w:val="left"/>
      <w:pPr>
        <w:ind w:left="6118" w:hanging="360"/>
      </w:pPr>
      <w:rPr>
        <w:rFonts w:ascii="Symbol" w:hAnsi="Symbol" w:hint="default"/>
      </w:rPr>
    </w:lvl>
    <w:lvl w:ilvl="7" w:tplc="040C0003" w:tentative="1">
      <w:start w:val="1"/>
      <w:numFmt w:val="bullet"/>
      <w:lvlText w:val="o"/>
      <w:lvlJc w:val="left"/>
      <w:pPr>
        <w:ind w:left="6838" w:hanging="360"/>
      </w:pPr>
      <w:rPr>
        <w:rFonts w:ascii="Courier New" w:hAnsi="Courier New" w:cs="Courier New" w:hint="default"/>
      </w:rPr>
    </w:lvl>
    <w:lvl w:ilvl="8" w:tplc="040C0005" w:tentative="1">
      <w:start w:val="1"/>
      <w:numFmt w:val="bullet"/>
      <w:lvlText w:val=""/>
      <w:lvlJc w:val="left"/>
      <w:pPr>
        <w:ind w:left="7558" w:hanging="360"/>
      </w:pPr>
      <w:rPr>
        <w:rFonts w:ascii="Wingdings" w:hAnsi="Wingdings" w:hint="default"/>
      </w:rPr>
    </w:lvl>
  </w:abstractNum>
  <w:abstractNum w:abstractNumId="13" w15:restartNumberingAfterBreak="0">
    <w:nsid w:val="3E631106"/>
    <w:multiLevelType w:val="hybridMultilevel"/>
    <w:tmpl w:val="EE5A77D8"/>
    <w:lvl w:ilvl="0" w:tplc="BA98F8BE">
      <w:start w:val="1"/>
      <w:numFmt w:val="bullet"/>
      <w:lvlText w:val="-"/>
      <w:lvlJc w:val="left"/>
      <w:pPr>
        <w:ind w:left="720" w:hanging="360"/>
      </w:pPr>
      <w:rPr>
        <w:rFonts w:ascii="Calibri" w:eastAsiaTheme="minorHAnsi" w:hAnsi="Calibri" w:cs="Calibri" w:hint="default"/>
      </w:rPr>
    </w:lvl>
    <w:lvl w:ilvl="1" w:tplc="92B2440A">
      <w:start w:val="2016"/>
      <w:numFmt w:val="bullet"/>
      <w:lvlText w:val="-"/>
      <w:lvlJc w:val="left"/>
      <w:pPr>
        <w:ind w:left="1440" w:hanging="360"/>
      </w:pPr>
      <w:rPr>
        <w:rFonts w:ascii="Times New Roman" w:hAnsi="Times New Roman" w:cs="Times New Roman" w:hint="default"/>
        <w:sz w:val="24"/>
        <w:szCs w:val="24"/>
        <w:u w:val="none"/>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149597B"/>
    <w:multiLevelType w:val="hybridMultilevel"/>
    <w:tmpl w:val="B726C356"/>
    <w:lvl w:ilvl="0" w:tplc="3CE2279C">
      <w:start w:val="1"/>
      <w:numFmt w:val="upperRoman"/>
      <w:pStyle w:val="Titre5"/>
      <w:lvlText w:val="PARTIE %1 :"/>
      <w:lvlJc w:val="left"/>
      <w:pPr>
        <w:ind w:left="717"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1BF7917"/>
    <w:multiLevelType w:val="hybridMultilevel"/>
    <w:tmpl w:val="B06A60A8"/>
    <w:lvl w:ilvl="0" w:tplc="1396B57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36C3F15"/>
    <w:multiLevelType w:val="hybridMultilevel"/>
    <w:tmpl w:val="5A10876E"/>
    <w:lvl w:ilvl="0" w:tplc="228231D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6237E4E"/>
    <w:multiLevelType w:val="hybridMultilevel"/>
    <w:tmpl w:val="B2BA2D0C"/>
    <w:lvl w:ilvl="0" w:tplc="54107136">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B1930E7"/>
    <w:multiLevelType w:val="hybridMultilevel"/>
    <w:tmpl w:val="88A823F2"/>
    <w:lvl w:ilvl="0" w:tplc="50BA612A">
      <w:start w:val="1"/>
      <w:numFmt w:val="upperRoman"/>
      <w:pStyle w:val="Paragraphedeliste"/>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E4457EC"/>
    <w:multiLevelType w:val="hybridMultilevel"/>
    <w:tmpl w:val="E2B843B6"/>
    <w:lvl w:ilvl="0" w:tplc="0404532A">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8335310"/>
    <w:multiLevelType w:val="hybridMultilevel"/>
    <w:tmpl w:val="233E8962"/>
    <w:lvl w:ilvl="0" w:tplc="80F001CA">
      <w:start w:val="95"/>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AAB2DE7"/>
    <w:multiLevelType w:val="hybridMultilevel"/>
    <w:tmpl w:val="B47EB87C"/>
    <w:lvl w:ilvl="0" w:tplc="8A986C72">
      <w:start w:val="1"/>
      <w:numFmt w:val="upperRoman"/>
      <w:lvlText w:val="%1."/>
      <w:lvlJc w:val="left"/>
      <w:pPr>
        <w:ind w:left="1080"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C654711"/>
    <w:multiLevelType w:val="hybridMultilevel"/>
    <w:tmpl w:val="FB4E7FDE"/>
    <w:lvl w:ilvl="0" w:tplc="D534D83C">
      <w:start w:val="1"/>
      <w:numFmt w:val="upperRoman"/>
      <w:pStyle w:val="Titre1"/>
      <w:lvlText w:val="TITRE %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25B7E22"/>
    <w:multiLevelType w:val="hybridMultilevel"/>
    <w:tmpl w:val="9816F124"/>
    <w:lvl w:ilvl="0" w:tplc="7C80A60C">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A3B1885"/>
    <w:multiLevelType w:val="hybridMultilevel"/>
    <w:tmpl w:val="12AEDA34"/>
    <w:lvl w:ilvl="0" w:tplc="0D2CBA7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3350FA5"/>
    <w:multiLevelType w:val="multilevel"/>
    <w:tmpl w:val="A1000BBC"/>
    <w:lvl w:ilvl="0">
      <w:start w:val="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3F310DF"/>
    <w:multiLevelType w:val="hybridMultilevel"/>
    <w:tmpl w:val="4B6617CE"/>
    <w:lvl w:ilvl="0" w:tplc="941A4DB4">
      <w:start w:val="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51A34EB"/>
    <w:multiLevelType w:val="hybridMultilevel"/>
    <w:tmpl w:val="8668ED80"/>
    <w:lvl w:ilvl="0" w:tplc="63F40FE8">
      <w:start w:val="1"/>
      <w:numFmt w:val="upperRoman"/>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8" w15:restartNumberingAfterBreak="0">
    <w:nsid w:val="75407771"/>
    <w:multiLevelType w:val="hybridMultilevel"/>
    <w:tmpl w:val="50F2EC6E"/>
    <w:lvl w:ilvl="0" w:tplc="AED4A65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86E726A"/>
    <w:multiLevelType w:val="multilevel"/>
    <w:tmpl w:val="1B8C1032"/>
    <w:lvl w:ilvl="0">
      <w:start w:val="1"/>
      <w:numFmt w:val="decimal"/>
      <w:pStyle w:val="Titre6"/>
      <w:lvlText w:val="%1."/>
      <w:lvlJc w:val="left"/>
      <w:pPr>
        <w:ind w:left="92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Titre7"/>
      <w:lvlText w:val="%1.%2."/>
      <w:lvlJc w:val="left"/>
      <w:pPr>
        <w:ind w:left="1360"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30" w15:restartNumberingAfterBreak="0">
    <w:nsid w:val="7B1114F0"/>
    <w:multiLevelType w:val="hybridMultilevel"/>
    <w:tmpl w:val="C41608D4"/>
    <w:lvl w:ilvl="0" w:tplc="00000002">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21"/>
  </w:num>
  <w:num w:numId="4">
    <w:abstractNumId w:val="22"/>
  </w:num>
  <w:num w:numId="5">
    <w:abstractNumId w:val="2"/>
  </w:num>
  <w:num w:numId="6">
    <w:abstractNumId w:val="18"/>
  </w:num>
  <w:num w:numId="7">
    <w:abstractNumId w:val="19"/>
  </w:num>
  <w:num w:numId="8">
    <w:abstractNumId w:val="26"/>
  </w:num>
  <w:num w:numId="9">
    <w:abstractNumId w:val="24"/>
  </w:num>
  <w:num w:numId="10">
    <w:abstractNumId w:val="25"/>
  </w:num>
  <w:num w:numId="11">
    <w:abstractNumId w:val="17"/>
  </w:num>
  <w:num w:numId="12">
    <w:abstractNumId w:val="23"/>
  </w:num>
  <w:num w:numId="13">
    <w:abstractNumId w:val="10"/>
  </w:num>
  <w:num w:numId="14">
    <w:abstractNumId w:val="9"/>
  </w:num>
  <w:num w:numId="15">
    <w:abstractNumId w:val="14"/>
  </w:num>
  <w:num w:numId="16">
    <w:abstractNumId w:val="29"/>
  </w:num>
  <w:num w:numId="17">
    <w:abstractNumId w:val="3"/>
  </w:num>
  <w:num w:numId="18">
    <w:abstractNumId w:val="29"/>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15"/>
  </w:num>
  <w:num w:numId="22">
    <w:abstractNumId w:val="18"/>
    <w:lvlOverride w:ilvl="0">
      <w:startOverride w:val="1"/>
    </w:lvlOverride>
  </w:num>
  <w:num w:numId="23">
    <w:abstractNumId w:val="14"/>
    <w:lvlOverride w:ilvl="0">
      <w:startOverride w:val="1"/>
    </w:lvlOverride>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1"/>
  </w:num>
  <w:num w:numId="28">
    <w:abstractNumId w:val="30"/>
  </w:num>
  <w:num w:numId="29">
    <w:abstractNumId w:val="8"/>
  </w:num>
  <w:num w:numId="30">
    <w:abstractNumId w:val="28"/>
  </w:num>
  <w:num w:numId="31">
    <w:abstractNumId w:val="13"/>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20"/>
  </w:num>
  <w:num w:numId="35">
    <w:abstractNumId w:val="16"/>
  </w:num>
  <w:num w:numId="36">
    <w:abstractNumId w:val="12"/>
  </w:num>
  <w:num w:numId="37">
    <w:abstractNumId w:val="11"/>
  </w:num>
  <w:num w:numId="38">
    <w:abstractNumId w:val="4"/>
  </w:num>
  <w:num w:numId="39">
    <w:abstractNumId w:val="18"/>
  </w:num>
  <w:num w:numId="40">
    <w:abstractNumId w:val="5"/>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lvlOverride w:ilvl="0">
      <w:startOverride w:val="1"/>
    </w:lvlOverride>
  </w:num>
  <w:num w:numId="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4"/>
    <w:lvlOverride w:ilvl="0">
      <w:startOverride w:val="1"/>
    </w:lvlOverride>
  </w:num>
  <w:num w:numId="45">
    <w:abstractNumId w:val="18"/>
  </w:num>
  <w:num w:numId="46">
    <w:abstractNumId w:val="14"/>
    <w:lvlOverride w:ilvl="0">
      <w:startOverride w:val="1"/>
    </w:lvlOverride>
  </w:num>
  <w:num w:numId="47">
    <w:abstractNumId w:val="14"/>
    <w:lvlOverride w:ilvl="0">
      <w:startOverride w:val="1"/>
    </w:lvlOverride>
  </w:num>
  <w:num w:numId="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28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855"/>
    <w:rsid w:val="00003F58"/>
    <w:rsid w:val="00004ADD"/>
    <w:rsid w:val="0001250E"/>
    <w:rsid w:val="00012B57"/>
    <w:rsid w:val="00013875"/>
    <w:rsid w:val="000240BB"/>
    <w:rsid w:val="000259A1"/>
    <w:rsid w:val="00031402"/>
    <w:rsid w:val="00032417"/>
    <w:rsid w:val="00034078"/>
    <w:rsid w:val="00035AF0"/>
    <w:rsid w:val="00040407"/>
    <w:rsid w:val="00045B74"/>
    <w:rsid w:val="00047154"/>
    <w:rsid w:val="00047D3B"/>
    <w:rsid w:val="000518D1"/>
    <w:rsid w:val="000523B4"/>
    <w:rsid w:val="00052BCF"/>
    <w:rsid w:val="00053DF0"/>
    <w:rsid w:val="0007134F"/>
    <w:rsid w:val="00074915"/>
    <w:rsid w:val="000758E6"/>
    <w:rsid w:val="00097506"/>
    <w:rsid w:val="000A05F7"/>
    <w:rsid w:val="000B168B"/>
    <w:rsid w:val="000B3F6F"/>
    <w:rsid w:val="000B79A7"/>
    <w:rsid w:val="000C3CCD"/>
    <w:rsid w:val="000C6F3A"/>
    <w:rsid w:val="000C795B"/>
    <w:rsid w:val="000E737C"/>
    <w:rsid w:val="000E74D7"/>
    <w:rsid w:val="00101EFE"/>
    <w:rsid w:val="0010408E"/>
    <w:rsid w:val="00112341"/>
    <w:rsid w:val="00132937"/>
    <w:rsid w:val="00140B83"/>
    <w:rsid w:val="00142788"/>
    <w:rsid w:val="00143813"/>
    <w:rsid w:val="0014511E"/>
    <w:rsid w:val="00156B14"/>
    <w:rsid w:val="0016067B"/>
    <w:rsid w:val="00166544"/>
    <w:rsid w:val="0017209F"/>
    <w:rsid w:val="001865E3"/>
    <w:rsid w:val="0019138C"/>
    <w:rsid w:val="0019329D"/>
    <w:rsid w:val="00195EFC"/>
    <w:rsid w:val="001A2855"/>
    <w:rsid w:val="001A3805"/>
    <w:rsid w:val="001C0957"/>
    <w:rsid w:val="001C7BB5"/>
    <w:rsid w:val="001D2511"/>
    <w:rsid w:val="001E3DC2"/>
    <w:rsid w:val="001F4D1D"/>
    <w:rsid w:val="00200F87"/>
    <w:rsid w:val="00210944"/>
    <w:rsid w:val="002118CB"/>
    <w:rsid w:val="00212378"/>
    <w:rsid w:val="0021289E"/>
    <w:rsid w:val="002213CF"/>
    <w:rsid w:val="002230C6"/>
    <w:rsid w:val="00223979"/>
    <w:rsid w:val="00224648"/>
    <w:rsid w:val="00227E83"/>
    <w:rsid w:val="0023603C"/>
    <w:rsid w:val="00240FC6"/>
    <w:rsid w:val="002523E6"/>
    <w:rsid w:val="00257E0C"/>
    <w:rsid w:val="00263C37"/>
    <w:rsid w:val="00265BC4"/>
    <w:rsid w:val="00267AB3"/>
    <w:rsid w:val="0028268A"/>
    <w:rsid w:val="002861D4"/>
    <w:rsid w:val="002A0CB2"/>
    <w:rsid w:val="002A23D0"/>
    <w:rsid w:val="002C37B0"/>
    <w:rsid w:val="002C679C"/>
    <w:rsid w:val="002C6AEE"/>
    <w:rsid w:val="002F2D8B"/>
    <w:rsid w:val="002F42B4"/>
    <w:rsid w:val="00304DB2"/>
    <w:rsid w:val="003134E6"/>
    <w:rsid w:val="00316C2F"/>
    <w:rsid w:val="003175F2"/>
    <w:rsid w:val="003230A3"/>
    <w:rsid w:val="0032392B"/>
    <w:rsid w:val="00324401"/>
    <w:rsid w:val="0032499B"/>
    <w:rsid w:val="00342BAF"/>
    <w:rsid w:val="00345C20"/>
    <w:rsid w:val="0034685B"/>
    <w:rsid w:val="00364BAC"/>
    <w:rsid w:val="003677FE"/>
    <w:rsid w:val="003803ED"/>
    <w:rsid w:val="0038152B"/>
    <w:rsid w:val="0038194B"/>
    <w:rsid w:val="00390481"/>
    <w:rsid w:val="003A0BC6"/>
    <w:rsid w:val="003A6E3E"/>
    <w:rsid w:val="003B2EB2"/>
    <w:rsid w:val="003C0E26"/>
    <w:rsid w:val="003C1E49"/>
    <w:rsid w:val="003C7747"/>
    <w:rsid w:val="003D0336"/>
    <w:rsid w:val="003D5D08"/>
    <w:rsid w:val="003D77A4"/>
    <w:rsid w:val="003E02A1"/>
    <w:rsid w:val="003F747A"/>
    <w:rsid w:val="00403395"/>
    <w:rsid w:val="00417003"/>
    <w:rsid w:val="004305B4"/>
    <w:rsid w:val="00430CBB"/>
    <w:rsid w:val="00445109"/>
    <w:rsid w:val="00450DDA"/>
    <w:rsid w:val="00457924"/>
    <w:rsid w:val="004600F9"/>
    <w:rsid w:val="0046089D"/>
    <w:rsid w:val="00464D2B"/>
    <w:rsid w:val="00465511"/>
    <w:rsid w:val="00473601"/>
    <w:rsid w:val="0047562F"/>
    <w:rsid w:val="00485B48"/>
    <w:rsid w:val="00490676"/>
    <w:rsid w:val="00491ADC"/>
    <w:rsid w:val="004A1D3F"/>
    <w:rsid w:val="004B1F30"/>
    <w:rsid w:val="004B3E2E"/>
    <w:rsid w:val="004B7E7F"/>
    <w:rsid w:val="004C0331"/>
    <w:rsid w:val="004C1772"/>
    <w:rsid w:val="004D1646"/>
    <w:rsid w:val="004D2802"/>
    <w:rsid w:val="004D7B1D"/>
    <w:rsid w:val="004E1462"/>
    <w:rsid w:val="004E6BF5"/>
    <w:rsid w:val="004E6D76"/>
    <w:rsid w:val="004F00EC"/>
    <w:rsid w:val="004F123B"/>
    <w:rsid w:val="004F2D43"/>
    <w:rsid w:val="004F74B4"/>
    <w:rsid w:val="00500A57"/>
    <w:rsid w:val="00505DA9"/>
    <w:rsid w:val="00506BF6"/>
    <w:rsid w:val="00511F7F"/>
    <w:rsid w:val="00515639"/>
    <w:rsid w:val="00517FFB"/>
    <w:rsid w:val="005242E3"/>
    <w:rsid w:val="005246E9"/>
    <w:rsid w:val="00524B12"/>
    <w:rsid w:val="0052651E"/>
    <w:rsid w:val="005302B8"/>
    <w:rsid w:val="0053472A"/>
    <w:rsid w:val="00537083"/>
    <w:rsid w:val="005376F7"/>
    <w:rsid w:val="0054020D"/>
    <w:rsid w:val="00556495"/>
    <w:rsid w:val="00557AEB"/>
    <w:rsid w:val="00562F82"/>
    <w:rsid w:val="005671F2"/>
    <w:rsid w:val="005737F2"/>
    <w:rsid w:val="00580EBA"/>
    <w:rsid w:val="0058202D"/>
    <w:rsid w:val="00593497"/>
    <w:rsid w:val="005A4FB5"/>
    <w:rsid w:val="005B46A5"/>
    <w:rsid w:val="005C1255"/>
    <w:rsid w:val="005C1BB6"/>
    <w:rsid w:val="005C32FB"/>
    <w:rsid w:val="005C3F14"/>
    <w:rsid w:val="005E3473"/>
    <w:rsid w:val="005E706D"/>
    <w:rsid w:val="005E78A2"/>
    <w:rsid w:val="005E7CCF"/>
    <w:rsid w:val="005F4565"/>
    <w:rsid w:val="005F5179"/>
    <w:rsid w:val="005F7A45"/>
    <w:rsid w:val="00603D80"/>
    <w:rsid w:val="00603E6B"/>
    <w:rsid w:val="0060473F"/>
    <w:rsid w:val="006100F0"/>
    <w:rsid w:val="00611FC7"/>
    <w:rsid w:val="00617DDB"/>
    <w:rsid w:val="00630419"/>
    <w:rsid w:val="00635867"/>
    <w:rsid w:val="00635E35"/>
    <w:rsid w:val="00642C19"/>
    <w:rsid w:val="00656E9E"/>
    <w:rsid w:val="00663053"/>
    <w:rsid w:val="00664655"/>
    <w:rsid w:val="0067282A"/>
    <w:rsid w:val="006741D7"/>
    <w:rsid w:val="00690FB8"/>
    <w:rsid w:val="006921F1"/>
    <w:rsid w:val="00692FF1"/>
    <w:rsid w:val="006941F7"/>
    <w:rsid w:val="00697894"/>
    <w:rsid w:val="006A18A0"/>
    <w:rsid w:val="006A1FB6"/>
    <w:rsid w:val="006A36B1"/>
    <w:rsid w:val="006B19DB"/>
    <w:rsid w:val="006C1EA3"/>
    <w:rsid w:val="006C6C95"/>
    <w:rsid w:val="006C7734"/>
    <w:rsid w:val="006E2899"/>
    <w:rsid w:val="006F1A32"/>
    <w:rsid w:val="006F35B0"/>
    <w:rsid w:val="006F6A1C"/>
    <w:rsid w:val="006F79B7"/>
    <w:rsid w:val="00702952"/>
    <w:rsid w:val="00702F49"/>
    <w:rsid w:val="00713976"/>
    <w:rsid w:val="0071709E"/>
    <w:rsid w:val="00721A32"/>
    <w:rsid w:val="0072658B"/>
    <w:rsid w:val="00733D9F"/>
    <w:rsid w:val="007361B2"/>
    <w:rsid w:val="0074061C"/>
    <w:rsid w:val="00741017"/>
    <w:rsid w:val="00742E69"/>
    <w:rsid w:val="00744508"/>
    <w:rsid w:val="0074648A"/>
    <w:rsid w:val="00757192"/>
    <w:rsid w:val="00760A20"/>
    <w:rsid w:val="007644DB"/>
    <w:rsid w:val="00764899"/>
    <w:rsid w:val="0076603F"/>
    <w:rsid w:val="00766CC2"/>
    <w:rsid w:val="00767408"/>
    <w:rsid w:val="00771EC8"/>
    <w:rsid w:val="00773CDF"/>
    <w:rsid w:val="0078435F"/>
    <w:rsid w:val="00785284"/>
    <w:rsid w:val="007A5D47"/>
    <w:rsid w:val="007A5F76"/>
    <w:rsid w:val="007B643E"/>
    <w:rsid w:val="007C6C0F"/>
    <w:rsid w:val="007D30F8"/>
    <w:rsid w:val="007E0B47"/>
    <w:rsid w:val="007E0C63"/>
    <w:rsid w:val="007E77C5"/>
    <w:rsid w:val="007F14B9"/>
    <w:rsid w:val="007F1EA8"/>
    <w:rsid w:val="007F40E5"/>
    <w:rsid w:val="007F6B79"/>
    <w:rsid w:val="00803ADF"/>
    <w:rsid w:val="00814C60"/>
    <w:rsid w:val="00814CEF"/>
    <w:rsid w:val="00821DEC"/>
    <w:rsid w:val="00823E5F"/>
    <w:rsid w:val="008244F0"/>
    <w:rsid w:val="00825713"/>
    <w:rsid w:val="00827A05"/>
    <w:rsid w:val="00841521"/>
    <w:rsid w:val="008439D3"/>
    <w:rsid w:val="00843B00"/>
    <w:rsid w:val="00854644"/>
    <w:rsid w:val="00855C24"/>
    <w:rsid w:val="00864556"/>
    <w:rsid w:val="00865A77"/>
    <w:rsid w:val="00866253"/>
    <w:rsid w:val="00871860"/>
    <w:rsid w:val="0087364F"/>
    <w:rsid w:val="00892EBA"/>
    <w:rsid w:val="00896B5F"/>
    <w:rsid w:val="008A051C"/>
    <w:rsid w:val="008B32B7"/>
    <w:rsid w:val="008B5EC4"/>
    <w:rsid w:val="008B72EF"/>
    <w:rsid w:val="008C561B"/>
    <w:rsid w:val="008D3F44"/>
    <w:rsid w:val="008D793D"/>
    <w:rsid w:val="008E1467"/>
    <w:rsid w:val="008E291D"/>
    <w:rsid w:val="008E32DB"/>
    <w:rsid w:val="00906764"/>
    <w:rsid w:val="00912046"/>
    <w:rsid w:val="00923C31"/>
    <w:rsid w:val="009265F3"/>
    <w:rsid w:val="00926D19"/>
    <w:rsid w:val="00932CA5"/>
    <w:rsid w:val="00933F50"/>
    <w:rsid w:val="00937BD6"/>
    <w:rsid w:val="00942254"/>
    <w:rsid w:val="009547F1"/>
    <w:rsid w:val="00955122"/>
    <w:rsid w:val="00965E1A"/>
    <w:rsid w:val="00971927"/>
    <w:rsid w:val="00975325"/>
    <w:rsid w:val="0098102E"/>
    <w:rsid w:val="0098510B"/>
    <w:rsid w:val="00990003"/>
    <w:rsid w:val="0099764F"/>
    <w:rsid w:val="00997A24"/>
    <w:rsid w:val="00997D76"/>
    <w:rsid w:val="009A2E2A"/>
    <w:rsid w:val="009B5003"/>
    <w:rsid w:val="009C3EEB"/>
    <w:rsid w:val="009D7310"/>
    <w:rsid w:val="009E0991"/>
    <w:rsid w:val="009E1060"/>
    <w:rsid w:val="009E18E5"/>
    <w:rsid w:val="009E5BF1"/>
    <w:rsid w:val="009F2A30"/>
    <w:rsid w:val="009F3D79"/>
    <w:rsid w:val="009F40F7"/>
    <w:rsid w:val="00A02594"/>
    <w:rsid w:val="00A04030"/>
    <w:rsid w:val="00A10DCB"/>
    <w:rsid w:val="00A13A1A"/>
    <w:rsid w:val="00A1566B"/>
    <w:rsid w:val="00A16276"/>
    <w:rsid w:val="00A2187F"/>
    <w:rsid w:val="00A2293F"/>
    <w:rsid w:val="00A22FA7"/>
    <w:rsid w:val="00A348C0"/>
    <w:rsid w:val="00A3740F"/>
    <w:rsid w:val="00A40263"/>
    <w:rsid w:val="00A47592"/>
    <w:rsid w:val="00A54D22"/>
    <w:rsid w:val="00A54F73"/>
    <w:rsid w:val="00A559A7"/>
    <w:rsid w:val="00A56B6C"/>
    <w:rsid w:val="00A872C1"/>
    <w:rsid w:val="00A93FE3"/>
    <w:rsid w:val="00AA0090"/>
    <w:rsid w:val="00AA38CA"/>
    <w:rsid w:val="00AA5256"/>
    <w:rsid w:val="00AA57C7"/>
    <w:rsid w:val="00AB0226"/>
    <w:rsid w:val="00AB20B8"/>
    <w:rsid w:val="00AB5367"/>
    <w:rsid w:val="00AB6ABD"/>
    <w:rsid w:val="00AB7FB5"/>
    <w:rsid w:val="00AC40AD"/>
    <w:rsid w:val="00AC6485"/>
    <w:rsid w:val="00AD5C28"/>
    <w:rsid w:val="00AF36EA"/>
    <w:rsid w:val="00AF71B5"/>
    <w:rsid w:val="00B0058C"/>
    <w:rsid w:val="00B22B9B"/>
    <w:rsid w:val="00B22DB9"/>
    <w:rsid w:val="00B273A1"/>
    <w:rsid w:val="00B42CF3"/>
    <w:rsid w:val="00B55B3E"/>
    <w:rsid w:val="00B64A73"/>
    <w:rsid w:val="00B64DDB"/>
    <w:rsid w:val="00B64F22"/>
    <w:rsid w:val="00B73E45"/>
    <w:rsid w:val="00B77192"/>
    <w:rsid w:val="00B777F9"/>
    <w:rsid w:val="00B80206"/>
    <w:rsid w:val="00B832C0"/>
    <w:rsid w:val="00B84A2D"/>
    <w:rsid w:val="00B85218"/>
    <w:rsid w:val="00B91953"/>
    <w:rsid w:val="00BA671E"/>
    <w:rsid w:val="00BB536D"/>
    <w:rsid w:val="00BC0AB9"/>
    <w:rsid w:val="00BC0CA6"/>
    <w:rsid w:val="00BC21DF"/>
    <w:rsid w:val="00BC7CC6"/>
    <w:rsid w:val="00BD2CE1"/>
    <w:rsid w:val="00BD40F0"/>
    <w:rsid w:val="00BD73F5"/>
    <w:rsid w:val="00BD7860"/>
    <w:rsid w:val="00BE356F"/>
    <w:rsid w:val="00BE6F11"/>
    <w:rsid w:val="00BF2119"/>
    <w:rsid w:val="00BF403D"/>
    <w:rsid w:val="00C03EB4"/>
    <w:rsid w:val="00C20A8E"/>
    <w:rsid w:val="00C23EDD"/>
    <w:rsid w:val="00C24832"/>
    <w:rsid w:val="00C2769F"/>
    <w:rsid w:val="00C602A5"/>
    <w:rsid w:val="00C65659"/>
    <w:rsid w:val="00C71D7F"/>
    <w:rsid w:val="00C72BD2"/>
    <w:rsid w:val="00C75F0F"/>
    <w:rsid w:val="00C77219"/>
    <w:rsid w:val="00C945D0"/>
    <w:rsid w:val="00C95E71"/>
    <w:rsid w:val="00C968FB"/>
    <w:rsid w:val="00CA03BA"/>
    <w:rsid w:val="00CA4953"/>
    <w:rsid w:val="00CA4B28"/>
    <w:rsid w:val="00CA631C"/>
    <w:rsid w:val="00CB2BA6"/>
    <w:rsid w:val="00CD3128"/>
    <w:rsid w:val="00CD4B24"/>
    <w:rsid w:val="00CD591E"/>
    <w:rsid w:val="00CD601C"/>
    <w:rsid w:val="00CD607B"/>
    <w:rsid w:val="00CD66A8"/>
    <w:rsid w:val="00CE43A6"/>
    <w:rsid w:val="00CE44A8"/>
    <w:rsid w:val="00CF249D"/>
    <w:rsid w:val="00D11249"/>
    <w:rsid w:val="00D12E1E"/>
    <w:rsid w:val="00D31841"/>
    <w:rsid w:val="00D3536F"/>
    <w:rsid w:val="00D36AD8"/>
    <w:rsid w:val="00D42264"/>
    <w:rsid w:val="00D44C51"/>
    <w:rsid w:val="00D50E5F"/>
    <w:rsid w:val="00D56689"/>
    <w:rsid w:val="00D61655"/>
    <w:rsid w:val="00D6460B"/>
    <w:rsid w:val="00D75257"/>
    <w:rsid w:val="00D7544D"/>
    <w:rsid w:val="00D849D1"/>
    <w:rsid w:val="00D91C87"/>
    <w:rsid w:val="00D96D9A"/>
    <w:rsid w:val="00D97C91"/>
    <w:rsid w:val="00DA340A"/>
    <w:rsid w:val="00DB0BE2"/>
    <w:rsid w:val="00DB4DA1"/>
    <w:rsid w:val="00DB7D28"/>
    <w:rsid w:val="00DD2CFD"/>
    <w:rsid w:val="00DD530C"/>
    <w:rsid w:val="00DE6463"/>
    <w:rsid w:val="00DF0DDD"/>
    <w:rsid w:val="00DF1043"/>
    <w:rsid w:val="00E00EF2"/>
    <w:rsid w:val="00E04AE5"/>
    <w:rsid w:val="00E04C8D"/>
    <w:rsid w:val="00E0581B"/>
    <w:rsid w:val="00E05843"/>
    <w:rsid w:val="00E1448A"/>
    <w:rsid w:val="00E2045D"/>
    <w:rsid w:val="00E214C2"/>
    <w:rsid w:val="00E24E9E"/>
    <w:rsid w:val="00E2614B"/>
    <w:rsid w:val="00E263C3"/>
    <w:rsid w:val="00E30E9F"/>
    <w:rsid w:val="00E30F98"/>
    <w:rsid w:val="00E52D22"/>
    <w:rsid w:val="00E63A77"/>
    <w:rsid w:val="00E76A8B"/>
    <w:rsid w:val="00E7783F"/>
    <w:rsid w:val="00E8319A"/>
    <w:rsid w:val="00E85F4B"/>
    <w:rsid w:val="00E9780A"/>
    <w:rsid w:val="00EA0C25"/>
    <w:rsid w:val="00EA4EC2"/>
    <w:rsid w:val="00EA7FBA"/>
    <w:rsid w:val="00EE3156"/>
    <w:rsid w:val="00EE4A1A"/>
    <w:rsid w:val="00EE4D02"/>
    <w:rsid w:val="00EF22F6"/>
    <w:rsid w:val="00EF43E6"/>
    <w:rsid w:val="00EF485B"/>
    <w:rsid w:val="00EF6F19"/>
    <w:rsid w:val="00F00823"/>
    <w:rsid w:val="00F01EBB"/>
    <w:rsid w:val="00F11BAA"/>
    <w:rsid w:val="00F26D54"/>
    <w:rsid w:val="00F335F5"/>
    <w:rsid w:val="00F45D94"/>
    <w:rsid w:val="00F55AE3"/>
    <w:rsid w:val="00F5617D"/>
    <w:rsid w:val="00F6040B"/>
    <w:rsid w:val="00F7078D"/>
    <w:rsid w:val="00F723DA"/>
    <w:rsid w:val="00F77068"/>
    <w:rsid w:val="00F81657"/>
    <w:rsid w:val="00F86151"/>
    <w:rsid w:val="00F86A6F"/>
    <w:rsid w:val="00F9144F"/>
    <w:rsid w:val="00F92A8B"/>
    <w:rsid w:val="00F9619D"/>
    <w:rsid w:val="00F96CB4"/>
    <w:rsid w:val="00F96E3E"/>
    <w:rsid w:val="00F973C1"/>
    <w:rsid w:val="00FB442F"/>
    <w:rsid w:val="00FC0B23"/>
    <w:rsid w:val="00FC495C"/>
    <w:rsid w:val="00FC5866"/>
    <w:rsid w:val="00FE7A29"/>
    <w:rsid w:val="00FF1B40"/>
    <w:rsid w:val="00FF75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6ABA4"/>
  <w15:docId w15:val="{EC8DC9B2-75F6-465B-96F1-EA808C009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2A30"/>
    <w:pPr>
      <w:jc w:val="both"/>
    </w:pPr>
    <w:rPr>
      <w:lang w:eastAsia="zh-CN" w:bidi="hi-IN"/>
    </w:rPr>
  </w:style>
  <w:style w:type="paragraph" w:styleId="Titre1">
    <w:name w:val="heading 1"/>
    <w:basedOn w:val="Sous-titre"/>
    <w:next w:val="Normal"/>
    <w:link w:val="Titre1Car"/>
    <w:uiPriority w:val="9"/>
    <w:qFormat/>
    <w:rsid w:val="00403395"/>
    <w:pPr>
      <w:numPr>
        <w:numId w:val="4"/>
      </w:numPr>
      <w:ind w:left="1588" w:hanging="1588"/>
      <w:outlineLvl w:val="0"/>
    </w:pPr>
  </w:style>
  <w:style w:type="paragraph" w:styleId="Titre2">
    <w:name w:val="heading 2"/>
    <w:basedOn w:val="Normal"/>
    <w:next w:val="Normal"/>
    <w:link w:val="Titre2Car"/>
    <w:uiPriority w:val="9"/>
    <w:unhideWhenUsed/>
    <w:qFormat/>
    <w:rsid w:val="0019138C"/>
    <w:pPr>
      <w:numPr>
        <w:numId w:val="20"/>
      </w:numPr>
      <w:spacing w:before="360"/>
      <w:outlineLvl w:val="1"/>
    </w:pPr>
    <w:rPr>
      <w:b/>
    </w:rPr>
  </w:style>
  <w:style w:type="paragraph" w:styleId="Titre3">
    <w:name w:val="heading 3"/>
    <w:basedOn w:val="Normal"/>
    <w:next w:val="Normal"/>
    <w:link w:val="Titre3Car"/>
    <w:uiPriority w:val="9"/>
    <w:unhideWhenUsed/>
    <w:qFormat/>
    <w:rsid w:val="00DF0DDD"/>
    <w:pPr>
      <w:numPr>
        <w:numId w:val="2"/>
      </w:numPr>
      <w:spacing w:before="240" w:after="120"/>
      <w:outlineLvl w:val="2"/>
    </w:pPr>
    <w:rPr>
      <w:b/>
    </w:rPr>
  </w:style>
  <w:style w:type="paragraph" w:styleId="Titre4">
    <w:name w:val="heading 4"/>
    <w:basedOn w:val="Titre1"/>
    <w:next w:val="Normal"/>
    <w:link w:val="Titre4Car"/>
    <w:uiPriority w:val="9"/>
    <w:unhideWhenUsed/>
    <w:qFormat/>
    <w:rsid w:val="00B64F22"/>
    <w:pPr>
      <w:numPr>
        <w:numId w:val="5"/>
      </w:numPr>
      <w:outlineLvl w:val="3"/>
    </w:pPr>
  </w:style>
  <w:style w:type="paragraph" w:styleId="Titre5">
    <w:name w:val="heading 5"/>
    <w:basedOn w:val="Titre2"/>
    <w:next w:val="Normal"/>
    <w:link w:val="Titre5Car"/>
    <w:uiPriority w:val="9"/>
    <w:unhideWhenUsed/>
    <w:qFormat/>
    <w:rsid w:val="00B42CF3"/>
    <w:pPr>
      <w:numPr>
        <w:numId w:val="15"/>
      </w:numPr>
      <w:outlineLvl w:val="4"/>
    </w:pPr>
    <w:rPr>
      <w14:scene3d>
        <w14:camera w14:prst="orthographicFront"/>
        <w14:lightRig w14:rig="threePt" w14:dir="t">
          <w14:rot w14:lat="0" w14:lon="0" w14:rev="0"/>
        </w14:lightRig>
      </w14:scene3d>
    </w:rPr>
  </w:style>
  <w:style w:type="paragraph" w:styleId="Titre6">
    <w:name w:val="heading 6"/>
    <w:basedOn w:val="Normal"/>
    <w:next w:val="Normal"/>
    <w:link w:val="Titre6Car"/>
    <w:uiPriority w:val="9"/>
    <w:unhideWhenUsed/>
    <w:qFormat/>
    <w:rsid w:val="00A02594"/>
    <w:pPr>
      <w:keepNext/>
      <w:keepLines/>
      <w:numPr>
        <w:numId w:val="18"/>
      </w:numPr>
      <w:spacing w:before="40" w:after="120"/>
      <w:ind w:left="754" w:hanging="357"/>
      <w:outlineLvl w:val="5"/>
    </w:pPr>
    <w:rPr>
      <w:rFonts w:eastAsiaTheme="majorEastAsia" w:cstheme="minorHAnsi"/>
      <w:szCs w:val="20"/>
      <w:u w:val="single"/>
    </w:rPr>
  </w:style>
  <w:style w:type="paragraph" w:styleId="Titre7">
    <w:name w:val="heading 7"/>
    <w:basedOn w:val="Titre6"/>
    <w:next w:val="Normal"/>
    <w:link w:val="Titre7Car"/>
    <w:uiPriority w:val="9"/>
    <w:unhideWhenUsed/>
    <w:qFormat/>
    <w:rsid w:val="00A02594"/>
    <w:pPr>
      <w:numPr>
        <w:ilvl w:val="1"/>
      </w:numPr>
      <w:outlineLvl w:val="6"/>
    </w:pPr>
    <w:rPr>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1A285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A2855"/>
    <w:rPr>
      <w:rFonts w:asciiTheme="majorHAnsi" w:eastAsiaTheme="majorEastAsia" w:hAnsiTheme="majorHAnsi" w:cstheme="majorBidi"/>
      <w:spacing w:val="-10"/>
      <w:kern w:val="28"/>
      <w:sz w:val="56"/>
      <w:szCs w:val="56"/>
    </w:rPr>
  </w:style>
  <w:style w:type="character" w:customStyle="1" w:styleId="Titre1Car">
    <w:name w:val="Titre 1 Car"/>
    <w:basedOn w:val="Policepardfaut"/>
    <w:link w:val="Titre1"/>
    <w:uiPriority w:val="9"/>
    <w:rsid w:val="00403395"/>
    <w:rPr>
      <w:rFonts w:ascii="Liberation Serif" w:eastAsia="SimSun" w:hAnsi="Liberation Serif" w:cs="Mangal"/>
      <w:b/>
      <w:smallCaps/>
      <w:sz w:val="28"/>
      <w:szCs w:val="24"/>
      <w:lang w:eastAsia="zh-CN" w:bidi="hi-IN"/>
    </w:rPr>
  </w:style>
  <w:style w:type="paragraph" w:styleId="Sous-titre">
    <w:name w:val="Subtitle"/>
    <w:aliases w:val="Titre1"/>
    <w:basedOn w:val="Normal"/>
    <w:next w:val="Normal"/>
    <w:link w:val="Sous-titreCar"/>
    <w:uiPriority w:val="11"/>
    <w:qFormat/>
    <w:rsid w:val="001A2855"/>
    <w:pPr>
      <w:widowControl w:val="0"/>
      <w:spacing w:after="120" w:line="240" w:lineRule="auto"/>
    </w:pPr>
    <w:rPr>
      <w:rFonts w:ascii="Liberation Serif" w:eastAsia="SimSun" w:hAnsi="Liberation Serif" w:cs="Mangal"/>
      <w:b/>
      <w:smallCaps/>
      <w:sz w:val="28"/>
      <w:szCs w:val="24"/>
    </w:rPr>
  </w:style>
  <w:style w:type="character" w:customStyle="1" w:styleId="Sous-titreCar">
    <w:name w:val="Sous-titre Car"/>
    <w:aliases w:val="Titre1 Car"/>
    <w:basedOn w:val="Policepardfaut"/>
    <w:link w:val="Sous-titre"/>
    <w:uiPriority w:val="11"/>
    <w:rsid w:val="001A2855"/>
    <w:rPr>
      <w:rFonts w:ascii="Liberation Serif" w:eastAsia="SimSun" w:hAnsi="Liberation Serif" w:cs="Mangal"/>
      <w:b/>
      <w:smallCaps/>
      <w:sz w:val="28"/>
      <w:szCs w:val="24"/>
      <w:lang w:eastAsia="zh-CN" w:bidi="hi-IN"/>
    </w:rPr>
  </w:style>
  <w:style w:type="character" w:customStyle="1" w:styleId="Titre2Car">
    <w:name w:val="Titre 2 Car"/>
    <w:basedOn w:val="Policepardfaut"/>
    <w:link w:val="Titre2"/>
    <w:uiPriority w:val="9"/>
    <w:rsid w:val="0019138C"/>
    <w:rPr>
      <w:b/>
      <w:lang w:eastAsia="zh-CN" w:bidi="hi-IN"/>
    </w:rPr>
  </w:style>
  <w:style w:type="character" w:customStyle="1" w:styleId="Titre3Car">
    <w:name w:val="Titre 3 Car"/>
    <w:basedOn w:val="Policepardfaut"/>
    <w:link w:val="Titre3"/>
    <w:uiPriority w:val="9"/>
    <w:rsid w:val="00DF0DDD"/>
    <w:rPr>
      <w:b/>
      <w:lang w:eastAsia="zh-CN" w:bidi="hi-IN"/>
    </w:rPr>
  </w:style>
  <w:style w:type="character" w:styleId="Marquedecommentaire">
    <w:name w:val="annotation reference"/>
    <w:basedOn w:val="Policepardfaut"/>
    <w:uiPriority w:val="99"/>
    <w:unhideWhenUsed/>
    <w:rsid w:val="007D30F8"/>
    <w:rPr>
      <w:sz w:val="16"/>
      <w:szCs w:val="16"/>
    </w:rPr>
  </w:style>
  <w:style w:type="paragraph" w:styleId="Commentaire">
    <w:name w:val="annotation text"/>
    <w:basedOn w:val="Normal"/>
    <w:link w:val="CommentaireCar"/>
    <w:uiPriority w:val="99"/>
    <w:unhideWhenUsed/>
    <w:rsid w:val="007D30F8"/>
    <w:pPr>
      <w:spacing w:line="240" w:lineRule="auto"/>
    </w:pPr>
    <w:rPr>
      <w:sz w:val="20"/>
      <w:szCs w:val="20"/>
    </w:rPr>
  </w:style>
  <w:style w:type="character" w:customStyle="1" w:styleId="CommentaireCar">
    <w:name w:val="Commentaire Car"/>
    <w:basedOn w:val="Policepardfaut"/>
    <w:link w:val="Commentaire"/>
    <w:uiPriority w:val="99"/>
    <w:rsid w:val="007D30F8"/>
    <w:rPr>
      <w:sz w:val="20"/>
      <w:szCs w:val="20"/>
    </w:rPr>
  </w:style>
  <w:style w:type="paragraph" w:styleId="Objetducommentaire">
    <w:name w:val="annotation subject"/>
    <w:basedOn w:val="Commentaire"/>
    <w:next w:val="Commentaire"/>
    <w:link w:val="ObjetducommentaireCar"/>
    <w:uiPriority w:val="99"/>
    <w:semiHidden/>
    <w:unhideWhenUsed/>
    <w:rsid w:val="007D30F8"/>
    <w:rPr>
      <w:b/>
      <w:bCs/>
    </w:rPr>
  </w:style>
  <w:style w:type="character" w:customStyle="1" w:styleId="ObjetducommentaireCar">
    <w:name w:val="Objet du commentaire Car"/>
    <w:basedOn w:val="CommentaireCar"/>
    <w:link w:val="Objetducommentaire"/>
    <w:uiPriority w:val="99"/>
    <w:semiHidden/>
    <w:rsid w:val="007D30F8"/>
    <w:rPr>
      <w:b/>
      <w:bCs/>
      <w:sz w:val="20"/>
      <w:szCs w:val="20"/>
    </w:rPr>
  </w:style>
  <w:style w:type="paragraph" w:styleId="Textedebulles">
    <w:name w:val="Balloon Text"/>
    <w:basedOn w:val="Normal"/>
    <w:link w:val="TextedebullesCar"/>
    <w:uiPriority w:val="99"/>
    <w:semiHidden/>
    <w:unhideWhenUsed/>
    <w:rsid w:val="007D30F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D30F8"/>
    <w:rPr>
      <w:rFonts w:ascii="Segoe UI" w:hAnsi="Segoe UI" w:cs="Segoe UI"/>
      <w:sz w:val="18"/>
      <w:szCs w:val="18"/>
    </w:rPr>
  </w:style>
  <w:style w:type="paragraph" w:styleId="TM1">
    <w:name w:val="toc 1"/>
    <w:basedOn w:val="Normal"/>
    <w:next w:val="Normal"/>
    <w:autoRedefine/>
    <w:uiPriority w:val="39"/>
    <w:unhideWhenUsed/>
    <w:rsid w:val="000518D1"/>
    <w:pPr>
      <w:spacing w:after="100"/>
    </w:pPr>
  </w:style>
  <w:style w:type="paragraph" w:styleId="TM2">
    <w:name w:val="toc 2"/>
    <w:basedOn w:val="Normal"/>
    <w:next w:val="Normal"/>
    <w:autoRedefine/>
    <w:uiPriority w:val="39"/>
    <w:unhideWhenUsed/>
    <w:rsid w:val="000518D1"/>
    <w:pPr>
      <w:spacing w:after="100"/>
      <w:ind w:left="220"/>
    </w:pPr>
  </w:style>
  <w:style w:type="paragraph" w:styleId="TM3">
    <w:name w:val="toc 3"/>
    <w:basedOn w:val="Normal"/>
    <w:next w:val="Normal"/>
    <w:autoRedefine/>
    <w:uiPriority w:val="39"/>
    <w:unhideWhenUsed/>
    <w:rsid w:val="000518D1"/>
    <w:pPr>
      <w:spacing w:after="100"/>
      <w:ind w:left="440"/>
    </w:pPr>
  </w:style>
  <w:style w:type="paragraph" w:styleId="Paragraphedeliste">
    <w:name w:val="List Paragraph"/>
    <w:basedOn w:val="Normal"/>
    <w:uiPriority w:val="34"/>
    <w:qFormat/>
    <w:rsid w:val="00B0058C"/>
    <w:pPr>
      <w:numPr>
        <w:numId w:val="6"/>
      </w:numPr>
      <w:spacing w:before="160"/>
    </w:pPr>
  </w:style>
  <w:style w:type="paragraph" w:styleId="Rvision">
    <w:name w:val="Revision"/>
    <w:hidden/>
    <w:uiPriority w:val="99"/>
    <w:semiHidden/>
    <w:rsid w:val="00B22B9B"/>
    <w:pPr>
      <w:spacing w:after="0" w:line="240" w:lineRule="auto"/>
    </w:pPr>
  </w:style>
  <w:style w:type="paragraph" w:styleId="NormalWeb">
    <w:name w:val="Normal (Web)"/>
    <w:basedOn w:val="Normal"/>
    <w:uiPriority w:val="99"/>
    <w:semiHidden/>
    <w:unhideWhenUsed/>
    <w:rsid w:val="00517FFB"/>
    <w:pPr>
      <w:spacing w:before="100" w:beforeAutospacing="1" w:after="100" w:afterAutospacing="1" w:line="240" w:lineRule="auto"/>
      <w:jc w:val="left"/>
    </w:pPr>
    <w:rPr>
      <w:rFonts w:ascii="Times New Roman" w:eastAsia="Times New Roman" w:hAnsi="Times New Roman" w:cs="Times New Roman"/>
      <w:sz w:val="24"/>
      <w:szCs w:val="24"/>
      <w:lang w:eastAsia="fr-FR" w:bidi="ar-SA"/>
    </w:rPr>
  </w:style>
  <w:style w:type="character" w:customStyle="1" w:styleId="Titre4Car">
    <w:name w:val="Titre 4 Car"/>
    <w:basedOn w:val="Policepardfaut"/>
    <w:link w:val="Titre4"/>
    <w:uiPriority w:val="9"/>
    <w:rsid w:val="00B64F22"/>
    <w:rPr>
      <w:rFonts w:ascii="Liberation Serif" w:eastAsia="SimSun" w:hAnsi="Liberation Serif" w:cs="Mangal"/>
      <w:b/>
      <w:smallCaps/>
      <w:sz w:val="28"/>
      <w:szCs w:val="24"/>
      <w:lang w:eastAsia="zh-CN" w:bidi="hi-IN"/>
    </w:rPr>
  </w:style>
  <w:style w:type="paragraph" w:styleId="En-tte">
    <w:name w:val="header"/>
    <w:basedOn w:val="Normal"/>
    <w:link w:val="En-tteCar"/>
    <w:uiPriority w:val="99"/>
    <w:unhideWhenUsed/>
    <w:rsid w:val="003230A3"/>
    <w:pPr>
      <w:tabs>
        <w:tab w:val="center" w:pos="4536"/>
        <w:tab w:val="right" w:pos="9072"/>
      </w:tabs>
      <w:spacing w:after="0" w:line="240" w:lineRule="auto"/>
    </w:pPr>
    <w:rPr>
      <w:rFonts w:cs="Mangal"/>
      <w:szCs w:val="20"/>
    </w:rPr>
  </w:style>
  <w:style w:type="character" w:customStyle="1" w:styleId="En-tteCar">
    <w:name w:val="En-tête Car"/>
    <w:basedOn w:val="Policepardfaut"/>
    <w:link w:val="En-tte"/>
    <w:uiPriority w:val="99"/>
    <w:rsid w:val="003230A3"/>
    <w:rPr>
      <w:rFonts w:cs="Mangal"/>
      <w:szCs w:val="20"/>
      <w:lang w:eastAsia="zh-CN" w:bidi="hi-IN"/>
    </w:rPr>
  </w:style>
  <w:style w:type="paragraph" w:styleId="Pieddepage">
    <w:name w:val="footer"/>
    <w:basedOn w:val="Normal"/>
    <w:link w:val="PieddepageCar"/>
    <w:uiPriority w:val="99"/>
    <w:unhideWhenUsed/>
    <w:rsid w:val="003230A3"/>
    <w:pPr>
      <w:tabs>
        <w:tab w:val="center" w:pos="4536"/>
        <w:tab w:val="right" w:pos="9072"/>
      </w:tabs>
      <w:spacing w:after="0" w:line="240" w:lineRule="auto"/>
    </w:pPr>
    <w:rPr>
      <w:rFonts w:cs="Mangal"/>
      <w:szCs w:val="20"/>
    </w:rPr>
  </w:style>
  <w:style w:type="character" w:customStyle="1" w:styleId="PieddepageCar">
    <w:name w:val="Pied de page Car"/>
    <w:basedOn w:val="Policepardfaut"/>
    <w:link w:val="Pieddepage"/>
    <w:uiPriority w:val="99"/>
    <w:rsid w:val="003230A3"/>
    <w:rPr>
      <w:rFonts w:cs="Mangal"/>
      <w:szCs w:val="20"/>
      <w:lang w:eastAsia="zh-CN" w:bidi="hi-IN"/>
    </w:rPr>
  </w:style>
  <w:style w:type="table" w:styleId="Grilledutableau">
    <w:name w:val="Table Grid"/>
    <w:basedOn w:val="TableauNormal"/>
    <w:uiPriority w:val="39"/>
    <w:rsid w:val="00713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
    <w:name w:val="pa"/>
    <w:link w:val="paCar1"/>
    <w:qFormat/>
    <w:rsid w:val="00603D80"/>
    <w:pPr>
      <w:spacing w:after="240" w:line="240" w:lineRule="auto"/>
      <w:jc w:val="both"/>
    </w:pPr>
    <w:rPr>
      <w:rFonts w:ascii="Arial" w:eastAsia="Times New Roman" w:hAnsi="Arial" w:cs="Arial"/>
      <w:lang w:eastAsia="fr-FR"/>
    </w:rPr>
  </w:style>
  <w:style w:type="character" w:customStyle="1" w:styleId="paCar1">
    <w:name w:val="pa Car1"/>
    <w:link w:val="pa"/>
    <w:locked/>
    <w:rsid w:val="00603D80"/>
    <w:rPr>
      <w:rFonts w:ascii="Arial" w:eastAsia="Times New Roman" w:hAnsi="Arial" w:cs="Arial"/>
      <w:lang w:eastAsia="fr-FR"/>
    </w:rPr>
  </w:style>
  <w:style w:type="paragraph" w:customStyle="1" w:styleId="Tableau">
    <w:name w:val="Tableau"/>
    <w:basedOn w:val="pa"/>
    <w:rsid w:val="00603D80"/>
    <w:pPr>
      <w:spacing w:before="20" w:after="20"/>
    </w:pPr>
    <w:rPr>
      <w:rFonts w:ascii="Verdana" w:hAnsi="Verdana" w:cs="Times New Roman"/>
      <w:sz w:val="18"/>
      <w:szCs w:val="20"/>
    </w:rPr>
  </w:style>
  <w:style w:type="character" w:customStyle="1" w:styleId="Titre5Car">
    <w:name w:val="Titre 5 Car"/>
    <w:basedOn w:val="Policepardfaut"/>
    <w:link w:val="Titre5"/>
    <w:uiPriority w:val="9"/>
    <w:rsid w:val="00B42CF3"/>
    <w:rPr>
      <w:b/>
      <w:lang w:eastAsia="zh-CN" w:bidi="hi-IN"/>
      <w14:scene3d>
        <w14:camera w14:prst="orthographicFront"/>
        <w14:lightRig w14:rig="threePt" w14:dir="t">
          <w14:rot w14:lat="0" w14:lon="0" w14:rev="0"/>
        </w14:lightRig>
      </w14:scene3d>
    </w:rPr>
  </w:style>
  <w:style w:type="character" w:customStyle="1" w:styleId="Titre6Car">
    <w:name w:val="Titre 6 Car"/>
    <w:basedOn w:val="Policepardfaut"/>
    <w:link w:val="Titre6"/>
    <w:uiPriority w:val="9"/>
    <w:rsid w:val="00A02594"/>
    <w:rPr>
      <w:rFonts w:eastAsiaTheme="majorEastAsia" w:cstheme="minorHAnsi"/>
      <w:szCs w:val="20"/>
      <w:u w:val="single"/>
      <w:lang w:eastAsia="zh-CN" w:bidi="hi-IN"/>
    </w:rPr>
  </w:style>
  <w:style w:type="numbering" w:customStyle="1" w:styleId="Style1">
    <w:name w:val="Style1"/>
    <w:uiPriority w:val="99"/>
    <w:rsid w:val="007B643E"/>
    <w:pPr>
      <w:numPr>
        <w:numId w:val="14"/>
      </w:numPr>
    </w:pPr>
  </w:style>
  <w:style w:type="character" w:customStyle="1" w:styleId="Titre7Car">
    <w:name w:val="Titre 7 Car"/>
    <w:basedOn w:val="Policepardfaut"/>
    <w:link w:val="Titre7"/>
    <w:uiPriority w:val="9"/>
    <w:rsid w:val="00A02594"/>
    <w:rPr>
      <w:rFonts w:eastAsiaTheme="majorEastAsia" w:cstheme="minorHAnsi"/>
      <w:i/>
      <w:szCs w:val="20"/>
      <w:u w:val="single"/>
      <w:lang w:eastAsia="zh-CN" w:bidi="hi-IN"/>
    </w:rPr>
  </w:style>
  <w:style w:type="character" w:styleId="Textedelespacerserv">
    <w:name w:val="Placeholder Text"/>
    <w:basedOn w:val="Policepardfaut"/>
    <w:uiPriority w:val="99"/>
    <w:semiHidden/>
    <w:rsid w:val="006C7734"/>
    <w:rPr>
      <w:color w:val="808080"/>
    </w:rPr>
  </w:style>
  <w:style w:type="paragraph" w:styleId="Lgende">
    <w:name w:val="caption"/>
    <w:basedOn w:val="Normal"/>
    <w:next w:val="Normal"/>
    <w:uiPriority w:val="35"/>
    <w:unhideWhenUsed/>
    <w:qFormat/>
    <w:rsid w:val="005376F7"/>
    <w:pPr>
      <w:spacing w:after="200" w:line="240" w:lineRule="auto"/>
    </w:pPr>
    <w:rPr>
      <w:rFonts w:cs="Mangal"/>
      <w:i/>
      <w:iCs/>
      <w:color w:val="44546A" w:themeColor="text2"/>
      <w:sz w:val="18"/>
      <w:szCs w:val="16"/>
    </w:rPr>
  </w:style>
  <w:style w:type="table" w:customStyle="1" w:styleId="Grilledutableau1">
    <w:name w:val="Grille du tableau1"/>
    <w:basedOn w:val="TableauNormal"/>
    <w:next w:val="Grilledutableau"/>
    <w:uiPriority w:val="39"/>
    <w:rsid w:val="00C75F0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937BD6"/>
    <w:rPr>
      <w:color w:val="0563C1" w:themeColor="hyperlink"/>
      <w:u w:val="single"/>
    </w:rPr>
  </w:style>
  <w:style w:type="paragraph" w:customStyle="1" w:styleId="SNNORCentr">
    <w:name w:val="SNNOR+Centré"/>
    <w:next w:val="Normal"/>
    <w:rsid w:val="00CA4953"/>
    <w:pPr>
      <w:suppressAutoHyphens/>
      <w:spacing w:after="0" w:line="240" w:lineRule="auto"/>
      <w:jc w:val="center"/>
    </w:pPr>
    <w:rPr>
      <w:rFonts w:ascii="Times New Roman" w:eastAsia="Times New Roman" w:hAnsi="Times New Roman" w:cs="Times New Roman"/>
      <w:bCs/>
      <w:kern w:val="2"/>
      <w:sz w:val="24"/>
      <w:szCs w:val="20"/>
      <w:lang w:eastAsia="zh-CN"/>
    </w:rPr>
  </w:style>
  <w:style w:type="paragraph" w:customStyle="1" w:styleId="western">
    <w:name w:val="western"/>
    <w:basedOn w:val="Normal"/>
    <w:rsid w:val="00CA4953"/>
    <w:pPr>
      <w:suppressAutoHyphens/>
      <w:spacing w:before="100" w:after="119" w:line="240" w:lineRule="auto"/>
    </w:pPr>
    <w:rPr>
      <w:rFonts w:ascii="Times New Roman" w:eastAsia="Times New Roman" w:hAnsi="Times New Roman" w:cs="Times New Roman"/>
      <w:kern w:val="2"/>
      <w:sz w:val="24"/>
      <w:szCs w:val="24"/>
      <w:lang w:bidi="ar-SA"/>
    </w:rPr>
  </w:style>
  <w:style w:type="paragraph" w:customStyle="1" w:styleId="SNREPUBLIQUE">
    <w:name w:val="SNREPUBLIQUE"/>
    <w:basedOn w:val="Normal"/>
    <w:rsid w:val="00CA4953"/>
    <w:pPr>
      <w:suppressAutoHyphens/>
      <w:spacing w:after="0" w:line="240" w:lineRule="auto"/>
      <w:jc w:val="center"/>
    </w:pPr>
    <w:rPr>
      <w:rFonts w:ascii="Times New Roman" w:eastAsia="Times New Roman" w:hAnsi="Times New Roman" w:cs="Times New Roman"/>
      <w:b/>
      <w:bCs/>
      <w:kern w:val="2"/>
      <w:sz w:val="24"/>
      <w:szCs w:val="20"/>
      <w:lang w:bidi="ar-SA"/>
    </w:rPr>
  </w:style>
  <w:style w:type="paragraph" w:customStyle="1" w:styleId="SNTimbre">
    <w:name w:val="SNTimbre"/>
    <w:basedOn w:val="Normal"/>
    <w:rsid w:val="00CA4953"/>
    <w:pPr>
      <w:widowControl w:val="0"/>
      <w:suppressAutoHyphens/>
      <w:snapToGrid w:val="0"/>
      <w:spacing w:before="120" w:after="0" w:line="240" w:lineRule="auto"/>
      <w:jc w:val="center"/>
    </w:pPr>
    <w:rPr>
      <w:rFonts w:ascii="Times New Roman" w:eastAsia="Lucida Sans Unicode" w:hAnsi="Times New Roman" w:cs="Times New Roman"/>
      <w:kern w:val="2"/>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1504">
      <w:bodyDiv w:val="1"/>
      <w:marLeft w:val="0"/>
      <w:marRight w:val="0"/>
      <w:marTop w:val="0"/>
      <w:marBottom w:val="0"/>
      <w:divBdr>
        <w:top w:val="none" w:sz="0" w:space="0" w:color="auto"/>
        <w:left w:val="none" w:sz="0" w:space="0" w:color="auto"/>
        <w:bottom w:val="none" w:sz="0" w:space="0" w:color="auto"/>
        <w:right w:val="none" w:sz="0" w:space="0" w:color="auto"/>
      </w:divBdr>
    </w:div>
    <w:div w:id="63722293">
      <w:bodyDiv w:val="1"/>
      <w:marLeft w:val="0"/>
      <w:marRight w:val="0"/>
      <w:marTop w:val="0"/>
      <w:marBottom w:val="0"/>
      <w:divBdr>
        <w:top w:val="none" w:sz="0" w:space="0" w:color="auto"/>
        <w:left w:val="none" w:sz="0" w:space="0" w:color="auto"/>
        <w:bottom w:val="none" w:sz="0" w:space="0" w:color="auto"/>
        <w:right w:val="none" w:sz="0" w:space="0" w:color="auto"/>
      </w:divBdr>
    </w:div>
    <w:div w:id="165753306">
      <w:bodyDiv w:val="1"/>
      <w:marLeft w:val="0"/>
      <w:marRight w:val="0"/>
      <w:marTop w:val="0"/>
      <w:marBottom w:val="0"/>
      <w:divBdr>
        <w:top w:val="none" w:sz="0" w:space="0" w:color="auto"/>
        <w:left w:val="none" w:sz="0" w:space="0" w:color="auto"/>
        <w:bottom w:val="none" w:sz="0" w:space="0" w:color="auto"/>
        <w:right w:val="none" w:sz="0" w:space="0" w:color="auto"/>
      </w:divBdr>
    </w:div>
    <w:div w:id="168327725">
      <w:bodyDiv w:val="1"/>
      <w:marLeft w:val="0"/>
      <w:marRight w:val="0"/>
      <w:marTop w:val="0"/>
      <w:marBottom w:val="0"/>
      <w:divBdr>
        <w:top w:val="none" w:sz="0" w:space="0" w:color="auto"/>
        <w:left w:val="none" w:sz="0" w:space="0" w:color="auto"/>
        <w:bottom w:val="none" w:sz="0" w:space="0" w:color="auto"/>
        <w:right w:val="none" w:sz="0" w:space="0" w:color="auto"/>
      </w:divBdr>
    </w:div>
    <w:div w:id="177937965">
      <w:bodyDiv w:val="1"/>
      <w:marLeft w:val="0"/>
      <w:marRight w:val="0"/>
      <w:marTop w:val="0"/>
      <w:marBottom w:val="0"/>
      <w:divBdr>
        <w:top w:val="none" w:sz="0" w:space="0" w:color="auto"/>
        <w:left w:val="none" w:sz="0" w:space="0" w:color="auto"/>
        <w:bottom w:val="none" w:sz="0" w:space="0" w:color="auto"/>
        <w:right w:val="none" w:sz="0" w:space="0" w:color="auto"/>
      </w:divBdr>
    </w:div>
    <w:div w:id="178785221">
      <w:bodyDiv w:val="1"/>
      <w:marLeft w:val="0"/>
      <w:marRight w:val="0"/>
      <w:marTop w:val="0"/>
      <w:marBottom w:val="0"/>
      <w:divBdr>
        <w:top w:val="none" w:sz="0" w:space="0" w:color="auto"/>
        <w:left w:val="none" w:sz="0" w:space="0" w:color="auto"/>
        <w:bottom w:val="none" w:sz="0" w:space="0" w:color="auto"/>
        <w:right w:val="none" w:sz="0" w:space="0" w:color="auto"/>
      </w:divBdr>
    </w:div>
    <w:div w:id="195001606">
      <w:bodyDiv w:val="1"/>
      <w:marLeft w:val="0"/>
      <w:marRight w:val="0"/>
      <w:marTop w:val="0"/>
      <w:marBottom w:val="0"/>
      <w:divBdr>
        <w:top w:val="none" w:sz="0" w:space="0" w:color="auto"/>
        <w:left w:val="none" w:sz="0" w:space="0" w:color="auto"/>
        <w:bottom w:val="none" w:sz="0" w:space="0" w:color="auto"/>
        <w:right w:val="none" w:sz="0" w:space="0" w:color="auto"/>
      </w:divBdr>
      <w:divsChild>
        <w:div w:id="1643340684">
          <w:marLeft w:val="0"/>
          <w:marRight w:val="0"/>
          <w:marTop w:val="0"/>
          <w:marBottom w:val="0"/>
          <w:divBdr>
            <w:top w:val="none" w:sz="0" w:space="0" w:color="auto"/>
            <w:left w:val="none" w:sz="0" w:space="0" w:color="auto"/>
            <w:bottom w:val="none" w:sz="0" w:space="0" w:color="auto"/>
            <w:right w:val="none" w:sz="0" w:space="0" w:color="auto"/>
          </w:divBdr>
        </w:div>
      </w:divsChild>
    </w:div>
    <w:div w:id="206375475">
      <w:bodyDiv w:val="1"/>
      <w:marLeft w:val="0"/>
      <w:marRight w:val="0"/>
      <w:marTop w:val="0"/>
      <w:marBottom w:val="0"/>
      <w:divBdr>
        <w:top w:val="none" w:sz="0" w:space="0" w:color="auto"/>
        <w:left w:val="none" w:sz="0" w:space="0" w:color="auto"/>
        <w:bottom w:val="none" w:sz="0" w:space="0" w:color="auto"/>
        <w:right w:val="none" w:sz="0" w:space="0" w:color="auto"/>
      </w:divBdr>
    </w:div>
    <w:div w:id="228196865">
      <w:bodyDiv w:val="1"/>
      <w:marLeft w:val="0"/>
      <w:marRight w:val="0"/>
      <w:marTop w:val="0"/>
      <w:marBottom w:val="0"/>
      <w:divBdr>
        <w:top w:val="none" w:sz="0" w:space="0" w:color="auto"/>
        <w:left w:val="none" w:sz="0" w:space="0" w:color="auto"/>
        <w:bottom w:val="none" w:sz="0" w:space="0" w:color="auto"/>
        <w:right w:val="none" w:sz="0" w:space="0" w:color="auto"/>
      </w:divBdr>
    </w:div>
    <w:div w:id="245502577">
      <w:bodyDiv w:val="1"/>
      <w:marLeft w:val="0"/>
      <w:marRight w:val="0"/>
      <w:marTop w:val="0"/>
      <w:marBottom w:val="0"/>
      <w:divBdr>
        <w:top w:val="none" w:sz="0" w:space="0" w:color="auto"/>
        <w:left w:val="none" w:sz="0" w:space="0" w:color="auto"/>
        <w:bottom w:val="none" w:sz="0" w:space="0" w:color="auto"/>
        <w:right w:val="none" w:sz="0" w:space="0" w:color="auto"/>
      </w:divBdr>
    </w:div>
    <w:div w:id="273832869">
      <w:bodyDiv w:val="1"/>
      <w:marLeft w:val="0"/>
      <w:marRight w:val="0"/>
      <w:marTop w:val="0"/>
      <w:marBottom w:val="0"/>
      <w:divBdr>
        <w:top w:val="none" w:sz="0" w:space="0" w:color="auto"/>
        <w:left w:val="none" w:sz="0" w:space="0" w:color="auto"/>
        <w:bottom w:val="none" w:sz="0" w:space="0" w:color="auto"/>
        <w:right w:val="none" w:sz="0" w:space="0" w:color="auto"/>
      </w:divBdr>
      <w:divsChild>
        <w:div w:id="1709379745">
          <w:marLeft w:val="0"/>
          <w:marRight w:val="0"/>
          <w:marTop w:val="0"/>
          <w:marBottom w:val="0"/>
          <w:divBdr>
            <w:top w:val="none" w:sz="0" w:space="0" w:color="auto"/>
            <w:left w:val="none" w:sz="0" w:space="0" w:color="auto"/>
            <w:bottom w:val="none" w:sz="0" w:space="0" w:color="auto"/>
            <w:right w:val="none" w:sz="0" w:space="0" w:color="auto"/>
          </w:divBdr>
        </w:div>
      </w:divsChild>
    </w:div>
    <w:div w:id="275717669">
      <w:bodyDiv w:val="1"/>
      <w:marLeft w:val="0"/>
      <w:marRight w:val="0"/>
      <w:marTop w:val="0"/>
      <w:marBottom w:val="0"/>
      <w:divBdr>
        <w:top w:val="none" w:sz="0" w:space="0" w:color="auto"/>
        <w:left w:val="none" w:sz="0" w:space="0" w:color="auto"/>
        <w:bottom w:val="none" w:sz="0" w:space="0" w:color="auto"/>
        <w:right w:val="none" w:sz="0" w:space="0" w:color="auto"/>
      </w:divBdr>
    </w:div>
    <w:div w:id="293215098">
      <w:bodyDiv w:val="1"/>
      <w:marLeft w:val="0"/>
      <w:marRight w:val="0"/>
      <w:marTop w:val="0"/>
      <w:marBottom w:val="0"/>
      <w:divBdr>
        <w:top w:val="none" w:sz="0" w:space="0" w:color="auto"/>
        <w:left w:val="none" w:sz="0" w:space="0" w:color="auto"/>
        <w:bottom w:val="none" w:sz="0" w:space="0" w:color="auto"/>
        <w:right w:val="none" w:sz="0" w:space="0" w:color="auto"/>
      </w:divBdr>
    </w:div>
    <w:div w:id="298263077">
      <w:bodyDiv w:val="1"/>
      <w:marLeft w:val="0"/>
      <w:marRight w:val="0"/>
      <w:marTop w:val="0"/>
      <w:marBottom w:val="0"/>
      <w:divBdr>
        <w:top w:val="none" w:sz="0" w:space="0" w:color="auto"/>
        <w:left w:val="none" w:sz="0" w:space="0" w:color="auto"/>
        <w:bottom w:val="none" w:sz="0" w:space="0" w:color="auto"/>
        <w:right w:val="none" w:sz="0" w:space="0" w:color="auto"/>
      </w:divBdr>
    </w:div>
    <w:div w:id="298613802">
      <w:bodyDiv w:val="1"/>
      <w:marLeft w:val="0"/>
      <w:marRight w:val="0"/>
      <w:marTop w:val="0"/>
      <w:marBottom w:val="0"/>
      <w:divBdr>
        <w:top w:val="none" w:sz="0" w:space="0" w:color="auto"/>
        <w:left w:val="none" w:sz="0" w:space="0" w:color="auto"/>
        <w:bottom w:val="none" w:sz="0" w:space="0" w:color="auto"/>
        <w:right w:val="none" w:sz="0" w:space="0" w:color="auto"/>
      </w:divBdr>
    </w:div>
    <w:div w:id="392390920">
      <w:bodyDiv w:val="1"/>
      <w:marLeft w:val="0"/>
      <w:marRight w:val="0"/>
      <w:marTop w:val="0"/>
      <w:marBottom w:val="0"/>
      <w:divBdr>
        <w:top w:val="none" w:sz="0" w:space="0" w:color="auto"/>
        <w:left w:val="none" w:sz="0" w:space="0" w:color="auto"/>
        <w:bottom w:val="none" w:sz="0" w:space="0" w:color="auto"/>
        <w:right w:val="none" w:sz="0" w:space="0" w:color="auto"/>
      </w:divBdr>
    </w:div>
    <w:div w:id="413747150">
      <w:bodyDiv w:val="1"/>
      <w:marLeft w:val="0"/>
      <w:marRight w:val="0"/>
      <w:marTop w:val="0"/>
      <w:marBottom w:val="0"/>
      <w:divBdr>
        <w:top w:val="none" w:sz="0" w:space="0" w:color="auto"/>
        <w:left w:val="none" w:sz="0" w:space="0" w:color="auto"/>
        <w:bottom w:val="none" w:sz="0" w:space="0" w:color="auto"/>
        <w:right w:val="none" w:sz="0" w:space="0" w:color="auto"/>
      </w:divBdr>
      <w:divsChild>
        <w:div w:id="39519897">
          <w:marLeft w:val="0"/>
          <w:marRight w:val="0"/>
          <w:marTop w:val="0"/>
          <w:marBottom w:val="0"/>
          <w:divBdr>
            <w:top w:val="none" w:sz="0" w:space="0" w:color="auto"/>
            <w:left w:val="none" w:sz="0" w:space="0" w:color="auto"/>
            <w:bottom w:val="none" w:sz="0" w:space="0" w:color="auto"/>
            <w:right w:val="none" w:sz="0" w:space="0" w:color="auto"/>
          </w:divBdr>
        </w:div>
      </w:divsChild>
    </w:div>
    <w:div w:id="442774256">
      <w:bodyDiv w:val="1"/>
      <w:marLeft w:val="0"/>
      <w:marRight w:val="0"/>
      <w:marTop w:val="0"/>
      <w:marBottom w:val="0"/>
      <w:divBdr>
        <w:top w:val="none" w:sz="0" w:space="0" w:color="auto"/>
        <w:left w:val="none" w:sz="0" w:space="0" w:color="auto"/>
        <w:bottom w:val="none" w:sz="0" w:space="0" w:color="auto"/>
        <w:right w:val="none" w:sz="0" w:space="0" w:color="auto"/>
      </w:divBdr>
    </w:div>
    <w:div w:id="480848326">
      <w:bodyDiv w:val="1"/>
      <w:marLeft w:val="0"/>
      <w:marRight w:val="0"/>
      <w:marTop w:val="0"/>
      <w:marBottom w:val="0"/>
      <w:divBdr>
        <w:top w:val="none" w:sz="0" w:space="0" w:color="auto"/>
        <w:left w:val="none" w:sz="0" w:space="0" w:color="auto"/>
        <w:bottom w:val="none" w:sz="0" w:space="0" w:color="auto"/>
        <w:right w:val="none" w:sz="0" w:space="0" w:color="auto"/>
      </w:divBdr>
    </w:div>
    <w:div w:id="484511478">
      <w:bodyDiv w:val="1"/>
      <w:marLeft w:val="0"/>
      <w:marRight w:val="0"/>
      <w:marTop w:val="0"/>
      <w:marBottom w:val="0"/>
      <w:divBdr>
        <w:top w:val="none" w:sz="0" w:space="0" w:color="auto"/>
        <w:left w:val="none" w:sz="0" w:space="0" w:color="auto"/>
        <w:bottom w:val="none" w:sz="0" w:space="0" w:color="auto"/>
        <w:right w:val="none" w:sz="0" w:space="0" w:color="auto"/>
      </w:divBdr>
    </w:div>
    <w:div w:id="543951098">
      <w:bodyDiv w:val="1"/>
      <w:marLeft w:val="0"/>
      <w:marRight w:val="0"/>
      <w:marTop w:val="0"/>
      <w:marBottom w:val="0"/>
      <w:divBdr>
        <w:top w:val="none" w:sz="0" w:space="0" w:color="auto"/>
        <w:left w:val="none" w:sz="0" w:space="0" w:color="auto"/>
        <w:bottom w:val="none" w:sz="0" w:space="0" w:color="auto"/>
        <w:right w:val="none" w:sz="0" w:space="0" w:color="auto"/>
      </w:divBdr>
    </w:div>
    <w:div w:id="546989626">
      <w:bodyDiv w:val="1"/>
      <w:marLeft w:val="0"/>
      <w:marRight w:val="0"/>
      <w:marTop w:val="0"/>
      <w:marBottom w:val="0"/>
      <w:divBdr>
        <w:top w:val="none" w:sz="0" w:space="0" w:color="auto"/>
        <w:left w:val="none" w:sz="0" w:space="0" w:color="auto"/>
        <w:bottom w:val="none" w:sz="0" w:space="0" w:color="auto"/>
        <w:right w:val="none" w:sz="0" w:space="0" w:color="auto"/>
      </w:divBdr>
    </w:div>
    <w:div w:id="583606444">
      <w:bodyDiv w:val="1"/>
      <w:marLeft w:val="0"/>
      <w:marRight w:val="0"/>
      <w:marTop w:val="0"/>
      <w:marBottom w:val="0"/>
      <w:divBdr>
        <w:top w:val="none" w:sz="0" w:space="0" w:color="auto"/>
        <w:left w:val="none" w:sz="0" w:space="0" w:color="auto"/>
        <w:bottom w:val="none" w:sz="0" w:space="0" w:color="auto"/>
        <w:right w:val="none" w:sz="0" w:space="0" w:color="auto"/>
      </w:divBdr>
    </w:div>
    <w:div w:id="588391427">
      <w:bodyDiv w:val="1"/>
      <w:marLeft w:val="0"/>
      <w:marRight w:val="0"/>
      <w:marTop w:val="0"/>
      <w:marBottom w:val="0"/>
      <w:divBdr>
        <w:top w:val="none" w:sz="0" w:space="0" w:color="auto"/>
        <w:left w:val="none" w:sz="0" w:space="0" w:color="auto"/>
        <w:bottom w:val="none" w:sz="0" w:space="0" w:color="auto"/>
        <w:right w:val="none" w:sz="0" w:space="0" w:color="auto"/>
      </w:divBdr>
      <w:divsChild>
        <w:div w:id="1475366258">
          <w:marLeft w:val="0"/>
          <w:marRight w:val="0"/>
          <w:marTop w:val="0"/>
          <w:marBottom w:val="0"/>
          <w:divBdr>
            <w:top w:val="none" w:sz="0" w:space="0" w:color="auto"/>
            <w:left w:val="none" w:sz="0" w:space="0" w:color="auto"/>
            <w:bottom w:val="none" w:sz="0" w:space="0" w:color="auto"/>
            <w:right w:val="none" w:sz="0" w:space="0" w:color="auto"/>
          </w:divBdr>
        </w:div>
      </w:divsChild>
    </w:div>
    <w:div w:id="654801414">
      <w:bodyDiv w:val="1"/>
      <w:marLeft w:val="0"/>
      <w:marRight w:val="0"/>
      <w:marTop w:val="0"/>
      <w:marBottom w:val="0"/>
      <w:divBdr>
        <w:top w:val="none" w:sz="0" w:space="0" w:color="auto"/>
        <w:left w:val="none" w:sz="0" w:space="0" w:color="auto"/>
        <w:bottom w:val="none" w:sz="0" w:space="0" w:color="auto"/>
        <w:right w:val="none" w:sz="0" w:space="0" w:color="auto"/>
      </w:divBdr>
    </w:div>
    <w:div w:id="713576702">
      <w:bodyDiv w:val="1"/>
      <w:marLeft w:val="0"/>
      <w:marRight w:val="0"/>
      <w:marTop w:val="0"/>
      <w:marBottom w:val="0"/>
      <w:divBdr>
        <w:top w:val="none" w:sz="0" w:space="0" w:color="auto"/>
        <w:left w:val="none" w:sz="0" w:space="0" w:color="auto"/>
        <w:bottom w:val="none" w:sz="0" w:space="0" w:color="auto"/>
        <w:right w:val="none" w:sz="0" w:space="0" w:color="auto"/>
      </w:divBdr>
    </w:div>
    <w:div w:id="716399394">
      <w:bodyDiv w:val="1"/>
      <w:marLeft w:val="0"/>
      <w:marRight w:val="0"/>
      <w:marTop w:val="0"/>
      <w:marBottom w:val="0"/>
      <w:divBdr>
        <w:top w:val="none" w:sz="0" w:space="0" w:color="auto"/>
        <w:left w:val="none" w:sz="0" w:space="0" w:color="auto"/>
        <w:bottom w:val="none" w:sz="0" w:space="0" w:color="auto"/>
        <w:right w:val="none" w:sz="0" w:space="0" w:color="auto"/>
      </w:divBdr>
    </w:div>
    <w:div w:id="724597268">
      <w:bodyDiv w:val="1"/>
      <w:marLeft w:val="0"/>
      <w:marRight w:val="0"/>
      <w:marTop w:val="0"/>
      <w:marBottom w:val="0"/>
      <w:divBdr>
        <w:top w:val="none" w:sz="0" w:space="0" w:color="auto"/>
        <w:left w:val="none" w:sz="0" w:space="0" w:color="auto"/>
        <w:bottom w:val="none" w:sz="0" w:space="0" w:color="auto"/>
        <w:right w:val="none" w:sz="0" w:space="0" w:color="auto"/>
      </w:divBdr>
    </w:div>
    <w:div w:id="743457943">
      <w:bodyDiv w:val="1"/>
      <w:marLeft w:val="0"/>
      <w:marRight w:val="0"/>
      <w:marTop w:val="0"/>
      <w:marBottom w:val="0"/>
      <w:divBdr>
        <w:top w:val="none" w:sz="0" w:space="0" w:color="auto"/>
        <w:left w:val="none" w:sz="0" w:space="0" w:color="auto"/>
        <w:bottom w:val="none" w:sz="0" w:space="0" w:color="auto"/>
        <w:right w:val="none" w:sz="0" w:space="0" w:color="auto"/>
      </w:divBdr>
    </w:div>
    <w:div w:id="763920239">
      <w:bodyDiv w:val="1"/>
      <w:marLeft w:val="0"/>
      <w:marRight w:val="0"/>
      <w:marTop w:val="0"/>
      <w:marBottom w:val="0"/>
      <w:divBdr>
        <w:top w:val="none" w:sz="0" w:space="0" w:color="auto"/>
        <w:left w:val="none" w:sz="0" w:space="0" w:color="auto"/>
        <w:bottom w:val="none" w:sz="0" w:space="0" w:color="auto"/>
        <w:right w:val="none" w:sz="0" w:space="0" w:color="auto"/>
      </w:divBdr>
      <w:divsChild>
        <w:div w:id="283082195">
          <w:marLeft w:val="0"/>
          <w:marRight w:val="0"/>
          <w:marTop w:val="0"/>
          <w:marBottom w:val="0"/>
          <w:divBdr>
            <w:top w:val="none" w:sz="0" w:space="0" w:color="auto"/>
            <w:left w:val="none" w:sz="0" w:space="0" w:color="auto"/>
            <w:bottom w:val="none" w:sz="0" w:space="0" w:color="auto"/>
            <w:right w:val="none" w:sz="0" w:space="0" w:color="auto"/>
          </w:divBdr>
        </w:div>
      </w:divsChild>
    </w:div>
    <w:div w:id="799615228">
      <w:bodyDiv w:val="1"/>
      <w:marLeft w:val="0"/>
      <w:marRight w:val="0"/>
      <w:marTop w:val="0"/>
      <w:marBottom w:val="0"/>
      <w:divBdr>
        <w:top w:val="none" w:sz="0" w:space="0" w:color="auto"/>
        <w:left w:val="none" w:sz="0" w:space="0" w:color="auto"/>
        <w:bottom w:val="none" w:sz="0" w:space="0" w:color="auto"/>
        <w:right w:val="none" w:sz="0" w:space="0" w:color="auto"/>
      </w:divBdr>
    </w:div>
    <w:div w:id="814297970">
      <w:bodyDiv w:val="1"/>
      <w:marLeft w:val="0"/>
      <w:marRight w:val="0"/>
      <w:marTop w:val="0"/>
      <w:marBottom w:val="0"/>
      <w:divBdr>
        <w:top w:val="none" w:sz="0" w:space="0" w:color="auto"/>
        <w:left w:val="none" w:sz="0" w:space="0" w:color="auto"/>
        <w:bottom w:val="none" w:sz="0" w:space="0" w:color="auto"/>
        <w:right w:val="none" w:sz="0" w:space="0" w:color="auto"/>
      </w:divBdr>
    </w:div>
    <w:div w:id="898520444">
      <w:bodyDiv w:val="1"/>
      <w:marLeft w:val="0"/>
      <w:marRight w:val="0"/>
      <w:marTop w:val="0"/>
      <w:marBottom w:val="0"/>
      <w:divBdr>
        <w:top w:val="none" w:sz="0" w:space="0" w:color="auto"/>
        <w:left w:val="none" w:sz="0" w:space="0" w:color="auto"/>
        <w:bottom w:val="none" w:sz="0" w:space="0" w:color="auto"/>
        <w:right w:val="none" w:sz="0" w:space="0" w:color="auto"/>
      </w:divBdr>
    </w:div>
    <w:div w:id="941838528">
      <w:bodyDiv w:val="1"/>
      <w:marLeft w:val="0"/>
      <w:marRight w:val="0"/>
      <w:marTop w:val="0"/>
      <w:marBottom w:val="0"/>
      <w:divBdr>
        <w:top w:val="none" w:sz="0" w:space="0" w:color="auto"/>
        <w:left w:val="none" w:sz="0" w:space="0" w:color="auto"/>
        <w:bottom w:val="none" w:sz="0" w:space="0" w:color="auto"/>
        <w:right w:val="none" w:sz="0" w:space="0" w:color="auto"/>
      </w:divBdr>
    </w:div>
    <w:div w:id="994724503">
      <w:bodyDiv w:val="1"/>
      <w:marLeft w:val="0"/>
      <w:marRight w:val="0"/>
      <w:marTop w:val="0"/>
      <w:marBottom w:val="0"/>
      <w:divBdr>
        <w:top w:val="none" w:sz="0" w:space="0" w:color="auto"/>
        <w:left w:val="none" w:sz="0" w:space="0" w:color="auto"/>
        <w:bottom w:val="none" w:sz="0" w:space="0" w:color="auto"/>
        <w:right w:val="none" w:sz="0" w:space="0" w:color="auto"/>
      </w:divBdr>
    </w:div>
    <w:div w:id="1012299021">
      <w:bodyDiv w:val="1"/>
      <w:marLeft w:val="0"/>
      <w:marRight w:val="0"/>
      <w:marTop w:val="0"/>
      <w:marBottom w:val="0"/>
      <w:divBdr>
        <w:top w:val="none" w:sz="0" w:space="0" w:color="auto"/>
        <w:left w:val="none" w:sz="0" w:space="0" w:color="auto"/>
        <w:bottom w:val="none" w:sz="0" w:space="0" w:color="auto"/>
        <w:right w:val="none" w:sz="0" w:space="0" w:color="auto"/>
      </w:divBdr>
      <w:divsChild>
        <w:div w:id="629744150">
          <w:marLeft w:val="0"/>
          <w:marRight w:val="0"/>
          <w:marTop w:val="0"/>
          <w:marBottom w:val="0"/>
          <w:divBdr>
            <w:top w:val="none" w:sz="0" w:space="0" w:color="auto"/>
            <w:left w:val="none" w:sz="0" w:space="0" w:color="auto"/>
            <w:bottom w:val="none" w:sz="0" w:space="0" w:color="auto"/>
            <w:right w:val="none" w:sz="0" w:space="0" w:color="auto"/>
          </w:divBdr>
          <w:divsChild>
            <w:div w:id="164619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951011">
      <w:bodyDiv w:val="1"/>
      <w:marLeft w:val="0"/>
      <w:marRight w:val="0"/>
      <w:marTop w:val="0"/>
      <w:marBottom w:val="0"/>
      <w:divBdr>
        <w:top w:val="none" w:sz="0" w:space="0" w:color="auto"/>
        <w:left w:val="none" w:sz="0" w:space="0" w:color="auto"/>
        <w:bottom w:val="none" w:sz="0" w:space="0" w:color="auto"/>
        <w:right w:val="none" w:sz="0" w:space="0" w:color="auto"/>
      </w:divBdr>
    </w:div>
    <w:div w:id="1214539141">
      <w:bodyDiv w:val="1"/>
      <w:marLeft w:val="0"/>
      <w:marRight w:val="0"/>
      <w:marTop w:val="0"/>
      <w:marBottom w:val="0"/>
      <w:divBdr>
        <w:top w:val="none" w:sz="0" w:space="0" w:color="auto"/>
        <w:left w:val="none" w:sz="0" w:space="0" w:color="auto"/>
        <w:bottom w:val="none" w:sz="0" w:space="0" w:color="auto"/>
        <w:right w:val="none" w:sz="0" w:space="0" w:color="auto"/>
      </w:divBdr>
    </w:div>
    <w:div w:id="1295330070">
      <w:bodyDiv w:val="1"/>
      <w:marLeft w:val="0"/>
      <w:marRight w:val="0"/>
      <w:marTop w:val="0"/>
      <w:marBottom w:val="0"/>
      <w:divBdr>
        <w:top w:val="none" w:sz="0" w:space="0" w:color="auto"/>
        <w:left w:val="none" w:sz="0" w:space="0" w:color="auto"/>
        <w:bottom w:val="none" w:sz="0" w:space="0" w:color="auto"/>
        <w:right w:val="none" w:sz="0" w:space="0" w:color="auto"/>
      </w:divBdr>
    </w:div>
    <w:div w:id="1323192831">
      <w:bodyDiv w:val="1"/>
      <w:marLeft w:val="0"/>
      <w:marRight w:val="0"/>
      <w:marTop w:val="0"/>
      <w:marBottom w:val="0"/>
      <w:divBdr>
        <w:top w:val="none" w:sz="0" w:space="0" w:color="auto"/>
        <w:left w:val="none" w:sz="0" w:space="0" w:color="auto"/>
        <w:bottom w:val="none" w:sz="0" w:space="0" w:color="auto"/>
        <w:right w:val="none" w:sz="0" w:space="0" w:color="auto"/>
      </w:divBdr>
    </w:div>
    <w:div w:id="1329095261">
      <w:bodyDiv w:val="1"/>
      <w:marLeft w:val="0"/>
      <w:marRight w:val="0"/>
      <w:marTop w:val="0"/>
      <w:marBottom w:val="0"/>
      <w:divBdr>
        <w:top w:val="none" w:sz="0" w:space="0" w:color="auto"/>
        <w:left w:val="none" w:sz="0" w:space="0" w:color="auto"/>
        <w:bottom w:val="none" w:sz="0" w:space="0" w:color="auto"/>
        <w:right w:val="none" w:sz="0" w:space="0" w:color="auto"/>
      </w:divBdr>
    </w:div>
    <w:div w:id="1340277933">
      <w:bodyDiv w:val="1"/>
      <w:marLeft w:val="0"/>
      <w:marRight w:val="0"/>
      <w:marTop w:val="0"/>
      <w:marBottom w:val="0"/>
      <w:divBdr>
        <w:top w:val="none" w:sz="0" w:space="0" w:color="auto"/>
        <w:left w:val="none" w:sz="0" w:space="0" w:color="auto"/>
        <w:bottom w:val="none" w:sz="0" w:space="0" w:color="auto"/>
        <w:right w:val="none" w:sz="0" w:space="0" w:color="auto"/>
      </w:divBdr>
    </w:div>
    <w:div w:id="1409576997">
      <w:bodyDiv w:val="1"/>
      <w:marLeft w:val="0"/>
      <w:marRight w:val="0"/>
      <w:marTop w:val="0"/>
      <w:marBottom w:val="0"/>
      <w:divBdr>
        <w:top w:val="none" w:sz="0" w:space="0" w:color="auto"/>
        <w:left w:val="none" w:sz="0" w:space="0" w:color="auto"/>
        <w:bottom w:val="none" w:sz="0" w:space="0" w:color="auto"/>
        <w:right w:val="none" w:sz="0" w:space="0" w:color="auto"/>
      </w:divBdr>
    </w:div>
    <w:div w:id="1471290175">
      <w:bodyDiv w:val="1"/>
      <w:marLeft w:val="0"/>
      <w:marRight w:val="0"/>
      <w:marTop w:val="0"/>
      <w:marBottom w:val="0"/>
      <w:divBdr>
        <w:top w:val="none" w:sz="0" w:space="0" w:color="auto"/>
        <w:left w:val="none" w:sz="0" w:space="0" w:color="auto"/>
        <w:bottom w:val="none" w:sz="0" w:space="0" w:color="auto"/>
        <w:right w:val="none" w:sz="0" w:space="0" w:color="auto"/>
      </w:divBdr>
      <w:divsChild>
        <w:div w:id="404571336">
          <w:marLeft w:val="0"/>
          <w:marRight w:val="0"/>
          <w:marTop w:val="0"/>
          <w:marBottom w:val="0"/>
          <w:divBdr>
            <w:top w:val="none" w:sz="0" w:space="0" w:color="auto"/>
            <w:left w:val="none" w:sz="0" w:space="0" w:color="auto"/>
            <w:bottom w:val="none" w:sz="0" w:space="0" w:color="auto"/>
            <w:right w:val="none" w:sz="0" w:space="0" w:color="auto"/>
          </w:divBdr>
        </w:div>
      </w:divsChild>
    </w:div>
    <w:div w:id="1475215688">
      <w:bodyDiv w:val="1"/>
      <w:marLeft w:val="0"/>
      <w:marRight w:val="0"/>
      <w:marTop w:val="0"/>
      <w:marBottom w:val="0"/>
      <w:divBdr>
        <w:top w:val="none" w:sz="0" w:space="0" w:color="auto"/>
        <w:left w:val="none" w:sz="0" w:space="0" w:color="auto"/>
        <w:bottom w:val="none" w:sz="0" w:space="0" w:color="auto"/>
        <w:right w:val="none" w:sz="0" w:space="0" w:color="auto"/>
      </w:divBdr>
      <w:divsChild>
        <w:div w:id="89325617">
          <w:marLeft w:val="0"/>
          <w:marRight w:val="0"/>
          <w:marTop w:val="0"/>
          <w:marBottom w:val="0"/>
          <w:divBdr>
            <w:top w:val="none" w:sz="0" w:space="0" w:color="auto"/>
            <w:left w:val="none" w:sz="0" w:space="0" w:color="auto"/>
            <w:bottom w:val="none" w:sz="0" w:space="0" w:color="auto"/>
            <w:right w:val="none" w:sz="0" w:space="0" w:color="auto"/>
          </w:divBdr>
        </w:div>
      </w:divsChild>
    </w:div>
    <w:div w:id="1481071302">
      <w:bodyDiv w:val="1"/>
      <w:marLeft w:val="0"/>
      <w:marRight w:val="0"/>
      <w:marTop w:val="0"/>
      <w:marBottom w:val="0"/>
      <w:divBdr>
        <w:top w:val="none" w:sz="0" w:space="0" w:color="auto"/>
        <w:left w:val="none" w:sz="0" w:space="0" w:color="auto"/>
        <w:bottom w:val="none" w:sz="0" w:space="0" w:color="auto"/>
        <w:right w:val="none" w:sz="0" w:space="0" w:color="auto"/>
      </w:divBdr>
    </w:div>
    <w:div w:id="1488476576">
      <w:bodyDiv w:val="1"/>
      <w:marLeft w:val="0"/>
      <w:marRight w:val="0"/>
      <w:marTop w:val="0"/>
      <w:marBottom w:val="0"/>
      <w:divBdr>
        <w:top w:val="none" w:sz="0" w:space="0" w:color="auto"/>
        <w:left w:val="none" w:sz="0" w:space="0" w:color="auto"/>
        <w:bottom w:val="none" w:sz="0" w:space="0" w:color="auto"/>
        <w:right w:val="none" w:sz="0" w:space="0" w:color="auto"/>
      </w:divBdr>
    </w:div>
    <w:div w:id="1497919727">
      <w:bodyDiv w:val="1"/>
      <w:marLeft w:val="0"/>
      <w:marRight w:val="0"/>
      <w:marTop w:val="0"/>
      <w:marBottom w:val="0"/>
      <w:divBdr>
        <w:top w:val="none" w:sz="0" w:space="0" w:color="auto"/>
        <w:left w:val="none" w:sz="0" w:space="0" w:color="auto"/>
        <w:bottom w:val="none" w:sz="0" w:space="0" w:color="auto"/>
        <w:right w:val="none" w:sz="0" w:space="0" w:color="auto"/>
      </w:divBdr>
    </w:div>
    <w:div w:id="1520847022">
      <w:bodyDiv w:val="1"/>
      <w:marLeft w:val="0"/>
      <w:marRight w:val="0"/>
      <w:marTop w:val="0"/>
      <w:marBottom w:val="0"/>
      <w:divBdr>
        <w:top w:val="none" w:sz="0" w:space="0" w:color="auto"/>
        <w:left w:val="none" w:sz="0" w:space="0" w:color="auto"/>
        <w:bottom w:val="none" w:sz="0" w:space="0" w:color="auto"/>
        <w:right w:val="none" w:sz="0" w:space="0" w:color="auto"/>
      </w:divBdr>
    </w:div>
    <w:div w:id="1525828894">
      <w:bodyDiv w:val="1"/>
      <w:marLeft w:val="0"/>
      <w:marRight w:val="0"/>
      <w:marTop w:val="0"/>
      <w:marBottom w:val="0"/>
      <w:divBdr>
        <w:top w:val="none" w:sz="0" w:space="0" w:color="auto"/>
        <w:left w:val="none" w:sz="0" w:space="0" w:color="auto"/>
        <w:bottom w:val="none" w:sz="0" w:space="0" w:color="auto"/>
        <w:right w:val="none" w:sz="0" w:space="0" w:color="auto"/>
      </w:divBdr>
    </w:div>
    <w:div w:id="1548760660">
      <w:bodyDiv w:val="1"/>
      <w:marLeft w:val="0"/>
      <w:marRight w:val="0"/>
      <w:marTop w:val="0"/>
      <w:marBottom w:val="0"/>
      <w:divBdr>
        <w:top w:val="none" w:sz="0" w:space="0" w:color="auto"/>
        <w:left w:val="none" w:sz="0" w:space="0" w:color="auto"/>
        <w:bottom w:val="none" w:sz="0" w:space="0" w:color="auto"/>
        <w:right w:val="none" w:sz="0" w:space="0" w:color="auto"/>
      </w:divBdr>
      <w:divsChild>
        <w:div w:id="1055859400">
          <w:marLeft w:val="0"/>
          <w:marRight w:val="0"/>
          <w:marTop w:val="0"/>
          <w:marBottom w:val="0"/>
          <w:divBdr>
            <w:top w:val="none" w:sz="0" w:space="0" w:color="auto"/>
            <w:left w:val="none" w:sz="0" w:space="0" w:color="auto"/>
            <w:bottom w:val="none" w:sz="0" w:space="0" w:color="auto"/>
            <w:right w:val="none" w:sz="0" w:space="0" w:color="auto"/>
          </w:divBdr>
        </w:div>
      </w:divsChild>
    </w:div>
    <w:div w:id="1591083363">
      <w:bodyDiv w:val="1"/>
      <w:marLeft w:val="0"/>
      <w:marRight w:val="0"/>
      <w:marTop w:val="0"/>
      <w:marBottom w:val="0"/>
      <w:divBdr>
        <w:top w:val="none" w:sz="0" w:space="0" w:color="auto"/>
        <w:left w:val="none" w:sz="0" w:space="0" w:color="auto"/>
        <w:bottom w:val="none" w:sz="0" w:space="0" w:color="auto"/>
        <w:right w:val="none" w:sz="0" w:space="0" w:color="auto"/>
      </w:divBdr>
    </w:div>
    <w:div w:id="1595163480">
      <w:bodyDiv w:val="1"/>
      <w:marLeft w:val="0"/>
      <w:marRight w:val="0"/>
      <w:marTop w:val="0"/>
      <w:marBottom w:val="0"/>
      <w:divBdr>
        <w:top w:val="none" w:sz="0" w:space="0" w:color="auto"/>
        <w:left w:val="none" w:sz="0" w:space="0" w:color="auto"/>
        <w:bottom w:val="none" w:sz="0" w:space="0" w:color="auto"/>
        <w:right w:val="none" w:sz="0" w:space="0" w:color="auto"/>
      </w:divBdr>
      <w:divsChild>
        <w:div w:id="942420915">
          <w:marLeft w:val="0"/>
          <w:marRight w:val="0"/>
          <w:marTop w:val="0"/>
          <w:marBottom w:val="0"/>
          <w:divBdr>
            <w:top w:val="none" w:sz="0" w:space="0" w:color="auto"/>
            <w:left w:val="none" w:sz="0" w:space="0" w:color="auto"/>
            <w:bottom w:val="none" w:sz="0" w:space="0" w:color="auto"/>
            <w:right w:val="none" w:sz="0" w:space="0" w:color="auto"/>
          </w:divBdr>
        </w:div>
      </w:divsChild>
    </w:div>
    <w:div w:id="1635869090">
      <w:bodyDiv w:val="1"/>
      <w:marLeft w:val="0"/>
      <w:marRight w:val="0"/>
      <w:marTop w:val="0"/>
      <w:marBottom w:val="0"/>
      <w:divBdr>
        <w:top w:val="none" w:sz="0" w:space="0" w:color="auto"/>
        <w:left w:val="none" w:sz="0" w:space="0" w:color="auto"/>
        <w:bottom w:val="none" w:sz="0" w:space="0" w:color="auto"/>
        <w:right w:val="none" w:sz="0" w:space="0" w:color="auto"/>
      </w:divBdr>
    </w:div>
    <w:div w:id="1694258862">
      <w:bodyDiv w:val="1"/>
      <w:marLeft w:val="0"/>
      <w:marRight w:val="0"/>
      <w:marTop w:val="0"/>
      <w:marBottom w:val="0"/>
      <w:divBdr>
        <w:top w:val="none" w:sz="0" w:space="0" w:color="auto"/>
        <w:left w:val="none" w:sz="0" w:space="0" w:color="auto"/>
        <w:bottom w:val="none" w:sz="0" w:space="0" w:color="auto"/>
        <w:right w:val="none" w:sz="0" w:space="0" w:color="auto"/>
      </w:divBdr>
    </w:div>
    <w:div w:id="1722365136">
      <w:bodyDiv w:val="1"/>
      <w:marLeft w:val="0"/>
      <w:marRight w:val="0"/>
      <w:marTop w:val="0"/>
      <w:marBottom w:val="0"/>
      <w:divBdr>
        <w:top w:val="none" w:sz="0" w:space="0" w:color="auto"/>
        <w:left w:val="none" w:sz="0" w:space="0" w:color="auto"/>
        <w:bottom w:val="none" w:sz="0" w:space="0" w:color="auto"/>
        <w:right w:val="none" w:sz="0" w:space="0" w:color="auto"/>
      </w:divBdr>
    </w:div>
    <w:div w:id="1749882264">
      <w:bodyDiv w:val="1"/>
      <w:marLeft w:val="0"/>
      <w:marRight w:val="0"/>
      <w:marTop w:val="0"/>
      <w:marBottom w:val="0"/>
      <w:divBdr>
        <w:top w:val="none" w:sz="0" w:space="0" w:color="auto"/>
        <w:left w:val="none" w:sz="0" w:space="0" w:color="auto"/>
        <w:bottom w:val="none" w:sz="0" w:space="0" w:color="auto"/>
        <w:right w:val="none" w:sz="0" w:space="0" w:color="auto"/>
      </w:divBdr>
    </w:div>
    <w:div w:id="1757898722">
      <w:bodyDiv w:val="1"/>
      <w:marLeft w:val="0"/>
      <w:marRight w:val="0"/>
      <w:marTop w:val="0"/>
      <w:marBottom w:val="0"/>
      <w:divBdr>
        <w:top w:val="none" w:sz="0" w:space="0" w:color="auto"/>
        <w:left w:val="none" w:sz="0" w:space="0" w:color="auto"/>
        <w:bottom w:val="none" w:sz="0" w:space="0" w:color="auto"/>
        <w:right w:val="none" w:sz="0" w:space="0" w:color="auto"/>
      </w:divBdr>
      <w:divsChild>
        <w:div w:id="1072656107">
          <w:marLeft w:val="0"/>
          <w:marRight w:val="0"/>
          <w:marTop w:val="0"/>
          <w:marBottom w:val="0"/>
          <w:divBdr>
            <w:top w:val="none" w:sz="0" w:space="0" w:color="auto"/>
            <w:left w:val="none" w:sz="0" w:space="0" w:color="auto"/>
            <w:bottom w:val="none" w:sz="0" w:space="0" w:color="auto"/>
            <w:right w:val="none" w:sz="0" w:space="0" w:color="auto"/>
          </w:divBdr>
        </w:div>
      </w:divsChild>
    </w:div>
    <w:div w:id="1771125546">
      <w:bodyDiv w:val="1"/>
      <w:marLeft w:val="0"/>
      <w:marRight w:val="0"/>
      <w:marTop w:val="0"/>
      <w:marBottom w:val="0"/>
      <w:divBdr>
        <w:top w:val="none" w:sz="0" w:space="0" w:color="auto"/>
        <w:left w:val="none" w:sz="0" w:space="0" w:color="auto"/>
        <w:bottom w:val="none" w:sz="0" w:space="0" w:color="auto"/>
        <w:right w:val="none" w:sz="0" w:space="0" w:color="auto"/>
      </w:divBdr>
    </w:div>
    <w:div w:id="1802116509">
      <w:bodyDiv w:val="1"/>
      <w:marLeft w:val="0"/>
      <w:marRight w:val="0"/>
      <w:marTop w:val="0"/>
      <w:marBottom w:val="0"/>
      <w:divBdr>
        <w:top w:val="none" w:sz="0" w:space="0" w:color="auto"/>
        <w:left w:val="none" w:sz="0" w:space="0" w:color="auto"/>
        <w:bottom w:val="none" w:sz="0" w:space="0" w:color="auto"/>
        <w:right w:val="none" w:sz="0" w:space="0" w:color="auto"/>
      </w:divBdr>
    </w:div>
    <w:div w:id="1823039028">
      <w:bodyDiv w:val="1"/>
      <w:marLeft w:val="0"/>
      <w:marRight w:val="0"/>
      <w:marTop w:val="0"/>
      <w:marBottom w:val="0"/>
      <w:divBdr>
        <w:top w:val="none" w:sz="0" w:space="0" w:color="auto"/>
        <w:left w:val="none" w:sz="0" w:space="0" w:color="auto"/>
        <w:bottom w:val="none" w:sz="0" w:space="0" w:color="auto"/>
        <w:right w:val="none" w:sz="0" w:space="0" w:color="auto"/>
      </w:divBdr>
    </w:div>
    <w:div w:id="1857189556">
      <w:bodyDiv w:val="1"/>
      <w:marLeft w:val="0"/>
      <w:marRight w:val="0"/>
      <w:marTop w:val="0"/>
      <w:marBottom w:val="0"/>
      <w:divBdr>
        <w:top w:val="none" w:sz="0" w:space="0" w:color="auto"/>
        <w:left w:val="none" w:sz="0" w:space="0" w:color="auto"/>
        <w:bottom w:val="none" w:sz="0" w:space="0" w:color="auto"/>
        <w:right w:val="none" w:sz="0" w:space="0" w:color="auto"/>
      </w:divBdr>
    </w:div>
    <w:div w:id="1868330413">
      <w:bodyDiv w:val="1"/>
      <w:marLeft w:val="0"/>
      <w:marRight w:val="0"/>
      <w:marTop w:val="0"/>
      <w:marBottom w:val="0"/>
      <w:divBdr>
        <w:top w:val="none" w:sz="0" w:space="0" w:color="auto"/>
        <w:left w:val="none" w:sz="0" w:space="0" w:color="auto"/>
        <w:bottom w:val="none" w:sz="0" w:space="0" w:color="auto"/>
        <w:right w:val="none" w:sz="0" w:space="0" w:color="auto"/>
      </w:divBdr>
      <w:divsChild>
        <w:div w:id="735982021">
          <w:marLeft w:val="0"/>
          <w:marRight w:val="0"/>
          <w:marTop w:val="0"/>
          <w:marBottom w:val="0"/>
          <w:divBdr>
            <w:top w:val="none" w:sz="0" w:space="0" w:color="auto"/>
            <w:left w:val="none" w:sz="0" w:space="0" w:color="auto"/>
            <w:bottom w:val="none" w:sz="0" w:space="0" w:color="auto"/>
            <w:right w:val="none" w:sz="0" w:space="0" w:color="auto"/>
          </w:divBdr>
          <w:divsChild>
            <w:div w:id="122706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924235">
      <w:bodyDiv w:val="1"/>
      <w:marLeft w:val="0"/>
      <w:marRight w:val="0"/>
      <w:marTop w:val="0"/>
      <w:marBottom w:val="0"/>
      <w:divBdr>
        <w:top w:val="none" w:sz="0" w:space="0" w:color="auto"/>
        <w:left w:val="none" w:sz="0" w:space="0" w:color="auto"/>
        <w:bottom w:val="none" w:sz="0" w:space="0" w:color="auto"/>
        <w:right w:val="none" w:sz="0" w:space="0" w:color="auto"/>
      </w:divBdr>
    </w:div>
    <w:div w:id="1903366822">
      <w:bodyDiv w:val="1"/>
      <w:marLeft w:val="0"/>
      <w:marRight w:val="0"/>
      <w:marTop w:val="0"/>
      <w:marBottom w:val="0"/>
      <w:divBdr>
        <w:top w:val="none" w:sz="0" w:space="0" w:color="auto"/>
        <w:left w:val="none" w:sz="0" w:space="0" w:color="auto"/>
        <w:bottom w:val="none" w:sz="0" w:space="0" w:color="auto"/>
        <w:right w:val="none" w:sz="0" w:space="0" w:color="auto"/>
      </w:divBdr>
    </w:div>
    <w:div w:id="1961494921">
      <w:bodyDiv w:val="1"/>
      <w:marLeft w:val="0"/>
      <w:marRight w:val="0"/>
      <w:marTop w:val="0"/>
      <w:marBottom w:val="0"/>
      <w:divBdr>
        <w:top w:val="none" w:sz="0" w:space="0" w:color="auto"/>
        <w:left w:val="none" w:sz="0" w:space="0" w:color="auto"/>
        <w:bottom w:val="none" w:sz="0" w:space="0" w:color="auto"/>
        <w:right w:val="none" w:sz="0" w:space="0" w:color="auto"/>
      </w:divBdr>
    </w:div>
    <w:div w:id="1965304512">
      <w:bodyDiv w:val="1"/>
      <w:marLeft w:val="0"/>
      <w:marRight w:val="0"/>
      <w:marTop w:val="0"/>
      <w:marBottom w:val="0"/>
      <w:divBdr>
        <w:top w:val="none" w:sz="0" w:space="0" w:color="auto"/>
        <w:left w:val="none" w:sz="0" w:space="0" w:color="auto"/>
        <w:bottom w:val="none" w:sz="0" w:space="0" w:color="auto"/>
        <w:right w:val="none" w:sz="0" w:space="0" w:color="auto"/>
      </w:divBdr>
    </w:div>
    <w:div w:id="2010860661">
      <w:bodyDiv w:val="1"/>
      <w:marLeft w:val="0"/>
      <w:marRight w:val="0"/>
      <w:marTop w:val="0"/>
      <w:marBottom w:val="0"/>
      <w:divBdr>
        <w:top w:val="none" w:sz="0" w:space="0" w:color="auto"/>
        <w:left w:val="none" w:sz="0" w:space="0" w:color="auto"/>
        <w:bottom w:val="none" w:sz="0" w:space="0" w:color="auto"/>
        <w:right w:val="none" w:sz="0" w:space="0" w:color="auto"/>
      </w:divBdr>
      <w:divsChild>
        <w:div w:id="1994215770">
          <w:marLeft w:val="0"/>
          <w:marRight w:val="0"/>
          <w:marTop w:val="0"/>
          <w:marBottom w:val="0"/>
          <w:divBdr>
            <w:top w:val="none" w:sz="0" w:space="0" w:color="auto"/>
            <w:left w:val="none" w:sz="0" w:space="0" w:color="auto"/>
            <w:bottom w:val="none" w:sz="0" w:space="0" w:color="auto"/>
            <w:right w:val="none" w:sz="0" w:space="0" w:color="auto"/>
          </w:divBdr>
          <w:divsChild>
            <w:div w:id="47029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070821">
      <w:bodyDiv w:val="1"/>
      <w:marLeft w:val="0"/>
      <w:marRight w:val="0"/>
      <w:marTop w:val="0"/>
      <w:marBottom w:val="0"/>
      <w:divBdr>
        <w:top w:val="none" w:sz="0" w:space="0" w:color="auto"/>
        <w:left w:val="none" w:sz="0" w:space="0" w:color="auto"/>
        <w:bottom w:val="none" w:sz="0" w:space="0" w:color="auto"/>
        <w:right w:val="none" w:sz="0" w:space="0" w:color="auto"/>
      </w:divBdr>
    </w:div>
    <w:div w:id="2077119632">
      <w:bodyDiv w:val="1"/>
      <w:marLeft w:val="0"/>
      <w:marRight w:val="0"/>
      <w:marTop w:val="0"/>
      <w:marBottom w:val="0"/>
      <w:divBdr>
        <w:top w:val="none" w:sz="0" w:space="0" w:color="auto"/>
        <w:left w:val="none" w:sz="0" w:space="0" w:color="auto"/>
        <w:bottom w:val="none" w:sz="0" w:space="0" w:color="auto"/>
        <w:right w:val="none" w:sz="0" w:space="0" w:color="auto"/>
      </w:divBdr>
    </w:div>
    <w:div w:id="2102986880">
      <w:bodyDiv w:val="1"/>
      <w:marLeft w:val="0"/>
      <w:marRight w:val="0"/>
      <w:marTop w:val="0"/>
      <w:marBottom w:val="0"/>
      <w:divBdr>
        <w:top w:val="none" w:sz="0" w:space="0" w:color="auto"/>
        <w:left w:val="none" w:sz="0" w:space="0" w:color="auto"/>
        <w:bottom w:val="none" w:sz="0" w:space="0" w:color="auto"/>
        <w:right w:val="none" w:sz="0" w:space="0" w:color="auto"/>
      </w:divBdr>
    </w:div>
    <w:div w:id="2112773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france.gouv.f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778BA-D862-4C8E-93D7-61AFB25A1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49</Pages>
  <Words>15690</Words>
  <Characters>86298</Characters>
  <Application>Microsoft Office Word</Application>
  <DocSecurity>0</DocSecurity>
  <Lines>719</Lines>
  <Paragraphs>203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THIEBAUT</dc:creator>
  <cp:lastModifiedBy>THIEBAUT Alois</cp:lastModifiedBy>
  <cp:revision>8</cp:revision>
  <cp:lastPrinted>2020-11-28T18:07:00Z</cp:lastPrinted>
  <dcterms:created xsi:type="dcterms:W3CDTF">2020-12-11T13:38:00Z</dcterms:created>
  <dcterms:modified xsi:type="dcterms:W3CDTF">2020-12-11T16:14:00Z</dcterms:modified>
</cp:coreProperties>
</file>