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4F8" w:rsidRPr="003574F8" w:rsidRDefault="003574F8" w:rsidP="003574F8">
      <w:pPr>
        <w:jc w:val="center"/>
        <w:rPr>
          <w:rFonts w:ascii="Courier New" w:hAnsi="Courier New"/>
          <w:sz w:val="20"/>
        </w:rPr>
      </w:pPr>
      <w:r>
        <w:rPr>
          <w:rFonts w:ascii="Courier New" w:hAnsi="Courier New"/>
          <w:sz w:val="20"/>
        </w:rPr>
        <w:t>1. ------IND- 2020 0813 D-- CS- ------ 20201231 --- --- PROJET</w:t>
      </w:r>
    </w:p>
    <w:p w:rsidR="00A211F5" w:rsidRPr="003574F8" w:rsidRDefault="00A211F5" w:rsidP="00A211F5">
      <w:pPr>
        <w:spacing w:before="120" w:line="320" w:lineRule="exact"/>
        <w:rPr>
          <w:rFonts w:ascii="Verdana" w:hAnsi="Verdana"/>
          <w:sz w:val="16"/>
          <w:szCs w:val="16"/>
        </w:rPr>
      </w:pPr>
      <w:r>
        <w:rPr>
          <w:rFonts w:ascii="Verdana" w:hAnsi="Verdana"/>
          <w:sz w:val="16"/>
          <w:szCs w:val="16"/>
        </w:rPr>
        <w:t>Stav ke dni: 16.12.2020</w:t>
      </w:r>
    </w:p>
    <w:p w:rsidR="002C21BC" w:rsidRPr="00077B73" w:rsidRDefault="009C24A4">
      <w:pPr>
        <w:rPr>
          <w:rFonts w:ascii="Calibri" w:hAnsi="Calibri"/>
          <w:sz w:val="22"/>
          <w:szCs w:val="22"/>
        </w:rPr>
      </w:pPr>
      <w:r>
        <w:rPr>
          <w:rFonts w:ascii="Calibri" w:hAnsi="Calibri"/>
          <w:sz w:val="22"/>
          <w:szCs w:val="22"/>
        </w:rPr>
        <w:t>__________________________________________________________________________________</w:t>
      </w:r>
    </w:p>
    <w:p w:rsidR="009C24A4" w:rsidRPr="00077B73" w:rsidRDefault="009C24A4">
      <w:pPr>
        <w:autoSpaceDE w:val="0"/>
        <w:autoSpaceDN w:val="0"/>
        <w:adjustRightInd w:val="0"/>
        <w:jc w:val="center"/>
        <w:rPr>
          <w:rFonts w:ascii="Calibri" w:hAnsi="Calibri"/>
          <w:sz w:val="22"/>
          <w:szCs w:val="22"/>
        </w:rPr>
      </w:pPr>
    </w:p>
    <w:p w:rsidR="00485576" w:rsidRPr="00077B73" w:rsidRDefault="00F57DE5" w:rsidP="00485576">
      <w:pPr>
        <w:spacing w:line="276" w:lineRule="auto"/>
        <w:jc w:val="center"/>
        <w:rPr>
          <w:rFonts w:asciiTheme="minorHAnsi" w:eastAsia="Calibri" w:hAnsiTheme="minorHAnsi" w:cstheme="minorHAnsi"/>
          <w:b/>
          <w:bCs/>
          <w:sz w:val="22"/>
          <w:szCs w:val="22"/>
        </w:rPr>
      </w:pPr>
      <w:r>
        <w:rPr>
          <w:b/>
          <w:sz w:val="22"/>
          <w:szCs w:val="22"/>
        </w:rPr>
        <w:t>Stanovy ke konkretizaci ustanovení státní smlouvy o sdělovacích prostředcích provozovaných přes mediální platformy a uživatelská rozhraní</w:t>
      </w:r>
      <w:r>
        <w:rPr>
          <w:rFonts w:asciiTheme="minorHAnsi" w:hAnsiTheme="minorHAnsi"/>
          <w:b/>
          <w:bCs/>
          <w:sz w:val="22"/>
          <w:szCs w:val="22"/>
        </w:rPr>
        <w:t xml:space="preserve"> </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F57DE5" w:rsidRPr="00077B73" w:rsidRDefault="00F57DE5" w:rsidP="00485576">
      <w:pPr>
        <w:spacing w:line="276" w:lineRule="auto"/>
        <w:jc w:val="center"/>
        <w:rPr>
          <w:rFonts w:asciiTheme="minorHAnsi" w:eastAsia="Calibri" w:hAnsiTheme="minorHAnsi" w:cstheme="minorHAnsi"/>
          <w:b/>
          <w:bCs/>
          <w:sz w:val="22"/>
          <w:szCs w:val="22"/>
        </w:rPr>
      </w:pPr>
      <w:r>
        <w:rPr>
          <w:rFonts w:asciiTheme="minorHAnsi" w:hAnsiTheme="minorHAnsi"/>
          <w:b/>
          <w:bCs/>
          <w:sz w:val="22"/>
          <w:szCs w:val="22"/>
        </w:rPr>
        <w:t>(Stanovy pro mediální platformy a uživatelská rozhraní)</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485576" w:rsidRPr="00077B73" w:rsidRDefault="00485576" w:rsidP="00485576">
      <w:pPr>
        <w:spacing w:line="276" w:lineRule="auto"/>
        <w:jc w:val="center"/>
        <w:rPr>
          <w:rFonts w:ascii="Calibri" w:eastAsia="Calibri" w:hAnsi="Calibri"/>
          <w:b/>
          <w:sz w:val="22"/>
          <w:szCs w:val="22"/>
        </w:rPr>
      </w:pPr>
      <w:r>
        <w:rPr>
          <w:rFonts w:ascii="Calibri" w:hAnsi="Calibri"/>
          <w:b/>
          <w:sz w:val="22"/>
          <w:szCs w:val="22"/>
        </w:rPr>
        <w:t>ze dne...</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F71879" w:rsidRPr="00077B73" w:rsidRDefault="00F57DE5" w:rsidP="00F71879">
      <w:pPr>
        <w:spacing w:line="276" w:lineRule="auto"/>
        <w:rPr>
          <w:rFonts w:ascii="Calibri" w:eastAsia="Calibri" w:hAnsi="Calibri"/>
          <w:bCs/>
          <w:sz w:val="22"/>
          <w:szCs w:val="22"/>
        </w:rPr>
      </w:pPr>
      <w:r>
        <w:rPr>
          <w:sz w:val="22"/>
          <w:szCs w:val="22"/>
        </w:rPr>
        <w:t xml:space="preserve">Ve smyslu </w:t>
      </w:r>
      <w:r>
        <w:rPr>
          <w:rFonts w:asciiTheme="minorHAnsi" w:hAnsiTheme="minorHAnsi"/>
          <w:bCs/>
          <w:sz w:val="22"/>
          <w:szCs w:val="22"/>
        </w:rPr>
        <w:t xml:space="preserve">§ 84 odst. 8 a násl., </w:t>
      </w:r>
      <w:r>
        <w:rPr>
          <w:rFonts w:ascii="Calibri" w:hAnsi="Calibri"/>
          <w:sz w:val="22"/>
          <w:szCs w:val="22"/>
        </w:rPr>
        <w:t>88 státní smlouvy o sdělovacích prostředcích (Medienstaatsvertrag, MStV) ze dne 14. až 28. dubna 2020 (… odkaz) vydává [název zemského mediálního regulačního orgánu] v souladu s ostatními zemskými mediálními regulačními orgány následující stanovy:</w:t>
      </w:r>
    </w:p>
    <w:p w:rsidR="00DB7447" w:rsidRPr="00077B73" w:rsidRDefault="00DB7447" w:rsidP="00F71879">
      <w:pPr>
        <w:spacing w:line="276" w:lineRule="auto"/>
        <w:rPr>
          <w:rFonts w:ascii="Calibri" w:eastAsia="Calibri" w:hAnsi="Calibri"/>
          <w:bCs/>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1. oddíl: Všeobecné předpisy</w:t>
      </w:r>
    </w:p>
    <w:p w:rsidR="00F71879" w:rsidRPr="00077B73" w:rsidRDefault="00F71879" w:rsidP="00077B73">
      <w:pPr>
        <w:keepNext/>
        <w:spacing w:after="160" w:line="259" w:lineRule="auto"/>
        <w:contextualSpacing/>
        <w:rPr>
          <w:rFonts w:asciiTheme="minorHAnsi" w:eastAsia="Calibri" w:hAnsiTheme="minorHAnsi" w:cstheme="minorHAnsi"/>
          <w:b/>
          <w:bCs/>
          <w:sz w:val="22"/>
          <w:szCs w:val="22"/>
          <w:lang w:eastAsia="en-US"/>
        </w:rPr>
      </w:pPr>
    </w:p>
    <w:p w:rsidR="00F57DE5" w:rsidRPr="00077B73" w:rsidRDefault="00F71879" w:rsidP="00077B73">
      <w:pPr>
        <w:keepNext/>
        <w:spacing w:line="276" w:lineRule="auto"/>
        <w:jc w:val="center"/>
        <w:rPr>
          <w:rFonts w:ascii="Calibri" w:eastAsia="Calibri" w:hAnsi="Calibri"/>
          <w:b/>
          <w:sz w:val="22"/>
          <w:szCs w:val="22"/>
        </w:rPr>
      </w:pPr>
      <w:r>
        <w:rPr>
          <w:rFonts w:ascii="Calibri" w:hAnsi="Calibri"/>
          <w:b/>
          <w:sz w:val="22"/>
          <w:szCs w:val="22"/>
        </w:rPr>
        <w:t>§ 1</w:t>
      </w:r>
      <w:r>
        <w:rPr>
          <w:rFonts w:ascii="Calibri" w:hAnsi="Calibri"/>
          <w:b/>
          <w:sz w:val="22"/>
          <w:szCs w:val="22"/>
        </w:rPr>
        <w:br/>
        <w:t>Účel, oblast použití</w:t>
      </w:r>
    </w:p>
    <w:p w:rsidR="00F33BCA" w:rsidRPr="00077B73" w:rsidRDefault="00F33BCA" w:rsidP="00077B73">
      <w:pPr>
        <w:keepNext/>
        <w:spacing w:line="276" w:lineRule="auto"/>
        <w:jc w:val="center"/>
        <w:rPr>
          <w:rFonts w:ascii="Calibri" w:eastAsia="Calibri" w:hAnsi="Calibri"/>
          <w:b/>
          <w:sz w:val="22"/>
          <w:szCs w:val="22"/>
          <w:lang w:eastAsia="en-US"/>
        </w:rPr>
      </w:pPr>
    </w:p>
    <w:p w:rsidR="00F57DE5" w:rsidRPr="00077B73" w:rsidRDefault="00F71879" w:rsidP="00F71879">
      <w:pPr>
        <w:spacing w:line="276" w:lineRule="auto"/>
        <w:rPr>
          <w:rFonts w:asciiTheme="minorHAnsi" w:eastAsia="Calibri" w:hAnsiTheme="minorHAnsi" w:cstheme="minorHAnsi"/>
          <w:bCs/>
          <w:sz w:val="22"/>
          <w:szCs w:val="22"/>
        </w:rPr>
      </w:pPr>
      <w:r>
        <w:rPr>
          <w:rFonts w:asciiTheme="minorHAnsi" w:hAnsiTheme="minorHAnsi"/>
          <w:bCs/>
          <w:sz w:val="22"/>
          <w:szCs w:val="22"/>
        </w:rPr>
        <w:t xml:space="preserve">(1) </w:t>
      </w:r>
      <w:r>
        <w:rPr>
          <w:rFonts w:asciiTheme="minorHAnsi" w:hAnsiTheme="minorHAnsi"/>
          <w:bCs/>
          <w:sz w:val="22"/>
          <w:szCs w:val="22"/>
          <w:vertAlign w:val="superscript"/>
        </w:rPr>
        <w:t>1</w:t>
      </w:r>
      <w:r>
        <w:rPr>
          <w:rFonts w:asciiTheme="minorHAnsi" w:hAnsiTheme="minorHAnsi"/>
          <w:bCs/>
          <w:sz w:val="22"/>
          <w:szCs w:val="22"/>
        </w:rPr>
        <w:t xml:space="preserve">Tyto stanovy v souladu s § 84 odst. 8 a násl., 88 MStV podrobně upravují obsahovou a procesní náplň právních předpisů V. oddílu 2. pododdílu MStV o mediálních platformách a uživatelských rozhraních (§ 78 až 88 MStV). </w:t>
      </w:r>
      <w:r>
        <w:rPr>
          <w:rFonts w:asciiTheme="minorHAnsi" w:hAnsiTheme="minorHAnsi"/>
          <w:bCs/>
          <w:sz w:val="22"/>
          <w:szCs w:val="22"/>
          <w:vertAlign w:val="superscript"/>
        </w:rPr>
        <w:t>2</w:t>
      </w:r>
      <w:r>
        <w:rPr>
          <w:rFonts w:asciiTheme="minorHAnsi" w:hAnsiTheme="minorHAnsi"/>
          <w:bCs/>
          <w:sz w:val="22"/>
          <w:szCs w:val="22"/>
        </w:rPr>
        <w:t xml:space="preserve">Slouží k zajištění názorové plurality (pluralita nabídek a poskytovatelů). </w:t>
      </w:r>
    </w:p>
    <w:p w:rsidR="00F57DE5" w:rsidRPr="00077B73" w:rsidRDefault="00F57DE5" w:rsidP="00F57DE5">
      <w:pPr>
        <w:spacing w:after="160" w:line="259" w:lineRule="auto"/>
        <w:ind w:left="360"/>
        <w:contextualSpacing/>
        <w:jc w:val="both"/>
        <w:rPr>
          <w:rFonts w:asciiTheme="minorHAnsi" w:eastAsia="Calibri" w:hAnsiTheme="minorHAnsi" w:cstheme="minorHAnsi"/>
          <w:bCs/>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szCs w:val="22"/>
        </w:rPr>
        <w:t xml:space="preserve">(2) </w:t>
      </w:r>
      <w:r>
        <w:rPr>
          <w:rFonts w:asciiTheme="minorHAnsi" w:hAnsiTheme="minorHAnsi"/>
          <w:sz w:val="22"/>
          <w:szCs w:val="22"/>
          <w:vertAlign w:val="superscript"/>
        </w:rPr>
        <w:t>1</w:t>
      </w:r>
      <w:r>
        <w:rPr>
          <w:rFonts w:asciiTheme="minorHAnsi" w:hAnsiTheme="minorHAnsi"/>
          <w:sz w:val="22"/>
          <w:szCs w:val="22"/>
        </w:rPr>
        <w:t xml:space="preserve">Ustanovení těchto stanov platí pro mediální platformy a uživatelská rozhraní. </w:t>
      </w:r>
      <w:r>
        <w:rPr>
          <w:rFonts w:asciiTheme="minorHAnsi" w:hAnsiTheme="minorHAnsi"/>
          <w:sz w:val="22"/>
          <w:szCs w:val="22"/>
          <w:vertAlign w:val="superscript"/>
        </w:rPr>
        <w:t>2</w:t>
      </w:r>
      <w:r>
        <w:rPr>
          <w:rFonts w:asciiTheme="minorHAnsi" w:hAnsiTheme="minorHAnsi"/>
          <w:sz w:val="22"/>
          <w:szCs w:val="22"/>
        </w:rPr>
        <w:t xml:space="preserve">S výjimkou § 1, 2, 3, 12 a násl. těchto stanov neplatí pro mediální platformy a uživatelská rozhraní, jejichž význam je pro pluralitu nabídek a názorů zanedbatelný. </w:t>
      </w:r>
      <w:r>
        <w:rPr>
          <w:rFonts w:asciiTheme="minorHAnsi" w:hAnsiTheme="minorHAnsi"/>
          <w:sz w:val="22"/>
          <w:szCs w:val="22"/>
          <w:vertAlign w:val="superscript"/>
        </w:rPr>
        <w:t>3</w:t>
      </w:r>
      <w:r>
        <w:rPr>
          <w:rFonts w:asciiTheme="minorHAnsi" w:hAnsiTheme="minorHAnsi"/>
          <w:sz w:val="22"/>
          <w:szCs w:val="22"/>
        </w:rPr>
        <w:t>Zpravidla se jedná o případ, kdy mediální platforma nebo uživatelské rozhraní nedosáhne prahových hodnot stanovených v § 78 věta 2 č. 1 a 2 MStV.</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Mediální platformy spojené s infrastrukturou jsou takové platformy, jejichž poskytovatel zároveň kontroluje přenosový systém od bodu vstupu až do koncového bodu sítě. </w:t>
      </w:r>
      <w:r>
        <w:rPr>
          <w:rFonts w:asciiTheme="minorHAnsi" w:hAnsiTheme="minorHAnsi"/>
          <w:sz w:val="22"/>
          <w:szCs w:val="22"/>
          <w:vertAlign w:val="superscript"/>
        </w:rPr>
        <w:t>2</w:t>
      </w:r>
      <w:r>
        <w:rPr>
          <w:rFonts w:asciiTheme="minorHAnsi" w:hAnsiTheme="minorHAnsi"/>
          <w:sz w:val="22"/>
          <w:szCs w:val="22"/>
        </w:rPr>
        <w:t>Kontrola může také vyplývat ze smluvního ujednání mezi poskytovatelem a vlastníkem přenosové infrastruktury.</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F71879" w:rsidP="00077B73">
      <w:pPr>
        <w:keepNext/>
        <w:spacing w:line="276" w:lineRule="auto"/>
        <w:rPr>
          <w:rFonts w:asciiTheme="minorHAnsi" w:eastAsia="Calibri" w:hAnsiTheme="minorHAnsi" w:cstheme="minorHAnsi"/>
          <w:sz w:val="22"/>
          <w:szCs w:val="22"/>
        </w:rPr>
      </w:pPr>
      <w:bookmarkStart w:id="0" w:name="_Hlk46137526"/>
      <w:r>
        <w:rPr>
          <w:rFonts w:asciiTheme="minorHAnsi" w:hAnsiTheme="minorHAnsi"/>
          <w:sz w:val="22"/>
          <w:szCs w:val="22"/>
        </w:rPr>
        <w:t>(4) Bytové jednotky připojené k mediálním platformám v kabelové síti a jejich uživatelským rozhraním podle § 78 věty 2 č. 1 MStV jsou definovány následovně:</w:t>
      </w:r>
    </w:p>
    <w:p w:rsidR="00F57DE5" w:rsidRPr="00077B73" w:rsidRDefault="00F57DE5" w:rsidP="002417C5">
      <w:pPr>
        <w:numPr>
          <w:ilvl w:val="0"/>
          <w:numId w:val="1"/>
        </w:numPr>
        <w:spacing w:after="200" w:line="276" w:lineRule="auto"/>
        <w:contextualSpacing/>
        <w:rPr>
          <w:rFonts w:asciiTheme="minorHAnsi" w:eastAsia="Calibri" w:hAnsiTheme="minorHAnsi" w:cstheme="minorHAnsi"/>
          <w:sz w:val="22"/>
          <w:szCs w:val="22"/>
        </w:rPr>
      </w:pPr>
      <w:r>
        <w:rPr>
          <w:sz w:val="22"/>
          <w:szCs w:val="22"/>
        </w:rPr>
        <w:t>Všechny přiřaditelné sítě jednoho provozovatele mediální platformy v kabelové síti jsou posuzovány souhrnně.</w:t>
      </w:r>
    </w:p>
    <w:p w:rsidR="00F57DE5" w:rsidRPr="00077B73" w:rsidRDefault="00F57DE5" w:rsidP="002417C5">
      <w:pPr>
        <w:numPr>
          <w:ilvl w:val="0"/>
          <w:numId w:val="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Připojenými bytovými jednotkami ve smyslu § 78 věty 2 č. 1 MStV se v případě mediálních platforem v kabelové síti rozumí bytové jednotky, v nichž je instalován koncový bod sítě, ve kterém je koncovému uživateli poskytován přístup ke kabelové síti, za předpokladu, že byla pro koncový bod sítě sjednána dohoda, která koncového uživatele opravňuje využívat služby rozhlasového a televizního vysílání.</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F71879"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(5) Pro určení počtu skutečných denních uživatelů ve smyslu § 78 věty 2 č. 2 MStV platí následující ustanovení:</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 xml:space="preserve">Skutečný počet denních uživatelů otevřené mediální platformy nebo uživatelského rozhraní (bez kontroly přenosu) je počet uživatelů, kteří v rámci jednoho dne navštíví mediální </w:t>
      </w:r>
      <w:r>
        <w:rPr>
          <w:rFonts w:ascii="Calibri" w:hAnsi="Calibri"/>
          <w:sz w:val="22"/>
          <w:szCs w:val="22"/>
        </w:rPr>
        <w:lastRenderedPageBreak/>
        <w:t>platformu nebo uživatelské rozhraní. Vícenásobná vyvolání jednoho uživatele se sčítají (Unique User).</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Rozhodujícím kritériem je vyvolání první úrovně menu mediální platformy nebo uživatelského rozhraní. Je-li naproti tomu mediální platforma oddělitelnou částí kombinované nabídky, bere se v potaz počet uživatelů (Unique User) oddělitelné funkce.</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 xml:space="preserve">V případě, že vyvolání rozhlasového nebo televizního vysílání či podobných služeb elektronických komunikací nebo elektronických komunikací ve smyslu § 19 odst. 1 MStV závisí na registraci nebo přihlášení, je rozhodujícím kritériem pro měření „Unique User“ vyvolání první úrovně menu dostupné po registraci nebo přihlášení. </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V případě, že nelze zjistit informace o skutečném počtu denních uživatelů, je nutné u uživatelských rozhraní vyjít z počtu prodaných přístrojů.</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 xml:space="preserve">Základem pro výše uvedené výpočty měsíčního průměru je doba šesti měsíců. </w:t>
      </w:r>
    </w:p>
    <w:p w:rsidR="00F57DE5" w:rsidRPr="00077B73" w:rsidRDefault="00F57DE5" w:rsidP="00F57DE5">
      <w:pPr>
        <w:ind w:left="360"/>
        <w:contextualSpacing/>
        <w:jc w:val="both"/>
        <w:rPr>
          <w:rFonts w:asciiTheme="minorHAnsi" w:eastAsia="Calibri" w:hAnsiTheme="minorHAnsi" w:cstheme="minorHAnsi"/>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szCs w:val="22"/>
        </w:rPr>
        <w:t>(6) Poskytovatel musí zaručit podmínky podle § 78 věty 2 č. 1 a 2 MStV.</w:t>
      </w:r>
    </w:p>
    <w:p w:rsidR="00F57DE5" w:rsidRPr="00077B73" w:rsidRDefault="00F57DE5" w:rsidP="00E22B72">
      <w:pPr>
        <w:spacing w:line="276" w:lineRule="auto"/>
        <w:jc w:val="center"/>
        <w:rPr>
          <w:rFonts w:ascii="Calibri" w:eastAsia="Calibri" w:hAnsi="Calibri"/>
          <w:b/>
          <w:sz w:val="22"/>
          <w:szCs w:val="22"/>
          <w:lang w:eastAsia="en-US"/>
        </w:rPr>
      </w:pPr>
    </w:p>
    <w:p w:rsidR="00E22B7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2</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Oznámení</w:t>
      </w:r>
    </w:p>
    <w:p w:rsidR="00F33BCA" w:rsidRPr="00077B73" w:rsidRDefault="00F33BCA" w:rsidP="00077B73">
      <w:pPr>
        <w:keepNext/>
        <w:spacing w:line="276" w:lineRule="auto"/>
        <w:jc w:val="center"/>
        <w:rPr>
          <w:rFonts w:ascii="Calibri" w:eastAsia="Calibri" w:hAnsi="Calibri"/>
          <w:b/>
          <w:sz w:val="22"/>
          <w:szCs w:val="22"/>
          <w:lang w:eastAsia="en-US"/>
        </w:rPr>
      </w:pPr>
    </w:p>
    <w:p w:rsidR="00F57DE5" w:rsidRPr="00077B73" w:rsidRDefault="00E22B72" w:rsidP="00E22B72">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Poskytovatelé, kteří chtějí nabízet mediální platformu nebo uživatelské rozhraní, jsou povinni svůj záměr oznámit minimálně měsíc před uvedením do provozu příslušnému zemskému mediálnímu regulačnímu úřadu. </w:t>
      </w:r>
      <w:r>
        <w:rPr>
          <w:rFonts w:asciiTheme="minorHAnsi" w:hAnsiTheme="minorHAnsi"/>
          <w:sz w:val="22"/>
          <w:szCs w:val="22"/>
          <w:vertAlign w:val="superscript"/>
        </w:rPr>
        <w:t>2</w:t>
      </w:r>
      <w:r>
        <w:rPr>
          <w:rFonts w:asciiTheme="minorHAnsi" w:hAnsiTheme="minorHAnsi"/>
          <w:sz w:val="22"/>
          <w:szCs w:val="22"/>
        </w:rPr>
        <w:t xml:space="preserve">V případě, že za zprovoznění nabídky neodpovídá poskytovatel, platí pro povinnost oznámení podle věty 1 okamžik zahájení používání nabídky uživateli. </w:t>
      </w:r>
    </w:p>
    <w:p w:rsidR="00E22B72" w:rsidRPr="00077B73" w:rsidRDefault="00E22B72" w:rsidP="00E22B72">
      <w:pPr>
        <w:spacing w:line="276" w:lineRule="auto"/>
        <w:rPr>
          <w:rFonts w:asciiTheme="minorHAnsi" w:eastAsia="Calibri" w:hAnsiTheme="minorHAnsi" w:cstheme="minorHAnsi"/>
          <w:sz w:val="22"/>
          <w:szCs w:val="22"/>
          <w:lang w:eastAsia="en-US"/>
        </w:rPr>
      </w:pPr>
    </w:p>
    <w:p w:rsidR="00F57DE5" w:rsidRPr="00077B73" w:rsidRDefault="00E22B72"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(2) Při oznámení je nutné uvést zejména následující informace a předložit příslušné dokumenty:</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Popis nabídky; součástí jsou informace o spojení mediální platformy s infrastrukturou, příp. informace, zda se jedná o uživatelské rozhraní mediální platformy v uzavřené síťové infrastruktuře.</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Uvedení fyzické, nebo právnické osoby poskytovatele mediální platformy či uživatelského rozhraní a uvedení jeho bydliště nebo sídla.</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Předložení výpisu z rejstříku trestů za účelem předložení příslušnému orgánu, nebo podobného zahraničního dokumentu platícího pro osobu poskytovatele mediální platformy nebo uživatelského rozhraní, příp. pro jeho právního nebo statutárního zástupce. Výpis nesmí být v okamžiku předložení starší než půl roku. V případě několika právních nebo statutárních zástupců postačuje předložit dokument podle věty 1 pro zástupce, kteří odpovídají za výběr nabídek nebo uspořádání přehledu.</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Informace o technickém a zamýšleném rozsahu použití. Sem patří především informace nezbytné pro ověření podle § 78 věta 2 MStV a § 1 odst. 4 až 6 těchto stanov.</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 xml:space="preserve">(3) V případě, že poskytovatel mediální platformy nebo uživatelského rozhraní nemá bydliště, nebo sídlo na území Německa, v jiném členském státě Evropské unie, nebo v jiném smluvním státě Dohody o Evropském hospodářském prostoru, je povinen v rámci oznamovací povinnosti jmenovat zplnomocněnou osobu podle § 79 odst. 1 věta 2 MStV a předložit dokument podle odst. 2 č. 3. </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(4) Příslušný mediální regulační orgán může dále požadovat předložení dalších dokumentů a informací, které jsou nutné pro posouzení oznámení.</w:t>
      </w:r>
    </w:p>
    <w:p w:rsidR="00F57DE5" w:rsidRPr="00077B73" w:rsidRDefault="00F57DE5" w:rsidP="00075A82">
      <w:pPr>
        <w:spacing w:line="276" w:lineRule="auto"/>
        <w:jc w:val="center"/>
        <w:rPr>
          <w:rFonts w:ascii="Calibri" w:eastAsia="Calibri" w:hAnsi="Calibri"/>
          <w:b/>
          <w:sz w:val="22"/>
          <w:szCs w:val="22"/>
          <w:lang w:eastAsia="en-US"/>
        </w:rPr>
      </w:pPr>
    </w:p>
    <w:p w:rsidR="00075A8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lastRenderedPageBreak/>
        <w:t xml:space="preserve">§ 3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Integrita signálu, překrytí a úpravy</w:t>
      </w:r>
    </w:p>
    <w:p w:rsidR="00075A82" w:rsidRPr="00077B73" w:rsidRDefault="00075A82" w:rsidP="00077B73">
      <w:pPr>
        <w:keepNext/>
        <w:spacing w:line="276" w:lineRule="auto"/>
        <w:jc w:val="center"/>
        <w:rPr>
          <w:rFonts w:ascii="Calibri" w:eastAsia="Calibri" w:hAnsi="Calibri"/>
          <w:b/>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(1) O technickou změnu ve smyslu § 80 odst. 1 č. 1 MStV se rovněž jedná, pokud poskytovatel mediální platformy nepředává technicky připravené signály HbbTV.</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bookmarkStart w:id="1" w:name="_Hlk49412973"/>
      <w:r>
        <w:rPr>
          <w:rFonts w:asciiTheme="minorHAnsi" w:hAnsiTheme="minorHAnsi"/>
          <w:sz w:val="22"/>
          <w:szCs w:val="22"/>
        </w:rPr>
        <w:t xml:space="preserve">(2) Za překrytí ve smyslu § 80 odst. 1 č. 2 MStV se považují také akustické a vizuální videoreklamy, jejichž spuštění následuje bezprostředně po navolení uživatelem a před začátkem vysílání programu (pre-roll). </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Podnětem v konkrétním případě ve smyslu § 80 odst. 2 věta 2 a 3 MStV je jednoznačné jednání uživatele, prostřednictvím kterého dá uživatel dobrovolně a zcela jasně pro konkrétní situaci užití najevo, že chce spustit překrytí nebo změnit zobrazení. </w:t>
      </w:r>
      <w:r>
        <w:rPr>
          <w:rFonts w:asciiTheme="minorHAnsi" w:hAnsiTheme="minorHAnsi"/>
          <w:sz w:val="22"/>
          <w:szCs w:val="22"/>
          <w:vertAlign w:val="superscript"/>
        </w:rPr>
        <w:t>2</w:t>
      </w:r>
      <w:r>
        <w:rPr>
          <w:rFonts w:asciiTheme="minorHAnsi" w:hAnsiTheme="minorHAnsi"/>
          <w:sz w:val="22"/>
          <w:szCs w:val="22"/>
        </w:rPr>
        <w:t>Tento případ nastává zejména, pokud uživatel k překrytí nebo změnu zobrazení použije příslušné vizuální nebo akustické ovládací prvky.</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2. oddíl: Požadavky na obsazenost</w:t>
      </w:r>
    </w:p>
    <w:p w:rsidR="00F57DE5" w:rsidRPr="00077B73" w:rsidRDefault="00F57DE5" w:rsidP="00077B73">
      <w:pPr>
        <w:keepNext/>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4</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Požadavky na obsazenost mediálních platforem využívajících danou infrastrukturu</w:t>
      </w:r>
    </w:p>
    <w:p w:rsidR="002C35D6" w:rsidRPr="00077B73" w:rsidRDefault="002C35D6" w:rsidP="00077B73">
      <w:pPr>
        <w:keepNext/>
        <w:spacing w:line="276" w:lineRule="auto"/>
        <w:jc w:val="center"/>
        <w:rPr>
          <w:rFonts w:ascii="Calibri" w:eastAsia="Calibri" w:hAnsi="Calibri"/>
          <w:b/>
          <w:sz w:val="22"/>
          <w:szCs w:val="22"/>
          <w:lang w:eastAsia="en-US"/>
        </w:rPr>
      </w:pPr>
    </w:p>
    <w:bookmarkEnd w:id="1"/>
    <w:p w:rsidR="00590EAA" w:rsidRPr="00077B73" w:rsidRDefault="00590EAA"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Předpokladem odpovídajícího zohlednění nabídek podle § 81 odst. 2 věty 1 č. 1 písm. b) a c) MStV a § 81 odst. 3 věta 1 č. 1 písm. b) MStV je, že</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bude prokázáno, že kapacita podle věty 1 č. 1 nevystačí ke splnění povinnosti šíření podle § 81 odst. 2 věta 1 č. 1 MStV a podle § 81 odst. 3 věta 1 č. 1 MStV v plném rozsahu;</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programy šířené v různých standardech budou započítány pouze jednou;</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 xml:space="preserve">programy podle § 81 odst. 2 věta 1 č. 1 MStV a § 81 odst. 3 věta 1 č. 1 MStV, které nejsou zákonem určeny pro příslušnou oblast šíření, budou šířeny druhotně vůči nabídkám podle § 81 odst. 2 věty 1 č. 1 písm. b) a c) MStV a § 81 odst. 3 věty 1 č. 1 písm. b) MStV; </w:t>
      </w:r>
    </w:p>
    <w:p w:rsidR="002C35D6"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nabídky podle § 81 odst. 2 věty 1 č. 1 písm. b) a c) MStV a § 81 odst. 3 věta 1 č. 1 písm. b) MStV nebudou zcela vyloučeny.</w:t>
      </w:r>
      <w:bookmarkEnd w:id="0"/>
    </w:p>
    <w:p w:rsidR="00590EAA" w:rsidRPr="00077B73" w:rsidRDefault="00590EAA" w:rsidP="00590EAA">
      <w:pPr>
        <w:spacing w:after="200" w:line="276" w:lineRule="auto"/>
        <w:ind w:left="720"/>
        <w:contextualSpacing/>
        <w:rPr>
          <w:rFonts w:ascii="Calibri" w:eastAsia="Calibri" w:hAnsi="Calibr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sz w:val="22"/>
          <w:szCs w:val="22"/>
        </w:rPr>
      </w:pPr>
      <w:r>
        <w:rPr>
          <w:rFonts w:asciiTheme="minorHAnsi" w:hAnsiTheme="minorHAnsi"/>
          <w:b/>
          <w:bCs/>
          <w:sz w:val="22"/>
          <w:szCs w:val="22"/>
        </w:rPr>
        <w:t>3. oddíl:</w:t>
      </w:r>
      <w:r>
        <w:rPr>
          <w:rFonts w:asciiTheme="minorHAnsi" w:hAnsiTheme="minorHAnsi"/>
          <w:b/>
          <w:sz w:val="22"/>
          <w:szCs w:val="22"/>
        </w:rPr>
        <w:t xml:space="preserve"> Podmínky přístupu k mediálním platformám</w:t>
      </w:r>
    </w:p>
    <w:p w:rsidR="002C35D6" w:rsidRPr="00077B73" w:rsidRDefault="002C35D6" w:rsidP="00077B73">
      <w:pPr>
        <w:keepNext/>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 5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Rovnost příležitostí</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(1) Poskytovatelé mediálních platforem musí poskytnout přístup ke své mediální platformě způsobem, který při šíření nebo obchodním využití nebude ani přímo, ani nepřímo nespravedlivě znevýhodňovat nabídky podle § 82 odst. 2 MStV.</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(2) Nespravedlivé znevýhodnění je nutné posoudit na základě komplexního vyvážení zájmů zúčastněných stran a s ohledem na cíl MStV a těchto stanov zaměřený na zajištění plurality názorů a nabídek.</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lastRenderedPageBreak/>
        <w:t>(3) O nespravedlivé znevýhodnění se jedná zejména, pokud mediální platformy neposkytují v rámci technických možností a ekonomické přijatelnosti reálnou možnost přístupu nebo podmínky přístupu vedou ke strukturálnímu znevýhodnění nabídek podle § 82 odst. 2 MStV.</w:t>
      </w:r>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 6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Zákaz diskriminace</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Poskytovatelé mediálních platforem nesmí zacházet s nabídkami podle § 82 odst. 2 MStV ve srovnání s podobnými nabídkami bez věcně oprávněného důvodů rozdílně. </w:t>
      </w:r>
      <w:r>
        <w:rPr>
          <w:rFonts w:asciiTheme="minorHAnsi" w:hAnsiTheme="minorHAnsi"/>
          <w:sz w:val="22"/>
          <w:szCs w:val="22"/>
          <w:vertAlign w:val="superscript"/>
        </w:rPr>
        <w:t>2</w:t>
      </w:r>
      <w:r>
        <w:rPr>
          <w:rFonts w:asciiTheme="minorHAnsi" w:hAnsiTheme="minorHAnsi"/>
          <w:sz w:val="22"/>
          <w:szCs w:val="22"/>
        </w:rPr>
        <w:t xml:space="preserve">Tím je zejména případ, kdy poskytovatel mediální platformy poskytuje přístup k mediálním platformám pro nabídku podle § 82 odst. 2 MStV za jiných podmínek přístupu než podniku, který lze přiřadit k poskytovateli mediální platformy, ledaže pro to existuje věcně oprávněný důvod. </w:t>
      </w:r>
      <w:r>
        <w:rPr>
          <w:rFonts w:asciiTheme="minorHAnsi" w:hAnsiTheme="minorHAnsi"/>
          <w:sz w:val="22"/>
          <w:szCs w:val="22"/>
          <w:vertAlign w:val="superscript"/>
        </w:rPr>
        <w:t>3</w:t>
      </w:r>
      <w:r>
        <w:rPr>
          <w:rFonts w:asciiTheme="minorHAnsi" w:hAnsiTheme="minorHAnsi"/>
          <w:sz w:val="22"/>
          <w:szCs w:val="22"/>
        </w:rPr>
        <w:t>Přiřaditelné jsou takové podniky, se kterými je poskytovatel mediálních platforem přímo, nebo nepřímo spojen prostřednictvím majetkové účasti, nebo jiným způsobem. Rovněž se uplatní § 62 MStV.</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(2) Věcně opravňující důvod pro nerovné zacházení musí obstát před hlavním cílem zajištění názorové plurality.</w:t>
      </w:r>
    </w:p>
    <w:p w:rsidR="00C5646E" w:rsidRPr="00077B73" w:rsidRDefault="00C5646E"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 7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Systémy podmíněného přístupu</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(1) Systémem podmíněného přístupu je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szCs w:val="22"/>
        </w:rPr>
        <w:t xml:space="preserve">každé technické opatření,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szCs w:val="22"/>
        </w:rPr>
        <w:t xml:space="preserve">každý systém ověření a/nebo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szCs w:val="22"/>
        </w:rPr>
        <w:t xml:space="preserve">každé zařízení, </w:t>
      </w:r>
    </w:p>
    <w:p w:rsidR="00F57DE5" w:rsidRPr="00077B73" w:rsidRDefault="00F57DE5" w:rsidP="002C35D6">
      <w:pPr>
        <w:spacing w:line="276" w:lineRule="auto"/>
        <w:rPr>
          <w:rFonts w:asciiTheme="minorHAnsi" w:eastAsia="Calibri" w:hAnsiTheme="minorHAnsi" w:cstheme="minorHAnsi"/>
          <w:sz w:val="22"/>
          <w:szCs w:val="22"/>
        </w:rPr>
      </w:pPr>
      <w:r>
        <w:rPr>
          <w:rFonts w:asciiTheme="minorHAnsi" w:hAnsiTheme="minorHAnsi"/>
          <w:sz w:val="22"/>
          <w:szCs w:val="22"/>
        </w:rPr>
        <w:t>které podmiňuje přístup ke chráněné službě rozhlasového nebo televizního vysílání ve srozumitelné formě předplatným nebo jinou formou předchozího individuálního oprávnění.</w:t>
      </w:r>
    </w:p>
    <w:p w:rsidR="00F57DE5" w:rsidRPr="00077B73" w:rsidRDefault="00F57DE5" w:rsidP="00F57DE5">
      <w:pPr>
        <w:spacing w:after="160" w:line="259" w:lineRule="auto"/>
        <w:ind w:left="375"/>
        <w:contextualSpacing/>
        <w:jc w:val="both"/>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(2) Pro systémy podmíněného přístupu ve smyslu § 82 odst. 2 č. 1 MStV platí, že všem oprávněným osobám musí být umožněno používání technických služeb nutných pro využití těchto systémů a že jim za tímto účelem musí být poskytnuty potřebné informace za spravedlivých, přiměřených a nediskriminačních podmínek.</w:t>
      </w:r>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8</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Podmínky přístupu</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(1) Podmínky přístupu ve smyslu § 82 odst. 2 č. 4, 83 odst. 2 MStV zahrnují zejména způsob, jakým poskytovatel mediálních platforem rozhoduje na základě finančních a technických požadavků o přístupu nabídky ve smyslu § 82 odst. 2 MStV k mediální platformě.</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(2) V případě, že chce provozovatel vysílání získat přístup k mediální platformě, zahrnují se pro ověření nediskriminace a rovnosti příležitostí veškerá peněžní plnění, která budou nebo mají být poskytnuta v nepřímé nebo přímé souvislosti s přístupem. Patří sem zejména:</w:t>
      </w:r>
    </w:p>
    <w:p w:rsidR="00F57DE5" w:rsidRPr="00077B73" w:rsidRDefault="00F57DE5" w:rsidP="002417C5">
      <w:pPr>
        <w:numPr>
          <w:ilvl w:val="0"/>
          <w:numId w:val="5"/>
        </w:numPr>
        <w:spacing w:after="200" w:line="276" w:lineRule="auto"/>
        <w:contextualSpacing/>
        <w:rPr>
          <w:rFonts w:ascii="Calibri" w:eastAsia="Calibri" w:hAnsi="Calibri"/>
          <w:sz w:val="22"/>
          <w:szCs w:val="22"/>
        </w:rPr>
      </w:pPr>
      <w:r>
        <w:rPr>
          <w:rFonts w:ascii="Calibri" w:hAnsi="Calibri"/>
          <w:sz w:val="22"/>
          <w:szCs w:val="22"/>
        </w:rPr>
        <w:t>Odměny a tarify, které poskytovatel mediální platformy vybírá nebo hodlá vybírat od provozovatele vysílání žádajícího přístup</w:t>
      </w:r>
    </w:p>
    <w:p w:rsidR="00F57DE5" w:rsidRPr="00077B73" w:rsidRDefault="00F57DE5" w:rsidP="002417C5">
      <w:pPr>
        <w:numPr>
          <w:ilvl w:val="0"/>
          <w:numId w:val="5"/>
        </w:numPr>
        <w:spacing w:after="200" w:line="276" w:lineRule="auto"/>
        <w:contextualSpacing/>
        <w:rPr>
          <w:rFonts w:ascii="Calibri" w:eastAsia="Calibri" w:hAnsi="Calibri"/>
          <w:sz w:val="22"/>
          <w:szCs w:val="22"/>
        </w:rPr>
      </w:pPr>
      <w:r>
        <w:rPr>
          <w:rFonts w:ascii="Calibri" w:hAnsi="Calibri"/>
          <w:sz w:val="22"/>
          <w:szCs w:val="22"/>
        </w:rPr>
        <w:lastRenderedPageBreak/>
        <w:t>Odměny, které poskytovatel mediální platformy hradí nebo na základě smluvních podmínek má uhradit za přenechání signálu provozovateli vysílání, včetně zpětných toků do modelů HD-CPS.</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1B0E42" w:rsidP="002C35D6">
      <w:pPr>
        <w:spacing w:line="276" w:lineRule="auto"/>
        <w:rPr>
          <w:rFonts w:asciiTheme="minorHAnsi" w:eastAsia="Calibri" w:hAnsiTheme="minorHAnsi" w:cstheme="minorHAnsi"/>
          <w:sz w:val="22"/>
          <w:szCs w:val="22"/>
        </w:rPr>
      </w:pPr>
      <w:bookmarkStart w:id="2" w:name="_Hlk46133246"/>
      <w:r>
        <w:rPr>
          <w:rFonts w:asciiTheme="minorHAnsi" w:hAnsiTheme="minorHAnsi"/>
          <w:sz w:val="22"/>
          <w:szCs w:val="22"/>
        </w:rPr>
        <w:t>(3) Vyžaduje-li to posouzení podmínek přístupu, je možné do celkového hodnocení dále zahrnout dohody o poskytnutí práv a odměně za poskytnutí práv, které poskytovatel mediální platformy uzavře nebo hodlá uzavřít s provozovatelem vysílání na základě autorských práv a práv k ochranným známkám. Ustanovení autorského zákona, zákona o správě autorských práv a zákona proti omezení hospodářské soutěže zůstávají nedotčena.</w:t>
      </w:r>
      <w:bookmarkEnd w:id="2"/>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2C35D6" w:rsidP="00077B73">
      <w:pPr>
        <w:keepNext/>
        <w:spacing w:line="276" w:lineRule="auto"/>
        <w:jc w:val="center"/>
        <w:rPr>
          <w:rFonts w:ascii="Calibri" w:eastAsia="Calibri" w:hAnsi="Calibri"/>
          <w:b/>
          <w:sz w:val="22"/>
          <w:szCs w:val="22"/>
        </w:rPr>
      </w:pPr>
      <w:r>
        <w:rPr>
          <w:rFonts w:ascii="Calibri" w:hAnsi="Calibri"/>
          <w:b/>
          <w:sz w:val="22"/>
          <w:szCs w:val="22"/>
        </w:rPr>
        <w:t>§ 9</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Poskytnutí informací</w:t>
      </w:r>
    </w:p>
    <w:p w:rsidR="002C35D6" w:rsidRPr="00077B73" w:rsidRDefault="002C35D6" w:rsidP="00077B73">
      <w:pPr>
        <w:keepNext/>
        <w:spacing w:line="276" w:lineRule="auto"/>
        <w:jc w:val="center"/>
        <w:rPr>
          <w:rFonts w:ascii="Calibri" w:eastAsia="Calibri" w:hAnsi="Calibri"/>
          <w:b/>
          <w:sz w:val="22"/>
          <w:szCs w:val="22"/>
          <w:lang w:eastAsia="en-US"/>
        </w:rPr>
      </w:pP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(1) Poskytovatelé mediálních platforem jsou povinni </w:t>
      </w:r>
    </w:p>
    <w:p w:rsidR="00CC7F6D" w:rsidRPr="00077B73" w:rsidRDefault="00CC7F6D" w:rsidP="002417C5">
      <w:pPr>
        <w:numPr>
          <w:ilvl w:val="0"/>
          <w:numId w:val="10"/>
        </w:numPr>
        <w:spacing w:after="200" w:line="276" w:lineRule="auto"/>
        <w:contextualSpacing/>
        <w:rPr>
          <w:rFonts w:ascii="Calibri" w:eastAsia="Calibri" w:hAnsi="Calibri"/>
          <w:sz w:val="22"/>
          <w:szCs w:val="22"/>
        </w:rPr>
      </w:pPr>
      <w:r>
        <w:rPr>
          <w:rFonts w:ascii="Calibri" w:hAnsi="Calibri"/>
          <w:sz w:val="22"/>
          <w:szCs w:val="22"/>
        </w:rPr>
        <w:t xml:space="preserve">v okamžiku překročení regulačních prahů uvedených v § 78 MStV informovat na žádost příslušného zemského mediálního regulačního orgánu o podmínkách přístupu ve smyslu § 82 Abs. 2 MStV a § 8 </w:t>
      </w:r>
    </w:p>
    <w:p w:rsidR="00CC7F6D" w:rsidRPr="00077B73" w:rsidRDefault="00CC7F6D" w:rsidP="002417C5">
      <w:pPr>
        <w:numPr>
          <w:ilvl w:val="0"/>
          <w:numId w:val="10"/>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v případě § 81 odst. 2 věta 2 MStV předložit regulačnímu orgánu na vyžádání informace o celkové kapacitě,</w:t>
      </w:r>
    </w:p>
    <w:p w:rsidR="00CC7F6D" w:rsidRPr="00077B73" w:rsidRDefault="00CC7F6D" w:rsidP="00CC7F6D">
      <w:pPr>
        <w:spacing w:after="200" w:line="276" w:lineRule="auto"/>
        <w:ind w:left="360"/>
        <w:contextualSpacing/>
        <w:rPr>
          <w:rFonts w:asciiTheme="minorHAnsi" w:eastAsia="Calibri" w:hAnsiTheme="minorHAnsi" w:cstheme="minorHAnsi"/>
          <w:sz w:val="22"/>
          <w:szCs w:val="22"/>
        </w:rPr>
      </w:pPr>
      <w:r>
        <w:rPr>
          <w:rFonts w:asciiTheme="minorHAnsi" w:hAnsiTheme="minorHAnsi"/>
          <w:sz w:val="22"/>
          <w:szCs w:val="22"/>
        </w:rPr>
        <w:t>která je k dispozici pro digitální šíření televizního nebo rozhlasového vysílání.</w:t>
      </w:r>
    </w:p>
    <w:p w:rsidR="00CC7F6D" w:rsidRPr="00077B73" w:rsidRDefault="00CC7F6D" w:rsidP="00CC7F6D">
      <w:pPr>
        <w:spacing w:after="200" w:line="276" w:lineRule="auto"/>
        <w:contextualSpacing/>
        <w:rPr>
          <w:rFonts w:asciiTheme="minorHAnsi" w:eastAsia="Calibri" w:hAnsiTheme="minorHAnsi" w:cstheme="minorHAnsi"/>
          <w:sz w:val="22"/>
          <w:szCs w:val="22"/>
          <w:lang w:eastAsia="en-US"/>
        </w:rPr>
      </w:pPr>
    </w:p>
    <w:p w:rsidR="00CC7F6D" w:rsidRPr="00077B73" w:rsidRDefault="00CC7F6D" w:rsidP="00CC7F6D">
      <w:pPr>
        <w:spacing w:line="276" w:lineRule="auto"/>
        <w:rPr>
          <w:rFonts w:asciiTheme="minorHAnsi" w:eastAsia="Calibri" w:hAnsiTheme="minorHAnsi" w:cstheme="minorHAnsi"/>
          <w:sz w:val="22"/>
          <w:szCs w:val="22"/>
        </w:rPr>
      </w:pPr>
      <w:r>
        <w:rPr>
          <w:rFonts w:asciiTheme="minorHAnsi" w:hAnsiTheme="minorHAnsi"/>
          <w:sz w:val="22"/>
          <w:szCs w:val="22"/>
        </w:rPr>
        <w:t>(2) Informace je nutné poskytnout prostřednictvím předložení vhodných dokumentů.</w:t>
      </w:r>
    </w:p>
    <w:p w:rsidR="00CC7F6D" w:rsidRPr="00077B73" w:rsidRDefault="00CC7F6D" w:rsidP="00CC7F6D">
      <w:pPr>
        <w:spacing w:after="200" w:line="276" w:lineRule="auto"/>
        <w:contextualSpacing/>
        <w:rPr>
          <w:rFonts w:asciiTheme="minorHAnsi" w:eastAsia="Calibri" w:hAnsiTheme="minorHAnsi" w:cstheme="minorHAnsi"/>
          <w:sz w:val="22"/>
          <w:szCs w:val="22"/>
          <w:lang w:eastAsia="en-US"/>
        </w:rPr>
      </w:pP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(3) Dokumenty musí obsahovat informace zejména k následujícím bodům:</w:t>
      </w: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V případě odst. 1 č. 1</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všechny technické parametry a technické rámcové podmínky nezbytné pro posouzení přístupu podle § 82 odst. 2 č. 1 a 2 MStV,</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odměny a tarify požadované poskytovateli mediálních platforem, včetně údajů a obchodních předpokladů, na nichž je založen jejich výpočet,</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popis použitého systému odměňování.</w:t>
      </w: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V případě odst. 1 č. 2 </w:t>
      </w:r>
    </w:p>
    <w:p w:rsidR="00CC7F6D" w:rsidRPr="00077B73" w:rsidRDefault="00CC7F6D" w:rsidP="002417C5">
      <w:pPr>
        <w:numPr>
          <w:ilvl w:val="0"/>
          <w:numId w:val="12"/>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informace o možnostech, které byly použity pro účinné využití kapacit;</w:t>
      </w:r>
    </w:p>
    <w:p w:rsidR="00CC7F6D" w:rsidRPr="00077B73" w:rsidRDefault="00CC7F6D" w:rsidP="002417C5">
      <w:pPr>
        <w:numPr>
          <w:ilvl w:val="0"/>
          <w:numId w:val="12"/>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zda a v jakých různých standardech šíření je program šířen.</w:t>
      </w:r>
    </w:p>
    <w:p w:rsidR="00CC7F6D" w:rsidRPr="00077B73" w:rsidRDefault="00CC7F6D" w:rsidP="00CC7F6D">
      <w:pPr>
        <w:spacing w:after="200" w:line="276" w:lineRule="auto"/>
        <w:contextualSpacing/>
        <w:rPr>
          <w:rFonts w:ascii="Calibri" w:eastAsia="Calibri" w:hAnsi="Calibr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sz w:val="22"/>
          <w:szCs w:val="22"/>
        </w:rPr>
      </w:pPr>
      <w:r>
        <w:rPr>
          <w:rFonts w:asciiTheme="minorHAnsi" w:hAnsiTheme="minorHAnsi"/>
          <w:b/>
          <w:bCs/>
          <w:sz w:val="22"/>
          <w:szCs w:val="22"/>
        </w:rPr>
        <w:t>4. oddíl:</w:t>
      </w:r>
      <w:r>
        <w:rPr>
          <w:rFonts w:asciiTheme="minorHAnsi" w:hAnsiTheme="minorHAnsi"/>
          <w:b/>
          <w:sz w:val="22"/>
          <w:szCs w:val="22"/>
        </w:rPr>
        <w:t xml:space="preserve"> Ustanovení pro uživatelská rozhraní</w:t>
      </w:r>
    </w:p>
    <w:p w:rsidR="00F57DE5" w:rsidRPr="00077B73"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rsidR="00074EC8" w:rsidRPr="00077B73" w:rsidRDefault="00F57DE5" w:rsidP="00077B73">
      <w:pPr>
        <w:keepNext/>
        <w:spacing w:line="276" w:lineRule="auto"/>
        <w:jc w:val="center"/>
        <w:rPr>
          <w:rFonts w:ascii="Calibri" w:eastAsia="Calibri" w:hAnsi="Calibri"/>
          <w:b/>
          <w:sz w:val="22"/>
          <w:szCs w:val="22"/>
        </w:rPr>
      </w:pPr>
      <w:bookmarkStart w:id="3" w:name="_Hlk46133330"/>
      <w:r>
        <w:rPr>
          <w:rFonts w:ascii="Calibri" w:hAnsi="Calibri"/>
          <w:b/>
          <w:sz w:val="22"/>
          <w:szCs w:val="22"/>
        </w:rPr>
        <w:t xml:space="preserve">§ 10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Vyhledatelnost v uživatelských rozhraních</w:t>
      </w:r>
      <w:bookmarkEnd w:id="3"/>
    </w:p>
    <w:p w:rsidR="00074EC8" w:rsidRPr="00077B73" w:rsidRDefault="00074EC8" w:rsidP="00077B73">
      <w:pPr>
        <w:keepNext/>
        <w:spacing w:line="276" w:lineRule="auto"/>
        <w:jc w:val="center"/>
        <w:rPr>
          <w:rFonts w:ascii="Calibri" w:eastAsia="Calibri" w:hAnsi="Calibri"/>
          <w:b/>
          <w:sz w:val="22"/>
          <w:szCs w:val="22"/>
          <w:lang w:eastAsia="en-US"/>
        </w:rPr>
      </w:pPr>
    </w:p>
    <w:p w:rsidR="00F57DE5" w:rsidRPr="00077B73" w:rsidRDefault="00F55623" w:rsidP="00F55623">
      <w:pPr>
        <w:spacing w:line="276" w:lineRule="auto"/>
        <w:rPr>
          <w:rFonts w:asciiTheme="minorHAnsi" w:eastAsia="Calibri" w:hAnsiTheme="minorHAnsi" w:cstheme="minorHAnsi"/>
          <w:sz w:val="22"/>
          <w:szCs w:val="22"/>
        </w:rPr>
      </w:pPr>
      <w:bookmarkStart w:id="4" w:name="_Hlk46133556"/>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Hlavním faktorem pro vyhledatelnost nabídek a obsahů v uživatelských rozhraních je především třídění, seřazení a prezentace nabídek a obsahů, stejně jako textové, obrazové a akustické formy zobrazení. </w:t>
      </w:r>
      <w:r>
        <w:rPr>
          <w:rFonts w:asciiTheme="minorHAnsi" w:hAnsiTheme="minorHAnsi"/>
          <w:sz w:val="22"/>
          <w:szCs w:val="22"/>
          <w:vertAlign w:val="superscript"/>
        </w:rPr>
        <w:t>2</w:t>
      </w:r>
      <w:r>
        <w:rPr>
          <w:rFonts w:asciiTheme="minorHAnsi" w:hAnsiTheme="minorHAnsi"/>
          <w:sz w:val="22"/>
          <w:szCs w:val="22"/>
        </w:rPr>
        <w:t xml:space="preserve">Nabídkami se rozumí jednotlivé služby rozhlasového a televizního vysílání nebo jim podobné služby elektronických komunikací a služby elektronických komunikací podle § 19 odst. 1 MStV, stejně jako v zásadě kompletní softwarové aplikace sloužící bezprostřednímu navolení uvedených nabídek. </w:t>
      </w:r>
      <w:r>
        <w:rPr>
          <w:rFonts w:asciiTheme="minorHAnsi" w:hAnsiTheme="minorHAnsi"/>
          <w:sz w:val="22"/>
          <w:szCs w:val="22"/>
          <w:vertAlign w:val="superscript"/>
        </w:rPr>
        <w:t>3</w:t>
      </w:r>
      <w:r>
        <w:rPr>
          <w:rFonts w:asciiTheme="minorHAnsi" w:hAnsiTheme="minorHAnsi"/>
          <w:sz w:val="22"/>
          <w:szCs w:val="22"/>
        </w:rPr>
        <w:t>Obsahy jsou oddělitelné, především samostatně pojmenované nebo identifikovatelné části nabídek, jako jsou například pořady.</w:t>
      </w:r>
    </w:p>
    <w:p w:rsidR="00F57DE5" w:rsidRPr="00077B73" w:rsidRDefault="00F57DE5" w:rsidP="00F55623">
      <w:pPr>
        <w:spacing w:line="276" w:lineRule="auto"/>
        <w:rPr>
          <w:rFonts w:asciiTheme="minorHAnsi" w:eastAsia="Calibri" w:hAnsiTheme="minorHAnsi" w:cstheme="minorHAnsi"/>
          <w:sz w:val="22"/>
          <w:szCs w:val="22"/>
          <w:lang w:eastAsia="en-US"/>
        </w:rPr>
      </w:pPr>
    </w:p>
    <w:p w:rsidR="00F57DE5" w:rsidRPr="00077B73" w:rsidRDefault="00F55623" w:rsidP="00F55623">
      <w:pPr>
        <w:spacing w:line="276" w:lineRule="auto"/>
        <w:rPr>
          <w:rFonts w:asciiTheme="minorHAnsi" w:eastAsia="Calibri" w:hAnsiTheme="minorHAnsi" w:cstheme="minorHAnsi"/>
          <w:sz w:val="22"/>
          <w:szCs w:val="22"/>
        </w:rPr>
      </w:pPr>
      <w:r>
        <w:rPr>
          <w:rFonts w:asciiTheme="minorHAnsi" w:hAnsiTheme="minorHAnsi"/>
          <w:sz w:val="22"/>
          <w:szCs w:val="22"/>
        </w:rPr>
        <w:t>(2) Ohledně požadavků na vyhledatelnost a ovládání uživatelských rozhraní je v níže uvedených ustanoveních směrodatným pojem průměrného uživatele bez specifických technických znalostí.</w:t>
      </w:r>
      <w:bookmarkEnd w:id="4"/>
    </w:p>
    <w:p w:rsidR="00F57DE5" w:rsidRPr="00077B73" w:rsidRDefault="00F57DE5" w:rsidP="00F55623">
      <w:pPr>
        <w:spacing w:line="276" w:lineRule="auto"/>
        <w:rPr>
          <w:rFonts w:asciiTheme="minorHAnsi" w:eastAsia="Calibri" w:hAnsiTheme="minorHAnsi" w:cstheme="minorHAnsi"/>
          <w:sz w:val="22"/>
          <w:szCs w:val="22"/>
          <w:lang w:eastAsia="en-US"/>
        </w:rPr>
      </w:pPr>
    </w:p>
    <w:p w:rsidR="00F57DE5" w:rsidRPr="00077B73" w:rsidRDefault="00F55623"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Podobné nabídky nebo obsahy musí být možné vyhledat v rámci stejných možností a bez diskriminace některé z nich. </w:t>
      </w:r>
      <w:r>
        <w:rPr>
          <w:rFonts w:asciiTheme="minorHAnsi" w:hAnsiTheme="minorHAnsi"/>
          <w:sz w:val="22"/>
          <w:szCs w:val="22"/>
          <w:vertAlign w:val="superscript"/>
        </w:rPr>
        <w:t>2</w:t>
      </w:r>
      <w:r>
        <w:rPr>
          <w:rFonts w:asciiTheme="minorHAnsi" w:hAnsiTheme="minorHAnsi"/>
          <w:sz w:val="22"/>
          <w:szCs w:val="22"/>
        </w:rPr>
        <w:t xml:space="preserve">Nerovné zacházení je povoleno pouze v případě, ve kterém pro to existuje ověřitelný věcný důvod, který není v rozporu s cílem zajištění rozmanitosti. </w:t>
      </w:r>
      <w:r>
        <w:rPr>
          <w:rFonts w:asciiTheme="minorHAnsi" w:hAnsiTheme="minorHAnsi"/>
          <w:sz w:val="22"/>
          <w:szCs w:val="22"/>
          <w:vertAlign w:val="superscript"/>
        </w:rPr>
        <w:t>3</w:t>
      </w:r>
      <w:r>
        <w:rPr>
          <w:rFonts w:asciiTheme="minorHAnsi" w:hAnsiTheme="minorHAnsi"/>
          <w:sz w:val="22"/>
          <w:szCs w:val="22"/>
        </w:rPr>
        <w:t>Povolenými kritérii pro třídění a seřazení nabídek a obsahů jsou zejména:</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szCs w:val="22"/>
        </w:rPr>
        <w:t>abeceda,</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szCs w:val="22"/>
        </w:rPr>
        <w:t>žánry, jako informace, vzdělávání, kultura, regionální tematika či zábava nebo</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szCs w:val="22"/>
        </w:rPr>
        <w:t>dosah použití.</w:t>
      </w:r>
    </w:p>
    <w:p w:rsidR="002643CD" w:rsidRPr="00077B73" w:rsidRDefault="00C74DCA" w:rsidP="00077B73">
      <w:pPr>
        <w:keepNext/>
        <w:spacing w:line="276" w:lineRule="auto"/>
        <w:rPr>
          <w:rFonts w:asciiTheme="minorHAnsi" w:eastAsia="Calibri" w:hAnsiTheme="minorHAnsi" w:cstheme="minorHAnsi"/>
          <w:sz w:val="22"/>
          <w:szCs w:val="22"/>
        </w:rPr>
      </w:pPr>
      <w:r>
        <w:rPr>
          <w:rFonts w:asciiTheme="minorHAnsi" w:hAnsiTheme="minorHAnsi"/>
          <w:sz w:val="22"/>
          <w:szCs w:val="22"/>
          <w:vertAlign w:val="superscript"/>
        </w:rPr>
        <w:t>4</w:t>
      </w:r>
      <w:r>
        <w:rPr>
          <w:rFonts w:asciiTheme="minorHAnsi" w:hAnsiTheme="minorHAnsi"/>
          <w:sz w:val="22"/>
          <w:szCs w:val="22"/>
        </w:rPr>
        <w:t xml:space="preserve">Možnost rozšíření kritérií zůstává nedotčena. </w:t>
      </w:r>
      <w:r>
        <w:rPr>
          <w:rFonts w:asciiTheme="minorHAnsi" w:hAnsiTheme="minorHAnsi"/>
          <w:sz w:val="22"/>
          <w:szCs w:val="22"/>
          <w:vertAlign w:val="superscript"/>
        </w:rPr>
        <w:t>5</w:t>
      </w:r>
      <w:r>
        <w:rPr>
          <w:rFonts w:asciiTheme="minorHAnsi" w:hAnsiTheme="minorHAnsi"/>
          <w:sz w:val="22"/>
          <w:szCs w:val="22"/>
        </w:rPr>
        <w:t xml:space="preserve">O diskriminaci se jedná zejména v případě, kdy se poskytovatel uživatelského rozhraní odchýlí od svých vlastních přípustných kritérií. </w:t>
      </w:r>
      <w:r>
        <w:rPr>
          <w:rFonts w:asciiTheme="minorHAnsi" w:hAnsiTheme="minorHAnsi"/>
          <w:sz w:val="22"/>
          <w:szCs w:val="22"/>
          <w:vertAlign w:val="superscript"/>
        </w:rPr>
        <w:t>6</w:t>
      </w:r>
      <w:r>
        <w:rPr>
          <w:rFonts w:asciiTheme="minorHAnsi" w:hAnsiTheme="minorHAnsi"/>
          <w:sz w:val="22"/>
          <w:szCs w:val="22"/>
        </w:rPr>
        <w:t xml:space="preserve">Poskytovatel musí vůči zemským mediálním regulačním úřadům zaručit ověřitelnost kritérií a jejich dodržování, především podrobně objasnit, jaká kritéria používá a z jakých informací vychází. </w:t>
      </w:r>
      <w:r>
        <w:rPr>
          <w:rFonts w:asciiTheme="minorHAnsi" w:hAnsiTheme="minorHAnsi"/>
          <w:sz w:val="22"/>
          <w:szCs w:val="22"/>
          <w:vertAlign w:val="superscript"/>
        </w:rPr>
        <w:t>7</w:t>
      </w:r>
      <w:r>
        <w:rPr>
          <w:rFonts w:asciiTheme="minorHAnsi" w:hAnsiTheme="minorHAnsi"/>
          <w:sz w:val="22"/>
          <w:szCs w:val="22"/>
        </w:rPr>
        <w:t xml:space="preserve">Nepřípustné je zpravidla </w:t>
      </w:r>
    </w:p>
    <w:p w:rsidR="002643CD" w:rsidRPr="00077B73" w:rsidRDefault="002643CD" w:rsidP="002417C5">
      <w:pPr>
        <w:numPr>
          <w:ilvl w:val="0"/>
          <w:numId w:val="13"/>
        </w:numPr>
        <w:spacing w:after="200" w:line="276" w:lineRule="auto"/>
        <w:contextualSpacing/>
        <w:rPr>
          <w:rFonts w:ascii="Calibri" w:eastAsia="Calibri" w:hAnsi="Calibri"/>
          <w:sz w:val="22"/>
          <w:szCs w:val="22"/>
        </w:rPr>
      </w:pPr>
      <w:r>
        <w:rPr>
          <w:rFonts w:ascii="Calibri" w:hAnsi="Calibri"/>
          <w:sz w:val="22"/>
          <w:szCs w:val="22"/>
        </w:rPr>
        <w:t>třídění nebo seřazení podmíněné odměnou či podobným protiplněním nebo</w:t>
      </w:r>
    </w:p>
    <w:p w:rsidR="00F57DE5" w:rsidRPr="00077B73" w:rsidRDefault="002643CD" w:rsidP="002417C5">
      <w:pPr>
        <w:numPr>
          <w:ilvl w:val="0"/>
          <w:numId w:val="13"/>
        </w:numPr>
        <w:spacing w:after="200" w:line="276" w:lineRule="auto"/>
        <w:contextualSpacing/>
        <w:rPr>
          <w:rFonts w:ascii="Calibri" w:eastAsia="Calibri" w:hAnsi="Calibri"/>
          <w:sz w:val="22"/>
          <w:szCs w:val="22"/>
        </w:rPr>
      </w:pPr>
      <w:r>
        <w:rPr>
          <w:rFonts w:ascii="Calibri" w:hAnsi="Calibri"/>
          <w:sz w:val="22"/>
          <w:szCs w:val="22"/>
        </w:rPr>
        <w:t xml:space="preserve">upřednostnění vlastních nabídek a obsahů poskytovatele uživatelského rozhraní, ledaže je za používání poskytnuta odměna. </w:t>
      </w:r>
      <w:bookmarkStart w:id="5" w:name="_Hlk46133683"/>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C74DCA" w:rsidP="00C74DCA">
      <w:pPr>
        <w:spacing w:line="276" w:lineRule="auto"/>
        <w:rPr>
          <w:rFonts w:asciiTheme="minorHAnsi" w:eastAsia="Calibri" w:hAnsiTheme="minorHAnsi" w:cstheme="minorHAnsi"/>
          <w:sz w:val="22"/>
          <w:szCs w:val="22"/>
        </w:rPr>
      </w:pPr>
      <w:r>
        <w:rPr>
          <w:rFonts w:asciiTheme="minorHAnsi" w:hAnsiTheme="minorHAnsi"/>
          <w:sz w:val="22"/>
          <w:szCs w:val="22"/>
        </w:rPr>
        <w:t xml:space="preserve">(4) </w:t>
      </w:r>
      <w:r>
        <w:rPr>
          <w:rFonts w:asciiTheme="minorHAnsi" w:hAnsiTheme="minorHAnsi"/>
          <w:sz w:val="22"/>
          <w:szCs w:val="22"/>
          <w:vertAlign w:val="superscript"/>
        </w:rPr>
        <w:t>1</w:t>
      </w:r>
      <w:r>
        <w:rPr>
          <w:rFonts w:asciiTheme="minorHAnsi" w:hAnsiTheme="minorHAnsi"/>
          <w:sz w:val="22"/>
          <w:szCs w:val="22"/>
        </w:rPr>
        <w:t xml:space="preserve">Uživatelská rozhraní musí poskytovat možnost vyhledávat v rámci všech nabídek konkrétní nabídky (funkce vyhledávání). </w:t>
      </w:r>
      <w:r>
        <w:rPr>
          <w:rFonts w:asciiTheme="minorHAnsi" w:hAnsiTheme="minorHAnsi"/>
          <w:sz w:val="22"/>
          <w:szCs w:val="22"/>
          <w:vertAlign w:val="superscript"/>
        </w:rPr>
        <w:t>2</w:t>
      </w:r>
      <w:r>
        <w:rPr>
          <w:rFonts w:asciiTheme="minorHAnsi" w:hAnsiTheme="minorHAnsi"/>
          <w:sz w:val="22"/>
          <w:szCs w:val="22"/>
        </w:rPr>
        <w:t xml:space="preserve">Výsledek vyhledávání včetně návrhů vyhledávání během vyhledávacího procesu (např. funkce „autocomplete“) musí být nediskriminační. </w:t>
      </w:r>
      <w:r>
        <w:rPr>
          <w:rFonts w:asciiTheme="minorHAnsi" w:hAnsiTheme="minorHAnsi"/>
          <w:sz w:val="22"/>
          <w:szCs w:val="22"/>
          <w:vertAlign w:val="superscript"/>
        </w:rPr>
        <w:t>3</w:t>
      </w:r>
      <w:r>
        <w:rPr>
          <w:rFonts w:asciiTheme="minorHAnsi" w:hAnsiTheme="minorHAnsi"/>
          <w:sz w:val="22"/>
          <w:szCs w:val="22"/>
        </w:rPr>
        <w:t>Uživatelské rozhraní může také poskytovat možnost vyhledávání podle obsahu; obdobně se uplatňuje odst. 3 věta 1.</w:t>
      </w:r>
      <w:bookmarkStart w:id="6" w:name="_Hlk46133701"/>
      <w:bookmarkEnd w:id="5"/>
    </w:p>
    <w:p w:rsidR="00F57DE5" w:rsidRPr="00077B73" w:rsidRDefault="00F57DE5" w:rsidP="00C74DCA">
      <w:pPr>
        <w:spacing w:line="276" w:lineRule="auto"/>
        <w:rPr>
          <w:rFonts w:asciiTheme="minorHAnsi" w:eastAsia="Calibri" w:hAnsiTheme="minorHAnsi" w:cstheme="minorHAnsi"/>
          <w:sz w:val="22"/>
          <w:szCs w:val="22"/>
          <w:lang w:eastAsia="en-US"/>
        </w:rPr>
      </w:pPr>
    </w:p>
    <w:p w:rsidR="00F57DE5" w:rsidRPr="00077B73" w:rsidRDefault="0060422A" w:rsidP="00C74DCA">
      <w:pPr>
        <w:spacing w:line="276" w:lineRule="auto"/>
        <w:rPr>
          <w:rFonts w:asciiTheme="minorHAnsi" w:eastAsia="Calibri" w:hAnsiTheme="minorHAnsi" w:cstheme="minorHAnsi"/>
          <w:sz w:val="22"/>
          <w:szCs w:val="22"/>
        </w:rPr>
      </w:pPr>
      <w:r>
        <w:rPr>
          <w:rFonts w:asciiTheme="minorHAnsi" w:hAnsiTheme="minorHAnsi"/>
          <w:sz w:val="22"/>
          <w:szCs w:val="22"/>
        </w:rPr>
        <w:t xml:space="preserve">(5) </w:t>
      </w:r>
      <w:r>
        <w:rPr>
          <w:rFonts w:asciiTheme="minorHAnsi" w:hAnsiTheme="minorHAnsi"/>
          <w:sz w:val="22"/>
          <w:szCs w:val="22"/>
          <w:vertAlign w:val="superscript"/>
        </w:rPr>
        <w:t>1</w:t>
      </w:r>
      <w:r>
        <w:rPr>
          <w:rFonts w:asciiTheme="minorHAnsi" w:hAnsiTheme="minorHAnsi"/>
          <w:sz w:val="22"/>
          <w:szCs w:val="22"/>
        </w:rPr>
        <w:t xml:space="preserve">Snadno vyhledatelné jsou nabídky v uživatelských rozhraních, pokud je lze snadno a rychle vyhledat, například díky jejich přednostnímu nebo zvýrazněnému zobrazení, např. pomocí vlastního tlačítka. </w:t>
      </w:r>
      <w:r>
        <w:rPr>
          <w:rFonts w:asciiTheme="minorHAnsi" w:hAnsiTheme="minorHAnsi"/>
          <w:sz w:val="22"/>
          <w:szCs w:val="22"/>
          <w:vertAlign w:val="superscript"/>
        </w:rPr>
        <w:t>2</w:t>
      </w:r>
      <w:r>
        <w:rPr>
          <w:rFonts w:asciiTheme="minorHAnsi" w:hAnsiTheme="minorHAnsi"/>
          <w:sz w:val="22"/>
          <w:szCs w:val="22"/>
        </w:rPr>
        <w:t xml:space="preserve">Jak lze v konkrétním případě zajistit snadnou vyhledatelnost, je dáno druhem, rozsahem a uspořádáním uživatelského rozhraní, stejně jako konkrétním zobrazením nebo jinou prezentací nabídek a obsahů. </w:t>
      </w:r>
      <w:r>
        <w:rPr>
          <w:rFonts w:asciiTheme="minorHAnsi" w:hAnsiTheme="minorHAnsi"/>
          <w:sz w:val="22"/>
          <w:szCs w:val="22"/>
          <w:vertAlign w:val="superscript"/>
        </w:rPr>
        <w:t>3</w:t>
      </w:r>
      <w:r>
        <w:rPr>
          <w:rFonts w:asciiTheme="minorHAnsi" w:hAnsiTheme="minorHAnsi"/>
          <w:sz w:val="22"/>
          <w:szCs w:val="22"/>
        </w:rPr>
        <w:t>Pro snadnou vyhledatelnost příslušných nabídek je zpravidla nutné, ale ne dostatečné, aby byly stejně snadno a rychle vyhledatelné jako ostatní nabídky.</w:t>
      </w:r>
      <w:bookmarkEnd w:id="6"/>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C74DCA" w:rsidP="00077B73">
      <w:pPr>
        <w:keepNext/>
        <w:spacing w:line="276" w:lineRule="auto"/>
        <w:rPr>
          <w:rFonts w:asciiTheme="minorHAnsi" w:eastAsia="Calibri" w:hAnsiTheme="minorHAnsi" w:cstheme="minorHAnsi"/>
          <w:sz w:val="22"/>
          <w:szCs w:val="22"/>
        </w:rPr>
      </w:pPr>
      <w:bookmarkStart w:id="7" w:name="_Hlk46133741"/>
      <w:r>
        <w:rPr>
          <w:rFonts w:asciiTheme="minorHAnsi" w:hAnsiTheme="minorHAnsi"/>
          <w:sz w:val="22"/>
          <w:szCs w:val="22"/>
        </w:rPr>
        <w:t xml:space="preserve">(6) </w:t>
      </w:r>
      <w:r>
        <w:rPr>
          <w:rFonts w:asciiTheme="minorHAnsi" w:hAnsiTheme="minorHAnsi"/>
          <w:sz w:val="22"/>
          <w:szCs w:val="22"/>
          <w:vertAlign w:val="superscript"/>
        </w:rPr>
        <w:t>1</w:t>
      </w:r>
      <w:r>
        <w:rPr>
          <w:rFonts w:asciiTheme="minorHAnsi" w:hAnsiTheme="minorHAnsi"/>
          <w:sz w:val="22"/>
          <w:szCs w:val="22"/>
        </w:rPr>
        <w:t>Snadno vyhledatelné v uživatelském rozhraní musí být:</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szCs w:val="22"/>
        </w:rPr>
        <w:t>V první úrovni menu vysílání ve své komplexnosti, pokud nejsou v této úrovni volitelné pouze vysílací programy.</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szCs w:val="22"/>
        </w:rPr>
        <w:t>V rámci vysílání zákonem určené programy financované z poplatků, které musí přenášet rozhlasové a televizní programy (§ 59 odst. 4 MStV), stejně jako soukromé programy, které mimořádným způsobem přispívají k rozmanitosti názorů a nabídek na spolkovém území a</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szCs w:val="22"/>
        </w:rPr>
        <w:t>V úrovních menu nabízejících pouze, nebo převážně služby elektronických komunikací podobných vysílání nebo softwarové aplikace sloužící k jejich navolení nabídky elektronických komunikací a softwarových aplikací podle § 84 odst. 4 MStV.</w:t>
      </w:r>
      <w:bookmarkEnd w:id="7"/>
    </w:p>
    <w:p w:rsidR="00F57DE5" w:rsidRPr="00077B73" w:rsidRDefault="0060422A" w:rsidP="0060422A">
      <w:pPr>
        <w:spacing w:line="276" w:lineRule="auto"/>
        <w:rPr>
          <w:rFonts w:asciiTheme="minorHAnsi" w:eastAsia="Calibri" w:hAnsiTheme="minorHAnsi" w:cstheme="minorHAnsi"/>
          <w:sz w:val="22"/>
          <w:szCs w:val="22"/>
        </w:rPr>
      </w:pPr>
      <w:r>
        <w:rPr>
          <w:rFonts w:asciiTheme="minorHAnsi" w:hAnsiTheme="minorHAnsi"/>
          <w:sz w:val="22"/>
          <w:szCs w:val="22"/>
          <w:vertAlign w:val="superscript"/>
        </w:rPr>
        <w:t>2</w:t>
      </w:r>
      <w:r>
        <w:rPr>
          <w:rFonts w:asciiTheme="minorHAnsi" w:hAnsiTheme="minorHAnsi"/>
          <w:sz w:val="22"/>
          <w:szCs w:val="22"/>
        </w:rPr>
        <w:t xml:space="preserve">Vysílání ve své komplexnosti musí být dosažitelné v první úrovni menu bez větších mezikroků, zpravidla na základě pouze jednoho úkonu. </w:t>
      </w:r>
      <w:r>
        <w:rPr>
          <w:rFonts w:asciiTheme="minorHAnsi" w:hAnsiTheme="minorHAnsi"/>
          <w:sz w:val="22"/>
          <w:szCs w:val="22"/>
          <w:vertAlign w:val="superscript"/>
        </w:rPr>
        <w:t>3</w:t>
      </w:r>
      <w:r>
        <w:rPr>
          <w:rFonts w:asciiTheme="minorHAnsi" w:hAnsiTheme="minorHAnsi"/>
          <w:sz w:val="22"/>
          <w:szCs w:val="22"/>
        </w:rPr>
        <w:t xml:space="preserve">V případě, že jsou zobrazovány nebo akusticky zprostředkovávány vysílací programy, které musí nabízet televizní programy (§ 59 odst. 4), je nutné na území, na němž jsou televizní programy povoleny nebo zákonem určeny, přednostně zobrazit </w:t>
      </w:r>
      <w:r>
        <w:rPr>
          <w:rFonts w:asciiTheme="minorHAnsi" w:hAnsiTheme="minorHAnsi"/>
          <w:sz w:val="22"/>
          <w:szCs w:val="22"/>
        </w:rPr>
        <w:lastRenderedPageBreak/>
        <w:t>hlavní programy s televizním programem před hlavním programem vysílaným bez televizního programu a před televizními programy povolenými nebo zákonem určenými pro jiná území.</w:t>
      </w:r>
    </w:p>
    <w:p w:rsidR="0060422A" w:rsidRPr="00077B73" w:rsidRDefault="0060422A" w:rsidP="0060422A">
      <w:pPr>
        <w:spacing w:line="276" w:lineRule="auto"/>
        <w:rPr>
          <w:rFonts w:asciiTheme="minorHAnsi" w:eastAsia="Calibri" w:hAnsiTheme="minorHAnsi" w:cstheme="minorHAnsi"/>
          <w:sz w:val="22"/>
          <w:szCs w:val="22"/>
          <w:lang w:eastAsia="en-US"/>
        </w:rPr>
      </w:pPr>
    </w:p>
    <w:p w:rsidR="00F57DE5" w:rsidRPr="00077B73" w:rsidRDefault="00483146" w:rsidP="00483146">
      <w:pPr>
        <w:spacing w:line="276" w:lineRule="auto"/>
        <w:rPr>
          <w:rFonts w:asciiTheme="minorHAnsi" w:eastAsia="Calibri" w:hAnsiTheme="minorHAnsi" w:cstheme="minorHAnsi"/>
          <w:sz w:val="22"/>
          <w:szCs w:val="22"/>
        </w:rPr>
      </w:pPr>
      <w:bookmarkStart w:id="8" w:name="_Hlk46133783"/>
      <w:r>
        <w:rPr>
          <w:rFonts w:asciiTheme="minorHAnsi" w:hAnsiTheme="minorHAnsi"/>
          <w:sz w:val="22"/>
          <w:szCs w:val="22"/>
        </w:rPr>
        <w:t xml:space="preserve">(7) </w:t>
      </w:r>
      <w:r>
        <w:rPr>
          <w:rFonts w:asciiTheme="minorHAnsi" w:hAnsiTheme="minorHAnsi"/>
          <w:sz w:val="22"/>
          <w:szCs w:val="22"/>
          <w:vertAlign w:val="superscript"/>
        </w:rPr>
        <w:t>1</w:t>
      </w:r>
      <w:r>
        <w:rPr>
          <w:rFonts w:asciiTheme="minorHAnsi" w:hAnsiTheme="minorHAnsi"/>
          <w:sz w:val="22"/>
          <w:szCs w:val="22"/>
        </w:rPr>
        <w:t xml:space="preserve">Nezávisle na výchozím nastavení musí být možné, aby mohl uživatel sám snadno a rychle třídit a seřadit nabídky a obsahy (např. prostřednictvím seznamu oblíbených položek). </w:t>
      </w:r>
      <w:r>
        <w:rPr>
          <w:rFonts w:asciiTheme="minorHAnsi" w:hAnsiTheme="minorHAnsi"/>
          <w:sz w:val="22"/>
          <w:szCs w:val="22"/>
          <w:vertAlign w:val="superscript"/>
        </w:rPr>
        <w:t>2</w:t>
      </w:r>
      <w:r>
        <w:rPr>
          <w:rFonts w:asciiTheme="minorHAnsi" w:hAnsiTheme="minorHAnsi"/>
          <w:sz w:val="22"/>
          <w:szCs w:val="22"/>
        </w:rPr>
        <w:t xml:space="preserve">Nabídky nebo obsahy lze zpravidla snadno a rychle třídit a seřadit, pokud je to jasně a srozumitelně vysvětleno. </w:t>
      </w:r>
      <w:r>
        <w:rPr>
          <w:rFonts w:asciiTheme="minorHAnsi" w:hAnsiTheme="minorHAnsi"/>
          <w:sz w:val="22"/>
          <w:szCs w:val="22"/>
          <w:vertAlign w:val="superscript"/>
        </w:rPr>
        <w:t>3</w:t>
      </w:r>
      <w:r>
        <w:rPr>
          <w:rFonts w:asciiTheme="minorHAnsi" w:hAnsiTheme="minorHAnsi"/>
          <w:sz w:val="22"/>
          <w:szCs w:val="22"/>
        </w:rPr>
        <w:t>Třídění a seřazení provedené uživatelem smí změnit zase pouze uživatel. Zejména nesmí být změněno aktualizacemi.</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483146" w:rsidP="00483146">
      <w:pPr>
        <w:spacing w:line="276" w:lineRule="auto"/>
        <w:rPr>
          <w:rFonts w:asciiTheme="minorHAnsi" w:eastAsia="Calibri" w:hAnsiTheme="minorHAnsi" w:cstheme="minorHAnsi"/>
          <w:sz w:val="22"/>
          <w:szCs w:val="22"/>
        </w:rPr>
      </w:pPr>
      <w:r>
        <w:rPr>
          <w:rFonts w:asciiTheme="minorHAnsi" w:hAnsiTheme="minorHAnsi"/>
          <w:sz w:val="22"/>
          <w:szCs w:val="22"/>
        </w:rPr>
        <w:t xml:space="preserve">(8) </w:t>
      </w:r>
      <w:r>
        <w:rPr>
          <w:rFonts w:asciiTheme="minorHAnsi" w:hAnsiTheme="minorHAnsi"/>
          <w:sz w:val="22"/>
          <w:szCs w:val="22"/>
          <w:vertAlign w:val="superscript"/>
        </w:rPr>
        <w:t>1</w:t>
      </w:r>
      <w:r>
        <w:rPr>
          <w:rFonts w:asciiTheme="minorHAnsi" w:hAnsiTheme="minorHAnsi"/>
          <w:sz w:val="22"/>
          <w:szCs w:val="22"/>
        </w:rPr>
        <w:t xml:space="preserve">Odstavce 4 až 7 neplatí, pokud poskytovatel uživatelského rozhraní prokáže, že je realizace technicky nemožná nebo proveditelná pouze za nepřiměřeně nákladných podmínek. </w:t>
      </w:r>
      <w:r>
        <w:rPr>
          <w:rFonts w:asciiTheme="minorHAnsi" w:hAnsiTheme="minorHAnsi"/>
          <w:sz w:val="22"/>
          <w:szCs w:val="22"/>
          <w:vertAlign w:val="superscript"/>
        </w:rPr>
        <w:t>2</w:t>
      </w:r>
      <w:r>
        <w:rPr>
          <w:rFonts w:asciiTheme="minorHAnsi" w:hAnsiTheme="minorHAnsi"/>
          <w:sz w:val="22"/>
          <w:szCs w:val="22"/>
        </w:rPr>
        <w:t>Rozhodující pro určení nepřiměřeně nákladných podmínek je celkové zvážení, při němž se přihlíží zejména k finanční způsobilosti poskytovatele, nákladům na další funkce uživatelského rozhraní pro vyhledatelnost a k povaze a rozsahu porušení v případě nerealizace. O nepřiměřené nákladné podmínky se jedná pouze v případě hrubých disproporcí.</w:t>
      </w:r>
    </w:p>
    <w:bookmarkEnd w:id="8"/>
    <w:p w:rsidR="00165009" w:rsidRPr="00077B73" w:rsidRDefault="00165009">
      <w:pPr>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5. oddíl: Požadavky na transparentnost</w:t>
      </w:r>
    </w:p>
    <w:p w:rsidR="00F57DE5" w:rsidRPr="00077B73"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rsidR="0048314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11</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Transparentnost</w:t>
      </w:r>
    </w:p>
    <w:p w:rsidR="00483146" w:rsidRPr="00077B73" w:rsidRDefault="00483146" w:rsidP="00077B73">
      <w:pPr>
        <w:keepNext/>
        <w:spacing w:line="276" w:lineRule="auto"/>
        <w:jc w:val="center"/>
        <w:rPr>
          <w:rFonts w:ascii="Calibri" w:eastAsia="Calibri" w:hAnsi="Calibri"/>
          <w:b/>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Poskytovatelé mediálních platforem a uživatelských rozhraní jsou povinni poskytovat informace ve smyslu § 85 MStV transparentně. </w:t>
      </w:r>
      <w:r>
        <w:rPr>
          <w:rFonts w:asciiTheme="minorHAnsi" w:hAnsiTheme="minorHAnsi"/>
          <w:sz w:val="22"/>
          <w:szCs w:val="22"/>
          <w:vertAlign w:val="superscript"/>
        </w:rPr>
        <w:t>2</w:t>
      </w:r>
      <w:r>
        <w:rPr>
          <w:rFonts w:asciiTheme="minorHAnsi" w:hAnsiTheme="minorHAnsi"/>
          <w:sz w:val="22"/>
          <w:szCs w:val="22"/>
        </w:rPr>
        <w:t>Informace musí být v německém jazyce, pro uživatele snadno identifikovatelné, bezprostředně dosažitelné a vždy k dispozici.</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szCs w:val="22"/>
        </w:rPr>
        <w:t>(2) Ohledně realizace požadavků na transparentnost je směrodatným pojem průměrného uživatele bez specifických technických znalostí.</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bookmarkStart w:id="9" w:name="_Hlk46134451"/>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Snadno identifikovatelné jsou informace, které lze při používání mediální platformy nebo uživatelského rozhraní snadno a rychle nalézt, například díky jejich zvýraznění a označení jednoznačným pojmem. </w:t>
      </w:r>
      <w:r>
        <w:rPr>
          <w:rFonts w:asciiTheme="minorHAnsi" w:hAnsiTheme="minorHAnsi"/>
          <w:sz w:val="22"/>
          <w:szCs w:val="22"/>
          <w:vertAlign w:val="superscript"/>
        </w:rPr>
        <w:t>2</w:t>
      </w:r>
      <w:r>
        <w:rPr>
          <w:rFonts w:asciiTheme="minorHAnsi" w:hAnsiTheme="minorHAnsi"/>
          <w:sz w:val="22"/>
          <w:szCs w:val="22"/>
        </w:rPr>
        <w:t xml:space="preserve">Konkrétní podobu zajištění snadné identifikovatelnosti je nutné realizovat podle druhu, rozsahu a jiného uspořádání služby. </w:t>
      </w:r>
      <w:r>
        <w:rPr>
          <w:rFonts w:asciiTheme="minorHAnsi" w:hAnsiTheme="minorHAnsi"/>
          <w:sz w:val="22"/>
          <w:szCs w:val="22"/>
          <w:vertAlign w:val="superscript"/>
        </w:rPr>
        <w:t>3</w:t>
      </w:r>
      <w:r>
        <w:rPr>
          <w:rFonts w:asciiTheme="minorHAnsi" w:hAnsiTheme="minorHAnsi"/>
          <w:sz w:val="22"/>
          <w:szCs w:val="22"/>
        </w:rPr>
        <w:t>V případě, že je služba ovládána převážně hlasově, mají být informace sděleny na vyžádání uživatele také akusticky, přičemž je dostačující akustický odkaz na místo, kde lze informace nalézt.</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bookmarkStart w:id="10" w:name="_Hlk46134475"/>
      <w:bookmarkEnd w:id="9"/>
      <w:r>
        <w:rPr>
          <w:rFonts w:asciiTheme="minorHAnsi" w:hAnsiTheme="minorHAnsi"/>
          <w:sz w:val="22"/>
          <w:szCs w:val="22"/>
        </w:rPr>
        <w:t xml:space="preserve">(4) </w:t>
      </w:r>
      <w:r>
        <w:rPr>
          <w:rFonts w:asciiTheme="minorHAnsi" w:hAnsiTheme="minorHAnsi"/>
          <w:sz w:val="22"/>
          <w:szCs w:val="22"/>
          <w:vertAlign w:val="superscript"/>
        </w:rPr>
        <w:t>1</w:t>
      </w:r>
      <w:r>
        <w:rPr>
          <w:rFonts w:asciiTheme="minorHAnsi" w:hAnsiTheme="minorHAnsi"/>
          <w:sz w:val="22"/>
          <w:szCs w:val="22"/>
        </w:rPr>
        <w:t xml:space="preserve">Bezprostředně dosažitelné jsou informace, které jsou poskytnuty tak, aby je bylo možné v rámci mediální platformy nebo uživatelského rozhraní vyvolat bez větších mezikroků. </w:t>
      </w:r>
      <w:r>
        <w:rPr>
          <w:rFonts w:asciiTheme="minorHAnsi" w:hAnsiTheme="minorHAnsi"/>
          <w:sz w:val="22"/>
          <w:szCs w:val="22"/>
          <w:vertAlign w:val="superscript"/>
        </w:rPr>
        <w:t>2</w:t>
      </w:r>
      <w:r>
        <w:rPr>
          <w:rFonts w:asciiTheme="minorHAnsi" w:hAnsiTheme="minorHAnsi"/>
          <w:sz w:val="22"/>
          <w:szCs w:val="22"/>
        </w:rPr>
        <w:t>V případě, že je služba využívána přes internet, postačuje odkaz.</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szCs w:val="22"/>
        </w:rPr>
        <w:t>(5) Vždy k dispozici jsou informace, pokud jsou poskytnuty trvale a bez časového omezení.</w:t>
      </w:r>
    </w:p>
    <w:p w:rsidR="00F33BCA" w:rsidRPr="00077B73" w:rsidRDefault="00F33BCA" w:rsidP="00490C3B">
      <w:pPr>
        <w:spacing w:line="276" w:lineRule="auto"/>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lastRenderedPageBreak/>
        <w:t>6. oddíl: Procesní předpisy</w:t>
      </w:r>
    </w:p>
    <w:p w:rsidR="00F57DE5" w:rsidRPr="00077B73" w:rsidRDefault="00F57DE5" w:rsidP="00077B73">
      <w:pPr>
        <w:keepNext/>
        <w:spacing w:after="160" w:line="259" w:lineRule="auto"/>
        <w:ind w:left="360"/>
        <w:contextualSpacing/>
        <w:jc w:val="center"/>
        <w:rPr>
          <w:rFonts w:asciiTheme="minorHAnsi" w:eastAsia="Calibri" w:hAnsiTheme="minorHAnsi" w:cstheme="minorHAnsi"/>
          <w:sz w:val="22"/>
          <w:szCs w:val="22"/>
          <w:lang w:eastAsia="en-US"/>
        </w:rPr>
      </w:pPr>
    </w:p>
    <w:bookmarkEnd w:id="10"/>
    <w:p w:rsidR="00BF13E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12</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Komise pro udělování licencí a dohled (ZAK)</w:t>
      </w:r>
    </w:p>
    <w:p w:rsidR="00BF13E2" w:rsidRPr="00077B73" w:rsidRDefault="00BF13E2" w:rsidP="00077B73">
      <w:pPr>
        <w:keepNext/>
        <w:spacing w:line="276" w:lineRule="auto"/>
        <w:jc w:val="center"/>
        <w:rPr>
          <w:rFonts w:ascii="Calibri" w:eastAsia="Calibri" w:hAnsi="Calibri"/>
          <w:b/>
          <w:sz w:val="22"/>
          <w:szCs w:val="22"/>
          <w:lang w:eastAsia="en-US"/>
        </w:rPr>
      </w:pPr>
    </w:p>
    <w:p w:rsidR="00F57DE5" w:rsidRPr="00077B73" w:rsidRDefault="00BF13E2" w:rsidP="00BF13E2">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Pro úkoly, které mají být v rámci těchto stanov splněny, slouží v roli správního orgánu Komise pro udělování licencí a dohled (ZAK) příslušného zemského mediálního regulačního orgánu (§ 104 odst. 2 věta 1 č. 1, § 105 odst. 1 věta 1 č. 8 a 9 MStV ve spojení s jednacím řádem ZAK – GVO ZAK). </w:t>
      </w:r>
      <w:r>
        <w:rPr>
          <w:rFonts w:asciiTheme="minorHAnsi" w:hAnsiTheme="minorHAnsi"/>
          <w:sz w:val="22"/>
          <w:szCs w:val="22"/>
        </w:rPr>
        <w:br/>
      </w:r>
      <w:r>
        <w:rPr>
          <w:rFonts w:asciiTheme="minorHAnsi" w:hAnsiTheme="minorHAnsi"/>
          <w:sz w:val="22"/>
          <w:szCs w:val="22"/>
          <w:vertAlign w:val="superscript"/>
        </w:rPr>
        <w:t>2</w:t>
      </w:r>
      <w:r>
        <w:rPr>
          <w:rFonts w:asciiTheme="minorHAnsi" w:hAnsiTheme="minorHAnsi"/>
          <w:sz w:val="22"/>
          <w:szCs w:val="22"/>
        </w:rPr>
        <w:t>§ 81 odst. 5 věta 3 ve spojení s § 105 odst. 2 věta 1 alternativně 2 MStV zůstává nedotčen.</w:t>
      </w:r>
    </w:p>
    <w:p w:rsidR="00F57DE5" w:rsidRPr="00077B73" w:rsidRDefault="00F57DE5" w:rsidP="00BF13E2">
      <w:pPr>
        <w:spacing w:line="276" w:lineRule="auto"/>
        <w:rPr>
          <w:rFonts w:asciiTheme="minorHAnsi" w:eastAsia="Calibri" w:hAnsiTheme="minorHAnsi" w:cstheme="minorHAnsi"/>
          <w:sz w:val="22"/>
          <w:szCs w:val="22"/>
          <w:lang w:eastAsia="en-US"/>
        </w:rPr>
      </w:pPr>
    </w:p>
    <w:p w:rsidR="00F57DE5" w:rsidRPr="00077B73" w:rsidRDefault="00BF13E2" w:rsidP="00BF13E2">
      <w:pPr>
        <w:spacing w:line="276" w:lineRule="auto"/>
        <w:rPr>
          <w:rFonts w:asciiTheme="minorHAnsi" w:eastAsia="Calibri" w:hAnsiTheme="minorHAnsi" w:cstheme="minorHAnsi"/>
          <w:sz w:val="22"/>
          <w:szCs w:val="22"/>
        </w:rPr>
      </w:pPr>
      <w:r>
        <w:rPr>
          <w:rFonts w:asciiTheme="minorHAnsi" w:hAnsiTheme="minorHAnsi"/>
          <w:sz w:val="22"/>
          <w:szCs w:val="22"/>
        </w:rPr>
        <w:t xml:space="preserve">(2) </w:t>
      </w:r>
      <w:r>
        <w:rPr>
          <w:rFonts w:asciiTheme="minorHAnsi" w:hAnsiTheme="minorHAnsi"/>
          <w:sz w:val="22"/>
          <w:szCs w:val="22"/>
          <w:vertAlign w:val="superscript"/>
        </w:rPr>
        <w:t>1</w:t>
      </w:r>
      <w:r>
        <w:rPr>
          <w:rFonts w:asciiTheme="minorHAnsi" w:hAnsiTheme="minorHAnsi"/>
          <w:sz w:val="22"/>
          <w:szCs w:val="22"/>
        </w:rPr>
        <w:t xml:space="preserve">Příslušný zemský mediální regulační orgán předává oznámení podle § 2 a stížnosti podle § 14 neprodleně prostřednictvím společného sekretariátu Komisi pro udělování licencí a dohled a informuje ji o iniciovaných kontrolách. </w:t>
      </w:r>
      <w:r>
        <w:rPr>
          <w:rFonts w:asciiTheme="minorHAnsi" w:hAnsiTheme="minorHAnsi"/>
          <w:sz w:val="22"/>
          <w:szCs w:val="22"/>
          <w:vertAlign w:val="superscript"/>
        </w:rPr>
        <w:t>2</w:t>
      </w:r>
      <w:r>
        <w:rPr>
          <w:rFonts w:asciiTheme="minorHAnsi" w:hAnsiTheme="minorHAnsi"/>
          <w:sz w:val="22"/>
          <w:szCs w:val="22"/>
        </w:rPr>
        <w:t xml:space="preserve">Příslušný zemský mediální regulační úřad vede řízení až do okamžiku připravenosti k rozhodnutí. </w:t>
      </w:r>
    </w:p>
    <w:p w:rsidR="00F702A0" w:rsidRPr="00077B73" w:rsidRDefault="00F702A0" w:rsidP="009F46B5">
      <w:pPr>
        <w:spacing w:line="276" w:lineRule="auto"/>
        <w:jc w:val="center"/>
        <w:rPr>
          <w:rFonts w:ascii="Calibri" w:eastAsia="Calibri" w:hAnsi="Calibri"/>
          <w:b/>
          <w:sz w:val="22"/>
          <w:szCs w:val="22"/>
          <w:lang w:eastAsia="en-US"/>
        </w:rPr>
      </w:pPr>
    </w:p>
    <w:p w:rsidR="009F46B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 13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Řízení</w:t>
      </w:r>
    </w:p>
    <w:p w:rsidR="009F46B5" w:rsidRPr="00077B73" w:rsidRDefault="009F46B5" w:rsidP="00077B73">
      <w:pPr>
        <w:keepNext/>
        <w:spacing w:line="276" w:lineRule="auto"/>
        <w:jc w:val="center"/>
        <w:rPr>
          <w:rFonts w:ascii="Calibri" w:eastAsia="Calibri" w:hAnsi="Calibri"/>
          <w:b/>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(1) Příslušný zemský mediální regulační úřad provede prostřednictvím ZAK kontrolu na základě stížnosti oprávněné osoby podle § 14, nebo z vlastní iniciativy, zda poskytovatel mediální platformy nebo uživatelského rozhraní neporušuje ustanovení § 79 až 85 MStV a § 2 až 6 a 10, 11 těchto stanov.</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(2) V případě, že existují konkrétní indicie, že došlo k porušení, je poskytovatel mediální platformy nebo uživatelského rozhraní povinen předložit příslušnému mediálnímu regulačnímu úřadu informace a dokumenty nezbytné pro ověření.</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V případě, že příslušný zemský mediální regulační úřad zjistí prostřednictvím ZAK podle odstavce 1 pochybení, může poskytovateli mediální platformy nebo uživatelského rozhraní ve stanovené přiměřené lhůtě poskytnout příležitost k nápravě. </w:t>
      </w:r>
      <w:r>
        <w:rPr>
          <w:rFonts w:asciiTheme="minorHAnsi" w:hAnsiTheme="minorHAnsi"/>
          <w:sz w:val="22"/>
          <w:szCs w:val="22"/>
          <w:vertAlign w:val="superscript"/>
        </w:rPr>
        <w:t>2</w:t>
      </w:r>
      <w:r>
        <w:rPr>
          <w:rFonts w:asciiTheme="minorHAnsi" w:hAnsiTheme="minorHAnsi"/>
          <w:sz w:val="22"/>
          <w:szCs w:val="22"/>
        </w:rPr>
        <w:t>V případě, že nadále nedojde ke splnění zákonných požadavků, přijme příslušný zemský mediální regulační úřad rozhodnutím ZAK, stejně jako v případě § 81 odst. 5 věta 3 MStV rozhodnutím konference předsedů mediálních rad (GVK) nezbytná opatření podle § 109 odst. 1 MStV.</w:t>
      </w:r>
    </w:p>
    <w:p w:rsidR="00F57DE5" w:rsidRPr="00077B73" w:rsidRDefault="00F57DE5" w:rsidP="00A16C12">
      <w:pPr>
        <w:spacing w:line="276" w:lineRule="auto"/>
        <w:jc w:val="center"/>
        <w:rPr>
          <w:rFonts w:ascii="Calibri" w:eastAsia="Calibri" w:hAnsi="Calibri"/>
          <w:b/>
          <w:sz w:val="22"/>
          <w:szCs w:val="22"/>
          <w:lang w:eastAsia="en-US"/>
        </w:rPr>
      </w:pPr>
    </w:p>
    <w:p w:rsidR="00A16C1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14</w:t>
      </w:r>
    </w:p>
    <w:p w:rsidR="00F57DE5" w:rsidRPr="00077B73" w:rsidRDefault="00F57DE5" w:rsidP="00077B73">
      <w:pPr>
        <w:keepNext/>
        <w:spacing w:line="276" w:lineRule="auto"/>
        <w:jc w:val="center"/>
        <w:rPr>
          <w:rFonts w:asciiTheme="minorHAnsi" w:eastAsia="Calibri" w:hAnsiTheme="minorHAnsi" w:cstheme="minorHAnsi"/>
          <w:b/>
          <w:bCs/>
          <w:sz w:val="22"/>
          <w:szCs w:val="22"/>
        </w:rPr>
      </w:pPr>
      <w:r>
        <w:rPr>
          <w:b/>
          <w:sz w:val="22"/>
          <w:szCs w:val="22"/>
        </w:rPr>
        <w:t>Stížnost v rámci dohledu</w:t>
      </w:r>
    </w:p>
    <w:p w:rsidR="00A16C12" w:rsidRPr="00077B73" w:rsidRDefault="00A16C12" w:rsidP="00077B73">
      <w:pPr>
        <w:keepNext/>
        <w:spacing w:line="276" w:lineRule="auto"/>
        <w:jc w:val="center"/>
        <w:rPr>
          <w:rFonts w:asciiTheme="minorHAnsi" w:eastAsia="Calibri" w:hAnsiTheme="minorHAnsi" w:cstheme="minorHAnsi"/>
          <w:b/>
          <w:bCs/>
          <w:sz w:val="22"/>
          <w:szCs w:val="22"/>
          <w:lang w:eastAsia="en-US"/>
        </w:rPr>
      </w:pPr>
    </w:p>
    <w:p w:rsidR="00F57DE5" w:rsidRPr="00077B73" w:rsidRDefault="00A16C12"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Osobami oprávněnými ke stížnosti jsou poskytovatelé rozhlasového a televizního vysílání, jemu podobných služeb elektronických komunikací nebo elektronických komunikací podle § 19 odst. 1 MStV, kteří</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szCs w:val="22"/>
        </w:rPr>
        <w:t xml:space="preserve">jsou šířeni na mediální platformě, nebo </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szCs w:val="22"/>
        </w:rPr>
        <w:t>žádají o přístup k mediální platformě za účelem poskytování rozhlasového a televizního vysílání, jemu podobných služeb elektronických komunikací nebo elektronických komunikací podle § 19 odst. 1 státní smlouvy o rozhlasovém a televizním vysílání (RStV) nebo jejich obchodního využití, nebo</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szCs w:val="22"/>
        </w:rPr>
        <w:t>jsou sami dotčeni zobrazením v uživatelských rozhraních ve smyslu § 2 odst. 2 č. 15 MStV.</w:t>
      </w:r>
    </w:p>
    <w:p w:rsidR="00F57DE5" w:rsidRPr="00077B73" w:rsidRDefault="00A16C12" w:rsidP="00F57DE5">
      <w:pPr>
        <w:spacing w:after="160" w:line="259" w:lineRule="auto"/>
        <w:contextualSpacing/>
        <w:jc w:val="both"/>
        <w:rPr>
          <w:rFonts w:asciiTheme="minorHAnsi" w:eastAsia="Calibri" w:hAnsiTheme="minorHAnsi" w:cstheme="minorHAnsi"/>
          <w:sz w:val="22"/>
          <w:szCs w:val="22"/>
        </w:rPr>
      </w:pPr>
      <w:r>
        <w:rPr>
          <w:rFonts w:asciiTheme="minorHAnsi" w:hAnsiTheme="minorHAnsi"/>
          <w:sz w:val="22"/>
          <w:szCs w:val="22"/>
          <w:vertAlign w:val="superscript"/>
        </w:rPr>
        <w:lastRenderedPageBreak/>
        <w:t>2</w:t>
      </w:r>
      <w:r>
        <w:rPr>
          <w:rFonts w:asciiTheme="minorHAnsi" w:hAnsiTheme="minorHAnsi"/>
          <w:sz w:val="22"/>
          <w:szCs w:val="22"/>
        </w:rPr>
        <w:t>Odpůrci stížnosti mohou být poskytovatelé mediálních platforem podle § 2 odst. 2 č. 19 MStV a poskytovatelé uživatelských rozhraní podle § 2 odst. 2 č. 20 MStV.</w:t>
      </w:r>
    </w:p>
    <w:p w:rsidR="00F57DE5" w:rsidRPr="00077B73" w:rsidRDefault="00F57DE5" w:rsidP="00F57DE5">
      <w:pPr>
        <w:spacing w:after="160" w:line="259" w:lineRule="auto"/>
        <w:contextualSpacing/>
        <w:jc w:val="both"/>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(2) Osoby oprávněné ke stížnosti podle odst. 1 mohou podat písemnou stížnost u příslušného zemského mediálního regulačního orgánu s uvedením konkrétních indicií pro existenci porušení ustanovení § 80 až 84 MStV nebo § 3 až § 6 a § 10 těchto stanov a s objasněním skutkové podstaty porušení.</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(3) Při podání stížnosti musí oprávněné osoby věrohodně prokázat, že usilovali o vyjasnění sporné situace s poskytovatelem mediální platformy nebo uživatelského rozhraní.</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(4) </w:t>
      </w:r>
      <w:r>
        <w:rPr>
          <w:rFonts w:asciiTheme="minorHAnsi" w:hAnsiTheme="minorHAnsi"/>
          <w:sz w:val="22"/>
          <w:szCs w:val="22"/>
          <w:vertAlign w:val="superscript"/>
        </w:rPr>
        <w:t>1</w:t>
      </w:r>
      <w:r>
        <w:rPr>
          <w:rFonts w:asciiTheme="minorHAnsi" w:hAnsiTheme="minorHAnsi"/>
          <w:sz w:val="22"/>
          <w:szCs w:val="22"/>
        </w:rPr>
        <w:t xml:space="preserve">Příslušný zemský mediální regulační úřad se nejdříve může pokusit sjednat mezi zúčastněnými stranami odpovídající řešení. </w:t>
      </w:r>
      <w:r>
        <w:rPr>
          <w:rFonts w:asciiTheme="minorHAnsi" w:hAnsiTheme="minorHAnsi"/>
          <w:sz w:val="22"/>
          <w:szCs w:val="22"/>
          <w:vertAlign w:val="superscript"/>
        </w:rPr>
        <w:t>2</w:t>
      </w:r>
      <w:r>
        <w:rPr>
          <w:rFonts w:asciiTheme="minorHAnsi" w:hAnsiTheme="minorHAnsi"/>
          <w:sz w:val="22"/>
          <w:szCs w:val="22"/>
        </w:rPr>
        <w:t>V případech § 83 odst. 3 MStV musí příslušný zemský mediální regulační úřad provést před odvolacím řízením mediaci.</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(5) V případě, že jsou dotčeny systémy podmíněného přístupu a rozhraní pro aplikační programy, předá příslušný zemský mediální regulační úřad v rámci postupu (popis postupu ze dne 20.4.2010) dohodnutého se Spolkovou agenturou pro sítě (BNetzA) stížnost této agentuře, u níž bude řízení vedeno.</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(6) </w:t>
      </w:r>
      <w:r>
        <w:rPr>
          <w:rFonts w:asciiTheme="minorHAnsi" w:hAnsiTheme="minorHAnsi"/>
          <w:sz w:val="22"/>
          <w:szCs w:val="22"/>
          <w:vertAlign w:val="superscript"/>
        </w:rPr>
        <w:t>1</w:t>
      </w:r>
      <w:r>
        <w:rPr>
          <w:rFonts w:asciiTheme="minorHAnsi" w:hAnsiTheme="minorHAnsi"/>
          <w:sz w:val="22"/>
          <w:szCs w:val="22"/>
        </w:rPr>
        <w:t xml:space="preserve">Stížnost je nutné směřovat k zemskému mediálnímu regulačnímu úřadu, u kterého bylo podáno oznámení o mediální platformě nebo uživatelském rozhraní. </w:t>
      </w:r>
      <w:r>
        <w:rPr>
          <w:rFonts w:asciiTheme="minorHAnsi" w:hAnsiTheme="minorHAnsi"/>
          <w:sz w:val="22"/>
          <w:szCs w:val="22"/>
          <w:vertAlign w:val="superscript"/>
        </w:rPr>
        <w:t>2</w:t>
      </w:r>
      <w:r>
        <w:rPr>
          <w:rFonts w:asciiTheme="minorHAnsi" w:hAnsiTheme="minorHAnsi"/>
          <w:sz w:val="22"/>
          <w:szCs w:val="22"/>
        </w:rPr>
        <w:t>V případě, že ke dni podání stížnosti nebylo podáno oznámení, platí odpovídajícím způsobem pro nabídky mířené na celé spolkové území § 106 odst. 1 MStV.</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7C685D"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 15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Udělení osvědčení o splnění podmínek pro vysílání bez licence podle § 87 MStV</w:t>
      </w:r>
    </w:p>
    <w:p w:rsidR="00F57DE5" w:rsidRPr="00077B73"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V případě podání žádosti o osvědčení o splnění podmínek pro vysílání bez licence podle § 87 věta 1 MStV, bude příslušný zemský mediální regulační úřad informovat poskytovatele nabídek privilegovaných podle § 84 odst. 3 věta 2 a odst. 4 MStV o zahájení řízení. </w:t>
      </w:r>
      <w:r>
        <w:rPr>
          <w:rFonts w:asciiTheme="minorHAnsi" w:hAnsiTheme="minorHAnsi"/>
          <w:sz w:val="22"/>
          <w:szCs w:val="22"/>
          <w:vertAlign w:val="superscript"/>
        </w:rPr>
        <w:t>2</w:t>
      </w:r>
      <w:r>
        <w:rPr>
          <w:rFonts w:asciiTheme="minorHAnsi" w:hAnsiTheme="minorHAnsi"/>
          <w:sz w:val="22"/>
          <w:szCs w:val="22"/>
        </w:rPr>
        <w:t>Informovat je možné elektronickou cestou.</w:t>
      </w:r>
    </w:p>
    <w:p w:rsidR="00F57DE5" w:rsidRPr="00077B73" w:rsidRDefault="00F57DE5" w:rsidP="007C685D">
      <w:pPr>
        <w:spacing w:line="276" w:lineRule="auto"/>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szCs w:val="22"/>
        </w:rPr>
        <w:t xml:space="preserve">(2) Příslušný zemský mediální regulační úřad předá žádost prostřednictvím společného sekretariátu Komisi pro udělování licencí a dohled. Příslušný zemský mediální regulační úřad vede řízení až do okamžiku připravenosti k rozhodnutí. </w:t>
      </w:r>
    </w:p>
    <w:p w:rsidR="00F57DE5" w:rsidRPr="00077B73" w:rsidRDefault="00F57DE5" w:rsidP="007C685D">
      <w:pPr>
        <w:spacing w:line="276" w:lineRule="auto"/>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Během doby platnosti osvědčení o splnění podmínek pro vysílání bez licence je poskytovatel mediální platformy nebo uživatelského rozhraní povinen informovat příslušný zemský mediální regulační úřad o všech podstatných změnách mediální platformy nebo uživatelského rozhraní. </w:t>
      </w:r>
      <w:r>
        <w:rPr>
          <w:rFonts w:asciiTheme="minorHAnsi" w:hAnsiTheme="minorHAnsi"/>
          <w:sz w:val="22"/>
          <w:szCs w:val="22"/>
          <w:vertAlign w:val="superscript"/>
        </w:rPr>
        <w:t>2</w:t>
      </w:r>
      <w:r>
        <w:rPr>
          <w:rFonts w:asciiTheme="minorHAnsi" w:hAnsiTheme="minorHAnsi"/>
          <w:sz w:val="22"/>
          <w:szCs w:val="22"/>
        </w:rPr>
        <w:t>Příslušný zemský mediální regulační úřad provede z moci úřední kontrolu, zda jsou podmínky pro vysílání bez licence nadále splněny.</w:t>
      </w:r>
    </w:p>
    <w:p w:rsidR="00F57DE5" w:rsidRPr="00077B73" w:rsidRDefault="00F57DE5" w:rsidP="00220524">
      <w:pPr>
        <w:tabs>
          <w:tab w:val="left" w:pos="3768"/>
        </w:tabs>
        <w:spacing w:after="160" w:line="259" w:lineRule="auto"/>
        <w:contextualSpacing/>
        <w:jc w:val="both"/>
        <w:rPr>
          <w:rFonts w:asciiTheme="minorHAnsi" w:eastAsia="Calibri" w:hAnsiTheme="minorHAnsi" w:cstheme="minorHAnsi"/>
          <w:b/>
          <w:bCs/>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lastRenderedPageBreak/>
        <w:t>7. oddíl: Závěrečná ustanovení</w:t>
      </w:r>
    </w:p>
    <w:p w:rsidR="00F57DE5" w:rsidRPr="00077B73"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rsidR="00FC769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 16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Bezbariérovost</w:t>
      </w:r>
    </w:p>
    <w:p w:rsidR="00FC7696" w:rsidRPr="00077B73" w:rsidRDefault="00FC7696" w:rsidP="00077B73">
      <w:pPr>
        <w:keepNext/>
        <w:spacing w:line="276" w:lineRule="auto"/>
        <w:jc w:val="center"/>
        <w:rPr>
          <w:rFonts w:ascii="Calibri" w:eastAsia="Calibri" w:hAnsi="Calibri"/>
          <w:b/>
          <w:sz w:val="22"/>
          <w:szCs w:val="22"/>
          <w:lang w:eastAsia="en-US"/>
        </w:rPr>
      </w:pPr>
    </w:p>
    <w:p w:rsidR="00F57DE5" w:rsidRPr="00077B73" w:rsidRDefault="00F57DE5" w:rsidP="00FC7696">
      <w:pPr>
        <w:spacing w:line="276" w:lineRule="auto"/>
        <w:rPr>
          <w:rFonts w:asciiTheme="minorHAnsi" w:eastAsia="Calibri" w:hAnsiTheme="minorHAnsi" w:cstheme="minorHAnsi"/>
          <w:bCs/>
          <w:sz w:val="22"/>
          <w:szCs w:val="22"/>
        </w:rPr>
      </w:pPr>
      <w:r>
        <w:rPr>
          <w:rFonts w:asciiTheme="minorHAnsi" w:hAnsiTheme="minorHAnsi"/>
          <w:sz w:val="22"/>
          <w:szCs w:val="22"/>
        </w:rPr>
        <w:t>Poskytovatelé uživatelských rozhraní a poskytovatelé mediálních platforem musí v rámci technických a finančních možností podporovat bezbariérový přístup k televizním programům a jim podobným službám elektronických komunikací (§ 21 MStV).</w:t>
      </w:r>
    </w:p>
    <w:p w:rsidR="00F57DE5" w:rsidRPr="00077B73" w:rsidRDefault="00F57DE5" w:rsidP="00F57DE5">
      <w:pPr>
        <w:spacing w:after="160" w:line="259" w:lineRule="auto"/>
        <w:contextualSpacing/>
        <w:jc w:val="both"/>
        <w:rPr>
          <w:rFonts w:asciiTheme="minorHAnsi" w:eastAsia="Calibri" w:hAnsiTheme="minorHAnsi" w:cstheme="minorHAnsi"/>
          <w:bCs/>
          <w:sz w:val="22"/>
          <w:szCs w:val="22"/>
          <w:lang w:eastAsia="en-US"/>
        </w:rPr>
      </w:pPr>
    </w:p>
    <w:p w:rsidR="00FC7696" w:rsidRPr="00077B73" w:rsidRDefault="00F57DE5" w:rsidP="00077B73">
      <w:pPr>
        <w:keepNext/>
        <w:spacing w:line="276" w:lineRule="auto"/>
        <w:jc w:val="center"/>
        <w:rPr>
          <w:rFonts w:asciiTheme="minorHAnsi" w:eastAsia="Calibri" w:hAnsiTheme="minorHAnsi" w:cstheme="minorHAnsi"/>
          <w:b/>
          <w:bCs/>
          <w:sz w:val="22"/>
          <w:szCs w:val="22"/>
        </w:rPr>
      </w:pPr>
      <w:r>
        <w:rPr>
          <w:rFonts w:asciiTheme="minorHAnsi" w:hAnsiTheme="minorHAnsi"/>
          <w:b/>
          <w:bCs/>
          <w:sz w:val="22"/>
          <w:szCs w:val="22"/>
        </w:rPr>
        <w:t>§ 17</w:t>
      </w:r>
    </w:p>
    <w:p w:rsidR="00F57DE5" w:rsidRPr="00077B73" w:rsidRDefault="00F71879" w:rsidP="00077B73">
      <w:pPr>
        <w:keepNext/>
        <w:spacing w:line="276" w:lineRule="auto"/>
        <w:jc w:val="center"/>
        <w:rPr>
          <w:rFonts w:ascii="Calibri" w:eastAsia="Calibri" w:hAnsi="Calibri"/>
          <w:b/>
          <w:sz w:val="22"/>
          <w:szCs w:val="22"/>
        </w:rPr>
      </w:pPr>
      <w:r>
        <w:rPr>
          <w:rFonts w:ascii="Calibri" w:hAnsi="Calibri"/>
          <w:b/>
          <w:sz w:val="22"/>
          <w:szCs w:val="22"/>
        </w:rPr>
        <w:t>Nabytí platnosti, pozbytí platnosti</w:t>
      </w:r>
    </w:p>
    <w:p w:rsidR="00FC7696" w:rsidRPr="00077B73" w:rsidRDefault="00FC7696" w:rsidP="00077B73">
      <w:pPr>
        <w:keepNext/>
        <w:spacing w:line="276" w:lineRule="auto"/>
        <w:jc w:val="center"/>
        <w:rPr>
          <w:rFonts w:asciiTheme="minorHAnsi" w:eastAsia="Calibri" w:hAnsiTheme="minorHAnsi" w:cstheme="minorHAnsi"/>
          <w:b/>
          <w:bCs/>
          <w:sz w:val="22"/>
          <w:szCs w:val="22"/>
          <w:lang w:eastAsia="en-US"/>
        </w:rPr>
      </w:pPr>
    </w:p>
    <w:p w:rsidR="00F57DE5" w:rsidRPr="00077B73" w:rsidRDefault="00FC7696" w:rsidP="00FC7696">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Tyto stanovy nabývají platnosti 15. dubna 2021. </w:t>
      </w:r>
      <w:r>
        <w:rPr>
          <w:rFonts w:asciiTheme="minorHAnsi" w:hAnsiTheme="minorHAnsi"/>
          <w:sz w:val="22"/>
          <w:szCs w:val="22"/>
          <w:vertAlign w:val="superscript"/>
        </w:rPr>
        <w:t>2</w:t>
      </w:r>
      <w:r>
        <w:rPr>
          <w:rFonts w:asciiTheme="minorHAnsi" w:hAnsiTheme="minorHAnsi"/>
          <w:sz w:val="22"/>
          <w:szCs w:val="22"/>
        </w:rPr>
        <w:t xml:space="preserve">Předseda konference ředitelů zemských mediálních regulačních orgánů (DLM) uveřejní v internetové prezentaci pod zastřešující značkou „mediální regulační orgány“, zda do té doby vydaly a zveřejnily všechny zemské mediální regulační orgány shodné stanovy. </w:t>
      </w:r>
      <w:r>
        <w:rPr>
          <w:rFonts w:asciiTheme="minorHAnsi" w:hAnsiTheme="minorHAnsi"/>
          <w:sz w:val="22"/>
          <w:szCs w:val="22"/>
          <w:vertAlign w:val="superscript"/>
        </w:rPr>
        <w:t>3</w:t>
      </w:r>
      <w:r>
        <w:rPr>
          <w:rFonts w:asciiTheme="minorHAnsi" w:hAnsiTheme="minorHAnsi"/>
          <w:sz w:val="22"/>
          <w:szCs w:val="22"/>
        </w:rPr>
        <w:t>Odlišně od věty 1 vstupuje § 10 odst. 5 až 7 těchto stanov v platnost 1.9.2021.</w:t>
      </w:r>
    </w:p>
    <w:p w:rsidR="00F57DE5" w:rsidRPr="00077B73" w:rsidRDefault="00F57DE5" w:rsidP="00FC7696">
      <w:pPr>
        <w:spacing w:line="276" w:lineRule="auto"/>
        <w:rPr>
          <w:rFonts w:asciiTheme="minorHAnsi" w:eastAsia="Calibri" w:hAnsiTheme="minorHAnsi" w:cstheme="minorHAnsi"/>
          <w:sz w:val="22"/>
          <w:szCs w:val="22"/>
          <w:lang w:eastAsia="en-US"/>
        </w:rPr>
      </w:pPr>
    </w:p>
    <w:p w:rsidR="00F57DE5" w:rsidRPr="00077B73" w:rsidRDefault="00FC7696" w:rsidP="00FC7696">
      <w:pPr>
        <w:spacing w:line="276" w:lineRule="auto"/>
        <w:rPr>
          <w:rFonts w:asciiTheme="minorHAnsi" w:eastAsia="Calibri" w:hAnsiTheme="minorHAnsi" w:cstheme="minorHAnsi"/>
          <w:sz w:val="22"/>
          <w:szCs w:val="22"/>
        </w:rPr>
      </w:pPr>
      <w:r>
        <w:rPr>
          <w:rFonts w:asciiTheme="minorHAnsi" w:hAnsiTheme="minorHAnsi"/>
          <w:sz w:val="22"/>
          <w:szCs w:val="22"/>
        </w:rPr>
        <w:t>(2) Současně pozbývají platnosti stanovy o svobodném přístupu k digitálním službám a o regulaci platforem podle § 53 státní smlouvy o rozhlasovém a televizním vysílání ze dne 14.12.2016.</w:t>
      </w:r>
      <w:r w:rsidR="00AF2F17" w:rsidRPr="00077B73">
        <w:rPr>
          <w:rStyle w:val="FootnoteReference"/>
          <w:rFonts w:asciiTheme="minorHAnsi" w:eastAsia="Calibri" w:hAnsiTheme="minorHAnsi" w:cstheme="minorHAnsi"/>
          <w:sz w:val="22"/>
          <w:szCs w:val="22"/>
          <w:lang w:eastAsia="en-US"/>
        </w:rPr>
        <w:footnoteReference w:id="1"/>
      </w:r>
    </w:p>
    <w:sectPr w:rsidR="00F57DE5" w:rsidRPr="00077B7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F24" w:rsidRDefault="00903F24" w:rsidP="00986629">
      <w:r>
        <w:separator/>
      </w:r>
    </w:p>
  </w:endnote>
  <w:endnote w:type="continuationSeparator" w:id="0">
    <w:p w:rsidR="00903F24" w:rsidRDefault="00903F24" w:rsidP="009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201" w:rsidRDefault="00903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7113784"/>
      <w:docPartObj>
        <w:docPartGallery w:val="Page Numbers (Bottom of Page)"/>
        <w:docPartUnique/>
      </w:docPartObj>
    </w:sdtPr>
    <w:sdtEndPr>
      <w:rPr>
        <w:rFonts w:asciiTheme="minorHAnsi" w:hAnsiTheme="minorHAnsi" w:cstheme="minorHAnsi"/>
        <w:sz w:val="22"/>
      </w:rPr>
    </w:sdtEndPr>
    <w:sdtContent>
      <w:p w:rsidR="00A1291E" w:rsidRPr="00A1291E" w:rsidRDefault="00A1291E">
        <w:pPr>
          <w:pStyle w:val="Footer"/>
          <w:jc w:val="center"/>
          <w:rPr>
            <w:rFonts w:asciiTheme="minorHAnsi" w:hAnsiTheme="minorHAnsi" w:cstheme="minorHAnsi"/>
            <w:sz w:val="22"/>
          </w:rPr>
        </w:pPr>
        <w:r w:rsidRPr="00A1291E">
          <w:rPr>
            <w:rFonts w:asciiTheme="minorHAnsi" w:hAnsiTheme="minorHAnsi" w:cstheme="minorHAnsi"/>
            <w:sz w:val="22"/>
          </w:rPr>
          <w:fldChar w:fldCharType="begin"/>
        </w:r>
        <w:r w:rsidRPr="00A1291E">
          <w:rPr>
            <w:rFonts w:asciiTheme="minorHAnsi" w:hAnsiTheme="minorHAnsi" w:cstheme="minorHAnsi"/>
            <w:sz w:val="22"/>
          </w:rPr>
          <w:instrText>PAGE   \* MERGEFORMAT</w:instrText>
        </w:r>
        <w:r w:rsidRPr="00A1291E">
          <w:rPr>
            <w:rFonts w:asciiTheme="minorHAnsi" w:hAnsiTheme="minorHAnsi" w:cstheme="minorHAnsi"/>
            <w:sz w:val="22"/>
          </w:rPr>
          <w:fldChar w:fldCharType="separate"/>
        </w:r>
        <w:r w:rsidR="00AF2F17">
          <w:rPr>
            <w:rFonts w:asciiTheme="minorHAnsi" w:hAnsiTheme="minorHAnsi" w:cstheme="minorHAnsi"/>
            <w:sz w:val="22"/>
          </w:rPr>
          <w:t>1</w:t>
        </w:r>
        <w:r w:rsidR="00AF2F17">
          <w:rPr>
            <w:rFonts w:asciiTheme="minorHAnsi" w:hAnsiTheme="minorHAnsi" w:cstheme="minorHAnsi"/>
            <w:sz w:val="22"/>
          </w:rPr>
          <w:t>1</w:t>
        </w:r>
        <w:r w:rsidRPr="00A1291E">
          <w:rPr>
            <w:rFonts w:asciiTheme="minorHAnsi" w:hAnsiTheme="minorHAnsi" w:cstheme="minorHAnsi"/>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201" w:rsidRDefault="00903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F24" w:rsidRDefault="00903F24" w:rsidP="00986629">
      <w:r>
        <w:separator/>
      </w:r>
    </w:p>
  </w:footnote>
  <w:footnote w:type="continuationSeparator" w:id="0">
    <w:p w:rsidR="00903F24" w:rsidRDefault="00903F24" w:rsidP="00986629">
      <w:r>
        <w:continuationSeparator/>
      </w:r>
    </w:p>
  </w:footnote>
  <w:footnote w:id="1">
    <w:p w:rsidR="00AF2F17" w:rsidRPr="00F33BCA" w:rsidRDefault="00AF2F17">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 xml:space="preserve"> Oznámeno podle směrnice Evropského parlamentu a Rady (EU) 2015/1535 ze dne 9. září 2015 o postupech při poskytování informací v oblasti norem a technických předpisů a předpisů pro služby informační společnosti (Úř. věst. L 241 ze dne 17.9.2015,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201" w:rsidRDefault="00903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629" w:rsidRDefault="00FA085F">
    <w:pPr>
      <w:pStyle w:val="Header"/>
    </w:pPr>
    <w:bookmarkStart w:id="11" w:name="_GoBack"/>
    <w:bookmarkEnd w:id="11"/>
    <w:r>
      <w:rPr>
        <w:noProof/>
      </w:rPr>
      <w:drawing>
        <wp:anchor distT="0" distB="0" distL="114300" distR="114300" simplePos="0" relativeHeight="251658240" behindDoc="0" locked="1" layoutInCell="1" allowOverlap="1" wp14:anchorId="506558D4" wp14:editId="5B0DA52A">
          <wp:simplePos x="0" y="0"/>
          <wp:positionH relativeFrom="page">
            <wp:posOffset>4425950</wp:posOffset>
          </wp:positionH>
          <wp:positionV relativeFrom="page">
            <wp:posOffset>400685</wp:posOffset>
          </wp:positionV>
          <wp:extent cx="2172970" cy="510540"/>
          <wp:effectExtent l="0" t="0" r="0" b="3810"/>
          <wp:wrapNone/>
          <wp:docPr id="2"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201" w:rsidRDefault="00903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547B"/>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F147B9"/>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5725CC"/>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EC7FEF"/>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0E023D"/>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D20064"/>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C008C8"/>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D2E70CA"/>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5B487C"/>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8B87AE4"/>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B803552"/>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B1E6391"/>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DDC3BA2"/>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10"/>
  </w:num>
  <w:num w:numId="5">
    <w:abstractNumId w:val="3"/>
  </w:num>
  <w:num w:numId="6">
    <w:abstractNumId w:val="11"/>
  </w:num>
  <w:num w:numId="7">
    <w:abstractNumId w:val="4"/>
  </w:num>
  <w:num w:numId="8">
    <w:abstractNumId w:val="7"/>
  </w:num>
  <w:num w:numId="9">
    <w:abstractNumId w:val="12"/>
  </w:num>
  <w:num w:numId="10">
    <w:abstractNumId w:val="2"/>
  </w:num>
  <w:num w:numId="11">
    <w:abstractNumId w:val="6"/>
  </w:num>
  <w:num w:numId="12">
    <w:abstractNumId w:val="1"/>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25"/>
    <w:rsid w:val="00003F08"/>
    <w:rsid w:val="000045F8"/>
    <w:rsid w:val="00013A16"/>
    <w:rsid w:val="000508DB"/>
    <w:rsid w:val="000544D5"/>
    <w:rsid w:val="00074EC8"/>
    <w:rsid w:val="00075A82"/>
    <w:rsid w:val="00077B73"/>
    <w:rsid w:val="000C657E"/>
    <w:rsid w:val="001504D9"/>
    <w:rsid w:val="00165009"/>
    <w:rsid w:val="00171DE3"/>
    <w:rsid w:val="0018279D"/>
    <w:rsid w:val="001B0E42"/>
    <w:rsid w:val="001C0704"/>
    <w:rsid w:val="001D2E17"/>
    <w:rsid w:val="00220524"/>
    <w:rsid w:val="002417C5"/>
    <w:rsid w:val="002643CD"/>
    <w:rsid w:val="002644D4"/>
    <w:rsid w:val="00290049"/>
    <w:rsid w:val="002C21BC"/>
    <w:rsid w:val="002C35D6"/>
    <w:rsid w:val="003421E6"/>
    <w:rsid w:val="003574F8"/>
    <w:rsid w:val="0038319A"/>
    <w:rsid w:val="003C28A6"/>
    <w:rsid w:val="003F26AC"/>
    <w:rsid w:val="0048212F"/>
    <w:rsid w:val="00483146"/>
    <w:rsid w:val="00485576"/>
    <w:rsid w:val="00490C3B"/>
    <w:rsid w:val="00506FCB"/>
    <w:rsid w:val="00511D74"/>
    <w:rsid w:val="00517E15"/>
    <w:rsid w:val="00521970"/>
    <w:rsid w:val="00543B52"/>
    <w:rsid w:val="0058421F"/>
    <w:rsid w:val="00590EAA"/>
    <w:rsid w:val="005D5943"/>
    <w:rsid w:val="005F244D"/>
    <w:rsid w:val="0060422A"/>
    <w:rsid w:val="00650B4F"/>
    <w:rsid w:val="00653AA0"/>
    <w:rsid w:val="00691044"/>
    <w:rsid w:val="00793947"/>
    <w:rsid w:val="007C3618"/>
    <w:rsid w:val="007C685D"/>
    <w:rsid w:val="007E4D6F"/>
    <w:rsid w:val="00816EE9"/>
    <w:rsid w:val="00862E68"/>
    <w:rsid w:val="008B6DA5"/>
    <w:rsid w:val="00903201"/>
    <w:rsid w:val="00903F24"/>
    <w:rsid w:val="00915B2E"/>
    <w:rsid w:val="009217BC"/>
    <w:rsid w:val="009574F2"/>
    <w:rsid w:val="00986629"/>
    <w:rsid w:val="009C012D"/>
    <w:rsid w:val="009C24A4"/>
    <w:rsid w:val="009F46B5"/>
    <w:rsid w:val="00A1291E"/>
    <w:rsid w:val="00A16C12"/>
    <w:rsid w:val="00A211F5"/>
    <w:rsid w:val="00AC1705"/>
    <w:rsid w:val="00AD10EE"/>
    <w:rsid w:val="00AE1692"/>
    <w:rsid w:val="00AF2F17"/>
    <w:rsid w:val="00B126BF"/>
    <w:rsid w:val="00B25AAD"/>
    <w:rsid w:val="00B45353"/>
    <w:rsid w:val="00B82C25"/>
    <w:rsid w:val="00B93BDE"/>
    <w:rsid w:val="00BF13E2"/>
    <w:rsid w:val="00C04BEE"/>
    <w:rsid w:val="00C5646E"/>
    <w:rsid w:val="00C57E5E"/>
    <w:rsid w:val="00C74DCA"/>
    <w:rsid w:val="00C902B9"/>
    <w:rsid w:val="00CC7F6D"/>
    <w:rsid w:val="00CE1C3D"/>
    <w:rsid w:val="00DB7447"/>
    <w:rsid w:val="00E14290"/>
    <w:rsid w:val="00E22B72"/>
    <w:rsid w:val="00E72479"/>
    <w:rsid w:val="00EE5E7F"/>
    <w:rsid w:val="00EF68F9"/>
    <w:rsid w:val="00F33BCA"/>
    <w:rsid w:val="00F33CAE"/>
    <w:rsid w:val="00F40F94"/>
    <w:rsid w:val="00F55623"/>
    <w:rsid w:val="00F57DE5"/>
    <w:rsid w:val="00F702A0"/>
    <w:rsid w:val="00F71879"/>
    <w:rsid w:val="00FA085F"/>
    <w:rsid w:val="00FA6037"/>
    <w:rsid w:val="00FC769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5BF38C"/>
  <w15:chartTrackingRefBased/>
  <w15:docId w15:val="{A0877444-1310-4159-A6DA-9FFF7C7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rFonts w:ascii="Arial" w:hAnsi="Arial"/>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Default">
    <w:name w:val="Default"/>
    <w:rPr>
      <w:rFonts w:ascii="Calibri" w:hAnsi="Calibri"/>
      <w:color w:val="000000"/>
      <w:sz w:val="24"/>
    </w:rPr>
  </w:style>
  <w:style w:type="paragraph" w:styleId="BodyText">
    <w:name w:val="Body Text"/>
    <w:basedOn w:val="Normal"/>
    <w:rPr>
      <w:rFonts w:ascii="Arial" w:hAnsi="Arial"/>
      <w:sz w:val="21"/>
    </w:rPr>
  </w:style>
  <w:style w:type="character" w:customStyle="1" w:styleId="CommentTextChar">
    <w:name w:val="Comment Text Char"/>
    <w:link w:val="CommentText"/>
    <w:locked/>
    <w:rPr>
      <w:lang w:val="cs-CZ" w:eastAsia="de-DE" w:bidi="ar-SA"/>
    </w:rPr>
  </w:style>
  <w:style w:type="paragraph" w:styleId="Header">
    <w:name w:val="header"/>
    <w:basedOn w:val="Normal"/>
    <w:link w:val="HeaderChar"/>
    <w:rsid w:val="00986629"/>
    <w:pPr>
      <w:tabs>
        <w:tab w:val="center" w:pos="4536"/>
        <w:tab w:val="right" w:pos="9072"/>
      </w:tabs>
    </w:pPr>
  </w:style>
  <w:style w:type="character" w:customStyle="1" w:styleId="HeaderChar">
    <w:name w:val="Header Char"/>
    <w:link w:val="Header"/>
    <w:uiPriority w:val="99"/>
    <w:rsid w:val="00986629"/>
    <w:rPr>
      <w:sz w:val="24"/>
      <w:szCs w:val="24"/>
    </w:rPr>
  </w:style>
  <w:style w:type="paragraph" w:styleId="Footer">
    <w:name w:val="footer"/>
    <w:basedOn w:val="Normal"/>
    <w:link w:val="FooterChar"/>
    <w:uiPriority w:val="99"/>
    <w:rsid w:val="00986629"/>
    <w:pPr>
      <w:tabs>
        <w:tab w:val="center" w:pos="4536"/>
        <w:tab w:val="right" w:pos="9072"/>
      </w:tabs>
    </w:pPr>
  </w:style>
  <w:style w:type="character" w:customStyle="1" w:styleId="FooterChar">
    <w:name w:val="Footer Char"/>
    <w:link w:val="Footer"/>
    <w:uiPriority w:val="99"/>
    <w:rsid w:val="00986629"/>
    <w:rPr>
      <w:sz w:val="24"/>
      <w:szCs w:val="24"/>
    </w:rPr>
  </w:style>
  <w:style w:type="paragraph" w:customStyle="1" w:styleId="GGSZ">
    <w:name w:val="GGS ZÜ"/>
    <w:basedOn w:val="Normal"/>
    <w:link w:val="GGSZZchn"/>
    <w:uiPriority w:val="4"/>
    <w:qFormat/>
    <w:rsid w:val="005D5943"/>
    <w:pPr>
      <w:spacing w:before="120"/>
    </w:pPr>
    <w:rPr>
      <w:rFonts w:asciiTheme="minorHAnsi" w:hAnsiTheme="minorHAnsi"/>
      <w:b/>
      <w:sz w:val="22"/>
    </w:rPr>
  </w:style>
  <w:style w:type="character" w:customStyle="1" w:styleId="GGSZZchn">
    <w:name w:val="GGS ZÜ Zchn"/>
    <w:basedOn w:val="DefaultParagraphFont"/>
    <w:link w:val="GGSZ"/>
    <w:uiPriority w:val="4"/>
    <w:rsid w:val="005D5943"/>
    <w:rPr>
      <w:rFonts w:asciiTheme="minorHAnsi" w:hAnsiTheme="minorHAnsi"/>
      <w:b/>
      <w:sz w:val="22"/>
      <w:szCs w:val="24"/>
    </w:rPr>
  </w:style>
  <w:style w:type="paragraph" w:styleId="ListParagraph">
    <w:name w:val="List Paragraph"/>
    <w:basedOn w:val="Normal"/>
    <w:uiPriority w:val="34"/>
    <w:qFormat/>
    <w:rsid w:val="00650B4F"/>
    <w:pPr>
      <w:ind w:left="720"/>
      <w:contextualSpacing/>
    </w:pPr>
  </w:style>
  <w:style w:type="paragraph" w:styleId="FootnoteText">
    <w:name w:val="footnote text"/>
    <w:basedOn w:val="Normal"/>
    <w:link w:val="FootnoteTextChar"/>
    <w:rsid w:val="00AF2F17"/>
    <w:rPr>
      <w:sz w:val="20"/>
      <w:szCs w:val="20"/>
    </w:rPr>
  </w:style>
  <w:style w:type="character" w:customStyle="1" w:styleId="FootnoteTextChar">
    <w:name w:val="Footnote Text Char"/>
    <w:basedOn w:val="DefaultParagraphFont"/>
    <w:link w:val="FootnoteText"/>
    <w:rsid w:val="00AF2F17"/>
  </w:style>
  <w:style w:type="character" w:styleId="FootnoteReference">
    <w:name w:val="footnote reference"/>
    <w:basedOn w:val="DefaultParagraphFont"/>
    <w:rsid w:val="00AF2F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609660">
      <w:bodyDiv w:val="1"/>
      <w:marLeft w:val="0"/>
      <w:marRight w:val="0"/>
      <w:marTop w:val="0"/>
      <w:marBottom w:val="0"/>
      <w:divBdr>
        <w:top w:val="none" w:sz="0" w:space="0" w:color="auto"/>
        <w:left w:val="none" w:sz="0" w:space="0" w:color="auto"/>
        <w:bottom w:val="none" w:sz="0" w:space="0" w:color="auto"/>
        <w:right w:val="none" w:sz="0" w:space="0" w:color="auto"/>
      </w:divBdr>
    </w:div>
    <w:div w:id="45973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05E83-2FED-414C-BBD2-1CE24ADFB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3492</Words>
  <Characters>20596</Characters>
  <Application>Microsoft Office Word</Application>
  <DocSecurity>0</DocSecurity>
  <Lines>171</Lines>
  <Paragraphs>48</Paragraphs>
  <ScaleCrop>false</ScaleCrop>
  <HeadingPairs>
    <vt:vector size="2" baseType="variant">
      <vt:variant>
        <vt:lpstr>Titel</vt:lpstr>
      </vt:variant>
      <vt:variant>
        <vt:i4>1</vt:i4>
      </vt:variant>
    </vt:vector>
  </HeadingPairs>
  <TitlesOfParts>
    <vt:vector size="1" baseType="lpstr">
      <vt:lpstr>Geschäfts- und Verfahrensordnung</vt:lpstr>
    </vt:vector>
  </TitlesOfParts>
  <Company>Bayer. Sozialgerichtsbarkeit</Company>
  <LinksUpToDate>false</LinksUpToDate>
  <CharactersWithSpaces>24040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 und Verfahrensordnung</dc:title>
  <dc:subject/>
  <dc:creator>Sigmar.Roll</dc:creator>
  <cp:keywords/>
  <cp:lastModifiedBy>BONITO, Joana</cp:lastModifiedBy>
  <cp:revision>6</cp:revision>
  <cp:lastPrinted>2014-01-13T11:15:00Z</cp:lastPrinted>
  <dcterms:created xsi:type="dcterms:W3CDTF">2020-12-17T11:14:00Z</dcterms:created>
  <dcterms:modified xsi:type="dcterms:W3CDTF">2020-12-31T12:42:00Z</dcterms:modified>
</cp:coreProperties>
</file>