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4F8" w:rsidRPr="003574F8" w:rsidRDefault="003574F8" w:rsidP="003574F8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0813 D-- HU- ------ 20201231 --- --- PROJET</w:t>
      </w:r>
    </w:p>
    <w:p w:rsidR="00A211F5" w:rsidRPr="003574F8" w:rsidRDefault="00A211F5" w:rsidP="00A211F5">
      <w:pPr>
        <w:spacing w:before="120" w:line="320" w:lineRule="exact"/>
        <w:rPr>
          <w:sz w:val="16"/>
          <w:szCs w:val="16"/>
          <w:rFonts w:ascii="Verdana" w:hAnsi="Verdana"/>
        </w:rPr>
      </w:pPr>
      <w:r>
        <w:rPr>
          <w:sz w:val="16"/>
          <w:szCs w:val="16"/>
          <w:rFonts w:ascii="Verdana" w:hAnsi="Verdana"/>
        </w:rPr>
        <w:t xml:space="preserve">Aktuális állapot:</w:t>
      </w:r>
      <w:r>
        <w:rPr>
          <w:sz w:val="16"/>
          <w:szCs w:val="16"/>
          <w:rFonts w:ascii="Verdana" w:hAnsi="Verdana"/>
        </w:rPr>
        <w:t xml:space="preserve"> </w:t>
      </w:r>
      <w:r>
        <w:rPr>
          <w:sz w:val="16"/>
          <w:szCs w:val="16"/>
          <w:rFonts w:ascii="Verdana" w:hAnsi="Verdana"/>
        </w:rPr>
        <w:t xml:space="preserve">2020. 12. 16.</w:t>
      </w:r>
    </w:p>
    <w:p w:rsidR="002C21BC" w:rsidRPr="00077B73" w:rsidRDefault="009C24A4">
      <w:pPr>
        <w:rPr>
          <w:sz w:val="22"/>
          <w:szCs w:val="22"/>
          <w:rFonts w:ascii="Calibri" w:hAnsi="Calibri"/>
        </w:rPr>
      </w:pPr>
      <w:r>
        <w:rPr>
          <w:sz w:val="22"/>
          <w:szCs w:val="22"/>
          <w:rFonts w:ascii="Calibri" w:hAnsi="Calibri"/>
        </w:rPr>
        <w:t xml:space="preserve">__________________________________________________________________________________</w:t>
      </w:r>
    </w:p>
    <w:p w:rsidR="009C24A4" w:rsidRPr="00077B73" w:rsidRDefault="009C24A4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:rsidR="00485576" w:rsidRPr="00077B73" w:rsidRDefault="00F57DE5" w:rsidP="00485576">
      <w:pPr>
        <w:spacing w:line="276" w:lineRule="auto"/>
        <w:jc w:val="center"/>
        <w:rPr>
          <w:b/>
          <w:bCs/>
          <w:sz w:val="22"/>
          <w:szCs w:val="22"/>
          <w:rFonts w:asciiTheme="minorHAnsi" w:eastAsia="Calibri" w:hAnsiTheme="minorHAnsi" w:cstheme="minorHAnsi"/>
        </w:rPr>
      </w:pPr>
      <w:r>
        <w:rPr>
          <w:b/>
          <w:sz w:val="22"/>
          <w:szCs w:val="22"/>
          <w:rFonts w:ascii="Calibri" w:hAnsi="Calibri"/>
        </w:rPr>
        <w:t xml:space="preserve">Rendelet</w:t>
      </w:r>
      <w:r>
        <w:rPr>
          <w:b/>
          <w:sz w:val="22"/>
          <w:szCs w:val="22"/>
          <w:bCs/>
          <w:rFonts w:asciiTheme="minorHAnsi" w:hAnsiTheme="minorHAnsi"/>
        </w:rPr>
        <w:t xml:space="preserve"> a tartományközi médiaegyezmény médiaplatformokra és felhasználói felületekre vonatkozó rendelkezéseinek meghatározásáról</w:t>
      </w:r>
      <w:r>
        <w:rPr>
          <w:b/>
          <w:sz w:val="22"/>
          <w:szCs w:val="22"/>
          <w:bCs/>
          <w:rFonts w:asciiTheme="minorHAnsi" w:hAnsiTheme="minorHAnsi"/>
        </w:rPr>
        <w:t xml:space="preserve"> </w:t>
      </w:r>
    </w:p>
    <w:p w:rsidR="00485576" w:rsidRPr="00077B73" w:rsidRDefault="00485576" w:rsidP="00485576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77B73" w:rsidRDefault="00F57DE5" w:rsidP="00485576">
      <w:pPr>
        <w:spacing w:line="276" w:lineRule="auto"/>
        <w:jc w:val="center"/>
        <w:rPr>
          <w:b/>
          <w:bCs/>
          <w:sz w:val="22"/>
          <w:szCs w:val="22"/>
          <w:rFonts w:asciiTheme="minorHAnsi" w:eastAsia="Calibri" w:hAnsiTheme="minorHAnsi" w:cstheme="minorHAnsi"/>
        </w:rPr>
      </w:pPr>
      <w:r>
        <w:rPr>
          <w:b/>
          <w:bCs/>
          <w:sz w:val="22"/>
          <w:szCs w:val="22"/>
          <w:rFonts w:asciiTheme="minorHAnsi" w:hAnsiTheme="minorHAnsi"/>
        </w:rPr>
        <w:t xml:space="preserve">(MB-rendelet)</w:t>
      </w:r>
    </w:p>
    <w:p w:rsidR="00485576" w:rsidRPr="00077B73" w:rsidRDefault="00485576" w:rsidP="00485576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485576" w:rsidRPr="00077B73" w:rsidRDefault="00485576" w:rsidP="00485576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… keltezésű</w:t>
      </w:r>
    </w:p>
    <w:p w:rsidR="00485576" w:rsidRPr="00077B73" w:rsidRDefault="00485576" w:rsidP="00485576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71879" w:rsidRPr="00077B73" w:rsidRDefault="00F57DE5" w:rsidP="00F71879">
      <w:pPr>
        <w:spacing w:line="276" w:lineRule="auto"/>
        <w:rPr>
          <w:bCs/>
          <w:sz w:val="22"/>
          <w:szCs w:val="22"/>
          <w:rFonts w:ascii="Calibri" w:eastAsia="Calibri" w:hAnsi="Calibri"/>
        </w:rPr>
      </w:pPr>
      <w:r>
        <w:rPr>
          <w:sz w:val="22"/>
          <w:szCs w:val="22"/>
          <w:bCs/>
          <w:rFonts w:asciiTheme="minorHAnsi" w:hAnsiTheme="minorHAnsi"/>
        </w:rPr>
        <w:t xml:space="preserve">A 2020. április 14–18-i tartományközi médiaegyezmény (MStV) 84. §-ának (8) bekezdése és</w:t>
      </w:r>
      <w:r>
        <w:rPr>
          <w:sz w:val="22"/>
          <w:szCs w:val="22"/>
          <w:rFonts w:ascii="Calibri" w:hAnsi="Calibri"/>
        </w:rPr>
        <w:t xml:space="preserve">88.</w:t>
      </w:r>
      <w:r>
        <w:rPr>
          <w:sz w:val="22"/>
          <w:szCs w:val="22"/>
          <w:bCs/>
          <w:rFonts w:asciiTheme="minorHAnsi" w:hAnsiTheme="minorHAnsi"/>
        </w:rPr>
        <w:t xml:space="preserve"> </w:t>
      </w:r>
      <w:r>
        <w:rPr>
          <w:sz w:val="22"/>
          <w:szCs w:val="22"/>
          <w:rFonts w:ascii="Calibri" w:hAnsi="Calibri"/>
        </w:rPr>
        <w:t xml:space="preserve"> §-a (... hivatkozás) alapján a [tartományi médiahatóság neve] a többi tartományi médiahatósággal egyetértésben a </w:t>
      </w:r>
      <w:r>
        <w:rPr>
          <w:sz w:val="22"/>
          <w:szCs w:val="22"/>
          <w:bCs/>
          <w:rFonts w:ascii="Calibri" w:hAnsi="Calibri"/>
        </w:rPr>
        <w:t xml:space="preserve">következő rendeletet adja ki:</w:t>
      </w:r>
    </w:p>
    <w:p w:rsidR="00DB7447" w:rsidRPr="00077B73" w:rsidRDefault="00DB7447" w:rsidP="00F71879">
      <w:pPr>
        <w:spacing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F57DE5" w:rsidRPr="00077B73" w:rsidRDefault="00C5646E" w:rsidP="00077B73">
      <w:pPr>
        <w:keepNext/>
        <w:spacing w:after="160" w:line="259" w:lineRule="auto"/>
        <w:contextualSpacing/>
        <w:jc w:val="center"/>
        <w:rPr>
          <w:b/>
          <w:bCs/>
          <w:sz w:val="22"/>
          <w:szCs w:val="22"/>
          <w:rFonts w:asciiTheme="minorHAnsi" w:eastAsia="Calibri" w:hAnsiTheme="minorHAnsi" w:cstheme="minorHAnsi"/>
        </w:rPr>
      </w:pPr>
      <w:r>
        <w:rPr>
          <w:b/>
          <w:bCs/>
          <w:sz w:val="22"/>
          <w:szCs w:val="22"/>
          <w:rFonts w:asciiTheme="minorHAnsi" w:hAnsiTheme="minorHAnsi"/>
        </w:rPr>
        <w:t xml:space="preserve">1. szakasz:</w:t>
      </w:r>
      <w:r>
        <w:rPr>
          <w:b/>
          <w:bCs/>
          <w:sz w:val="22"/>
          <w:szCs w:val="22"/>
          <w:rFonts w:asciiTheme="minorHAnsi" w:hAnsiTheme="minorHAnsi"/>
        </w:rPr>
        <w:t xml:space="preserve"> </w:t>
      </w:r>
      <w:r>
        <w:rPr>
          <w:b/>
          <w:bCs/>
          <w:sz w:val="22"/>
          <w:szCs w:val="22"/>
          <w:rFonts w:asciiTheme="minorHAnsi" w:hAnsiTheme="minorHAnsi"/>
        </w:rPr>
        <w:t xml:space="preserve">Általános előírások</w:t>
      </w:r>
    </w:p>
    <w:p w:rsidR="00F71879" w:rsidRPr="00077B73" w:rsidRDefault="00F71879" w:rsidP="00077B73">
      <w:pPr>
        <w:keepNext/>
        <w:spacing w:after="160" w:line="259" w:lineRule="auto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77B73" w:rsidRDefault="00F71879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1. §</w:t>
      </w:r>
      <w:r>
        <w:rPr>
          <w:b/>
          <w:sz w:val="22"/>
          <w:szCs w:val="22"/>
          <w:rFonts w:ascii="Calibri" w:hAnsi="Calibri"/>
        </w:rPr>
        <w:br/>
      </w:r>
      <w:r>
        <w:rPr>
          <w:b/>
          <w:sz w:val="22"/>
          <w:szCs w:val="22"/>
          <w:rFonts w:ascii="Calibri" w:hAnsi="Calibri"/>
        </w:rPr>
        <w:t xml:space="preserve">Cél, hatály</w:t>
      </w:r>
    </w:p>
    <w:p w:rsidR="00F33BCA" w:rsidRPr="00077B73" w:rsidRDefault="00F33BCA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F71879" w:rsidP="00F71879">
      <w:pPr>
        <w:spacing w:line="276" w:lineRule="auto"/>
        <w:rPr>
          <w:bCs/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bCs/>
          <w:rFonts w:asciiTheme="minorHAnsi" w:hAnsiTheme="minorHAnsi"/>
        </w:rPr>
        <w:t xml:space="preserve">(1) </w:t>
      </w:r>
      <w:r>
        <w:rPr>
          <w:sz w:val="22"/>
          <w:szCs w:val="22"/>
          <w:bCs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bCs/>
          <w:rFonts w:asciiTheme="minorHAnsi" w:hAnsiTheme="minorHAnsi"/>
        </w:rPr>
        <w:t xml:space="preserve">Ez a rendelet az MStV 84. §-ának (8) bekezdése és 88. §-a szerint részletesen ismerteti az V. szakasz médiaplatformokról és felhasználói felületekről szóló 2.</w:t>
      </w:r>
      <w:r>
        <w:rPr>
          <w:sz w:val="22"/>
          <w:szCs w:val="22"/>
          <w:bCs/>
          <w:rFonts w:asciiTheme="minorHAnsi" w:hAnsiTheme="minorHAnsi"/>
        </w:rPr>
        <w:t xml:space="preserve"> alszakaszában foglalt előírások tartalmi és eljárási elemeit (MStV 78–88. §). </w:t>
      </w:r>
      <w:r>
        <w:rPr>
          <w:sz w:val="22"/>
          <w:szCs w:val="22"/>
          <w:bCs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bCs/>
          <w:rFonts w:asciiTheme="minorHAnsi" w:hAnsiTheme="minorHAnsi"/>
        </w:rPr>
        <w:t xml:space="preserve">Célja a vélemények sokszínűségének (kínálat és szolgáltatók sokszínűsége) pozitív biztosítása. </w:t>
      </w:r>
    </w:p>
    <w:p w:rsidR="00F57DE5" w:rsidRPr="00077B73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:rsidR="00F57DE5" w:rsidRPr="00077B73" w:rsidRDefault="00F71879" w:rsidP="00F71879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(2)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E rendelet rendelkezései a médiaplatformokra és a felhasználói felületekre vonatkoznak.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 rendelet (1), (2), (3) és (12) bekezdései kivételével a rendelkezések nem vonatkoznak az olyan médiaplatformokra és felhasználói felületekre, amelyek csekély jelentőséggel bírnak a kínálat és a szolgáltatók sokszínűsége szempontjából.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3</w:t>
      </w:r>
      <w:r>
        <w:rPr>
          <w:sz w:val="22"/>
          <w:szCs w:val="22"/>
          <w:rFonts w:asciiTheme="minorHAnsi" w:hAnsiTheme="minorHAnsi"/>
        </w:rPr>
        <w:t xml:space="preserve">Ez általában akkor fordul elő, ha a médiaplatform vagy a felhasználói felület nem éri el az MStV 78. §-a 2. mondatának 1. és 2. pontjában meghatározott küszöbértékeket.</w:t>
      </w:r>
    </w:p>
    <w:p w:rsidR="00F57DE5" w:rsidRPr="00077B73" w:rsidRDefault="00F57DE5" w:rsidP="00F57DE5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F71879" w:rsidP="00F71879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(3)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Infrastruktúrához kötöttek azok a médiaplatformok, amelyekben a médiaplatform szolgáltatója egyúttal az átviteli infrastruktúra felett is ellenőrzést gyakorol a betáplálási ponttól a hálózati végpontig.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Az ellenőrzés a szolgáltató és az infrastruktúra tulajdonosa közötti szerződéses megállapodás alapján is megvalósulhat.</w:t>
      </w:r>
    </w:p>
    <w:p w:rsidR="00F57DE5" w:rsidRPr="00077B73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F71879" w:rsidP="00077B73">
      <w:pPr>
        <w:keepNext/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bookmarkStart w:id="1" w:name="_Hlk46137526"/>
      <w:r>
        <w:rPr>
          <w:sz w:val="22"/>
          <w:szCs w:val="22"/>
          <w:rFonts w:asciiTheme="minorHAnsi" w:hAnsiTheme="minorHAnsi"/>
        </w:rPr>
        <w:t xml:space="preserve">(4) A kábelhálózatra kapcsolt médiaplatformok és azok felhasználói felületei esetében a csatlakoztatott lakóegységeinek meghatározása az MStV 78. §-a 2. mondatának 1. pontja szerint az alábbi rendelkezések szerint történik:</w:t>
      </w:r>
    </w:p>
    <w:p w:rsidR="00F57DE5" w:rsidRPr="00077B73" w:rsidRDefault="00F57DE5" w:rsidP="002417C5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Egy kábelhálózathoz kapcsolt </w:t>
      </w:r>
      <w:r>
        <w:rPr>
          <w:sz w:val="22"/>
          <w:szCs w:val="22"/>
          <w:rFonts w:ascii="Calibri" w:hAnsi="Calibri"/>
        </w:rPr>
        <w:t xml:space="preserve">médiaplatform</w:t>
      </w:r>
      <w:r>
        <w:rPr>
          <w:sz w:val="22"/>
          <w:szCs w:val="22"/>
          <w:rFonts w:asciiTheme="minorHAnsi" w:hAnsiTheme="minorHAnsi"/>
        </w:rPr>
        <w:t xml:space="preserve"> szolgáltatójának tulajdonítható összes hálózatot együttesen kell szemlélni.</w:t>
      </w:r>
    </w:p>
    <w:p w:rsidR="00F57DE5" w:rsidRPr="00077B73" w:rsidRDefault="00F57DE5" w:rsidP="002417C5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Az MStV 78. §-a 2. mondatának 1. pontja értelmében csatlakoztatott lakóegységek a kábelhálózatra kapcsolt médiaplatformok esetében olyan lakóegységek, amelyek fizikai hálózati végponttal rendelkeznek, amely a végfelhasználó számára hozzáférést biztosít a kábelhálózathoz, amennyiben a hálózati végpontra vonatkozóan olyan megállapodás van érvényben, amelynek alapján a végfelhasználó sugárzott műsorok igénybevételére jogosult.</w:t>
      </w:r>
    </w:p>
    <w:p w:rsidR="00F57DE5" w:rsidRPr="00077B73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F71879" w:rsidP="00077B73">
      <w:pPr>
        <w:keepNext/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(5) Az MStV 78. §-a 2. mondatának 2. pontja szerinti tényleges napi felhasználók meghatározására az alábbi rendelkezések vonatkoznak:</w:t>
      </w:r>
    </w:p>
    <w:p w:rsidR="00F57DE5" w:rsidRPr="00077B73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 nem infrastruktúrához kötött médiaplatformok vagy felhasználói felületek tényleges napi felhasználói azok a felhasználók, akik egy napon belül felkeresik a médiaplatformot vagy a felhasználói felületet.</w:t>
      </w:r>
      <w:r>
        <w:rPr>
          <w:sz w:val="22"/>
          <w:szCs w:val="22"/>
          <w:rFonts w:ascii="Calibri" w:hAnsi="Calibri"/>
        </w:rPr>
        <w:t xml:space="preserve"> </w:t>
      </w:r>
      <w:r>
        <w:rPr>
          <w:sz w:val="22"/>
          <w:szCs w:val="22"/>
          <w:rFonts w:ascii="Calibri" w:hAnsi="Calibri"/>
        </w:rPr>
        <w:t xml:space="preserve">Az egy felhasználó általi többszöri lehívásokat csak egyszer kell számítani (egyedi felhasználó).</w:t>
      </w:r>
    </w:p>
    <w:p w:rsidR="00F57DE5" w:rsidRPr="00077B73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 médiaplatform vagy a felhasználói felület első kiválasztási szintjének a lehívása mérvadó.</w:t>
      </w:r>
      <w:r>
        <w:rPr>
          <w:sz w:val="22"/>
          <w:szCs w:val="22"/>
          <w:rFonts w:ascii="Calibri" w:hAnsi="Calibri"/>
        </w:rPr>
        <w:t xml:space="preserve"> </w:t>
      </w:r>
      <w:r>
        <w:rPr>
          <w:sz w:val="22"/>
          <w:szCs w:val="22"/>
          <w:rFonts w:ascii="Calibri" w:hAnsi="Calibri"/>
        </w:rPr>
        <w:t xml:space="preserve">Ha azonban a médiaplatform egy vegyes ajánlat elhatárolható része, akkor az elhatárolható funkció egyedi felhasználóinak a száma mérvadó.</w:t>
      </w:r>
    </w:p>
    <w:p w:rsidR="00F57DE5" w:rsidRPr="00077B73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Ha a sugárzott műsorok, sugárzott műsorokhoz hasonló telemédia-szolgáltatások vagy az MStV 19. §-ának (1) bekezdése szerinti telemédia-szolgáltatások lehívását kizárólag regisztrációtól vagy bejelentkezéstől teszik függővé, akkor az egyedi felhasználók számának meghatározásakor a regisztráció vagy bejelentkezés után elérhető első kiválasztási szint lehívása mérvadó.</w:t>
      </w:r>
      <w:r>
        <w:rPr>
          <w:sz w:val="22"/>
          <w:szCs w:val="22"/>
          <w:rFonts w:ascii="Calibri" w:hAnsi="Calibri"/>
        </w:rPr>
        <w:t xml:space="preserve"> </w:t>
      </w:r>
    </w:p>
    <w:p w:rsidR="00F57DE5" w:rsidRPr="00077B73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Amennyiben a tényleges napi felhasználókról nem állapíthatók meg adatok, akkor a felhasználói felületek esetében az értékesített eszközök számát kell alapul venni.</w:t>
      </w:r>
    </w:p>
    <w:p w:rsidR="00F57DE5" w:rsidRPr="00077B73" w:rsidRDefault="00F57DE5" w:rsidP="002417C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 havi átlag fenti számításaihoz hat hónapos időszakot kell alapul venni.</w:t>
      </w:r>
      <w:r>
        <w:rPr>
          <w:sz w:val="22"/>
          <w:szCs w:val="22"/>
          <w:rFonts w:ascii="Calibri" w:hAnsi="Calibri"/>
        </w:rPr>
        <w:t xml:space="preserve"> </w:t>
      </w:r>
    </w:p>
    <w:p w:rsidR="00F57DE5" w:rsidRPr="00077B73" w:rsidRDefault="00F57DE5" w:rsidP="00F57DE5">
      <w:pPr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F71879" w:rsidP="00F71879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(6) A szolgáltatónak igazolnia kell az MStV. 78. §-a 2. mondatának 1. és 2. pontjában leírt feltételek teljesülését.</w:t>
      </w:r>
    </w:p>
    <w:p w:rsidR="00F57DE5" w:rsidRPr="00077B73" w:rsidRDefault="00F57DE5" w:rsidP="00E22B72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E22B72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2. §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Bejelentés</w:t>
      </w:r>
    </w:p>
    <w:p w:rsidR="00F33BCA" w:rsidRPr="00077B73" w:rsidRDefault="00F33BCA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E22B72" w:rsidP="00E22B7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(1)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 médiaplatformot vagy felhasználói felületet biztosítani kívánó szolgáltatóknak ezt az üzembe helyezés előtt legalább egy hónappal be kell jelentenie az illetékes tartományi médiahatóságnál.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Amennyiben a szolgáltatás üzembe helyezése nem a szolgáltató felelősségi körébe tartozik, az 1. mondat szerinti bejelentési kötelezettségnek a forgalomba hozatal időpontján kell alapulnia.</w:t>
      </w:r>
      <w:r>
        <w:rPr>
          <w:sz w:val="22"/>
          <w:szCs w:val="22"/>
          <w:rFonts w:asciiTheme="minorHAnsi" w:hAnsiTheme="minorHAnsi"/>
        </w:rPr>
        <w:t xml:space="preserve"> </w:t>
      </w:r>
    </w:p>
    <w:p w:rsidR="00E22B72" w:rsidRPr="00077B73" w:rsidRDefault="00E22B72" w:rsidP="00E22B7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E22B72" w:rsidP="00077B73">
      <w:pPr>
        <w:keepNext/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(2) A bejelentés keretében különösen a következő adatokat kell megadni és a következő dokumentumokat kell benyújtani:</w:t>
      </w:r>
    </w:p>
    <w:p w:rsidR="00F57DE5" w:rsidRPr="00077B73" w:rsidRDefault="00F57DE5" w:rsidP="002417C5">
      <w:pPr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 szolgáltatás bemutatása; ez magában foglalja a médiaplatform infrastruktúrájához kötöttségével kapcsolatos információkat, ill. annak megadását is, hogy infrastruktúrához kötött médiaplatform felhasználói felületéről van-e szó.</w:t>
      </w:r>
    </w:p>
    <w:p w:rsidR="00F57DE5" w:rsidRPr="00077B73" w:rsidRDefault="00F57DE5" w:rsidP="002417C5">
      <w:pPr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 médiaplatform vagy a felhasználói felület szolgáltatójaként működő természetes vagy jogi személy, valamint a lakóhely vagy székhely megnevezése,</w:t>
      </w:r>
    </w:p>
    <w:p w:rsidR="00F57DE5" w:rsidRPr="00077B73" w:rsidRDefault="00F57DE5" w:rsidP="002417C5">
      <w:pPr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 médiaplatformot vagy felhasználói felületet szolgáltató személyre vagy az őt törvényesen vagy a rendelet szerint képviselő személyre vonatkozó erkölcsi bizonyítvány vagy ehhez hasonló külföldi dokumentum benyújtása a hatósághoz, amely benyújtáskor nem lehet hat hónapnál régebbi.</w:t>
      </w:r>
      <w:r>
        <w:rPr>
          <w:sz w:val="22"/>
          <w:szCs w:val="22"/>
          <w:rFonts w:ascii="Calibri" w:hAnsi="Calibri"/>
        </w:rPr>
        <w:t xml:space="preserve"> </w:t>
      </w:r>
      <w:r>
        <w:rPr>
          <w:sz w:val="22"/>
          <w:szCs w:val="22"/>
          <w:rFonts w:ascii="Calibri" w:hAnsi="Calibri"/>
        </w:rPr>
        <w:t xml:space="preserve">Ha az adott személyt egynél több személy képviseli törvényesen vagy a rendelet szerint, akkor az 1. mondat szerinti dokumentum benyújtása elegendő azon képviselőkre vonatkozóan, akik felelősek a szolgáltatások kiválasztásáért vagy az áttekintés kidolgozásáért,</w:t>
      </w:r>
    </w:p>
    <w:p w:rsidR="00F57DE5" w:rsidRPr="00077B73" w:rsidRDefault="00F57DE5" w:rsidP="002417C5">
      <w:pPr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 technikai és várható felhasználói lefedettségre vonatkozó adatok.</w:t>
      </w:r>
      <w:r>
        <w:rPr>
          <w:sz w:val="22"/>
          <w:szCs w:val="22"/>
          <w:rFonts w:ascii="Calibri" w:hAnsi="Calibri"/>
        </w:rPr>
        <w:t xml:space="preserve"> </w:t>
      </w:r>
      <w:r>
        <w:rPr>
          <w:sz w:val="22"/>
          <w:szCs w:val="22"/>
          <w:rFonts w:ascii="Calibri" w:hAnsi="Calibri"/>
        </w:rPr>
        <w:t xml:space="preserve">Ide tartoznak különösen az MStV 78. §-a 2. mondatának és e rendelet 1. §-a (4)–(6) bekezdésének ellenőrzéséhez szükséges adatok.</w:t>
      </w:r>
    </w:p>
    <w:p w:rsidR="00F57DE5" w:rsidRPr="00077B73" w:rsidRDefault="00F57DE5" w:rsidP="00F57DE5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075A82" w:rsidP="00075A8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(3) Ha a médiaplatform vagy a felhasználói felület szolgáltatójának lakóhelye vagy székhelye nem Németországban, más európai uniós tagállamában vagy más, az Európai Gazdasági Térségről szóló megállapodást aláíró országban van, akkor a bejelentés során az MStV 79. §-a (1) bekezdésének 2. mondata szerinti meghatalmazottat kell megneveznie a (2) bekezdés 3. pontja szerinti dokumentum benyújtásával.</w:t>
      </w:r>
      <w:r>
        <w:rPr>
          <w:sz w:val="22"/>
          <w:szCs w:val="22"/>
          <w:rFonts w:asciiTheme="minorHAnsi" w:hAnsiTheme="minorHAnsi"/>
        </w:rPr>
        <w:t xml:space="preserve"> </w:t>
      </w:r>
    </w:p>
    <w:p w:rsidR="00F57DE5" w:rsidRPr="00077B73" w:rsidRDefault="00F57DE5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075A82" w:rsidP="00075A8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(4) Az illetékes médiahatóság ezenkívül egyéb, a bejelentés értékeléséhez szükséges dokumentumok és információk benyújtását is kérheti.</w:t>
      </w:r>
    </w:p>
    <w:p w:rsidR="00F57DE5" w:rsidRPr="00077B73" w:rsidRDefault="00F57DE5" w:rsidP="00075A82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075A82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3. §</w:t>
      </w:r>
      <w:r>
        <w:rPr>
          <w:b/>
          <w:sz w:val="22"/>
          <w:szCs w:val="22"/>
          <w:rFonts w:ascii="Calibri" w:hAnsi="Calibri"/>
        </w:rPr>
        <w:t xml:space="preserve"> 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Jelek integritása, beillesztett tartalmak és skálázás</w:t>
      </w:r>
    </w:p>
    <w:p w:rsidR="00075A82" w:rsidRPr="00077B73" w:rsidRDefault="00075A82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075A82" w:rsidP="00075A8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(1) Az MStV 80. §-a (1) bekezdésének 1. pontja szerinti technikai változás akkor is fennáll, ha a médiaplatform-szolgáltatók nem továbbítják a technikailag rendelkezésre bocsátott HbbTV-jeleket.</w:t>
      </w:r>
    </w:p>
    <w:p w:rsidR="00F57DE5" w:rsidRPr="00077B73" w:rsidRDefault="00F57DE5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075A82" w:rsidP="00075A8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bookmarkStart w:id="2" w:name="_Hlk49412973"/>
      <w:r>
        <w:rPr>
          <w:sz w:val="22"/>
          <w:szCs w:val="22"/>
          <w:rFonts w:asciiTheme="minorHAnsi" w:hAnsiTheme="minorHAnsi"/>
        </w:rPr>
        <w:t xml:space="preserve">(2) Az MStV 80. §-a (1) bekezdésének 2. pontja szerinti beillesztett tartalom akusztikus vagy vizuális beillesztést jelent, amely időben közvetlenül a felhasználó általi kiválasztás és a műsor megkezdése között következik be (pre-roll).</w:t>
      </w:r>
      <w:r>
        <w:rPr>
          <w:sz w:val="22"/>
          <w:szCs w:val="22"/>
          <w:rFonts w:asciiTheme="minorHAnsi" w:hAnsiTheme="minorHAnsi"/>
        </w:rPr>
        <w:t xml:space="preserve"> </w:t>
      </w:r>
    </w:p>
    <w:p w:rsidR="00F57DE5" w:rsidRPr="00077B73" w:rsidRDefault="00F57DE5" w:rsidP="00075A8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075A82" w:rsidP="00075A8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(3)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Az MStV 80. §a (2) bekezdésének 2. és 3. mondata szerinti eseti kezdeményezés a felhasználó olyan egyértelmű cselekedete, amellyel az adott felhasználási helyzetben önként és félreérthetetlenül jelzi, hogy a beillesztett tartalmat vagy a skálázást ki kívánja váltani.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Ez különösen akkor áll fenn, ha a felhasználó megfelelően jelölt vizuális vagy akusztikus kezelőelemeket használ a beillesztett tartalom vagy skálázás kiváltásához.</w:t>
      </w:r>
    </w:p>
    <w:p w:rsidR="00F57DE5" w:rsidRPr="00077B73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5646E" w:rsidP="00077B73">
      <w:pPr>
        <w:keepNext/>
        <w:spacing w:after="160" w:line="259" w:lineRule="auto"/>
        <w:contextualSpacing/>
        <w:jc w:val="center"/>
        <w:rPr>
          <w:b/>
          <w:bCs/>
          <w:sz w:val="22"/>
          <w:szCs w:val="22"/>
          <w:rFonts w:asciiTheme="minorHAnsi" w:eastAsia="Calibri" w:hAnsiTheme="minorHAnsi" w:cstheme="minorHAnsi"/>
        </w:rPr>
      </w:pPr>
      <w:r>
        <w:rPr>
          <w:b/>
          <w:bCs/>
          <w:sz w:val="22"/>
          <w:szCs w:val="22"/>
          <w:rFonts w:asciiTheme="minorHAnsi" w:hAnsiTheme="minorHAnsi"/>
        </w:rPr>
        <w:t xml:space="preserve">2. szakasz:</w:t>
      </w:r>
      <w:r>
        <w:rPr>
          <w:b/>
          <w:bCs/>
          <w:sz w:val="22"/>
          <w:szCs w:val="22"/>
          <w:rFonts w:asciiTheme="minorHAnsi" w:hAnsiTheme="minorHAnsi"/>
        </w:rPr>
        <w:t xml:space="preserve"> </w:t>
      </w:r>
      <w:r>
        <w:rPr>
          <w:b/>
          <w:bCs/>
          <w:sz w:val="22"/>
          <w:szCs w:val="22"/>
          <w:rFonts w:asciiTheme="minorHAnsi" w:hAnsiTheme="minorHAnsi"/>
        </w:rPr>
        <w:t xml:space="preserve">Kiosztási előírások</w:t>
      </w:r>
    </w:p>
    <w:p w:rsidR="00F57DE5" w:rsidRPr="00077B73" w:rsidRDefault="00F57DE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C35D6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4. §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Infrastruktúrához kötött médiaplatformokra vonatkozó kiosztási előírások</w:t>
      </w:r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bookmarkEnd w:id="2"/>
    <w:p w:rsidR="00590EAA" w:rsidRPr="00077B73" w:rsidRDefault="00590EAA" w:rsidP="00077B73">
      <w:pPr>
        <w:keepNext/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Az MstV 81. §-a (2) bekezdése 1. mondata 1. pontjának b) és c) alpontja, valamint MStV 81. §-a (3) bekezdése 1. mondata 1. pontjának b) alpontja szerinti szolgáltatások megfelelő figyelembevétele feltételezi, hogy</w:t>
      </w:r>
    </w:p>
    <w:p w:rsidR="00590EAA" w:rsidRPr="00077B73" w:rsidRDefault="00590EAA" w:rsidP="002417C5">
      <w:pPr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igazolást nyer, hogy az 1. mondat 1. pontja szerinti kiosztási kapacitás nem elegendő az MstV 81. §-a (2) bekezdése 1. mondatának 1. pontja, valamint az MStV 81. §-a (3) bekezdése 1. mondatának 1. pontja szerinti terjesztési kötelezettségek maradéktalan teljesítéséhez;</w:t>
      </w:r>
    </w:p>
    <w:p w:rsidR="00590EAA" w:rsidRPr="00077B73" w:rsidRDefault="00590EAA" w:rsidP="002417C5">
      <w:pPr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 különböző szabványokban terjesztett programokat csak egyszer számolják;</w:t>
      </w:r>
    </w:p>
    <w:p w:rsidR="00590EAA" w:rsidRPr="00077B73" w:rsidRDefault="00590EAA" w:rsidP="002417C5">
      <w:pPr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az MstV 81. §-a (2) bekezdése 1. mondatának 1. pontja és az MStV 81. §-a (3) bekezdése 1. mondatának 1. pontja szerinti olyan programok, amelyek törvényileg nem az adott terjesztési területre vannak előírva, az MstV 81. §-a (2) bekezdése 1. mondata 1. pontjának b) és c) alpontja, valamint az MStV 81. §-a (3) bekezdése 1. mondata 1. pontjának b) alpontja szerinti szolgáltatásokhoz képest alacsonyabb prioritással kerülnek terjesztésre;</w:t>
      </w:r>
      <w:r>
        <w:rPr>
          <w:sz w:val="22"/>
          <w:szCs w:val="22"/>
          <w:rFonts w:ascii="Calibri" w:hAnsi="Calibri"/>
        </w:rPr>
        <w:t xml:space="preserve"> </w:t>
      </w:r>
    </w:p>
    <w:p w:rsidR="002C35D6" w:rsidRPr="00077B73" w:rsidRDefault="00590EAA" w:rsidP="002417C5">
      <w:pPr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az MstV 81. §-a (2) bekezdése 1. mondata 1. pontjának b) és c) alpontja, valamint MStV 81. §-a (3) bekezdése 1. mondata 1. pontjának b) alpontja szerinti szolgáltatásokat nem nyomják el teljesen.</w:t>
      </w:r>
      <w:bookmarkEnd w:id="1"/>
    </w:p>
    <w:p w:rsidR="00590EAA" w:rsidRPr="00077B73" w:rsidRDefault="00590EAA" w:rsidP="00590EAA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F57DE5" w:rsidRPr="00077B73" w:rsidRDefault="00C5646E" w:rsidP="00077B73">
      <w:pPr>
        <w:keepNext/>
        <w:spacing w:after="160" w:line="259" w:lineRule="auto"/>
        <w:contextualSpacing/>
        <w:jc w:val="center"/>
        <w:rPr>
          <w:b/>
          <w:sz w:val="22"/>
          <w:szCs w:val="22"/>
          <w:rFonts w:asciiTheme="minorHAnsi" w:eastAsia="Calibri" w:hAnsiTheme="minorHAnsi" w:cstheme="minorHAnsi"/>
        </w:rPr>
      </w:pPr>
      <w:r>
        <w:rPr>
          <w:b/>
          <w:sz w:val="22"/>
          <w:szCs w:val="22"/>
          <w:bCs/>
          <w:rFonts w:asciiTheme="minorHAnsi" w:hAnsiTheme="minorHAnsi"/>
        </w:rPr>
        <w:t xml:space="preserve">3. szakasz:</w:t>
      </w:r>
      <w:r>
        <w:rPr>
          <w:b/>
          <w:sz w:val="22"/>
          <w:szCs w:val="22"/>
          <w:rFonts w:asciiTheme="minorHAnsi" w:hAnsiTheme="minorHAnsi"/>
        </w:rPr>
        <w:t xml:space="preserve"> </w:t>
      </w:r>
      <w:r>
        <w:rPr>
          <w:b/>
          <w:sz w:val="22"/>
          <w:szCs w:val="22"/>
          <w:rFonts w:asciiTheme="minorHAnsi" w:hAnsiTheme="minorHAnsi"/>
        </w:rPr>
        <w:t xml:space="preserve">Médiaplatformokra vonatkozó hozzáférési feltételek</w:t>
      </w:r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C35D6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5. §</w:t>
      </w:r>
      <w:r>
        <w:rPr>
          <w:b/>
          <w:sz w:val="22"/>
          <w:szCs w:val="22"/>
          <w:rFonts w:ascii="Calibri" w:hAnsi="Calibri"/>
        </w:rPr>
        <w:t xml:space="preserve"> 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Esélyegyenlőség</w:t>
      </w:r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2C35D6" w:rsidP="002C35D6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(1) A médiaplatformok szolgáltatóinak úgy kell hozzáférést biztosítaniuk médiaplatformjaikhoz, hogy az MStV 82. §-a (2) bekezdésének keretében kínált szolgáltatások terjesztését vagy piaci értékesítését sem közvetlen, sem közvetett módon nem akadályozzák méltánytalanul.</w:t>
      </w:r>
    </w:p>
    <w:p w:rsidR="00F57DE5" w:rsidRPr="00077B73" w:rsidRDefault="00F57DE5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2C35D6" w:rsidP="002C35D6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(2) Az akadályozás méltánytalanságát az érintett felek érdekeinek átfogó mérlegelése, valamint az MStV és e rendelet vélemény- és szolgáltatási sokszínűség biztosítására irányuló célkitűzéseinek figyelembevételével kell megítélni.</w:t>
      </w:r>
    </w:p>
    <w:p w:rsidR="00F57DE5" w:rsidRPr="00077B73" w:rsidRDefault="00F57DE5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2C35D6" w:rsidP="002C35D6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(3) Méltánytalan akadályoztatás különösen akkor áll fenn, ha a médiaplatformok a technikailag lehetséges és gazdaságilag észszerű keretek között nem kínálnak reális hozzáférési lehetőséget, vagy ha a hozzáférési feltételek nyomán a szolgáltatások tekintetében strukturális értelemben hátrányos megkülönböztetés jön létre az MStV 82. §-ának (2) bekezdése szerint.</w:t>
      </w:r>
    </w:p>
    <w:p w:rsidR="00F57DE5" w:rsidRPr="00077B73" w:rsidRDefault="00F57DE5" w:rsidP="002C35D6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C35D6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6. §</w:t>
      </w:r>
      <w:r>
        <w:rPr>
          <w:b/>
          <w:sz w:val="22"/>
          <w:szCs w:val="22"/>
          <w:rFonts w:ascii="Calibri" w:hAnsi="Calibri"/>
        </w:rPr>
        <w:t xml:space="preserve"> 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Megkülönböztetésmentesség</w:t>
      </w:r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2C35D6" w:rsidP="002C35D6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(1)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 médiaplatformok szolgáltatói az MStV 82. §-a (2) bekezdésének hatálya alá tartozó szolgáltatásokat objektíven alátámasztott ok nélkül nem kezelhetik más hasonló szolgáltatásoktól eltérően.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Ez különösen akkor áll fenn, ha egy médiaplatform szolgáltatója egy, az MStV 82. §-a (2) bekezdése szerinti szolgáltatáshoz más hozzáférési feltételek mellett kínál hozzáférési lehetőséget, mint egy, a médiaplatform szolgáltatójához tartozónak tekinthető társaság számára, kivéve, ha ezt objektíven alátámasztott okkal teszi.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3</w:t>
      </w:r>
      <w:r>
        <w:rPr>
          <w:sz w:val="22"/>
          <w:szCs w:val="22"/>
          <w:rFonts w:asciiTheme="minorHAnsi" w:hAnsiTheme="minorHAnsi"/>
        </w:rPr>
        <w:t xml:space="preserve">Egy társaság akkor tekinthető a médiaplatform szolgáltatójához tartozónak, ha a szolgáltató részesedés útján vagy bármilyen más módon közvetlenül vagy közvetve kapcsolódik hozzá.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Az MStV 62. §-a értelemszerűen alkalmazandó.</w:t>
      </w:r>
    </w:p>
    <w:p w:rsidR="00F57DE5" w:rsidRPr="00077B73" w:rsidRDefault="00F57DE5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2C35D6" w:rsidP="002C35D6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(2) Az egyenlőtlen bánásmód objektíven alátámasztott okának már a vélemények sokszínűségére irányuló alapvető célkitűzés előtt fenn kell állnia.</w:t>
      </w:r>
    </w:p>
    <w:p w:rsidR="00C5646E" w:rsidRPr="00077B73" w:rsidRDefault="00C5646E" w:rsidP="002C35D6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C35D6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7. §</w:t>
      </w:r>
      <w:r>
        <w:rPr>
          <w:b/>
          <w:sz w:val="22"/>
          <w:szCs w:val="22"/>
          <w:rFonts w:ascii="Calibri" w:hAnsi="Calibri"/>
        </w:rPr>
        <w:t xml:space="preserve"> 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Hozzáférési jogosultsági rendszerek</w:t>
      </w:r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2C35D6" w:rsidP="00077B73">
      <w:pPr>
        <w:keepNext/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(1) A hozzáférési jogosultsági rendszer</w:t>
      </w:r>
      <w:r>
        <w:rPr>
          <w:sz w:val="22"/>
          <w:szCs w:val="22"/>
          <w:rFonts w:asciiTheme="minorHAnsi" w:hAnsiTheme="minorHAnsi"/>
        </w:rPr>
        <w:t xml:space="preserve"> </w:t>
      </w:r>
    </w:p>
    <w:p w:rsidR="00F57DE5" w:rsidRPr="00077B73" w:rsidRDefault="00F57DE5" w:rsidP="002417C5">
      <w:pPr>
        <w:numPr>
          <w:ilvl w:val="0"/>
          <w:numId w:val="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bármely olyan technikai intézkedés,</w:t>
      </w:r>
      <w:r>
        <w:rPr>
          <w:sz w:val="22"/>
          <w:szCs w:val="22"/>
          <w:rFonts w:ascii="Calibri" w:hAnsi="Calibri"/>
        </w:rPr>
        <w:t xml:space="preserve"> </w:t>
      </w:r>
    </w:p>
    <w:p w:rsidR="00F57DE5" w:rsidRPr="00077B73" w:rsidRDefault="00F57DE5" w:rsidP="002417C5">
      <w:pPr>
        <w:numPr>
          <w:ilvl w:val="0"/>
          <w:numId w:val="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bármely hitelesítési rendszer és/vagy</w:t>
      </w:r>
      <w:r>
        <w:rPr>
          <w:sz w:val="22"/>
          <w:szCs w:val="22"/>
          <w:rFonts w:ascii="Calibri" w:hAnsi="Calibri"/>
        </w:rPr>
        <w:t xml:space="preserve"> </w:t>
      </w:r>
    </w:p>
    <w:p w:rsidR="00F57DE5" w:rsidRPr="00077B73" w:rsidRDefault="00F57DE5" w:rsidP="002417C5">
      <w:pPr>
        <w:numPr>
          <w:ilvl w:val="0"/>
          <w:numId w:val="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bármely olyan berendezés,</w:t>
      </w:r>
      <w:r>
        <w:rPr>
          <w:sz w:val="22"/>
          <w:szCs w:val="22"/>
          <w:rFonts w:ascii="Calibri" w:hAnsi="Calibri"/>
        </w:rPr>
        <w:t xml:space="preserve"> </w:t>
      </w:r>
    </w:p>
    <w:p w:rsidR="00F57DE5" w:rsidRPr="00077B73" w:rsidRDefault="00F57DE5" w:rsidP="002C35D6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amely egy védett rádió- vagy televíziós szolgáltatáshoz való, feloldott titkosítású hozzáférést előfizetéstől vagy más, előzetesen adott egyedi engedélytől teszi függővé.</w:t>
      </w:r>
    </w:p>
    <w:p w:rsidR="00F57DE5" w:rsidRPr="00077B73" w:rsidRDefault="00F57DE5" w:rsidP="00F57DE5">
      <w:pPr>
        <w:spacing w:after="160" w:line="259" w:lineRule="auto"/>
        <w:ind w:left="37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2C35D6" w:rsidP="002C35D6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(2) Az MStV 82. §-a (2) bekezdésének 1. pontja szerinti hozzáférési jogosultsági rendszerek esetében a rendszerek használatához szükséges technikai szolgáltatások igénybevételét és az ehhez szükséges információkat minden jogosult számára egyenlő esélyekkel, méltányos és megkülönböztetésmentes feltételek mellett kell biztosítani.</w:t>
      </w:r>
    </w:p>
    <w:p w:rsidR="00F57DE5" w:rsidRPr="00077B73" w:rsidRDefault="00F57DE5" w:rsidP="002C35D6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C35D6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8. §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Hozzáférési feltételek</w:t>
      </w:r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2C35D6" w:rsidP="002C35D6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(1) A hozzáférési feltételek MStV 82. §-a (2) bekezdésének 4. pontja és 83. §-ának (2) bekezdése szerinti kialakítása különösen annak a módszernek a kidolgozását jelenti, ahogyan egy médiaplatform-szolgáltató pénzügyi és technikai előírásokon keresztül meghatározza az MStV 82. §-ának (2) bekezdése szerinti szolgáltatáshoz való hozzáférést.</w:t>
      </w:r>
    </w:p>
    <w:p w:rsidR="00F57DE5" w:rsidRPr="00077B73" w:rsidRDefault="00F57DE5" w:rsidP="002C35D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2C35D6" w:rsidP="00077B73">
      <w:pPr>
        <w:keepNext/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(2) Ha egy műsorszolgáltató hozzáférést igényel egy médiaplatformhoz, a megkülönböztetésmentesség és az esélyegyenlőség vizsgálatának ki kell terjednie minden olyan pénzbeli teljesítésre, amelyet a hozzáféréssel közvetlen vagy közvetett objektív összefüggésben kicserélnek vagy ki kell cserélni.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Ide tartoznak különösen a következők:</w:t>
      </w:r>
    </w:p>
    <w:p w:rsidR="00F57DE5" w:rsidRPr="00077B73" w:rsidRDefault="00F57DE5" w:rsidP="002417C5">
      <w:pPr>
        <w:numPr>
          <w:ilvl w:val="0"/>
          <w:numId w:val="5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azon díjak és tarifák, amelyeket a médiaplatform-szolgáltató a hozzáférést igénylő műsorszolgáltatóktól beszed vagy be kíván szedni,</w:t>
      </w:r>
    </w:p>
    <w:p w:rsidR="00F57DE5" w:rsidRPr="00077B73" w:rsidRDefault="00F57DE5" w:rsidP="002417C5">
      <w:pPr>
        <w:numPr>
          <w:ilvl w:val="0"/>
          <w:numId w:val="5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azon térítések, amelyeket a médiaplatform-szolgáltató a jel átengedése nyomán a műsorszolgáltató részére megfizet vagy meg kell fizetnie, ideértve a HD-CPS modellekben megvalósuló visszatérítést is.</w:t>
      </w:r>
    </w:p>
    <w:p w:rsidR="00F57DE5" w:rsidRPr="00077B73" w:rsidRDefault="00F57DE5" w:rsidP="00F57DE5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1B0E42" w:rsidP="002C35D6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bookmarkStart w:id="3" w:name="_Hlk46133246"/>
      <w:r>
        <w:rPr>
          <w:sz w:val="22"/>
          <w:szCs w:val="22"/>
          <w:rFonts w:asciiTheme="minorHAnsi" w:hAnsiTheme="minorHAnsi"/>
        </w:rPr>
        <w:t xml:space="preserve">(3) Amennyiben az a hozzáférési helyzet értékeléséhez szükséges, az előírt általános értékelés során figyelembe vehetők a médiaplatform-szolgáltató által a műsorszolgáltatóval kötött vagy kötendő, szerzői jogok vagy védjegyek megszerzésével vagy megtérítésével kapcsolatos megállapodások is.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Az UrhG, az UrhWahrG és a GWB előírásait, valamint a kapcsolódó illetékességeket mindez nem érinti.</w:t>
      </w:r>
      <w:bookmarkEnd w:id="3"/>
    </w:p>
    <w:p w:rsidR="00F57DE5" w:rsidRPr="00077B73" w:rsidRDefault="00F57DE5" w:rsidP="002C35D6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C35D6" w:rsidRPr="00077B73" w:rsidRDefault="002C35D6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9. §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Közzététel</w:t>
      </w:r>
    </w:p>
    <w:p w:rsidR="002C35D6" w:rsidRPr="00077B73" w:rsidRDefault="002C35D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CC7F6D" w:rsidRPr="00077B73" w:rsidRDefault="00CC7F6D" w:rsidP="00077B73">
      <w:pPr>
        <w:keepNext/>
        <w:spacing w:after="200" w:line="276" w:lineRule="auto"/>
        <w:contextualSpacing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(1) A médiaplatform-szolgáltatók kötelesek</w:t>
      </w:r>
      <w:r>
        <w:rPr>
          <w:sz w:val="22"/>
          <w:szCs w:val="22"/>
          <w:rFonts w:asciiTheme="minorHAnsi" w:hAnsiTheme="minorHAnsi"/>
        </w:rPr>
        <w:t xml:space="preserve"> </w:t>
      </w:r>
    </w:p>
    <w:p w:rsidR="00CC7F6D" w:rsidRPr="00077B73" w:rsidRDefault="00CC7F6D" w:rsidP="002417C5">
      <w:pPr>
        <w:numPr>
          <w:ilvl w:val="0"/>
          <w:numId w:val="10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az MStV 78. §-ában meghatározott szabályozási küszöbértékek túllépése esetén az MStV 82. §-ának (2) bekezdése és a 8. §-a szerinti hozzáférési feltételeket</w:t>
      </w:r>
      <w:r>
        <w:rPr>
          <w:sz w:val="22"/>
          <w:szCs w:val="22"/>
          <w:rFonts w:ascii="Calibri" w:hAnsi="Calibri"/>
        </w:rPr>
        <w:t xml:space="preserve"> </w:t>
      </w:r>
    </w:p>
    <w:p w:rsidR="00CC7F6D" w:rsidRPr="00077B73" w:rsidRDefault="00CC7F6D" w:rsidP="002417C5">
      <w:pPr>
        <w:numPr>
          <w:ilvl w:val="0"/>
          <w:numId w:val="10"/>
        </w:numPr>
        <w:spacing w:after="200" w:line="276" w:lineRule="auto"/>
        <w:contextualSpacing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az MStV 81. §-a (2) bekezdésének 2. mondata esetében a televízió- vagy rádióműsorok digitális terjesztéséhez rendelkezésre álló teljes kapacitásra vonatkozó adatokat</w:t>
      </w:r>
    </w:p>
    <w:p w:rsidR="00CC7F6D" w:rsidRPr="00077B73" w:rsidRDefault="00CC7F6D" w:rsidP="00CC7F6D">
      <w:pPr>
        <w:spacing w:after="200" w:line="276" w:lineRule="auto"/>
        <w:ind w:left="360"/>
        <w:contextualSpacing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kérésre közölni az illetékes tartományi médiahatósággal.</w:t>
      </w:r>
    </w:p>
    <w:p w:rsidR="00CC7F6D" w:rsidRPr="00077B73" w:rsidRDefault="00CC7F6D" w:rsidP="00CC7F6D">
      <w:p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C7F6D" w:rsidRPr="00077B73" w:rsidRDefault="00CC7F6D" w:rsidP="00CC7F6D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(2) A közzétételnek megfelelő dokumentumok benyújtásával kell történnie.</w:t>
      </w:r>
    </w:p>
    <w:p w:rsidR="00CC7F6D" w:rsidRPr="00077B73" w:rsidRDefault="00CC7F6D" w:rsidP="00CC7F6D">
      <w:p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C7F6D" w:rsidRPr="00077B73" w:rsidRDefault="00CC7F6D" w:rsidP="00077B73">
      <w:pPr>
        <w:keepNext/>
        <w:spacing w:after="200" w:line="276" w:lineRule="auto"/>
        <w:contextualSpacing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(3) A közzétételnek különösen a következőkre vonatkozóan kell információkat tartalmaznia:</w:t>
      </w:r>
    </w:p>
    <w:p w:rsidR="00CC7F6D" w:rsidRPr="00077B73" w:rsidRDefault="00CC7F6D" w:rsidP="00077B73">
      <w:pPr>
        <w:keepNext/>
        <w:spacing w:after="200" w:line="276" w:lineRule="auto"/>
        <w:contextualSpacing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Az (1) bekezdés 1. pontja szerinti esetben:</w:t>
      </w:r>
    </w:p>
    <w:p w:rsidR="00CC7F6D" w:rsidRPr="00077B73" w:rsidRDefault="00CC7F6D" w:rsidP="002417C5">
      <w:pPr>
        <w:numPr>
          <w:ilvl w:val="0"/>
          <w:numId w:val="11"/>
        </w:numPr>
        <w:spacing w:after="200" w:line="276" w:lineRule="auto"/>
        <w:contextualSpacing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minden olyan műszaki paraméter és műszaki keretfeltétel, amelynek ismerete az MStV 82. §-a (2) bekezdésének 1. és 2. pontja szerinti hozzáférés értékeléséhez szükséges,</w:t>
      </w:r>
    </w:p>
    <w:p w:rsidR="00CC7F6D" w:rsidRPr="00077B73" w:rsidRDefault="00CC7F6D" w:rsidP="002417C5">
      <w:pPr>
        <w:numPr>
          <w:ilvl w:val="0"/>
          <w:numId w:val="11"/>
        </w:numPr>
        <w:spacing w:after="200" w:line="276" w:lineRule="auto"/>
        <w:contextualSpacing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a médiaplatform-szolgáltatók által felszámított díjak és tarifák, a számításuk alapját képező adatokkal és gazdasági feltételezésekkel együtt,</w:t>
      </w:r>
    </w:p>
    <w:p w:rsidR="00CC7F6D" w:rsidRPr="00077B73" w:rsidRDefault="00CC7F6D" w:rsidP="002417C5">
      <w:pPr>
        <w:numPr>
          <w:ilvl w:val="0"/>
          <w:numId w:val="11"/>
        </w:numPr>
        <w:spacing w:after="200" w:line="276" w:lineRule="auto"/>
        <w:contextualSpacing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az alkalmazott térítési rendszer leírása.</w:t>
      </w:r>
    </w:p>
    <w:p w:rsidR="00CC7F6D" w:rsidRPr="00077B73" w:rsidRDefault="00CC7F6D" w:rsidP="00077B73">
      <w:pPr>
        <w:keepNext/>
        <w:spacing w:after="200" w:line="276" w:lineRule="auto"/>
        <w:contextualSpacing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Az (1) bekezdése 2. pontja szerinti esetben:</w:t>
      </w:r>
      <w:r>
        <w:rPr>
          <w:sz w:val="22"/>
          <w:szCs w:val="22"/>
          <w:rFonts w:asciiTheme="minorHAnsi" w:hAnsiTheme="minorHAnsi"/>
        </w:rPr>
        <w:t xml:space="preserve"> </w:t>
      </w:r>
    </w:p>
    <w:p w:rsidR="00CC7F6D" w:rsidRPr="00077B73" w:rsidRDefault="00CC7F6D" w:rsidP="002417C5">
      <w:pPr>
        <w:numPr>
          <w:ilvl w:val="0"/>
          <w:numId w:val="12"/>
        </w:numPr>
        <w:spacing w:after="200" w:line="276" w:lineRule="auto"/>
        <w:contextualSpacing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azzal kapcsolatos információk, hogy milyen lehetőségekkel biztosítják a kapacitások hatékony kihasználását;</w:t>
      </w:r>
    </w:p>
    <w:p w:rsidR="00CC7F6D" w:rsidRPr="00077B73" w:rsidRDefault="00CC7F6D" w:rsidP="002417C5">
      <w:pPr>
        <w:numPr>
          <w:ilvl w:val="0"/>
          <w:numId w:val="12"/>
        </w:numPr>
        <w:spacing w:after="200" w:line="276" w:lineRule="auto"/>
        <w:contextualSpacing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hogy terjesztenek-e különböző terjesztési szabványokban készült programokat, és ha igen, melyek ezek a szabványok.</w:t>
      </w:r>
    </w:p>
    <w:p w:rsidR="00CC7F6D" w:rsidRPr="00077B73" w:rsidRDefault="00CC7F6D" w:rsidP="00CC7F6D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F57DE5" w:rsidRPr="00077B73" w:rsidRDefault="00C5646E" w:rsidP="00077B73">
      <w:pPr>
        <w:keepNext/>
        <w:spacing w:after="160" w:line="259" w:lineRule="auto"/>
        <w:contextualSpacing/>
        <w:jc w:val="center"/>
        <w:rPr>
          <w:b/>
          <w:sz w:val="22"/>
          <w:szCs w:val="22"/>
          <w:rFonts w:asciiTheme="minorHAnsi" w:eastAsia="Calibri" w:hAnsiTheme="minorHAnsi" w:cstheme="minorHAnsi"/>
        </w:rPr>
      </w:pPr>
      <w:r>
        <w:rPr>
          <w:b/>
          <w:sz w:val="22"/>
          <w:szCs w:val="22"/>
          <w:bCs/>
          <w:rFonts w:asciiTheme="minorHAnsi" w:hAnsiTheme="minorHAnsi"/>
        </w:rPr>
        <w:t xml:space="preserve">4. szakasz:</w:t>
      </w:r>
      <w:r>
        <w:rPr>
          <w:b/>
          <w:sz w:val="22"/>
          <w:szCs w:val="22"/>
          <w:rFonts w:asciiTheme="minorHAnsi" w:hAnsiTheme="minorHAnsi"/>
        </w:rPr>
        <w:t xml:space="preserve"> </w:t>
      </w:r>
      <w:r>
        <w:rPr>
          <w:b/>
          <w:sz w:val="22"/>
          <w:szCs w:val="22"/>
          <w:rFonts w:asciiTheme="minorHAnsi" w:hAnsiTheme="minorHAnsi"/>
        </w:rPr>
        <w:t xml:space="preserve">A felhasználói felületekre vonatkozó előírások</w:t>
      </w:r>
    </w:p>
    <w:p w:rsidR="00F57DE5" w:rsidRPr="00077B73" w:rsidRDefault="00F57DE5" w:rsidP="00077B73">
      <w:pPr>
        <w:keepNext/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74EC8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bookmarkStart w:id="4" w:name="_Hlk46133330"/>
      <w:r>
        <w:rPr>
          <w:b/>
          <w:sz w:val="22"/>
          <w:szCs w:val="22"/>
          <w:rFonts w:ascii="Calibri" w:hAnsi="Calibri"/>
        </w:rPr>
        <w:t xml:space="preserve">10. §</w:t>
      </w:r>
      <w:r>
        <w:rPr>
          <w:b/>
          <w:sz w:val="22"/>
          <w:szCs w:val="22"/>
          <w:rFonts w:ascii="Calibri" w:hAnsi="Calibri"/>
        </w:rPr>
        <w:t xml:space="preserve"> 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Kereshetőség a felhasználói felületeken</w:t>
      </w:r>
      <w:bookmarkEnd w:id="4"/>
    </w:p>
    <w:p w:rsidR="00074EC8" w:rsidRPr="00077B73" w:rsidRDefault="00074EC8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F55623" w:rsidP="00F55623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bookmarkStart w:id="5" w:name="_Hlk46133556"/>
      <w:r>
        <w:rPr>
          <w:sz w:val="22"/>
          <w:szCs w:val="22"/>
          <w:rFonts w:asciiTheme="minorHAnsi" w:hAnsiTheme="minorHAnsi"/>
        </w:rPr>
        <w:t xml:space="preserve">(1)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 szolgáltatások és tartalmak felhasználói felületeken való kereshetősége szempontjából a szolgáltatások és tartalmak rendezési módja, elrendezése és bemutatása, valamint más, a kereshetőséget szolgáló szöveges, vizuális és akusztikus ábrázolási formák mérvadóak.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 szolgáltatások egyedileg sugárzott műsorok, rádiószerű telemédia, az MStV 19. §-ának (1) bekezdése szerinti telemédia, valamint a lényegében a fenti szolgáltatások közvetlen vezérlésére szolgáló szoftveralapú alkalmazások, azok teljességében. </w:t>
      </w:r>
      <w:r>
        <w:rPr>
          <w:sz w:val="22"/>
          <w:szCs w:val="22"/>
          <w:vertAlign w:val="superscript"/>
          <w:rFonts w:asciiTheme="minorHAnsi" w:hAnsiTheme="minorHAnsi"/>
        </w:rPr>
        <w:t xml:space="preserve">3</w:t>
      </w:r>
      <w:r>
        <w:rPr>
          <w:sz w:val="22"/>
          <w:szCs w:val="22"/>
          <w:rFonts w:asciiTheme="minorHAnsi" w:hAnsiTheme="minorHAnsi"/>
        </w:rPr>
        <w:t xml:space="preserve">A tartalmak a szolgáltatások elhatárolható és mindenekelőtt külön megnevezett vagy érzékelt részei, például az adások.</w:t>
      </w:r>
    </w:p>
    <w:p w:rsidR="00F57DE5" w:rsidRPr="00077B73" w:rsidRDefault="00F57DE5" w:rsidP="00F55623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F55623" w:rsidP="00F55623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(2) A felhasználói felületek kereshetősége és kezelése tekintetében az alábbi előírásokban egy különleges műszaki ismeretekkel nem rendelkező átlagos felhasználó általi megértés mérvadó.</w:t>
      </w:r>
      <w:bookmarkEnd w:id="5"/>
    </w:p>
    <w:p w:rsidR="00F57DE5" w:rsidRPr="00077B73" w:rsidRDefault="00F57DE5" w:rsidP="00F55623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F55623" w:rsidP="00077B73">
      <w:pPr>
        <w:keepNext/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(3)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 hasonló szolgáltatásoknak és tartalmaknak egyenlő esélyekkel és megkülönböztetésmentesen kell kereshetőnek lennie.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 megkülönböztetés csak akkor megengedett, ha azt olyan ellenőrizhető objektív ok indokolja, amely nem ellentétes a sokszínűség biztosításának céljával.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3</w:t>
      </w:r>
      <w:r>
        <w:rPr>
          <w:sz w:val="22"/>
          <w:szCs w:val="22"/>
          <w:rFonts w:asciiTheme="minorHAnsi" w:hAnsiTheme="minorHAnsi"/>
        </w:rPr>
        <w:t xml:space="preserve">A szolgáltatások és tartalmak rendezési módjának és elrendezésének megengedett kritériumai különösen a következők:</w:t>
      </w:r>
    </w:p>
    <w:p w:rsidR="00F57DE5" w:rsidRPr="00077B73" w:rsidRDefault="00F57DE5" w:rsidP="002417C5">
      <w:pPr>
        <w:numPr>
          <w:ilvl w:val="0"/>
          <w:numId w:val="6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betűrend,</w:t>
      </w:r>
    </w:p>
    <w:p w:rsidR="00F57DE5" w:rsidRPr="00077B73" w:rsidRDefault="00F57DE5" w:rsidP="002417C5">
      <w:pPr>
        <w:numPr>
          <w:ilvl w:val="0"/>
          <w:numId w:val="6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műfajok, például tájékoztatás, oktatás, kultúra, regionális vagy szórakoztató vagy</w:t>
      </w:r>
    </w:p>
    <w:p w:rsidR="00F57DE5" w:rsidRPr="00077B73" w:rsidRDefault="00F57DE5" w:rsidP="002417C5">
      <w:pPr>
        <w:numPr>
          <w:ilvl w:val="0"/>
          <w:numId w:val="6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felhasználói lefedettség.</w:t>
      </w:r>
    </w:p>
    <w:p w:rsidR="002643CD" w:rsidRPr="00077B73" w:rsidRDefault="00C74DCA" w:rsidP="00077B73">
      <w:pPr>
        <w:keepNext/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vertAlign w:val="superscript"/>
          <w:rFonts w:asciiTheme="minorHAnsi" w:hAnsiTheme="minorHAnsi"/>
        </w:rPr>
        <w:t xml:space="preserve">4</w:t>
      </w:r>
      <w:r>
        <w:rPr>
          <w:sz w:val="22"/>
          <w:szCs w:val="22"/>
          <w:rFonts w:asciiTheme="minorHAnsi" w:hAnsiTheme="minorHAnsi"/>
        </w:rPr>
        <w:t xml:space="preserve">A kritériumok módosításának lehetősége továbbra is fennáll.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5.</w:t>
      </w:r>
      <w:r>
        <w:rPr>
          <w:sz w:val="22"/>
          <w:szCs w:val="22"/>
          <w:rFonts w:asciiTheme="minorHAnsi" w:hAnsiTheme="minorHAnsi"/>
        </w:rPr>
        <w:t xml:space="preserve">Megkülönböztetés különösen akkor áll fenn, ha a felhasználói felület szolgáltatója eltér saját megengedett kritériumaitól.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6.</w:t>
      </w:r>
      <w:r>
        <w:rPr>
          <w:sz w:val="22"/>
          <w:szCs w:val="22"/>
          <w:rFonts w:asciiTheme="minorHAnsi" w:hAnsiTheme="minorHAnsi"/>
        </w:rPr>
        <w:t xml:space="preserve">A szolgáltatónak szavatolnia kell a tartományi médiahatóságok felé a kritériumok ellenőrizhetőségét és betartását, és különösen részletesen ismertetnie kell, hogy mely kritériumokat alkalmazza és mely információkat veszi alapul.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7.</w:t>
      </w:r>
      <w:r>
        <w:rPr>
          <w:sz w:val="22"/>
          <w:szCs w:val="22"/>
          <w:rFonts w:asciiTheme="minorHAnsi" w:hAnsiTheme="minorHAnsi"/>
        </w:rPr>
        <w:t xml:space="preserve">Általában nem megengedett</w:t>
      </w:r>
      <w:r>
        <w:rPr>
          <w:sz w:val="22"/>
          <w:szCs w:val="22"/>
          <w:rFonts w:asciiTheme="minorHAnsi" w:hAnsiTheme="minorHAnsi"/>
        </w:rPr>
        <w:t xml:space="preserve"> </w:t>
      </w:r>
    </w:p>
    <w:p w:rsidR="002643CD" w:rsidRPr="00077B73" w:rsidRDefault="002643CD" w:rsidP="002417C5">
      <w:pPr>
        <w:numPr>
          <w:ilvl w:val="0"/>
          <w:numId w:val="13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az olyan rendezési mód vagy elrendezés, amelyet díjazás vagy hasonló ellenszolgáltatás befolyásol, vagy</w:t>
      </w:r>
    </w:p>
    <w:p w:rsidR="00F57DE5" w:rsidRPr="00077B73" w:rsidRDefault="002643CD" w:rsidP="002417C5">
      <w:pPr>
        <w:numPr>
          <w:ilvl w:val="0"/>
          <w:numId w:val="13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 felhasználói felület szolgáltatója által biztosított saját szolgáltatások és tartalmak előnyben részesítése, kivéve, ha a használat díjfizetés ellenében történik.</w:t>
      </w:r>
      <w:r>
        <w:rPr>
          <w:sz w:val="22"/>
          <w:szCs w:val="22"/>
          <w:rFonts w:ascii="Calibri" w:hAnsi="Calibri"/>
        </w:rPr>
        <w:t xml:space="preserve"> </w:t>
      </w:r>
      <w:bookmarkStart w:id="6" w:name="_Hlk46133683"/>
    </w:p>
    <w:p w:rsidR="00F57DE5" w:rsidRPr="00077B73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74DCA" w:rsidP="00C74DCA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(4)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 felhasználói felületeknek lehetőséget kell biztosítaniuk arra, hogy az összes szolgáltatásban keresést végezhessenek adott szolgáltatásokra (keresési funkció).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 keresési eredménynek, beleértve a keresési folyamat során megjelenő keresési javaslatokat is (pl. automatikus kiegészítési funkció), megkülönböztetésmentesnek kell lennie. </w:t>
      </w:r>
      <w:r>
        <w:rPr>
          <w:sz w:val="22"/>
          <w:szCs w:val="22"/>
          <w:vertAlign w:val="superscript"/>
          <w:rFonts w:asciiTheme="minorHAnsi" w:hAnsiTheme="minorHAnsi"/>
        </w:rPr>
        <w:t xml:space="preserve">3</w:t>
      </w:r>
      <w:r>
        <w:rPr>
          <w:sz w:val="22"/>
          <w:szCs w:val="22"/>
          <w:rFonts w:asciiTheme="minorHAnsi" w:hAnsiTheme="minorHAnsi"/>
        </w:rPr>
        <w:t xml:space="preserve">Ezenkívül a felhasználói felület lehetőséget kínálhat tartalmak keresésére is; a (3) bekezdés 1. mondata értelemszerűen alkalmazandó.</w:t>
      </w:r>
      <w:bookmarkStart w:id="7" w:name="_Hlk46133701"/>
      <w:bookmarkEnd w:id="6"/>
    </w:p>
    <w:p w:rsidR="00F57DE5" w:rsidRPr="00077B73" w:rsidRDefault="00F57DE5" w:rsidP="00C74DC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60422A" w:rsidP="00C74DCA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(5)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 felhasználói felületeken az ajánlatok könnyen kereshetők, ha egyszerűen és gyorsan megtalálhatók, mert például a lista elején vagy kiemelve jelennek meg, például saját gombbal.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Hogy adott esetben hogyan biztosítható a könnyű kereshetőség, a felhasználói felület jellegétől, tartalmától és kialakításától, valamint a szolgáltatások és tartalmak konkrét megjelenítésétől vagy más bemutatási módjától függ. </w:t>
      </w:r>
      <w:r>
        <w:rPr>
          <w:sz w:val="22"/>
          <w:szCs w:val="22"/>
          <w:vertAlign w:val="superscript"/>
          <w:rFonts w:asciiTheme="minorHAnsi" w:hAnsiTheme="minorHAnsi"/>
        </w:rPr>
        <w:t xml:space="preserve">3</w:t>
      </w:r>
      <w:r>
        <w:rPr>
          <w:sz w:val="22"/>
          <w:szCs w:val="22"/>
          <w:rFonts w:asciiTheme="minorHAnsi" w:hAnsiTheme="minorHAnsi"/>
        </w:rPr>
        <w:t xml:space="preserve">A megfelelő szolgáltatások könnyű kereshetőségének általában szükséges, de nem elégséges feltétele, hogy a többi szolgáltatás is ugyanolyan egyszerűen és gyorsan megtalálható legyen.</w:t>
      </w:r>
      <w:bookmarkEnd w:id="7"/>
    </w:p>
    <w:p w:rsidR="00F57DE5" w:rsidRPr="00077B73" w:rsidRDefault="00F57DE5" w:rsidP="00F57DE5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74DCA" w:rsidP="00077B73">
      <w:pPr>
        <w:keepNext/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bookmarkStart w:id="8" w:name="_Hlk46133741"/>
      <w:r>
        <w:rPr>
          <w:sz w:val="22"/>
          <w:szCs w:val="22"/>
          <w:rFonts w:asciiTheme="minorHAnsi" w:hAnsiTheme="minorHAnsi"/>
        </w:rPr>
        <w:t xml:space="preserve">(6)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Az alábbiaknak könnyen kereshetőnek kell lenniük a felhasználói felületeken:</w:t>
      </w:r>
    </w:p>
    <w:p w:rsidR="00F57DE5" w:rsidRPr="00077B73" w:rsidRDefault="00F57DE5" w:rsidP="002417C5">
      <w:pPr>
        <w:numPr>
          <w:ilvl w:val="0"/>
          <w:numId w:val="7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 műsorszolgáltatás első kiválasztási szintje teljes egészében, ha ezen a szinten nem csak sugárzott műsorok választhatók ki,</w:t>
      </w:r>
    </w:p>
    <w:p w:rsidR="00F57DE5" w:rsidRPr="00077B73" w:rsidRDefault="00F57DE5" w:rsidP="002417C5">
      <w:pPr>
        <w:numPr>
          <w:ilvl w:val="0"/>
          <w:numId w:val="7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 műsorszolgáltatáson belül a törvény által meghatározott, adókból finanszírozott műsorok, a műsorablakoknak (MStV 59. § (4) bekezdés) helyet biztosító sugárzott műsorok, valamint az olyan magánműsorok, amelyek különösen hozzájárulnak a vélemények és ajánlatok sokszínűségéhez a szövetségi állam területén, és</w:t>
      </w:r>
    </w:p>
    <w:p w:rsidR="00F57DE5" w:rsidRPr="00077B73" w:rsidRDefault="00F57DE5" w:rsidP="002417C5">
      <w:pPr>
        <w:numPr>
          <w:ilvl w:val="0"/>
          <w:numId w:val="7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azokon a kiválasztási szinteken, amelyek csak vagy túlnyomórészt rádiószerű telemédiát vagy az azok közvetlen vezérlésére szolgáló szoftveralapú alkalmazásokat mutatnak be, az MStV 84. §-ának (4) bekezdése szerinti telemédia-szolgáltatások és szoftveralapú alkalmazások.</w:t>
      </w:r>
      <w:bookmarkEnd w:id="8"/>
    </w:p>
    <w:p w:rsidR="00F57DE5" w:rsidRPr="00077B73" w:rsidRDefault="0060422A" w:rsidP="0060422A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 műsorszolgáltatásnak az első kiválasztási szinten teljes egészében elérhetőnek kell lennie, jelentős közbenső lépések nélkül, általában egyetlen művelettel.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3</w:t>
      </w:r>
      <w:r>
        <w:rPr>
          <w:sz w:val="22"/>
          <w:szCs w:val="22"/>
          <w:rFonts w:asciiTheme="minorHAnsi" w:hAnsiTheme="minorHAnsi"/>
        </w:rPr>
        <w:t xml:space="preserve">Ha olyan műsorokat jelenítenek meg vagy sugároznak akusztikusan, amelyekben műsorablakoknak kell helyet biztosítani (59. § (4) bekezdés), akkor azon a területen, amelyre a műsorablakok engedélyezve vannak vagy törvényileg elő vannak írva, a műsorablakot tartalmazó főműsorokat elsőbbségi módon kell bemutatni a műsorablak nélkül sugárzott főprogramokkal és a más területekre engedélyezett vagy törvényileg előírt műsorablakokkal szemben.</w:t>
      </w:r>
    </w:p>
    <w:p w:rsidR="0060422A" w:rsidRPr="00077B73" w:rsidRDefault="0060422A" w:rsidP="0060422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483146" w:rsidP="00483146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bookmarkStart w:id="9" w:name="_Hlk46133783"/>
      <w:r>
        <w:rPr>
          <w:sz w:val="22"/>
          <w:szCs w:val="22"/>
          <w:rFonts w:asciiTheme="minorHAnsi" w:hAnsiTheme="minorHAnsi"/>
        </w:rPr>
        <w:t xml:space="preserve">(7)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Az alapértelmezett beállításoktól függetlenül a szolgáltatásokat és tartalmakat a felhasználónak könnyen és gyorsan kell tudnia sorba rendezni és elrendezni (pl. kedvencek listájával).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 szolgáltatások vagy tartalmak általában akkor rendezhetők sorba vagy rendezhetők el könnyen és gyorsan, ha ennek módja nyilvánvaló vagy érthető módon elmegmagyarázzák. </w:t>
      </w:r>
      <w:r>
        <w:rPr>
          <w:sz w:val="22"/>
          <w:szCs w:val="22"/>
          <w:vertAlign w:val="superscript"/>
          <w:rFonts w:asciiTheme="minorHAnsi" w:hAnsiTheme="minorHAnsi"/>
        </w:rPr>
        <w:t xml:space="preserve">3</w:t>
      </w:r>
      <w:r>
        <w:rPr>
          <w:sz w:val="22"/>
          <w:szCs w:val="22"/>
          <w:rFonts w:asciiTheme="minorHAnsi" w:hAnsiTheme="minorHAnsi"/>
        </w:rPr>
        <w:t xml:space="preserve">A felhasználó által megvalósított rendezési módot vagy elrendezést csak saját maga módosíthatja, és ez különösen nem történhet meg frissítések révén.</w:t>
      </w:r>
    </w:p>
    <w:p w:rsidR="00F57DE5" w:rsidRPr="00077B73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483146" w:rsidP="00483146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(8)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 (4)–(7) bekezdések nem alkalmazandók, ha a felhasználói felület szolgáltatója bizonyítja, hogy a megvalósítás technikailag nem vagy csak aránytalan mértékű erőfeszítéssel lehetséges.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Az aránytalan mértékű erőfeszítés meghatározása szempontjából átfogó mérlegelést kell végezni, amelyben különösen figyelembe kell venni a szolgáltató pénzügyi teljesítőképességét, a felhasználói felület egyéb, a kereshetőséget szolgáló funkcióiért tett erőfeszítéseket, valamint a megvalósítás elmaradása esetén elkövetett jogsértés jellegét és mértékét.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Az erőfeszítés csak súlyos aránytalanság esetén tekinthető aránytalan mértékűnek.</w:t>
      </w:r>
    </w:p>
    <w:bookmarkEnd w:id="9"/>
    <w:p w:rsidR="00165009" w:rsidRPr="00077B73" w:rsidRDefault="00165009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5646E" w:rsidP="00077B73">
      <w:pPr>
        <w:keepNext/>
        <w:spacing w:after="160" w:line="259" w:lineRule="auto"/>
        <w:contextualSpacing/>
        <w:jc w:val="center"/>
        <w:rPr>
          <w:b/>
          <w:bCs/>
          <w:sz w:val="22"/>
          <w:szCs w:val="22"/>
          <w:rFonts w:asciiTheme="minorHAnsi" w:eastAsia="Calibri" w:hAnsiTheme="minorHAnsi" w:cstheme="minorHAnsi"/>
        </w:rPr>
      </w:pPr>
      <w:r>
        <w:rPr>
          <w:b/>
          <w:bCs/>
          <w:sz w:val="22"/>
          <w:szCs w:val="22"/>
          <w:rFonts w:asciiTheme="minorHAnsi" w:hAnsiTheme="minorHAnsi"/>
        </w:rPr>
        <w:t xml:space="preserve">5. szakasz:</w:t>
      </w:r>
      <w:r>
        <w:rPr>
          <w:b/>
          <w:bCs/>
          <w:sz w:val="22"/>
          <w:szCs w:val="22"/>
          <w:rFonts w:asciiTheme="minorHAnsi" w:hAnsiTheme="minorHAnsi"/>
        </w:rPr>
        <w:t xml:space="preserve"> </w:t>
      </w:r>
      <w:r>
        <w:rPr>
          <w:b/>
          <w:bCs/>
          <w:sz w:val="22"/>
          <w:szCs w:val="22"/>
          <w:rFonts w:asciiTheme="minorHAnsi" w:hAnsiTheme="minorHAnsi"/>
        </w:rPr>
        <w:t xml:space="preserve">Átláthatósági követelmények</w:t>
      </w:r>
    </w:p>
    <w:p w:rsidR="00F57DE5" w:rsidRPr="00077B73" w:rsidRDefault="00F57DE5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483146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11. §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Átláthatóság</w:t>
      </w:r>
    </w:p>
    <w:p w:rsidR="00483146" w:rsidRPr="00077B73" w:rsidRDefault="0048314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CE1C3D" w:rsidP="00490C3B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(1)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 médiaplatformok és felhasználói felületek szolgáltatóinak átláthatóvá kell tenniük az MStV 85. §-a szerinti információkat.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Az információkat német nyelven kell megadni úgy, hogy azok a felhasználó számára könnyen észlelhetőek, közvetlenül hozzáférhetőek és folyamatosan elérhetőek legyenek.</w:t>
      </w:r>
    </w:p>
    <w:p w:rsidR="00F57DE5" w:rsidRPr="00077B73" w:rsidRDefault="00F57DE5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E1C3D" w:rsidP="00490C3B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(2) Az átláthatósági előírások megvalósításához kapcsolódó követelmények tekintetében egy különleges műszaki ismeretekkel nem rendelkező átlagos felhasználó általi megértés mérvadó.</w:t>
      </w:r>
    </w:p>
    <w:p w:rsidR="00F57DE5" w:rsidRPr="00077B73" w:rsidRDefault="00F57DE5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E1C3D" w:rsidP="00490C3B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bookmarkStart w:id="10" w:name="_Hlk46134451"/>
      <w:r>
        <w:rPr>
          <w:sz w:val="22"/>
          <w:szCs w:val="22"/>
          <w:rFonts w:asciiTheme="minorHAnsi" w:hAnsiTheme="minorHAnsi"/>
        </w:rPr>
        <w:t xml:space="preserve">(3)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Az információk akkor könnyen észlelhetők, ha a médiaplatform vagy a felhasználói felület igénybevétele során egyszerűen és gyorsan megtalálhatók, például azért, mert kiemelve jelennek meg vagy valamilyen félreérthetetlen kifejezés azonosítja őket.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 könnyű észlelhetőséget biztosító konkrét kialakítást a szolgáltatás jellegének, tartalmának és egyéb formajegyeinek megfelelően kell megvalósítani. </w:t>
      </w:r>
      <w:r>
        <w:rPr>
          <w:sz w:val="22"/>
          <w:szCs w:val="22"/>
          <w:vertAlign w:val="superscript"/>
          <w:rFonts w:asciiTheme="minorHAnsi" w:hAnsiTheme="minorHAnsi"/>
        </w:rPr>
        <w:t xml:space="preserve">3</w:t>
      </w:r>
      <w:r>
        <w:rPr>
          <w:sz w:val="22"/>
          <w:szCs w:val="22"/>
          <w:rFonts w:asciiTheme="minorHAnsi" w:hAnsiTheme="minorHAnsi"/>
        </w:rPr>
        <w:t xml:space="preserve">Ha a szolgáltatás igénybevétele túlnyomórészt hanggal vezérelt, akkor az információkat a felhasználó kérésére hanggal is vissza kell adni, melynek során elegendő annak hanggal történő jelzése is, hogy hol találhatók az információk.</w:t>
      </w:r>
    </w:p>
    <w:p w:rsidR="00F57DE5" w:rsidRPr="00077B73" w:rsidRDefault="00F57DE5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E1C3D" w:rsidP="00490C3B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bookmarkStart w:id="11" w:name="_Hlk46134475"/>
      <w:bookmarkEnd w:id="10"/>
      <w:r>
        <w:rPr>
          <w:sz w:val="22"/>
          <w:szCs w:val="22"/>
          <w:rFonts w:asciiTheme="minorHAnsi" w:hAnsiTheme="minorHAnsi"/>
        </w:rPr>
        <w:t xml:space="preserve">(4)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Az információk akkor közvetlenül hozzáférhetőek, ha oly módon bocsátják őket rendelkezésre, hogy a médiaplatformon vagy a felhasználói felületen jelentős közbenső lépések nélkül lehívhatók.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Ha a szolgáltatás igénybevétele az interneten keresztül valósul meg, akkor az hivatkozás útján is történhet.</w:t>
      </w:r>
    </w:p>
    <w:p w:rsidR="00F57DE5" w:rsidRPr="00077B73" w:rsidRDefault="00F57DE5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E1C3D" w:rsidP="00490C3B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(5) Az információk akkor folyamatosan elérhetőek, ha tartósan és időbeli korlátozás nélkül bocsátják őket rendelkezésre.</w:t>
      </w:r>
    </w:p>
    <w:p w:rsidR="00F33BCA" w:rsidRPr="00077B73" w:rsidRDefault="00F33BCA" w:rsidP="00490C3B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C5646E" w:rsidP="00077B73">
      <w:pPr>
        <w:keepNext/>
        <w:spacing w:after="160" w:line="259" w:lineRule="auto"/>
        <w:contextualSpacing/>
        <w:jc w:val="center"/>
        <w:rPr>
          <w:b/>
          <w:bCs/>
          <w:sz w:val="22"/>
          <w:szCs w:val="22"/>
          <w:rFonts w:asciiTheme="minorHAnsi" w:eastAsia="Calibri" w:hAnsiTheme="minorHAnsi" w:cstheme="minorHAnsi"/>
        </w:rPr>
      </w:pPr>
      <w:r>
        <w:rPr>
          <w:b/>
          <w:bCs/>
          <w:sz w:val="22"/>
          <w:szCs w:val="22"/>
          <w:rFonts w:asciiTheme="minorHAnsi" w:hAnsiTheme="minorHAnsi"/>
        </w:rPr>
        <w:t xml:space="preserve">6. szakasz:</w:t>
      </w:r>
      <w:r>
        <w:rPr>
          <w:b/>
          <w:bCs/>
          <w:sz w:val="22"/>
          <w:szCs w:val="22"/>
          <w:rFonts w:asciiTheme="minorHAnsi" w:hAnsiTheme="minorHAnsi"/>
        </w:rPr>
        <w:t xml:space="preserve"> </w:t>
      </w:r>
      <w:r>
        <w:rPr>
          <w:b/>
          <w:bCs/>
          <w:sz w:val="22"/>
          <w:szCs w:val="22"/>
          <w:rFonts w:asciiTheme="minorHAnsi" w:hAnsiTheme="minorHAnsi"/>
        </w:rPr>
        <w:t xml:space="preserve">Eljárási követelmények</w:t>
      </w:r>
    </w:p>
    <w:p w:rsidR="00F57DE5" w:rsidRPr="00077B73" w:rsidRDefault="00F57DE5" w:rsidP="00077B73">
      <w:pPr>
        <w:keepNext/>
        <w:spacing w:after="160" w:line="259" w:lineRule="auto"/>
        <w:ind w:left="360"/>
        <w:contextualSpacing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11"/>
    <w:p w:rsidR="00BF13E2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12. §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ZAK</w:t>
      </w:r>
    </w:p>
    <w:p w:rsidR="00BF13E2" w:rsidRPr="00077B73" w:rsidRDefault="00BF13E2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BF13E2" w:rsidP="00BF13E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(1)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Az e rendelet keretében elvégzendő feladatok vonatkozásában az eljáró szerv az illetékes tartományi médiahatóság engedélyezési és felügyeleti bizottsága (ZAK) (MStV 104. § (2) bekezdés 1. mondat 1. pont, 105. § 1. bekezdés 1. mondat 8. és 9. pont, a ZAK üzleti és eljárási szabályaival (GVO ZAK) együtt) </w:t>
      </w:r>
      <w:r>
        <w:rPr>
          <w:sz w:val="22"/>
          <w:szCs w:val="22"/>
          <w:rFonts w:asciiTheme="minorHAnsi" w:hAnsiTheme="minorHAnsi"/>
        </w:rPr>
        <w:br/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Az MStV 81. §-a (5) bekezdésének 3. mondata a 105. § (2) bekezdése 1. mondatának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2. részével együtt változatlanul érvényben van.</w:t>
      </w:r>
    </w:p>
    <w:p w:rsidR="00F57DE5" w:rsidRPr="00077B73" w:rsidRDefault="00F57DE5" w:rsidP="00BF13E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BF13E2" w:rsidP="00BF13E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(2)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Az illetékes tartományi médiahatóság a 2. § szerinti értesítéseket és a 14. § szerinti panaszokat a közös irodán keresztül haladéktalanul továbbítja a ZAK-nak, és hivatalból tájékoztatja azt a vizsgálatokról.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Az illetékes tartományi médiahatóság a döntéshozatali szakaszig viszi az eljárást.</w:t>
      </w:r>
      <w:r>
        <w:rPr>
          <w:sz w:val="22"/>
          <w:szCs w:val="22"/>
          <w:rFonts w:asciiTheme="minorHAnsi" w:hAnsiTheme="minorHAnsi"/>
        </w:rPr>
        <w:t xml:space="preserve"> </w:t>
      </w:r>
    </w:p>
    <w:p w:rsidR="00F702A0" w:rsidRPr="00077B73" w:rsidRDefault="00F702A0" w:rsidP="009F46B5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F46B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13. §</w:t>
      </w:r>
      <w:r>
        <w:rPr>
          <w:b/>
          <w:sz w:val="22"/>
          <w:szCs w:val="22"/>
          <w:rFonts w:ascii="Calibri" w:hAnsi="Calibri"/>
        </w:rPr>
        <w:t xml:space="preserve"> 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Eljárás</w:t>
      </w:r>
    </w:p>
    <w:p w:rsidR="009F46B5" w:rsidRPr="00077B73" w:rsidRDefault="009F46B5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(1) Az illetékes tartományi médiahatóság a ZAK-n keresztül egy felhatalmazott személy panasza alapján a 14. § szerint vagy hivatalból megvizsgálja, hogy a médiaplatform vagy a felhasználói felület szolgáltatója megsérti-e az MStV 79–85. §-ának vagy e rendelet 2–6., valamint 10. és 11. §-ának rendelkezéseit.</w:t>
      </w:r>
    </w:p>
    <w:p w:rsidR="00F57DE5" w:rsidRPr="00077B73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(2) Jogsértésre utaló konkrét jelek esetén a médiaplatform vagy a felhasználói felület szolgáltatója köteles haladéktalanul átadni az ellenőrzéshez szükséges információkat és dokumentumokat az illetékes tartományi médiahatóságnak.</w:t>
      </w:r>
    </w:p>
    <w:p w:rsidR="00F57DE5" w:rsidRPr="00077B73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(3)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Ha az illetékes tartományi médiahatóság a ZAK-n keresztül az (1) bekezdés szerint jogsértést állapít meg, észszerű határidő kitűzésével lehetőséget adhat a médiaplatform vagy a felhasználói felület szolgáltatójának a helyzet orvoslására.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Ha a törvényi előírások ezután sem teljesülnek, az illetékes tartományi médiahatóság a ZAK döntése alapján, valamint az MStV 81. §-a (5) bekezdésének 3. mondata esetében a GVK döntése alapján megteszi az MStV 109. §-ának (1) bekezdése szerint szükséges intézkedéseket.</w:t>
      </w:r>
    </w:p>
    <w:p w:rsidR="00F57DE5" w:rsidRPr="00077B73" w:rsidRDefault="00F57DE5" w:rsidP="00A16C12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A16C12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14. §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bCs/>
          <w:sz w:val="22"/>
          <w:szCs w:val="22"/>
          <w:rFonts w:asciiTheme="minorHAnsi" w:eastAsia="Calibri" w:hAnsiTheme="minorHAnsi" w:cstheme="minorHAnsi"/>
        </w:rPr>
      </w:pPr>
      <w:r>
        <w:rPr>
          <w:b/>
          <w:sz w:val="22"/>
          <w:szCs w:val="22"/>
          <w:rFonts w:ascii="Calibri" w:hAnsi="Calibri"/>
        </w:rPr>
        <w:t xml:space="preserve">Panasz</w:t>
      </w:r>
      <w:r>
        <w:rPr>
          <w:b/>
          <w:sz w:val="22"/>
          <w:szCs w:val="22"/>
          <w:bCs/>
          <w:rFonts w:asciiTheme="minorHAnsi" w:hAnsiTheme="minorHAnsi"/>
        </w:rPr>
        <w:t xml:space="preserve"> ellenőrzés keretében</w:t>
      </w:r>
    </w:p>
    <w:p w:rsidR="00A16C12" w:rsidRPr="00077B73" w:rsidRDefault="00A16C12" w:rsidP="00077B73">
      <w:pPr>
        <w:keepNext/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77B73" w:rsidRDefault="00A16C12" w:rsidP="00077B73">
      <w:pPr>
        <w:keepNext/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(1)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Panasztételre jogosultak a műsorok, a rádiószerű telemédia vagy az MStV 19. §-ának (1) bekezdése szerinti telemédia olyan szolgáltatói, amelyek</w:t>
      </w:r>
    </w:p>
    <w:p w:rsidR="00F57DE5" w:rsidRPr="00077B73" w:rsidRDefault="00F57DE5" w:rsidP="002417C5">
      <w:pPr>
        <w:numPr>
          <w:ilvl w:val="0"/>
          <w:numId w:val="8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médiaplatformon végeznek terjesztést, vagy</w:t>
      </w:r>
      <w:r>
        <w:rPr>
          <w:sz w:val="22"/>
          <w:szCs w:val="22"/>
          <w:rFonts w:ascii="Calibri" w:hAnsi="Calibri"/>
        </w:rPr>
        <w:t xml:space="preserve"> </w:t>
      </w:r>
    </w:p>
    <w:p w:rsidR="00F57DE5" w:rsidRPr="00077B73" w:rsidRDefault="00F57DE5" w:rsidP="002417C5">
      <w:pPr>
        <w:numPr>
          <w:ilvl w:val="0"/>
          <w:numId w:val="8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médiaplatformhoz igényelnek hozzáférést műsorok, rádiószerű telemédia vagy az RStV 19. §-ának (1) bekezdése szerinti telemédia terjesztése vagy piaci értékesítése érdekében, vagy</w:t>
      </w:r>
    </w:p>
    <w:p w:rsidR="00F57DE5" w:rsidRPr="00077B73" w:rsidRDefault="00F57DE5" w:rsidP="002417C5">
      <w:pPr>
        <w:numPr>
          <w:ilvl w:val="0"/>
          <w:numId w:val="8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szCs w:val="22"/>
          <w:rFonts w:ascii="Calibri" w:hAnsi="Calibri"/>
        </w:rPr>
        <w:t xml:space="preserve">önmaguk érintettek az MStV 2. §-a (2) bekezdésének 15. pontja szerinti felhasználói felületeken történő megjelenítésben.</w:t>
      </w:r>
    </w:p>
    <w:p w:rsidR="00F57DE5" w:rsidRPr="00077B73" w:rsidRDefault="00A16C12" w:rsidP="00F57DE5">
      <w:pPr>
        <w:spacing w:after="160" w:line="259" w:lineRule="auto"/>
        <w:contextualSpacing/>
        <w:jc w:val="both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 bepanaszolt felek az MStV 2. §-a (2) bekezdésének 19. pontja szerinti médiaplatform-szolgáltatók és az MStV 2. §-a (2) bekezdésének 20. pontja szerinti felhasználóifelület-szolgáltatók lehetnek.</w:t>
      </w:r>
    </w:p>
    <w:p w:rsidR="00F57DE5" w:rsidRPr="00077B73" w:rsidRDefault="00F57DE5" w:rsidP="00F57DE5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(2) Az (1) bekezdés szerint panasztételre jogosult személyek az illetékes tartományi médiahatóságnál tehetnek írásbeli panaszt az MStV 80–84. §-ának vagy e rendelet 3–6. és 10. §-ának megsértésére utaló konkrét jelek bemutatásával és az alapul szolgáló tényállás ismertetésével.</w:t>
      </w:r>
    </w:p>
    <w:p w:rsidR="00F57DE5" w:rsidRPr="00077B73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(3) A panasz benyújtásakor a jogosult feleknek ki kell fejteniük és hitelesen igazolniuk kell, hogy a médiaplatform vagy a felhasználói felület szolgáltatójánál lépéseket tettek a vitatott helyzet tisztázása érdekében.</w:t>
      </w:r>
    </w:p>
    <w:p w:rsidR="00F57DE5" w:rsidRPr="00077B73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(4)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Az illetékes tartományi médiahatóság először kísérletet tehet arra, hogy az érintett feleket szakszerű megoldás kidolgozására ösztönözze.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Az MStV 83. § (3) bekezdése szerinti esetekben az illetékes tartományi médiahatóságnak a panaszeljárást megelőzően mediátori szerepkört kell betöltenie.</w:t>
      </w:r>
    </w:p>
    <w:p w:rsidR="00F57DE5" w:rsidRPr="00077B73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(5) Amennyiben a panasz tárgyát hozzáférési jogosultsági rendszerek vagy alkalmazási program interfészek képezik, az illetékes tartományi médiahatóság a szövetségi hálózati ügynökséggel (BNetzA) egyeztetett eljárás keretében (2010. április 20-i eljárásleírás) továbbítja a panaszt a BNetzA felé, és az eljárás ott folytatódik.</w:t>
      </w:r>
    </w:p>
    <w:p w:rsidR="00F57DE5" w:rsidRPr="00077B73" w:rsidRDefault="00F57DE5" w:rsidP="00A16C12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A16C12" w:rsidP="00A16C12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(6)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 panaszt ahhoz a tartományi médiahatósághoz kell benyújtani, ahol a médiaplatform vagy a felhasználói felület be van jelentve.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Ha a panasz időpontjában nincs érvényes bejelentés, a szövetségi szinten kínált szolgáltatásokra az MStV 106. § (1) bekezdése alkalmazandó értelemszerűen.</w:t>
      </w:r>
    </w:p>
    <w:p w:rsidR="00F57DE5" w:rsidRPr="00077B73" w:rsidRDefault="00F57DE5" w:rsidP="00F57DE5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C685D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15. §</w:t>
      </w:r>
      <w:r>
        <w:rPr>
          <w:b/>
          <w:sz w:val="22"/>
          <w:szCs w:val="22"/>
          <w:rFonts w:ascii="Calibri" w:hAnsi="Calibri"/>
        </w:rPr>
        <w:t xml:space="preserve"> 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Megfelelőségi igazolás kiállítása az MStV 87. §-a szerint</w:t>
      </w:r>
    </w:p>
    <w:p w:rsidR="00F57DE5" w:rsidRPr="00077B73" w:rsidRDefault="00F57DE5" w:rsidP="00077B73">
      <w:pPr>
        <w:keepNext/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7C685D" w:rsidP="007C685D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(1)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Az MStV 87. §-ának (1) mondata szerinti feddhetetlenségi bizonyítvány iránti kérelem benyújtása esetén az illetékes tartományi médiahatóság tájékoztatja az MStV 84. §-a (3) bekezdésének 2. mondata és (4) bekezdése szerinti privilegizált szolgáltatások szolgáltatóit az eljárás megindításáról.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 tájékoztatás elektronikus úton nyújtható be.</w:t>
      </w:r>
    </w:p>
    <w:p w:rsidR="00F57DE5" w:rsidRPr="00077B73" w:rsidRDefault="00F57DE5" w:rsidP="007C685D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7C685D" w:rsidP="007C685D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(2) Az illetékes tartományi médiahatóság a közös irodán keresztül továbbítja a kérelmet a ZAK-nak.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Az illetékes tartományi médiahatóság a döntéshozatali szakaszig viszi az eljárást.</w:t>
      </w:r>
      <w:r>
        <w:rPr>
          <w:sz w:val="22"/>
          <w:szCs w:val="22"/>
          <w:rFonts w:asciiTheme="minorHAnsi" w:hAnsiTheme="minorHAnsi"/>
        </w:rPr>
        <w:t xml:space="preserve"> </w:t>
      </w:r>
    </w:p>
    <w:p w:rsidR="00F57DE5" w:rsidRPr="00077B73" w:rsidRDefault="00F57DE5" w:rsidP="007C685D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7C685D" w:rsidP="007C685D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(3)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A megfelelőségi igazolás érvényességi ideje alatt a médiaplatform vagy a felhasználói felület szolgáltatójának tájékoztatnia kell az illetékes tartományi médiahatóságot a médiaplatformon vagy a felhasználói felületen végrehajtott minden jelentős változásról.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Az illetékes tartományi médiahatóság hivatalból ellenőrzi, hogy a megfelelőségi igazolás követelményei továbbra is teljesülnek-e.</w:t>
      </w:r>
    </w:p>
    <w:p w:rsidR="00F57DE5" w:rsidRPr="00077B73" w:rsidRDefault="00F57DE5" w:rsidP="00220524">
      <w:pPr>
        <w:tabs>
          <w:tab w:val="left" w:pos="3768"/>
        </w:tabs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77B73" w:rsidRDefault="00C5646E" w:rsidP="00077B73">
      <w:pPr>
        <w:keepNext/>
        <w:spacing w:after="160" w:line="259" w:lineRule="auto"/>
        <w:contextualSpacing/>
        <w:jc w:val="center"/>
        <w:rPr>
          <w:b/>
          <w:bCs/>
          <w:sz w:val="22"/>
          <w:szCs w:val="22"/>
          <w:rFonts w:asciiTheme="minorHAnsi" w:eastAsia="Calibri" w:hAnsiTheme="minorHAnsi" w:cstheme="minorHAnsi"/>
        </w:rPr>
      </w:pPr>
      <w:r>
        <w:rPr>
          <w:b/>
          <w:bCs/>
          <w:sz w:val="22"/>
          <w:szCs w:val="22"/>
          <w:rFonts w:asciiTheme="minorHAnsi" w:hAnsiTheme="minorHAnsi"/>
        </w:rPr>
        <w:t xml:space="preserve">7. szakasz:</w:t>
      </w:r>
      <w:r>
        <w:rPr>
          <w:b/>
          <w:bCs/>
          <w:sz w:val="22"/>
          <w:szCs w:val="22"/>
          <w:rFonts w:asciiTheme="minorHAnsi" w:hAnsiTheme="minorHAnsi"/>
        </w:rPr>
        <w:t xml:space="preserve"> </w:t>
      </w:r>
      <w:r>
        <w:rPr>
          <w:b/>
          <w:bCs/>
          <w:sz w:val="22"/>
          <w:szCs w:val="22"/>
          <w:rFonts w:asciiTheme="minorHAnsi" w:hAnsiTheme="minorHAnsi"/>
        </w:rPr>
        <w:t xml:space="preserve">Záró rendelkezések</w:t>
      </w:r>
    </w:p>
    <w:p w:rsidR="00F57DE5" w:rsidRPr="00077B73" w:rsidRDefault="00F57DE5" w:rsidP="00077B73">
      <w:pPr>
        <w:keepNext/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C7696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16. §</w:t>
      </w:r>
      <w:r>
        <w:rPr>
          <w:b/>
          <w:sz w:val="22"/>
          <w:szCs w:val="22"/>
          <w:rFonts w:ascii="Calibri" w:hAnsi="Calibri"/>
        </w:rPr>
        <w:t xml:space="preserve"> </w:t>
      </w:r>
    </w:p>
    <w:p w:rsidR="00F57DE5" w:rsidRPr="00077B73" w:rsidRDefault="00F57DE5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Akadálymentes kialakítás</w:t>
      </w:r>
    </w:p>
    <w:p w:rsidR="00FC7696" w:rsidRPr="00077B73" w:rsidRDefault="00FC7696" w:rsidP="00077B73">
      <w:pPr>
        <w:keepNext/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57DE5" w:rsidRPr="00077B73" w:rsidRDefault="00F57DE5" w:rsidP="00FC7696">
      <w:pPr>
        <w:spacing w:line="276" w:lineRule="auto"/>
        <w:rPr>
          <w:bCs/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bCs/>
          <w:rFonts w:asciiTheme="minorHAnsi" w:hAnsiTheme="minorHAnsi"/>
        </w:rPr>
        <w:t xml:space="preserve">A </w:t>
      </w:r>
      <w:r>
        <w:rPr>
          <w:sz w:val="22"/>
          <w:szCs w:val="22"/>
          <w:rFonts w:asciiTheme="minorHAnsi" w:hAnsiTheme="minorHAnsi"/>
        </w:rPr>
        <w:t xml:space="preserve">felhasználói felületek</w:t>
      </w:r>
      <w:r>
        <w:rPr>
          <w:sz w:val="22"/>
          <w:szCs w:val="22"/>
          <w:bCs/>
          <w:rFonts w:asciiTheme="minorHAnsi" w:hAnsiTheme="minorHAnsi"/>
        </w:rPr>
        <w:t xml:space="preserve"> és a médiaplatformok szolgáltatóinak a technikai és pénzügyi lehetőségek keretein belül támogatniuk kell a televízióműsorokhoz és a televíziószerű telemédiához való akadálymentes hozzáférést (MStV 21. §).</w:t>
      </w:r>
    </w:p>
    <w:p w:rsidR="00F57DE5" w:rsidRPr="00077B73" w:rsidRDefault="00F57DE5" w:rsidP="00F57DE5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:rsidR="00FC7696" w:rsidRPr="00077B73" w:rsidRDefault="00F57DE5" w:rsidP="00077B73">
      <w:pPr>
        <w:keepNext/>
        <w:spacing w:line="276" w:lineRule="auto"/>
        <w:jc w:val="center"/>
        <w:rPr>
          <w:b/>
          <w:bCs/>
          <w:sz w:val="22"/>
          <w:szCs w:val="22"/>
          <w:rFonts w:asciiTheme="minorHAnsi" w:eastAsia="Calibri" w:hAnsiTheme="minorHAnsi" w:cstheme="minorHAnsi"/>
        </w:rPr>
      </w:pPr>
      <w:r>
        <w:rPr>
          <w:b/>
          <w:bCs/>
          <w:sz w:val="22"/>
          <w:szCs w:val="22"/>
          <w:rFonts w:asciiTheme="minorHAnsi" w:hAnsiTheme="minorHAnsi"/>
        </w:rPr>
        <w:t xml:space="preserve">17. §</w:t>
      </w:r>
    </w:p>
    <w:p w:rsidR="00F57DE5" w:rsidRPr="00077B73" w:rsidRDefault="00F71879" w:rsidP="00077B73">
      <w:pPr>
        <w:keepNext/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szCs w:val="22"/>
          <w:rFonts w:ascii="Calibri" w:hAnsi="Calibri"/>
        </w:rPr>
        <w:t xml:space="preserve">Hatálybalépés, hatályvesztés</w:t>
      </w:r>
    </w:p>
    <w:p w:rsidR="00FC7696" w:rsidRPr="00077B73" w:rsidRDefault="00FC7696" w:rsidP="00077B73">
      <w:pPr>
        <w:keepNext/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7DE5" w:rsidRPr="00077B73" w:rsidRDefault="00FC7696" w:rsidP="00FC7696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(1) </w:t>
      </w:r>
      <w:r>
        <w:rPr>
          <w:sz w:val="22"/>
          <w:szCs w:val="22"/>
          <w:vertAlign w:val="superscript"/>
          <w:rFonts w:asciiTheme="minorHAnsi" w:hAnsiTheme="minorHAnsi"/>
        </w:rPr>
        <w:t xml:space="preserve">1</w:t>
      </w:r>
      <w:r>
        <w:rPr>
          <w:sz w:val="22"/>
          <w:szCs w:val="22"/>
          <w:rFonts w:asciiTheme="minorHAnsi" w:hAnsiTheme="minorHAnsi"/>
        </w:rPr>
        <w:t xml:space="preserve">Ez a rendelet 2021. április 15-én lép hatályba.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2</w:t>
      </w:r>
      <w:r>
        <w:rPr>
          <w:sz w:val="22"/>
          <w:szCs w:val="22"/>
          <w:rFonts w:asciiTheme="minorHAnsi" w:hAnsiTheme="minorHAnsi"/>
        </w:rPr>
        <w:t xml:space="preserve">A Tartományi Médiahatóságok Igazgatói Konferenciájának (DLM) elnöke a „die medienanstalten” márkanév alatt az interneten közzéteszi, hogy eddig az időpontig minden tartományi médiahatóság kiadta-e és közzétette-e a megfelelő rendeletet.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vertAlign w:val="superscript"/>
          <w:rFonts w:asciiTheme="minorHAnsi" w:hAnsiTheme="minorHAnsi"/>
        </w:rPr>
        <w:t xml:space="preserve">3</w:t>
      </w:r>
      <w:r>
        <w:rPr>
          <w:sz w:val="22"/>
          <w:szCs w:val="22"/>
          <w:rFonts w:asciiTheme="minorHAnsi" w:hAnsiTheme="minorHAnsi"/>
        </w:rPr>
        <w:t xml:space="preserve">Az 1. mondattól eltérően a 10. § (5)–(7) bekezdése 2021. szeptember 1-jén lép hatályba.</w:t>
      </w:r>
    </w:p>
    <w:p w:rsidR="00F57DE5" w:rsidRPr="00077B73" w:rsidRDefault="00F57DE5" w:rsidP="00FC769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7DE5" w:rsidRPr="00077B73" w:rsidRDefault="00FC7696" w:rsidP="00FC7696">
      <w:pPr>
        <w:spacing w:line="276" w:lineRule="auto"/>
        <w:rPr>
          <w:sz w:val="22"/>
          <w:szCs w:val="22"/>
          <w:rFonts w:asciiTheme="minorHAnsi" w:eastAsia="Calibri" w:hAnsiTheme="minorHAnsi" w:cstheme="minorHAnsi"/>
        </w:rPr>
      </w:pPr>
      <w:r>
        <w:rPr>
          <w:sz w:val="22"/>
          <w:szCs w:val="22"/>
          <w:rFonts w:asciiTheme="minorHAnsi" w:hAnsiTheme="minorHAnsi"/>
        </w:rPr>
        <w:t xml:space="preserve">(2) Ezzel egyidejűleg a 2016. december 14-i tartományközi műsorszolgáltatási egyezmény 53. §-a szerinti, a digitális szolgáltatásokhoz való hozzáférés szabadságáról és a platformszabályozásról szóló rendelet hatályát veszti.</w:t>
      </w:r>
      <w:r w:rsidR="00AF2F17" w:rsidRPr="00077B73">
        <w:rPr>
          <w:rStyle w:val="FootnoteReference"/>
          <w:rFonts w:asciiTheme="minorHAnsi" w:eastAsia="Calibri" w:hAnsiTheme="minorHAnsi" w:cstheme="minorHAnsi"/>
          <w:sz w:val="22"/>
          <w:szCs w:val="22"/>
          <w:lang w:eastAsia="en-US"/>
        </w:rPr>
        <w:footnoteReference w:id="1"/>
      </w:r>
    </w:p>
    <w:sectPr w:rsidR="00F57DE5" w:rsidRPr="00077B7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F24" w:rsidRDefault="00903F24" w:rsidP="00986629">
      <w:r>
        <w:separator/>
      </w:r>
    </w:p>
  </w:endnote>
  <w:endnote w:type="continuationSeparator" w:id="0">
    <w:p w:rsidR="00903F24" w:rsidRDefault="00903F24" w:rsidP="0098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711378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A1291E" w:rsidRPr="00A1291E" w:rsidRDefault="00A1291E">
        <w:pPr>
          <w:pStyle w:val="Footer"/>
          <w:jc w:val="center"/>
          <w:rPr>
            <w:sz w:val="22"/>
            <w:rFonts w:asciiTheme="minorHAnsi" w:hAnsiTheme="minorHAnsi" w:cstheme="minorHAnsi"/>
          </w:rPr>
        </w:pPr>
        <w:r w:rsidRPr="00A1291E">
          <w:rPr>
            <w:sz w:val="22"/>
            <w:rFonts w:asciiTheme="minorHAnsi" w:hAnsiTheme="minorHAnsi" w:cstheme="minorHAnsi"/>
          </w:rPr>
          <w:fldChar w:fldCharType="begin"/>
        </w:r>
        <w:r w:rsidRPr="00A1291E">
          <w:rPr>
            <w:sz w:val="22"/>
            <w:rFonts w:asciiTheme="minorHAnsi" w:hAnsiTheme="minorHAnsi" w:cstheme="minorHAnsi"/>
          </w:rPr>
          <w:instrText>PAGE   \* MERGEFORMAT</w:instrText>
        </w:r>
        <w:r w:rsidRPr="00A1291E">
          <w:rPr>
            <w:sz w:val="22"/>
            <w:rFonts w:asciiTheme="minorHAnsi" w:hAnsiTheme="minorHAnsi" w:cstheme="minorHAnsi"/>
          </w:rPr>
          <w:fldChar w:fldCharType="separate"/>
        </w:r>
        <w:r w:rsidR="00AF2F17">
          <w:rPr>
            <w:sz w:val="22"/>
            <w:rFonts w:asciiTheme="minorHAnsi" w:hAnsiTheme="minorHAnsi" w:cstheme="minorHAnsi"/>
          </w:rPr>
          <w:t>11</w:t>
        </w:r>
        <w:r w:rsidRPr="00A1291E">
          <w:rPr>
            <w:sz w:val="22"/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F24" w:rsidRDefault="00903F24" w:rsidP="00986629">
      <w:r>
        <w:separator/>
      </w:r>
    </w:p>
  </w:footnote>
  <w:footnote w:type="continuationSeparator" w:id="0">
    <w:p w:rsidR="00903F24" w:rsidRDefault="00903F24" w:rsidP="00986629">
      <w:r>
        <w:continuationSeparator/>
      </w:r>
    </w:p>
  </w:footnote>
  <w:footnote w:id="1">
    <w:p w:rsidR="00AF2F17" w:rsidRPr="00F33BCA" w:rsidRDefault="00AF2F17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footnoteRef/>
      </w:r>
      <w:r>
        <w:rPr>
          <w:rFonts w:asciiTheme="minorHAnsi" w:hAnsiTheme="minorHAnsi"/>
        </w:rPr>
        <w:t xml:space="preserve"> A dokumentum a műszaki szabályokkal és az információs társadalom szolgáltatásaira vonatkozó szabályokkal kapcsolatos információszolgáltatási eljárás megállapításáról szóló, 2015. szeptember 9-i 2015/1535/EU európai parlamenti és tanácsi irányelvben (HL L 241., 2015.9.17., 1. o.) foglaltak szerint bejelentés tárgyát képezte.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629" w:rsidRDefault="00FA085F">
    <w:pPr>
      <w:pStyle w:val="Header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3362325</wp:posOffset>
              </wp:positionH>
              <wp:positionV relativeFrom="paragraph">
                <wp:posOffset>-68580</wp:posOffset>
              </wp:positionV>
              <wp:extent cx="1656080" cy="1404620"/>
              <wp:effectExtent l="0" t="0" r="127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085F" w:rsidRPr="00FA085F" w:rsidRDefault="00FA085F" w:rsidP="00FA085F">
                          <w:pPr>
                            <w:jc w:val="right"/>
                            <w:rPr>
                              <w:sz w:val="32"/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sz w:val="32"/>
                              <w:rFonts w:asciiTheme="minorHAnsi" w:hAnsiTheme="minorHAnsi"/>
                            </w:rPr>
                            <w:t xml:space="preserve">die medienanstalten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4.75pt;margin-top:-5.4pt;width:130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" stroked="f">
              <v:textbox style="mso-fit-shape-to-text:t" inset="0,0,0,0">
                <w:txbxContent>
                  <w:p w:rsidR="00FA085F" w:rsidRPr="00FA085F" w:rsidRDefault="00FA085F" w:rsidP="00FA085F">
                    <w:pPr>
                      <w:jc w:val="right"/>
                      <w:rPr>
                        <w:sz w:val="32"/>
                        <w:rFonts w:asciiTheme="minorHAnsi" w:hAnsiTheme="minorHAnsi" w:cstheme="minorHAnsi"/>
                      </w:rPr>
                    </w:pPr>
                    <w:r>
                      <w:rPr>
                        <w:sz w:val="32"/>
                        <w:rFonts w:asciiTheme="minorHAnsi" w:hAnsiTheme="minorHAnsi"/>
                      </w:rPr>
                      <w:t xml:space="preserve">die medienanstalten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1" layoutInCell="1" allowOverlap="1" wp14:anchorId="506558D4" wp14:editId="5B0DA52A">
          <wp:simplePos x="0" y="0"/>
          <wp:positionH relativeFrom="page">
            <wp:posOffset>4425950</wp:posOffset>
          </wp:positionH>
          <wp:positionV relativeFrom="page">
            <wp:posOffset>400685</wp:posOffset>
          </wp:positionV>
          <wp:extent cx="2172970" cy="510540"/>
          <wp:effectExtent l="0" t="0" r="0" b="3810"/>
          <wp:wrapNone/>
          <wp:docPr id="2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47B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47B9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25CC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7FEF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E023D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0064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008C8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E70CA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B487C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87AE4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03552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E6391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C3BA2"/>
    <w:multiLevelType w:val="hybridMultilevel"/>
    <w:tmpl w:val="8F0C6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11"/>
  </w:num>
  <w:num w:numId="7">
    <w:abstractNumId w:val="4"/>
  </w:num>
  <w:num w:numId="8">
    <w:abstractNumId w:val="7"/>
  </w:num>
  <w:num w:numId="9">
    <w:abstractNumId w:val="12"/>
  </w:num>
  <w:num w:numId="10">
    <w:abstractNumId w:val="2"/>
  </w:num>
  <w:num w:numId="11">
    <w:abstractNumId w:val="6"/>
  </w:num>
  <w:num w:numId="12">
    <w:abstractNumId w:val="1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25"/>
    <w:rsid w:val="00003F08"/>
    <w:rsid w:val="000045F8"/>
    <w:rsid w:val="00013A16"/>
    <w:rsid w:val="000508DB"/>
    <w:rsid w:val="000544D5"/>
    <w:rsid w:val="00074EC8"/>
    <w:rsid w:val="00075A82"/>
    <w:rsid w:val="00077B73"/>
    <w:rsid w:val="000C657E"/>
    <w:rsid w:val="001504D9"/>
    <w:rsid w:val="00165009"/>
    <w:rsid w:val="00171DE3"/>
    <w:rsid w:val="0018279D"/>
    <w:rsid w:val="001B0E42"/>
    <w:rsid w:val="001C0704"/>
    <w:rsid w:val="001D2E17"/>
    <w:rsid w:val="00220524"/>
    <w:rsid w:val="002417C5"/>
    <w:rsid w:val="002643CD"/>
    <w:rsid w:val="002644D4"/>
    <w:rsid w:val="00290049"/>
    <w:rsid w:val="002C21BC"/>
    <w:rsid w:val="002C35D6"/>
    <w:rsid w:val="003421E6"/>
    <w:rsid w:val="003574F8"/>
    <w:rsid w:val="0038319A"/>
    <w:rsid w:val="003C28A6"/>
    <w:rsid w:val="003F26AC"/>
    <w:rsid w:val="0048212F"/>
    <w:rsid w:val="00483146"/>
    <w:rsid w:val="00485576"/>
    <w:rsid w:val="00490C3B"/>
    <w:rsid w:val="00506FCB"/>
    <w:rsid w:val="00511D74"/>
    <w:rsid w:val="00517E15"/>
    <w:rsid w:val="00521970"/>
    <w:rsid w:val="00543B52"/>
    <w:rsid w:val="0058421F"/>
    <w:rsid w:val="00590EAA"/>
    <w:rsid w:val="005D5943"/>
    <w:rsid w:val="005F244D"/>
    <w:rsid w:val="0060422A"/>
    <w:rsid w:val="00650B4F"/>
    <w:rsid w:val="00653AA0"/>
    <w:rsid w:val="00691044"/>
    <w:rsid w:val="00793947"/>
    <w:rsid w:val="007C3618"/>
    <w:rsid w:val="007C685D"/>
    <w:rsid w:val="007E4D6F"/>
    <w:rsid w:val="00816EE9"/>
    <w:rsid w:val="00862E68"/>
    <w:rsid w:val="008B6DA5"/>
    <w:rsid w:val="00903F24"/>
    <w:rsid w:val="00915B2E"/>
    <w:rsid w:val="009217BC"/>
    <w:rsid w:val="009574F2"/>
    <w:rsid w:val="00986629"/>
    <w:rsid w:val="009C012D"/>
    <w:rsid w:val="009C24A4"/>
    <w:rsid w:val="009F46B5"/>
    <w:rsid w:val="00A1291E"/>
    <w:rsid w:val="00A16C12"/>
    <w:rsid w:val="00A211F5"/>
    <w:rsid w:val="00AC1705"/>
    <w:rsid w:val="00AD10EE"/>
    <w:rsid w:val="00AE1692"/>
    <w:rsid w:val="00AF2F17"/>
    <w:rsid w:val="00B126BF"/>
    <w:rsid w:val="00B25AAD"/>
    <w:rsid w:val="00B45353"/>
    <w:rsid w:val="00B82C25"/>
    <w:rsid w:val="00B93BDE"/>
    <w:rsid w:val="00BF13E2"/>
    <w:rsid w:val="00C04BEE"/>
    <w:rsid w:val="00C5646E"/>
    <w:rsid w:val="00C57E5E"/>
    <w:rsid w:val="00C74DCA"/>
    <w:rsid w:val="00C902B9"/>
    <w:rsid w:val="00CC7F6D"/>
    <w:rsid w:val="00CE1C3D"/>
    <w:rsid w:val="00DB7447"/>
    <w:rsid w:val="00E14290"/>
    <w:rsid w:val="00E22B72"/>
    <w:rsid w:val="00E72479"/>
    <w:rsid w:val="00EE5E7F"/>
    <w:rsid w:val="00EF68F9"/>
    <w:rsid w:val="00F33BCA"/>
    <w:rsid w:val="00F33CAE"/>
    <w:rsid w:val="00F40F94"/>
    <w:rsid w:val="00F55623"/>
    <w:rsid w:val="00F57DE5"/>
    <w:rsid w:val="00F702A0"/>
    <w:rsid w:val="00F71879"/>
    <w:rsid w:val="00FA085F"/>
    <w:rsid w:val="00FA6037"/>
    <w:rsid w:val="00F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5A467"/>
  <w15:chartTrackingRefBased/>
  <w15:docId w15:val="{A0877444-1310-4159-A6DA-9FFF7C70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rFonts w:ascii="Calibri" w:hAnsi="Calibri"/>
      <w:color w:val="000000"/>
      <w:sz w:val="24"/>
    </w:rPr>
  </w:style>
  <w:style w:type="paragraph" w:styleId="BodyText">
    <w:name w:val="Body Text"/>
    <w:basedOn w:val="Normal"/>
    <w:rPr>
      <w:rFonts w:ascii="Arial" w:hAnsi="Arial"/>
      <w:sz w:val="21"/>
    </w:rPr>
  </w:style>
  <w:style w:type="character" w:customStyle="1" w:styleId="CommentTextChar">
    <w:name w:val="Comment Text Char"/>
    <w:link w:val="CommentText"/>
    <w:locked/>
    <w:rPr>
      <w:lang w:val="hu-HU" w:eastAsia="de-DE" w:bidi="ar-SA"/>
    </w:rPr>
  </w:style>
  <w:style w:type="paragraph" w:styleId="Header">
    <w:name w:val="header"/>
    <w:basedOn w:val="Normal"/>
    <w:link w:val="HeaderChar"/>
    <w:rsid w:val="009866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866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66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86629"/>
    <w:rPr>
      <w:sz w:val="24"/>
      <w:szCs w:val="24"/>
    </w:rPr>
  </w:style>
  <w:style w:type="paragraph" w:customStyle="1" w:styleId="GGSZ">
    <w:name w:val="GGS ZÜ"/>
    <w:basedOn w:val="Normal"/>
    <w:link w:val="GGSZZchn"/>
    <w:uiPriority w:val="4"/>
    <w:qFormat/>
    <w:rsid w:val="005D5943"/>
    <w:pPr>
      <w:spacing w:before="120"/>
    </w:pPr>
    <w:rPr>
      <w:rFonts w:asciiTheme="minorHAnsi" w:hAnsiTheme="minorHAnsi"/>
      <w:b/>
      <w:sz w:val="22"/>
    </w:rPr>
  </w:style>
  <w:style w:type="character" w:customStyle="1" w:styleId="GGSZZchn">
    <w:name w:val="GGS ZÜ Zchn"/>
    <w:basedOn w:val="DefaultParagraphFont"/>
    <w:link w:val="GGSZ"/>
    <w:uiPriority w:val="4"/>
    <w:rsid w:val="005D5943"/>
    <w:rPr>
      <w:rFonts w:asciiTheme="minorHAnsi" w:hAnsiTheme="minorHAnsi"/>
      <w:b/>
      <w:sz w:val="22"/>
      <w:szCs w:val="24"/>
    </w:rPr>
  </w:style>
  <w:style w:type="paragraph" w:styleId="ListParagraph">
    <w:name w:val="List Paragraph"/>
    <w:basedOn w:val="Normal"/>
    <w:uiPriority w:val="34"/>
    <w:qFormat/>
    <w:rsid w:val="00650B4F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F2F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2F17"/>
  </w:style>
  <w:style w:type="character" w:styleId="FootnoteReference">
    <w:name w:val="footnote reference"/>
    <w:basedOn w:val="DefaultParagraphFont"/>
    <w:rsid w:val="00AF2F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0DD57-B853-4C5A-8A06-B74795AE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3882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Geschäfts- und Verfahrensordnung</vt:lpstr>
    </vt:vector>
  </TitlesOfParts>
  <Company>Bayer. Sozialgerichtsbarkeit</Company>
  <LinksUpToDate>false</LinksUpToDate>
  <CharactersWithSpaces>25965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Geschäfts- und Verfahrensordnung</dc:title>
  <dc:subject/>
  <dc:creator>Sigmar.Roll</dc:creator>
  <cp:keywords/>
  <cp:lastModifiedBy>Liu, Lei</cp:lastModifiedBy>
  <cp:revision>5</cp:revision>
  <cp:lastPrinted>2014-01-13T11:15:00Z</cp:lastPrinted>
  <dcterms:created xsi:type="dcterms:W3CDTF">2020-12-17T11:14:00Z</dcterms:created>
  <dcterms:modified xsi:type="dcterms:W3CDTF">2020-12-17T14:10:00Z</dcterms:modified>
</cp:coreProperties>
</file>