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3574F8" w:rsidRDefault="003574F8" w:rsidP="003574F8">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0813 D-- NL- ------ 20201231 --- --- PROJET</w:t>
      </w:r>
    </w:p>
    <w:p w:rsidR="00A211F5" w:rsidRPr="003574F8" w:rsidRDefault="00A211F5" w:rsidP="00A211F5">
      <w:pPr>
        <w:spacing w:before="120" w:line="320" w:lineRule="exact"/>
        <w:rPr>
          <w:sz w:val="16"/>
          <w:szCs w:val="16"/>
          <w:rFonts w:ascii="Verdana" w:hAnsi="Verdana"/>
        </w:rPr>
      </w:pPr>
      <w:r>
        <w:rPr>
          <w:sz w:val="16"/>
          <w:szCs w:val="16"/>
          <w:rFonts w:ascii="Verdana" w:hAnsi="Verdana"/>
        </w:rPr>
        <w:t xml:space="preserve">Versie:</w:t>
      </w:r>
      <w:r>
        <w:rPr>
          <w:sz w:val="16"/>
          <w:szCs w:val="16"/>
          <w:rFonts w:ascii="Verdana" w:hAnsi="Verdana"/>
        </w:rPr>
        <w:t xml:space="preserve"> </w:t>
      </w:r>
      <w:r>
        <w:rPr>
          <w:sz w:val="16"/>
          <w:szCs w:val="16"/>
          <w:rFonts w:ascii="Verdana" w:hAnsi="Verdana"/>
        </w:rPr>
        <w:t xml:space="preserve">16.12.2020</w:t>
      </w:r>
    </w:p>
    <w:p w:rsidR="002C21BC" w:rsidRPr="00077B73" w:rsidRDefault="009C24A4">
      <w:pPr>
        <w:rPr>
          <w:sz w:val="22"/>
          <w:szCs w:val="22"/>
          <w:rFonts w:ascii="Calibri" w:hAnsi="Calibri"/>
        </w:rPr>
      </w:pPr>
      <w:r>
        <w:rPr>
          <w:sz w:val="22"/>
          <w:szCs w:val="22"/>
          <w:rFonts w:ascii="Calibri" w:hAnsi="Calibri"/>
        </w:rPr>
        <w:t xml:space="preserve">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b/>
          <w:bCs/>
          <w:sz w:val="22"/>
          <w:szCs w:val="22"/>
          <w:rFonts w:asciiTheme="minorHAnsi" w:eastAsia="Calibri" w:hAnsiTheme="minorHAnsi" w:cstheme="minorHAnsi"/>
        </w:rPr>
      </w:pPr>
      <w:r>
        <w:rPr>
          <w:b/>
          <w:sz w:val="22"/>
          <w:szCs w:val="22"/>
        </w:rPr>
        <w:t xml:space="preserve">Reglement betreffende de concretisering van de bepalingen van het staatsverdrag inzake mediaplatforms en gebruikersinterfaces</w:t>
      </w:r>
      <w:r>
        <w:rPr>
          <w:b/>
          <w:sz w:val="22"/>
          <w:szCs w:val="22"/>
          <w:bCs/>
          <w:rFonts w:asciiTheme="minorHAnsi" w:hAnsiTheme="minorHAnsi"/>
        </w:rPr>
        <w:t xml:space="preserv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b/>
          <w:bCs/>
          <w:sz w:val="22"/>
          <w:szCs w:val="22"/>
          <w:rFonts w:asciiTheme="minorHAnsi" w:eastAsia="Calibri" w:hAnsiTheme="minorHAnsi" w:cstheme="minorHAnsi"/>
        </w:rPr>
      </w:pPr>
      <w:r>
        <w:rPr>
          <w:b/>
          <w:bCs/>
          <w:sz w:val="22"/>
          <w:szCs w:val="22"/>
          <w:rFonts w:asciiTheme="minorHAnsi" w:hAnsiTheme="minorHAnsi"/>
        </w:rPr>
        <w:t xml:space="preserve">(reglement mediaplatforms en gebruikersinterfaces)</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b/>
          <w:sz w:val="22"/>
          <w:szCs w:val="22"/>
          <w:rFonts w:ascii="Calibri" w:eastAsia="Calibri" w:hAnsi="Calibri"/>
        </w:rPr>
      </w:pPr>
      <w:r>
        <w:rPr>
          <w:b/>
          <w:sz w:val="22"/>
          <w:szCs w:val="22"/>
          <w:rFonts w:ascii="Calibri" w:hAnsi="Calibri"/>
        </w:rPr>
        <w:t xml:space="preserve">van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bCs/>
          <w:sz w:val="22"/>
          <w:szCs w:val="22"/>
          <w:rFonts w:ascii="Calibri" w:eastAsia="Calibri" w:hAnsi="Calibri"/>
        </w:rPr>
      </w:pPr>
      <w:r>
        <w:rPr>
          <w:sz w:val="22"/>
          <w:szCs w:val="22"/>
        </w:rPr>
        <w:t xml:space="preserve">Op grond van §§ 84, lid 8, 88 van het staatsverdrag inzake media (MStV) van 14 tot 28 april 2020 (... vindplaats) vaardigt [naam van de media-instantie van de deelstaat] in overeenstemming met de overige media-instanties van de deelstaten het volgende reglement uit: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Hoofdstuk 1:</w:t>
      </w:r>
      <w:r>
        <w:rPr>
          <w:b/>
          <w:bCs/>
          <w:sz w:val="22"/>
          <w:szCs w:val="22"/>
          <w:rFonts w:asciiTheme="minorHAnsi" w:hAnsiTheme="minorHAnsi"/>
        </w:rPr>
        <w:t xml:space="preserve"> </w:t>
      </w:r>
      <w:r>
        <w:rPr>
          <w:b/>
          <w:bCs/>
          <w:sz w:val="22"/>
          <w:szCs w:val="22"/>
          <w:rFonts w:asciiTheme="minorHAnsi" w:hAnsiTheme="minorHAnsi"/>
        </w:rPr>
        <w:t xml:space="preserve">Algemene voorschriften</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b/>
          <w:sz w:val="22"/>
          <w:szCs w:val="22"/>
          <w:rFonts w:ascii="Calibri" w:eastAsia="Calibri" w:hAnsi="Calibri"/>
        </w:rPr>
      </w:pPr>
      <w:r>
        <w:rPr>
          <w:b/>
          <w:sz w:val="22"/>
          <w:szCs w:val="22"/>
          <w:rFonts w:ascii="Calibri" w:hAnsi="Calibri"/>
        </w:rPr>
        <w:t xml:space="preserve">§ 1</w:t>
        <w:br/>
        <w:t xml:space="preserve">Doel, toepassingsgebied</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bCs/>
          <w:sz w:val="22"/>
          <w:szCs w:val="22"/>
          <w:rFonts w:asciiTheme="minorHAnsi" w:eastAsia="Calibri" w:hAnsiTheme="minorHAnsi" w:cstheme="minorHAnsi"/>
        </w:rPr>
      </w:pPr>
      <w:r>
        <w:rPr>
          <w:sz w:val="22"/>
          <w:szCs w:val="22"/>
          <w:bCs/>
          <w:rFonts w:asciiTheme="minorHAnsi" w:hAnsiTheme="minorHAnsi"/>
        </w:rPr>
        <w:t xml:space="preserve">(1) </w:t>
      </w:r>
      <w:r>
        <w:rPr>
          <w:sz w:val="22"/>
          <w:szCs w:val="22"/>
          <w:bCs/>
          <w:vertAlign w:val="superscript"/>
          <w:rFonts w:asciiTheme="minorHAnsi" w:hAnsiTheme="minorHAnsi"/>
        </w:rPr>
        <w:t xml:space="preserve">1</w:t>
      </w:r>
      <w:r>
        <w:rPr>
          <w:sz w:val="22"/>
          <w:szCs w:val="22"/>
          <w:bCs/>
          <w:rFonts w:asciiTheme="minorHAnsi" w:hAnsiTheme="minorHAnsi"/>
        </w:rPr>
        <w:t xml:space="preserve">Dit reglement regelt overeenkomstig §§ 84, lid 8, 88 MStV details inzake de inhoudelijke en procedurale concretisering van de wettelijke voorschriften </w:t>
      </w:r>
      <w:r>
        <w:rPr>
          <w:sz w:val="22"/>
          <w:szCs w:val="22"/>
          <w:bCs/>
          <w:rFonts w:asciiTheme="minorHAnsi" w:hAnsiTheme="minorHAnsi"/>
        </w:rPr>
        <w:t xml:space="preserve">van hoofdstuk V,</w:t>
      </w:r>
      <w:r>
        <w:rPr>
          <w:sz w:val="22"/>
          <w:szCs w:val="22"/>
          <w:bCs/>
          <w:rFonts w:asciiTheme="minorHAnsi" w:hAnsiTheme="minorHAnsi"/>
        </w:rPr>
        <w:t xml:space="preserve"> </w:t>
      </w:r>
      <w:r>
        <w:rPr>
          <w:sz w:val="22"/>
          <w:szCs w:val="22"/>
          <w:bCs/>
          <w:rFonts w:asciiTheme="minorHAnsi" w:hAnsiTheme="minorHAnsi"/>
        </w:rPr>
        <w:t xml:space="preserve">Subhoofdstuk 2 van MStV inzake mediaplatforms en gebruikersinterfaces (§§ 78 tot en met 88 MStV).</w:t>
      </w:r>
      <w:r>
        <w:rPr>
          <w:sz w:val="22"/>
          <w:szCs w:val="22"/>
          <w:bCs/>
          <w:rFonts w:asciiTheme="minorHAnsi" w:hAnsiTheme="minorHAnsi"/>
        </w:rPr>
        <w:t xml:space="preserve"> </w:t>
      </w:r>
      <w:r>
        <w:rPr>
          <w:sz w:val="22"/>
          <w:szCs w:val="22"/>
          <w:bCs/>
          <w:vertAlign w:val="superscript"/>
          <w:rFonts w:asciiTheme="minorHAnsi" w:hAnsiTheme="minorHAnsi"/>
        </w:rPr>
        <w:t xml:space="preserve">2</w:t>
      </w:r>
      <w:r>
        <w:rPr>
          <w:sz w:val="22"/>
          <w:szCs w:val="22"/>
          <w:bCs/>
          <w:rFonts w:asciiTheme="minorHAnsi" w:hAnsiTheme="minorHAnsi"/>
        </w:rPr>
        <w:t xml:space="preserve">Het dient voor het positieve verzekeren van de diversiteit van meningen (verscheidenheid in het aanbod en de aanbieders).</w:t>
      </w:r>
      <w:r>
        <w:rPr>
          <w:sz w:val="22"/>
          <w:szCs w:val="22"/>
          <w:bCs/>
          <w:rFonts w:asciiTheme="minorHAnsi" w:hAnsiTheme="minorHAnsi"/>
        </w:rPr>
        <w:t xml:space="preserve">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sz w:val="22"/>
          <w:szCs w:val="22"/>
          <w:rFonts w:asciiTheme="minorHAnsi" w:eastAsia="Calibri" w:hAnsiTheme="minorHAnsi" w:cstheme="minorHAnsi"/>
        </w:rPr>
      </w:pPr>
      <w:r>
        <w:rPr>
          <w:sz w:val="22"/>
          <w:szCs w:val="22"/>
          <w:rFonts w:asciiTheme="minorHAnsi" w:hAnsiTheme="minorHAnsi"/>
        </w:rPr>
        <w:t xml:space="preserve">(2) </w:t>
      </w:r>
      <w:r>
        <w:rPr>
          <w:sz w:val="22"/>
          <w:szCs w:val="22"/>
          <w:vertAlign w:val="superscript"/>
          <w:rFonts w:asciiTheme="minorHAnsi" w:hAnsiTheme="minorHAnsi"/>
        </w:rPr>
        <w:t xml:space="preserve">1</w:t>
      </w:r>
      <w:r>
        <w:rPr>
          <w:sz w:val="22"/>
          <w:szCs w:val="22"/>
          <w:rFonts w:asciiTheme="minorHAnsi" w:hAnsiTheme="minorHAnsi"/>
        </w:rPr>
        <w:t xml:space="preserve">De bepalingen van dit reglement gelden voor mediaplatforms en gebruikersinterfaces.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Met uitzondering van §§ 1, 2, 3, 12 en volgende van dit reglement gelden ze niet voor mediaplatforms en gebruikersinterfaces met een gering belang voor de verscheidenheid van aanbod en meningen.</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Dat is doorgaans het geval, wanneer het mediaplatform of de gebruikersinterface de in § 78, volzin 2, punt 1 en 2 van het MStV voorziene drempels onderschrijdt.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Infrastructuurgebonden zijn mediaplatforms waarbij de aanbieder van het mediaplatform tegelijkertijd de transmissie-infrastructuur van het beginpunt tot het eindpunt van het netwerk controleert.</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De controle kan ook plaatsvinden op grond van een contractuele overeenkomst tussen de aanbieder en de eigenaar van de transmissie-infrastructuur.</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sz w:val="22"/>
          <w:szCs w:val="22"/>
          <w:rFonts w:asciiTheme="minorHAnsi" w:eastAsia="Calibri" w:hAnsiTheme="minorHAnsi" w:cstheme="minorHAnsi"/>
        </w:rPr>
      </w:pPr>
      <w:bookmarkStart w:id="1" w:name="_Hlk46137526"/>
      <w:r>
        <w:rPr>
          <w:sz w:val="22"/>
          <w:szCs w:val="22"/>
          <w:rFonts w:asciiTheme="minorHAnsi" w:hAnsiTheme="minorHAnsi"/>
        </w:rPr>
        <w:t xml:space="preserve">(4) De bepaling van de aangesloten wooneenheden voor kabelnetgebonden mediaplatforms en hun gebruikersinterfaces overeenkomstig § 78, zin 2, punt 1 MStV gebeurt volgens de volgende bepalingen:</w:t>
      </w:r>
    </w:p>
    <w:p w:rsidR="00F57DE5" w:rsidRPr="00077B73" w:rsidRDefault="00F57DE5" w:rsidP="002417C5">
      <w:pPr>
        <w:numPr>
          <w:ilvl w:val="0"/>
          <w:numId w:val="1"/>
        </w:numPr>
        <w:spacing w:after="200" w:line="276" w:lineRule="auto"/>
        <w:contextualSpacing/>
        <w:rPr>
          <w:sz w:val="22"/>
          <w:szCs w:val="22"/>
          <w:rFonts w:asciiTheme="minorHAnsi" w:eastAsia="Calibri" w:hAnsiTheme="minorHAnsi" w:cstheme="minorHAnsi"/>
        </w:rPr>
      </w:pPr>
      <w:r>
        <w:rPr>
          <w:sz w:val="22"/>
          <w:szCs w:val="22"/>
        </w:rPr>
        <w:t xml:space="preserve">alle meetellende netten van een aanbieder van een kabelnetgebonden mediaplatform worden samen beschouwd.</w:t>
      </w:r>
    </w:p>
    <w:p w:rsidR="00F57DE5" w:rsidRPr="00077B73" w:rsidRDefault="00F57DE5" w:rsidP="002417C5">
      <w:pPr>
        <w:numPr>
          <w:ilvl w:val="0"/>
          <w:numId w:val="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aangesloten wooneenheden in de zin van § 78, zin 2, punt 1 MStV zijn bij kabelnetgebonden mediaplatforms wooneenheden waarin een fysiek verbindingspunt is waarop aan een eindgebruiker de toegang tot een kabelnet ter beschikking wordt gesteld, indien er voor het verbindingspunt een overeenkomst bestaat die bepaalt dat de eindgebruiker het recht heeft om aanspraak te maken op radioprogramma’s.</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(5) Voor de bepaling van de werkelijke dagelijkse gebruikers in de zin van § 78, zin 2, punt 2 MStV gelden de volgende bepalingen:</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werkelijke dagelijkse gebruikers van een niet infrastructuurgebonden mediaplatform of een gebruikersinterface zijn gebruikers die binnen een dag het mediaplatform of de gebruikersinterface bezoeken.</w:t>
      </w:r>
      <w:r>
        <w:rPr>
          <w:sz w:val="22"/>
          <w:szCs w:val="22"/>
          <w:rFonts w:ascii="Calibri" w:hAnsi="Calibri"/>
        </w:rPr>
        <w:t xml:space="preserve"> </w:t>
      </w:r>
      <w:r>
        <w:rPr>
          <w:sz w:val="22"/>
          <w:szCs w:val="22"/>
          <w:rFonts w:ascii="Calibri" w:hAnsi="Calibri"/>
        </w:rPr>
        <w:t xml:space="preserve">Meerdere oproepen van een gebruiker moeten enkel worden geteld (unique user).</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Doorslaggevend is de oproep van het eerste selectieniveau van een mediaplatform of een gebruikersinterface.</w:t>
      </w:r>
      <w:r>
        <w:rPr>
          <w:sz w:val="22"/>
          <w:szCs w:val="22"/>
          <w:rFonts w:ascii="Calibri" w:hAnsi="Calibri"/>
        </w:rPr>
        <w:t xml:space="preserve"> </w:t>
      </w:r>
      <w:r>
        <w:rPr>
          <w:sz w:val="22"/>
          <w:szCs w:val="22"/>
          <w:rFonts w:ascii="Calibri" w:hAnsi="Calibri"/>
        </w:rPr>
        <w:t xml:space="preserve">Is het mediaplatform daarentegen een af te bakenen onderdeel van een gemengd aanbod, dan zijn de cijfers van de unique users van de afbakenbare functie doorslaggevend.</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Wordt de oproep van radioprogramma’s, radioachtige telemedia of telemedia in de zin van § 19, lid 1 van MStV uitsluitend van een registratie of een login afhankelijk gemaakt, dan is voor de meting van de unique users de oproep van het na de registratie of de login bereikbare eerste selectieniveau doorslaggevend.</w:t>
      </w:r>
      <w:r>
        <w:rPr>
          <w:sz w:val="22"/>
          <w:szCs w:val="22"/>
          <w:rFonts w:ascii="Calibri" w:hAnsi="Calibri"/>
        </w:rPr>
        <w:t xml:space="preserve"> </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Indien er geen gegevens van het werkelijke aantal dagelijkse gebruikers kunnen worden vastgesteld, wordt bij gebruikersinterfaces het aantal verkochte apparaten als basis gebruikt.</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Voor de bovenstaande berekeningen van de maandgemiddelde wordt een periode van zes maanden als basis gebruikt.</w:t>
      </w:r>
      <w:r>
        <w:rPr>
          <w:sz w:val="22"/>
          <w:szCs w:val="22"/>
          <w:rFonts w:ascii="Calibri" w:hAnsi="Calibri"/>
        </w:rPr>
        <w:t xml:space="preserve">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sz w:val="22"/>
          <w:szCs w:val="22"/>
          <w:rFonts w:asciiTheme="minorHAnsi" w:eastAsia="Calibri" w:hAnsiTheme="minorHAnsi" w:cstheme="minorHAnsi"/>
        </w:rPr>
      </w:pPr>
      <w:r>
        <w:rPr>
          <w:sz w:val="22"/>
          <w:szCs w:val="22"/>
          <w:rFonts w:asciiTheme="minorHAnsi" w:hAnsiTheme="minorHAnsi"/>
        </w:rPr>
        <w:t xml:space="preserve">(6) De aanbieder moet aantonen dat de voorwaarden van § 78, zin 2, punt 1 en 2 van MStV zijn vervuld.</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2</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Melding</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Aanbieders die een mediaplatform of gebruikersinterface willen aanbieden, moeten dit minstens een maand voor de ingebruikneming aan de bevoegde media-instantie van de deelstaat melden.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Voor zover de ingebruikneming van het aanbod niet onder de verantwoordelijkheid van de aanbieder valt, moet voor de meldingsplicht volgens zin 1 worden afgestemd op het ogenblik waarop het aanbod in omloop wordt gebracht.</w:t>
      </w:r>
      <w:r>
        <w:rPr>
          <w:sz w:val="22"/>
          <w:szCs w:val="22"/>
          <w:rFonts w:asciiTheme="minorHAnsi" w:hAnsiTheme="minorHAnsi"/>
        </w:rPr>
        <w:t xml:space="preserve">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(2) In het kader van de melding moeten met name de volgende gegevens en documenten worden verstrekt:</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voorstelling van het aanbod; dit omvat ook gegevens over de infrastructuurgebondenheid van het mediaplatform respectievelijk de gegevens of het om een gebruikersinterface van een infrastructuurgebonden mediaplatform gaat.</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benaming van de natuurlijke persoon of rechtspersoon van de aanbieder van het mediaplatform of de gebruikersinterface alsook de woonplaats of zetel,</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voorlegging van een wettelijk bewijs van goed gedrag ter voorlegging bij een instantie of een vergelijkbaar buitenlands document voor de persoon van de aanbieder van het mediaplatform of de gebruikersinterface respectievelijk de hem wettelijk of statutair vertegenwoordigende persoon, dat bij voorlegging niet ouder dan een half jaar is.</w:t>
      </w:r>
      <w:r>
        <w:rPr>
          <w:sz w:val="22"/>
          <w:szCs w:val="22"/>
          <w:rFonts w:ascii="Calibri" w:hAnsi="Calibri"/>
        </w:rPr>
        <w:t xml:space="preserve"> </w:t>
      </w:r>
      <w:r>
        <w:rPr>
          <w:sz w:val="22"/>
          <w:szCs w:val="22"/>
          <w:rFonts w:ascii="Calibri" w:hAnsi="Calibri"/>
        </w:rPr>
        <w:t xml:space="preserve">Bij meerdere wettelijke of statutaire vertegenwoordigers volstaat de voorlegging van een document zoals bedoeld in zin 1 voor de vertegenwoordigers die verantwoordelijk zijn voor de selectie van de aanbiedingen of de vormgeving van het overzicht.</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Gegevens over het technische en te verwachten gebruiksbereik.</w:t>
      </w:r>
      <w:r>
        <w:rPr>
          <w:sz w:val="22"/>
          <w:szCs w:val="22"/>
          <w:rFonts w:ascii="Calibri" w:hAnsi="Calibri"/>
        </w:rPr>
        <w:t xml:space="preserve"> </w:t>
      </w:r>
      <w:r>
        <w:rPr>
          <w:sz w:val="22"/>
          <w:szCs w:val="22"/>
          <w:rFonts w:ascii="Calibri" w:hAnsi="Calibri"/>
        </w:rPr>
        <w:t xml:space="preserve">Hiertoe behoren in het bijzonder de vereiste gegevens voor de controle van § 78, zin 2 van MStV alsook § 1, lid 4 tot en met 6 van dit reglement.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(3) Indien de aanbieder van het mediaplatform of de gebruikersinterface geen woonplaats of zetel in Duitsland, een andere lidstaat van de Europese Unie of een andere lidstaat van het EER-verdrag heeft, dan moet hij in het kader van de melding een gevolmachtigde aanduiden overeenkomstig § 79 lid 1, zin 2 van MStV met voorlegging van een document overeenkomstig lid 2, punt 3.</w:t>
      </w:r>
      <w:r>
        <w:rPr>
          <w:sz w:val="22"/>
          <w:szCs w:val="22"/>
          <w:rFonts w:asciiTheme="minorHAnsi" w:hAnsiTheme="minorHAnsi"/>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(4) De bevoegde media-instantie kan daarnaast vragen om andere documenten en gegevens te verstrekken die noodzakelijk zijn voor de beoordeling van de aangifte.</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3</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Signaalintegriteit, wisselingen en schalering</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(1) Er is ook sprake van een technische verandering in de zin van § 80, lid 1, punt 1 van MStV, wanneer technisch ter beschikking gestelde HbbTV-signalen van aanbieders van mediaplatforms niet worden doorgestuurd.</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bookmarkStart w:id="2" w:name="_Hlk49412973"/>
      <w:r>
        <w:rPr>
          <w:sz w:val="22"/>
          <w:szCs w:val="22"/>
          <w:rFonts w:asciiTheme="minorHAnsi" w:hAnsiTheme="minorHAnsi"/>
        </w:rPr>
        <w:t xml:space="preserve">(2) Een wisseling in de zin van § 80, lid 1, punt 2 van MStV is gelijk aan akoestische of visuele invoegingen die chronologisch direct na de keuze door de gebruiker en voor het begin van het radioprogramma plaatsvinden (pre-roll).</w:t>
      </w:r>
      <w:r>
        <w:rPr>
          <w:sz w:val="22"/>
          <w:szCs w:val="22"/>
          <w:rFonts w:asciiTheme="minorHAnsi" w:hAnsiTheme="minorHAnsi"/>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Een individueel initiatief in de zin van § 80, lid 2, zin 2 en 3 MStV gebeurt door een eenduidige handeling van de gebruiker, waarmee vrijwillig, voor de concrete gebruikssituatie en ondubbelzinnig wordt duidelijk gemaakt dat de gebruiker de wisseling of schaalverandering wil activeren.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Dat is vooral het geval, wanneer de gebruiker dienovereenkomstig aangeduide visuele of akoestische bedieningselementen gebruikt om de wisseling of schaalverandering te activeren.</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Hoofdstuk 2:</w:t>
      </w:r>
      <w:r>
        <w:rPr>
          <w:b/>
          <w:bCs/>
          <w:sz w:val="22"/>
          <w:szCs w:val="22"/>
          <w:rFonts w:asciiTheme="minorHAnsi" w:hAnsiTheme="minorHAnsi"/>
        </w:rPr>
        <w:t xml:space="preserve"> </w:t>
      </w:r>
      <w:r>
        <w:rPr>
          <w:b/>
          <w:bCs/>
          <w:sz w:val="22"/>
          <w:szCs w:val="22"/>
          <w:rFonts w:asciiTheme="minorHAnsi" w:hAnsiTheme="minorHAnsi"/>
        </w:rPr>
        <w:t xml:space="preserve">Bezettingsvoorschriften</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4</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Bezettingsvoorschriften voor infrastructuurgebonden mediaplatforms</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Een gepaste inachtneming van de aanbiedingen volgens § 81, lid 2, zin 1, punt 1, onder b) en c) van MStV alsook § 81, lid 3, zin 1, punt 1, onder b) van MStV veronderstelt dat</w:t>
      </w:r>
    </w:p>
    <w:p w:rsidR="00590EAA"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wordt aangetoond dat de capaciteit voor de bezetting volgens zin 1, punt 1 niet volstaat om de verspreidingsverplichtingen volgens § 81, lid 2, zin 1, punt 1 van MStV alsook volgens § 81, lid 3, zin 1, punt 1 van MStV volledig te vervullen;</w:t>
      </w:r>
    </w:p>
    <w:p w:rsidR="00590EAA"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programma’s die in verschillende standaarden worden verspreid, slechts eenmalig worden aangerekend;</w:t>
      </w:r>
    </w:p>
    <w:p w:rsidR="00590EAA"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programma’s volgens § 81, lid 2, zin 1, punt 1 van MStV en § 81, lid 3, zin 1, punt 1 van MStV, die niet wettelijk zijn bepaald voor het desbetreffende verspreidingsgebied, ondergeschikt aan aanbiedingen volgens § 81, lid 2, zin 1, punt 1, onder b) en c) van MStV alsook § 81, lid 3, zin 1, punt 1, onder b) van MStV worden verspreid;</w:t>
      </w:r>
      <w:r>
        <w:rPr>
          <w:sz w:val="22"/>
          <w:szCs w:val="22"/>
          <w:rFonts w:ascii="Calibri" w:hAnsi="Calibri"/>
        </w:rPr>
        <w:t xml:space="preserve"> </w:t>
      </w:r>
    </w:p>
    <w:p w:rsidR="002C35D6"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Aanbiedingen volgens § 81, lid 2, zin 1, punt 1, onder b) en c) van MStV alsook § 81, lid 3, zin 1, punt 1, onder b) van MStV niet volledig worden verdrongen.</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b/>
          <w:sz w:val="22"/>
          <w:szCs w:val="22"/>
          <w:rFonts w:asciiTheme="minorHAnsi" w:eastAsia="Calibri" w:hAnsiTheme="minorHAnsi" w:cstheme="minorHAnsi"/>
        </w:rPr>
      </w:pPr>
      <w:r>
        <w:rPr>
          <w:b/>
          <w:sz w:val="22"/>
          <w:szCs w:val="22"/>
          <w:rFonts w:asciiTheme="minorHAnsi" w:hAnsiTheme="minorHAnsi"/>
        </w:rPr>
        <w:t xml:space="preserve">Hoofdstuk 3:</w:t>
      </w:r>
      <w:r>
        <w:rPr>
          <w:b/>
          <w:sz w:val="22"/>
          <w:szCs w:val="22"/>
          <w:rFonts w:asciiTheme="minorHAnsi" w:hAnsiTheme="minorHAnsi"/>
        </w:rPr>
        <w:t xml:space="preserve"> </w:t>
      </w:r>
      <w:r>
        <w:rPr>
          <w:b/>
          <w:sz w:val="22"/>
          <w:szCs w:val="22"/>
          <w:rFonts w:asciiTheme="minorHAnsi" w:hAnsiTheme="minorHAnsi"/>
        </w:rPr>
        <w:t xml:space="preserve">Toegangsvoorwaarden voor mediaplatforms</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5</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Gelijke kansen</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(1) Aanbieders van mediaplatforms moeten de toegang tot hun mediaplatforms zo aanbieden dat aanbiedingen in het kader van § 82, lid 2 van MStV noch rechtstreeks noch onrechtstreeks op onbillijke wijze worden gehinderd bij de verspreiding of verkoop.</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(2) De onbillijkheid van hinder moet worden vastgesteld na uitgebreide afweging van de belangen van de betrokkenen en met inachtneming van de op het verzekeren van de diversiteit van meningen en aanbod gerichte doelstelling van de MStV en dit reglement.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(3) Er is in het bijzonder sprake van onbillijke hinder wanneer mediaplatforms in het kader van het technisch mogelijke en economisch haalbare geen realistische kans op toegang bieden of de toegangsvoorwaarden tot een structurele benadeling van aanbiedingen volgens § 82, lid 2 van MStV leiden.</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6</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Niet-discriminatie</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Aanbieders van mediaplatforms mogen aanbiedingen in het kader van § 82, lid 2 van MStV niet zonder feitelijk gerechtvaardigde reden anders behandelen dan soortgelijke aanbiedingen.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Dat geldt in het bijzonder wanneer een aanbieder van een mediaplatform die toegang tot mediaplatforms een aanbod overeenkomstig § 82, lid 2 van MStV tegen andere toegangsvoorwaarden aanbiedt dan een bedrijf dat bij de aanbieder van het mediaplatform moet worden gerekend, tenzij hiervoor een feitelijk gerechtvaardigde reden is.</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Bedrijven waarmee aanbieders van mediaplatforms rechtstreeks of onrechtstreeks zijn verbonden door participatie of op andere wijze, moeten worden meegeteld.</w:t>
      </w:r>
      <w:r>
        <w:rPr>
          <w:sz w:val="22"/>
          <w:szCs w:val="22"/>
          <w:rFonts w:asciiTheme="minorHAnsi" w:hAnsiTheme="minorHAnsi"/>
        </w:rPr>
        <w:t xml:space="preserve"> </w:t>
      </w:r>
      <w:r>
        <w:rPr>
          <w:sz w:val="22"/>
          <w:szCs w:val="22"/>
          <w:rFonts w:asciiTheme="minorHAnsi" w:hAnsiTheme="minorHAnsi"/>
        </w:rPr>
        <w:t xml:space="preserve">§ 62 van MStV moet dienovereenkomstig worden toegepast.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(2) De feitelijk gerechtvaardigde reden voor een ongelijke behandeling moet in overeenstemming zijn met het hoofddoel van het verzekeren van de diversiteit van meningen.</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7</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Systemen voor toegangsrechten</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(1) Een systeem voor toegangsrechten is</w:t>
      </w:r>
      <w:r>
        <w:rPr>
          <w:sz w:val="22"/>
          <w:szCs w:val="22"/>
          <w:rFonts w:asciiTheme="minorHAnsi" w:hAnsiTheme="minorHAnsi"/>
        </w:rPr>
        <w:t xml:space="preserve"> </w:t>
      </w:r>
    </w:p>
    <w:p w:rsidR="00F57DE5" w:rsidRPr="00077B73" w:rsidRDefault="00F57DE5" w:rsidP="002417C5">
      <w:pPr>
        <w:numPr>
          <w:ilvl w:val="0"/>
          <w:numId w:val="4"/>
        </w:numPr>
        <w:spacing w:after="200" w:line="276" w:lineRule="auto"/>
        <w:contextualSpacing/>
        <w:rPr>
          <w:sz w:val="22"/>
          <w:szCs w:val="22"/>
          <w:rFonts w:ascii="Calibri" w:eastAsia="Calibri" w:hAnsi="Calibri"/>
        </w:rPr>
      </w:pPr>
      <w:r>
        <w:rPr>
          <w:sz w:val="22"/>
          <w:szCs w:val="22"/>
          <w:rFonts w:ascii="Calibri" w:hAnsi="Calibri"/>
        </w:rPr>
        <w:t xml:space="preserve">iedere technische maatregel,</w:t>
      </w:r>
      <w:r>
        <w:rPr>
          <w:sz w:val="22"/>
          <w:szCs w:val="22"/>
          <w:rFonts w:ascii="Calibri" w:hAnsi="Calibri"/>
        </w:rPr>
        <w:t xml:space="preserve"> </w:t>
      </w:r>
    </w:p>
    <w:p w:rsidR="00F57DE5" w:rsidRPr="00077B73" w:rsidRDefault="00F57DE5" w:rsidP="002417C5">
      <w:pPr>
        <w:numPr>
          <w:ilvl w:val="0"/>
          <w:numId w:val="4"/>
        </w:numPr>
        <w:spacing w:after="200" w:line="276" w:lineRule="auto"/>
        <w:contextualSpacing/>
        <w:rPr>
          <w:sz w:val="22"/>
          <w:szCs w:val="22"/>
          <w:rFonts w:ascii="Calibri" w:eastAsia="Calibri" w:hAnsi="Calibri"/>
        </w:rPr>
      </w:pPr>
      <w:r>
        <w:rPr>
          <w:sz w:val="22"/>
          <w:szCs w:val="22"/>
          <w:rFonts w:ascii="Calibri" w:hAnsi="Calibri"/>
        </w:rPr>
        <w:t xml:space="preserve">ieder authentificatiesysteem en/of</w:t>
      </w:r>
      <w:r>
        <w:rPr>
          <w:sz w:val="22"/>
          <w:szCs w:val="22"/>
          <w:rFonts w:ascii="Calibri" w:hAnsi="Calibri"/>
        </w:rPr>
        <w:t xml:space="preserve"> </w:t>
      </w:r>
    </w:p>
    <w:p w:rsidR="00F57DE5" w:rsidRPr="00077B73" w:rsidRDefault="00F57DE5" w:rsidP="002417C5">
      <w:pPr>
        <w:numPr>
          <w:ilvl w:val="0"/>
          <w:numId w:val="4"/>
        </w:numPr>
        <w:spacing w:after="200" w:line="276" w:lineRule="auto"/>
        <w:contextualSpacing/>
        <w:rPr>
          <w:sz w:val="22"/>
          <w:szCs w:val="22"/>
          <w:rFonts w:ascii="Calibri" w:eastAsia="Calibri" w:hAnsi="Calibri"/>
        </w:rPr>
      </w:pPr>
      <w:r>
        <w:rPr>
          <w:sz w:val="22"/>
          <w:szCs w:val="22"/>
          <w:rFonts w:ascii="Calibri" w:hAnsi="Calibri"/>
        </w:rPr>
        <w:t xml:space="preserve">iedere inrichting,</w:t>
      </w:r>
      <w:r>
        <w:rPr>
          <w:sz w:val="22"/>
          <w:szCs w:val="22"/>
          <w:rFonts w:ascii="Calibri" w:hAnsi="Calibri"/>
        </w:rPr>
        <w:t xml:space="preserve"> </w:t>
      </w:r>
    </w:p>
    <w:p w:rsidR="00F57DE5" w:rsidRPr="00077B73" w:rsidRDefault="00F57DE5"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die de toegang tot een beveiligde radio- of televisiedienst in onversleutelde vorm afhankelijk maakt van een abonnement of een andere vorm van de voorafgaande individuele toelating.</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(2) Voor systemen voor toegangsrechten in de zin van § 82, lid 2, punt 1 van MStV geldt dat voor alle gerechtigden het gebruik van de vereiste technische diensten voor het gebruik van deze systemen mogelijk moet worden gemaakt alsook de daarvoor vereiste informatie inzake gelijke kansen, gepaste en niet-discriminerende voorwaarden moet worden verstrekt.</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8</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Toegang</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(1) De ontwikkeling van de toegangsvoorwaarden in de zin van §§ 82, lid 2, punt 4, § 83, lid 2 van MStV omvat in het bijzonder de manier waarop een aanbieder van mediaplatforms door financiële en technische voorschriften de toegang tot een aanbod in de zin van § 82, lid 2 van MStV voor het mediaplatform bepaalt.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(2) Indien een omroep toegang wenst tot een mediaplatform, dan moeten bij de controle van niet-discriminiatie en gelijke kansen alle financiële prestaties die in rechtstreeks of onrechtstreeks feitelijk verband met de toegang plaatsvinden of moeten plaatsvinden, worden bekeken.</w:t>
      </w:r>
      <w:r>
        <w:rPr>
          <w:sz w:val="22"/>
          <w:szCs w:val="22"/>
          <w:rFonts w:asciiTheme="minorHAnsi" w:hAnsiTheme="minorHAnsi"/>
        </w:rPr>
        <w:t xml:space="preserve"> </w:t>
      </w:r>
      <w:r>
        <w:rPr>
          <w:sz w:val="22"/>
          <w:szCs w:val="22"/>
          <w:rFonts w:asciiTheme="minorHAnsi" w:hAnsiTheme="minorHAnsi"/>
        </w:rPr>
        <w:t xml:space="preserve">Hiertoe behoren in het bijzonder</w:t>
      </w:r>
    </w:p>
    <w:p w:rsidR="00F57DE5" w:rsidRPr="00077B73" w:rsidRDefault="00F57DE5" w:rsidP="002417C5">
      <w:pPr>
        <w:numPr>
          <w:ilvl w:val="0"/>
          <w:numId w:val="5"/>
        </w:numPr>
        <w:spacing w:after="200" w:line="276" w:lineRule="auto"/>
        <w:contextualSpacing/>
        <w:rPr>
          <w:sz w:val="22"/>
          <w:szCs w:val="22"/>
          <w:rFonts w:ascii="Calibri" w:eastAsia="Calibri" w:hAnsi="Calibri"/>
        </w:rPr>
      </w:pPr>
      <w:r>
        <w:rPr>
          <w:sz w:val="22"/>
          <w:szCs w:val="22"/>
          <w:rFonts w:ascii="Calibri" w:hAnsi="Calibri"/>
        </w:rPr>
        <w:t xml:space="preserve">vergoedingen en tarieven die de aanbieder van een mediaplatform voor toegangsgecontroleerde omroepen heft of wil heffen,</w:t>
      </w:r>
    </w:p>
    <w:p w:rsidR="00F57DE5" w:rsidRPr="00077B73" w:rsidRDefault="00F57DE5" w:rsidP="002417C5">
      <w:pPr>
        <w:numPr>
          <w:ilvl w:val="0"/>
          <w:numId w:val="5"/>
        </w:numPr>
        <w:spacing w:after="200" w:line="276" w:lineRule="auto"/>
        <w:contextualSpacing/>
        <w:rPr>
          <w:sz w:val="22"/>
          <w:szCs w:val="22"/>
          <w:rFonts w:ascii="Calibri" w:eastAsia="Calibri" w:hAnsi="Calibri"/>
        </w:rPr>
      </w:pPr>
      <w:r>
        <w:rPr>
          <w:sz w:val="22"/>
          <w:szCs w:val="22"/>
          <w:rFonts w:ascii="Calibri" w:hAnsi="Calibri"/>
        </w:rPr>
        <w:t xml:space="preserve">vergoedingen die de aanbieder van een mediaplatform op grond van de signaaloverdracht aan de omroep betaalt of contractueel moet betalen, inclusief terugstroming in HD-CPS modellen.</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sz w:val="22"/>
          <w:szCs w:val="22"/>
          <w:rFonts w:asciiTheme="minorHAnsi" w:eastAsia="Calibri" w:hAnsiTheme="minorHAnsi" w:cstheme="minorHAnsi"/>
        </w:rPr>
      </w:pPr>
      <w:bookmarkStart w:id="3" w:name="_Hlk46133246"/>
      <w:r>
        <w:rPr>
          <w:sz w:val="22"/>
          <w:szCs w:val="22"/>
          <w:rFonts w:asciiTheme="minorHAnsi" w:hAnsiTheme="minorHAnsi"/>
        </w:rPr>
        <w:t xml:space="preserve">(3) Indien vereist voor de beoordeling van de toegangssituatie, kunnen bijkomend ook overeenkomsten over de toekenning en vergoeding van rechten die de aanbieder van een mediaplatform op grond van auteurs- of merkrechten met de omroep sluit of wil sluiten, in de vereiste globale beschouwing worden opgenomen.</w:t>
      </w:r>
      <w:r>
        <w:rPr>
          <w:sz w:val="22"/>
          <w:szCs w:val="22"/>
          <w:rFonts w:asciiTheme="minorHAnsi" w:hAnsiTheme="minorHAnsi"/>
        </w:rPr>
        <w:t xml:space="preserve"> </w:t>
      </w:r>
      <w:r>
        <w:rPr>
          <w:sz w:val="22"/>
          <w:szCs w:val="22"/>
          <w:rFonts w:asciiTheme="minorHAnsi" w:hAnsiTheme="minorHAnsi"/>
        </w:rPr>
        <w:t xml:space="preserve">De voorschriften van UrhG, UrhWahrG en GWB alsook die hiermee gepaard gaande bevoegdheden blijven onverminderd van kracht.</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b/>
          <w:sz w:val="22"/>
          <w:szCs w:val="22"/>
          <w:rFonts w:ascii="Calibri" w:eastAsia="Calibri" w:hAnsi="Calibri"/>
        </w:rPr>
      </w:pPr>
      <w:r>
        <w:rPr>
          <w:b/>
          <w:sz w:val="22"/>
          <w:szCs w:val="22"/>
          <w:rFonts w:ascii="Calibri" w:hAnsi="Calibri"/>
        </w:rPr>
        <w:t xml:space="preserve">§ 9</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Openbaarmaking</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(1) Aanbieders van mediaplatforms zijn verplicht</w:t>
      </w:r>
      <w:r>
        <w:rPr>
          <w:sz w:val="22"/>
          <w:szCs w:val="22"/>
          <w:rFonts w:asciiTheme="minorHAnsi" w:hAnsiTheme="minorHAnsi"/>
        </w:rPr>
        <w:t xml:space="preserve"> </w:t>
      </w:r>
    </w:p>
    <w:p w:rsidR="00CC7F6D" w:rsidRPr="00077B73" w:rsidRDefault="00CC7F6D" w:rsidP="002417C5">
      <w:pPr>
        <w:numPr>
          <w:ilvl w:val="0"/>
          <w:numId w:val="10"/>
        </w:numPr>
        <w:spacing w:after="200" w:line="276" w:lineRule="auto"/>
        <w:contextualSpacing/>
        <w:rPr>
          <w:sz w:val="22"/>
          <w:szCs w:val="22"/>
          <w:rFonts w:ascii="Calibri" w:eastAsia="Calibri" w:hAnsi="Calibri"/>
        </w:rPr>
      </w:pPr>
      <w:r>
        <w:rPr>
          <w:sz w:val="22"/>
          <w:szCs w:val="22"/>
          <w:rFonts w:ascii="Calibri" w:hAnsi="Calibri"/>
        </w:rPr>
        <w:t xml:space="preserve">om bij het overschrijden van de in § 78 van MStV genoemde reguleringsdrempels toegangsvoorwaarden in de zin van § 82, lid 2 van MStV en § 8</w:t>
      </w:r>
      <w:r>
        <w:rPr>
          <w:sz w:val="22"/>
          <w:szCs w:val="22"/>
          <w:rFonts w:ascii="Calibri" w:hAnsi="Calibri"/>
        </w:rPr>
        <w:t xml:space="preserve"> </w:t>
      </w:r>
    </w:p>
    <w:p w:rsidR="00CC7F6D" w:rsidRPr="00077B73" w:rsidRDefault="00CC7F6D" w:rsidP="002417C5">
      <w:pPr>
        <w:numPr>
          <w:ilvl w:val="0"/>
          <w:numId w:val="10"/>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 het geval van § 81, lid 2, zin 2 van MStV gegevens over de voor de digitale verspreiding van televisieprogramma’s of van radio ter beschikking staande totale capaciteit</w:t>
      </w:r>
    </w:p>
    <w:p w:rsidR="00CC7F6D" w:rsidRPr="00077B73" w:rsidRDefault="00CC7F6D" w:rsidP="00CC7F6D">
      <w:pPr>
        <w:spacing w:after="200" w:line="276" w:lineRule="auto"/>
        <w:ind w:left="360"/>
        <w:contextualSpacing/>
        <w:rPr>
          <w:sz w:val="22"/>
          <w:szCs w:val="22"/>
          <w:rFonts w:asciiTheme="minorHAnsi" w:eastAsia="Calibri" w:hAnsiTheme="minorHAnsi" w:cstheme="minorHAnsi"/>
        </w:rPr>
      </w:pPr>
      <w:r>
        <w:rPr>
          <w:sz w:val="22"/>
          <w:szCs w:val="22"/>
          <w:rFonts w:asciiTheme="minorHAnsi" w:hAnsiTheme="minorHAnsi"/>
        </w:rPr>
        <w:t xml:space="preserve">op aanvraag mee te delen aan de bevoegde media-instantie van de deelstaat.</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sz w:val="22"/>
          <w:szCs w:val="22"/>
          <w:rFonts w:asciiTheme="minorHAnsi" w:eastAsia="Calibri" w:hAnsiTheme="minorHAnsi" w:cstheme="minorHAnsi"/>
        </w:rPr>
      </w:pPr>
      <w:r>
        <w:rPr>
          <w:sz w:val="22"/>
          <w:szCs w:val="22"/>
          <w:rFonts w:asciiTheme="minorHAnsi" w:hAnsiTheme="minorHAnsi"/>
        </w:rPr>
        <w:t xml:space="preserve">(2) De mededeling dient te gebeuren door voorlegging van geschikte documenten.</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(3) De mededeling moet in het bijzonder gegevens over de volgende punten bevatten:</w:t>
      </w: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 het geval van lid 1, punt 1</w:t>
      </w:r>
    </w:p>
    <w:p w:rsidR="00CC7F6D" w:rsidRPr="00077B73" w:rsidRDefault="00CC7F6D" w:rsidP="002417C5">
      <w:pPr>
        <w:numPr>
          <w:ilvl w:val="0"/>
          <w:numId w:val="1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alle technische parameters en technische kadervoorwaarden die nodig zijn voor de beoordeling van de toegang volgens § 82, lid 2, punt 1 en 2 van MStV,</w:t>
      </w:r>
    </w:p>
    <w:p w:rsidR="00CC7F6D" w:rsidRPr="00077B73" w:rsidRDefault="00CC7F6D" w:rsidP="002417C5">
      <w:pPr>
        <w:numPr>
          <w:ilvl w:val="0"/>
          <w:numId w:val="1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de door aanbieders van mediaplatforms gevraagde vergoedingen en tarieven, inclusief de basisgegevens voor de berekening en bedrijfseconomische veronderstellingen,</w:t>
      </w:r>
    </w:p>
    <w:p w:rsidR="00CC7F6D" w:rsidRPr="00077B73" w:rsidRDefault="00CC7F6D" w:rsidP="002417C5">
      <w:pPr>
        <w:numPr>
          <w:ilvl w:val="0"/>
          <w:numId w:val="1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een beschrijving van het toegepaste vergoedingssysteem.</w:t>
      </w: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 het geval van lid 1, punt 2</w:t>
      </w:r>
      <w:r>
        <w:rPr>
          <w:sz w:val="22"/>
          <w:szCs w:val="22"/>
          <w:rFonts w:asciiTheme="minorHAnsi" w:hAnsiTheme="minorHAnsi"/>
        </w:rPr>
        <w:t xml:space="preserve"> </w:t>
      </w:r>
    </w:p>
    <w:p w:rsidR="00CC7F6D" w:rsidRPr="00077B73" w:rsidRDefault="00CC7F6D" w:rsidP="002417C5">
      <w:pPr>
        <w:numPr>
          <w:ilvl w:val="0"/>
          <w:numId w:val="12"/>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informatie over welke mogelijkheden zijn benut voor een efficiënt gebruik van de capaciteiten;</w:t>
      </w:r>
    </w:p>
    <w:p w:rsidR="00CC7F6D" w:rsidRPr="00077B73" w:rsidRDefault="00CC7F6D" w:rsidP="002417C5">
      <w:pPr>
        <w:numPr>
          <w:ilvl w:val="0"/>
          <w:numId w:val="12"/>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of en in welke verschillende verspreidingsstandaarden een programma wordt verspreid.</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b/>
          <w:sz w:val="22"/>
          <w:szCs w:val="22"/>
          <w:rFonts w:asciiTheme="minorHAnsi" w:eastAsia="Calibri" w:hAnsiTheme="minorHAnsi" w:cstheme="minorHAnsi"/>
        </w:rPr>
      </w:pPr>
      <w:r>
        <w:rPr>
          <w:b/>
          <w:sz w:val="22"/>
          <w:szCs w:val="22"/>
          <w:rFonts w:asciiTheme="minorHAnsi" w:hAnsiTheme="minorHAnsi"/>
        </w:rPr>
        <w:t xml:space="preserve">Hoofdstuk 4:</w:t>
      </w:r>
      <w:r>
        <w:rPr>
          <w:b/>
          <w:sz w:val="22"/>
          <w:szCs w:val="22"/>
          <w:rFonts w:asciiTheme="minorHAnsi" w:hAnsiTheme="minorHAnsi"/>
        </w:rPr>
        <w:t xml:space="preserve"> </w:t>
      </w:r>
      <w:r>
        <w:rPr>
          <w:b/>
          <w:sz w:val="22"/>
          <w:szCs w:val="22"/>
          <w:rFonts w:asciiTheme="minorHAnsi" w:hAnsiTheme="minorHAnsi"/>
        </w:rPr>
        <w:t xml:space="preserve">Regelingen voor gebruikersinterfaces</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b/>
          <w:sz w:val="22"/>
          <w:szCs w:val="22"/>
          <w:rFonts w:ascii="Calibri" w:eastAsia="Calibri" w:hAnsi="Calibri"/>
        </w:rPr>
      </w:pPr>
      <w:bookmarkStart w:id="4" w:name="_Hlk46133330"/>
      <w:r>
        <w:rPr>
          <w:b/>
          <w:sz w:val="22"/>
          <w:szCs w:val="22"/>
          <w:rFonts w:ascii="Calibri" w:hAnsi="Calibri"/>
        </w:rPr>
        <w:t xml:space="preserve">§ 10</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Vindbaarheid in gebruikersinterfaces</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sz w:val="22"/>
          <w:szCs w:val="22"/>
          <w:rFonts w:asciiTheme="minorHAnsi" w:eastAsia="Calibri" w:hAnsiTheme="minorHAnsi" w:cstheme="minorHAnsi"/>
        </w:rPr>
      </w:pPr>
      <w:bookmarkStart w:id="5" w:name="_Hlk46133556"/>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Doorslaggevend voor de vindbaarheid van aanbiedingen en inhoud in gebruikersinterfaces zijn vooral de sortering, plaatsing en presentatie van aanbiedingen en inhoud evenals andere weergaven in tekstuele, grafische en akoestische vorm die voor de vindbaarheid dienen.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Aanbiedingen zijn afzonderlijke radioprogramma’s, radioachtige telemedia, telemedia volgens § 19, lid 1 van MStV alsook volledige softwaregebaseerde toepassingen die in wezen dienen voor de directe aansturing van de voornoemde aanbiedingen.</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Inhoud zijn afbakenbare, in het bijzonder afzonderlijk aangeduide of waarneembare delen van aanbiedingen zoals uitzendingen.</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sz w:val="22"/>
          <w:szCs w:val="22"/>
          <w:rFonts w:asciiTheme="minorHAnsi" w:eastAsia="Calibri" w:hAnsiTheme="minorHAnsi" w:cstheme="minorHAnsi"/>
        </w:rPr>
      </w:pPr>
      <w:r>
        <w:rPr>
          <w:sz w:val="22"/>
          <w:szCs w:val="22"/>
          <w:rFonts w:asciiTheme="minorHAnsi" w:hAnsiTheme="minorHAnsi"/>
        </w:rPr>
        <w:t xml:space="preserve">(2) Met betrekking tot de eisen aan de vindbaarheid in en de bediening van gebruikersinterfaces is in de volgende regelingen het begrip van een gemiddelde gebruiker doorslaggevend, die niet over specifieke technische kennis beschikt.</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Soortgelijke aanbiedingen of inhoud moeten met gelijke kansen en vrij van discriminatie te vinden zijn.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Een ongelijke behandeling is alleen toegestaan wanneer hiervoor een verifieerbare feitelijke reden is die niet in strijd is met het doel van het verzekeren van de diversiteit.</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Toegelaten criteria voor de sortering of plaatsing van aanbiedingen en inhoud zijn in het bijzonder:</w:t>
      </w:r>
    </w:p>
    <w:p w:rsidR="00F57DE5" w:rsidRPr="00077B73" w:rsidRDefault="00F57DE5" w:rsidP="002417C5">
      <w:pPr>
        <w:numPr>
          <w:ilvl w:val="0"/>
          <w:numId w:val="6"/>
        </w:numPr>
        <w:spacing w:after="200" w:line="276" w:lineRule="auto"/>
        <w:contextualSpacing/>
        <w:rPr>
          <w:sz w:val="22"/>
          <w:szCs w:val="22"/>
          <w:rFonts w:ascii="Calibri" w:eastAsia="Calibri" w:hAnsi="Calibri"/>
        </w:rPr>
      </w:pPr>
      <w:r>
        <w:rPr>
          <w:sz w:val="22"/>
          <w:szCs w:val="22"/>
          <w:rFonts w:ascii="Calibri" w:hAnsi="Calibri"/>
        </w:rPr>
        <w:t xml:space="preserve">alfabetisch,</w:t>
      </w:r>
    </w:p>
    <w:p w:rsidR="00F57DE5" w:rsidRPr="00077B73" w:rsidRDefault="00F57DE5" w:rsidP="002417C5">
      <w:pPr>
        <w:numPr>
          <w:ilvl w:val="0"/>
          <w:numId w:val="6"/>
        </w:numPr>
        <w:spacing w:after="200" w:line="276" w:lineRule="auto"/>
        <w:contextualSpacing/>
        <w:rPr>
          <w:sz w:val="22"/>
          <w:szCs w:val="22"/>
          <w:rFonts w:ascii="Calibri" w:eastAsia="Calibri" w:hAnsi="Calibri"/>
        </w:rPr>
      </w:pPr>
      <w:r>
        <w:rPr>
          <w:sz w:val="22"/>
          <w:szCs w:val="22"/>
          <w:rFonts w:ascii="Calibri" w:hAnsi="Calibri"/>
        </w:rPr>
        <w:t xml:space="preserve">genres zoals informatie, vorming, cultuur, regionaal of entertainment of</w:t>
      </w:r>
    </w:p>
    <w:p w:rsidR="00F57DE5" w:rsidRPr="00077B73" w:rsidRDefault="00F57DE5" w:rsidP="002417C5">
      <w:pPr>
        <w:numPr>
          <w:ilvl w:val="0"/>
          <w:numId w:val="6"/>
        </w:numPr>
        <w:spacing w:after="200" w:line="276" w:lineRule="auto"/>
        <w:contextualSpacing/>
        <w:rPr>
          <w:sz w:val="22"/>
          <w:szCs w:val="22"/>
          <w:rFonts w:ascii="Calibri" w:eastAsia="Calibri" w:hAnsi="Calibri"/>
        </w:rPr>
      </w:pPr>
      <w:r>
        <w:rPr>
          <w:sz w:val="22"/>
          <w:szCs w:val="22"/>
          <w:rFonts w:ascii="Calibri" w:hAnsi="Calibri"/>
        </w:rPr>
        <w:t xml:space="preserve">gebruiksbereik.</w:t>
      </w:r>
    </w:p>
    <w:p w:rsidR="002643CD" w:rsidRPr="00077B73" w:rsidRDefault="00C74DCA" w:rsidP="00077B73">
      <w:pPr>
        <w:keepNext/>
        <w:spacing w:line="276" w:lineRule="auto"/>
        <w:rPr>
          <w:sz w:val="22"/>
          <w:szCs w:val="22"/>
          <w:rFonts w:asciiTheme="minorHAnsi" w:eastAsia="Calibri" w:hAnsiTheme="minorHAnsi" w:cstheme="minorHAnsi"/>
        </w:rPr>
      </w:pPr>
      <w:r>
        <w:rPr>
          <w:sz w:val="22"/>
          <w:szCs w:val="22"/>
          <w:vertAlign w:val="superscript"/>
          <w:rFonts w:asciiTheme="minorHAnsi" w:hAnsiTheme="minorHAnsi"/>
        </w:rPr>
        <w:t xml:space="preserve">4</w:t>
      </w:r>
      <w:r>
        <w:rPr>
          <w:sz w:val="22"/>
          <w:szCs w:val="22"/>
          <w:rFonts w:asciiTheme="minorHAnsi" w:hAnsiTheme="minorHAnsi"/>
        </w:rPr>
        <w:t xml:space="preserve">De mogelijkheid tot verdere ontwikkeling van de criteria blijft onverminderd van kracht.</w:t>
      </w:r>
      <w:r>
        <w:rPr>
          <w:sz w:val="22"/>
          <w:szCs w:val="22"/>
          <w:rFonts w:asciiTheme="minorHAnsi" w:hAnsiTheme="minorHAnsi"/>
        </w:rPr>
        <w:t xml:space="preserve"> </w:t>
      </w:r>
      <w:r>
        <w:rPr>
          <w:sz w:val="22"/>
          <w:szCs w:val="22"/>
          <w:vertAlign w:val="superscript"/>
          <w:rFonts w:asciiTheme="minorHAnsi" w:hAnsiTheme="minorHAnsi"/>
        </w:rPr>
        <w:t xml:space="preserve">5</w:t>
      </w:r>
      <w:r>
        <w:rPr>
          <w:sz w:val="22"/>
          <w:szCs w:val="22"/>
          <w:rFonts w:asciiTheme="minorHAnsi" w:hAnsiTheme="minorHAnsi"/>
        </w:rPr>
        <w:t xml:space="preserve">Er is in het bijzonder sprake van een discriminatie wanneer de aanbieder van de gebruikersinterface van zijn eigen toegelaten criteria afwijkt.</w:t>
      </w:r>
      <w:r>
        <w:rPr>
          <w:sz w:val="22"/>
          <w:szCs w:val="22"/>
          <w:rFonts w:asciiTheme="minorHAnsi" w:hAnsiTheme="minorHAnsi"/>
        </w:rPr>
        <w:t xml:space="preserve"> </w:t>
      </w:r>
      <w:r>
        <w:rPr>
          <w:sz w:val="22"/>
          <w:szCs w:val="22"/>
          <w:vertAlign w:val="superscript"/>
          <w:rFonts w:asciiTheme="minorHAnsi" w:hAnsiTheme="minorHAnsi"/>
        </w:rPr>
        <w:t xml:space="preserve">6</w:t>
      </w:r>
      <w:r>
        <w:rPr>
          <w:sz w:val="22"/>
          <w:szCs w:val="22"/>
          <w:rFonts w:asciiTheme="minorHAnsi" w:hAnsiTheme="minorHAnsi"/>
        </w:rPr>
        <w:t xml:space="preserve">De aanbieder moet de media-instanties van de deelstaten garanderen dat de criteria verifieerbaar zijn en de naleving ervan garanderen, in het bijzonder in detail uiteenzetten welke criteria zijn gebruikt en welke informatie hiervoor als basis is gebruikt.</w:t>
      </w:r>
      <w:r>
        <w:rPr>
          <w:sz w:val="22"/>
          <w:szCs w:val="22"/>
          <w:rFonts w:asciiTheme="minorHAnsi" w:hAnsiTheme="minorHAnsi"/>
        </w:rPr>
        <w:t xml:space="preserve"> </w:t>
      </w:r>
      <w:r>
        <w:rPr>
          <w:sz w:val="22"/>
          <w:szCs w:val="22"/>
          <w:vertAlign w:val="superscript"/>
          <w:rFonts w:asciiTheme="minorHAnsi" w:hAnsiTheme="minorHAnsi"/>
        </w:rPr>
        <w:t xml:space="preserve">7</w:t>
      </w:r>
      <w:r>
        <w:rPr>
          <w:sz w:val="22"/>
          <w:szCs w:val="22"/>
          <w:rFonts w:asciiTheme="minorHAnsi" w:hAnsiTheme="minorHAnsi"/>
        </w:rPr>
        <w:t xml:space="preserve">Niet toegelaten is in de regel</w:t>
      </w:r>
      <w:r>
        <w:rPr>
          <w:sz w:val="22"/>
          <w:szCs w:val="22"/>
          <w:rFonts w:asciiTheme="minorHAnsi" w:hAnsiTheme="minorHAnsi"/>
        </w:rPr>
        <w:t xml:space="preserve"> </w:t>
      </w:r>
    </w:p>
    <w:p w:rsidR="002643CD" w:rsidRPr="00077B73" w:rsidRDefault="002643CD" w:rsidP="002417C5">
      <w:pPr>
        <w:numPr>
          <w:ilvl w:val="0"/>
          <w:numId w:val="13"/>
        </w:numPr>
        <w:spacing w:after="200" w:line="276" w:lineRule="auto"/>
        <w:contextualSpacing/>
        <w:rPr>
          <w:sz w:val="22"/>
          <w:szCs w:val="22"/>
          <w:rFonts w:ascii="Calibri" w:eastAsia="Calibri" w:hAnsi="Calibri"/>
        </w:rPr>
      </w:pPr>
      <w:r>
        <w:rPr>
          <w:sz w:val="22"/>
          <w:szCs w:val="22"/>
          <w:rFonts w:ascii="Calibri" w:hAnsi="Calibri"/>
        </w:rPr>
        <w:t xml:space="preserve">een sortering of plaatsing die door een vergoeding of een vergelijkbare tegenprestatie wordt beïnvloed of</w:t>
      </w:r>
    </w:p>
    <w:p w:rsidR="00F57DE5" w:rsidRPr="00077B73" w:rsidRDefault="002643CD" w:rsidP="002417C5">
      <w:pPr>
        <w:numPr>
          <w:ilvl w:val="0"/>
          <w:numId w:val="13"/>
        </w:numPr>
        <w:spacing w:after="200" w:line="276" w:lineRule="auto"/>
        <w:contextualSpacing/>
        <w:rPr>
          <w:sz w:val="22"/>
          <w:szCs w:val="22"/>
          <w:rFonts w:ascii="Calibri" w:eastAsia="Calibri" w:hAnsi="Calibri"/>
        </w:rPr>
      </w:pPr>
      <w:r>
        <w:rPr>
          <w:sz w:val="22"/>
          <w:szCs w:val="22"/>
          <w:rFonts w:ascii="Calibri" w:hAnsi="Calibri"/>
        </w:rPr>
        <w:t xml:space="preserve">het bevoordelen van eigen aanbiedingen en inhoud van de aanbieder van de gebruikersinterface, tenzij een vergoeding wordt betaald voor het gebruik ervan.</w:t>
      </w:r>
      <w:r>
        <w:rPr>
          <w:sz w:val="22"/>
          <w:szCs w:val="22"/>
          <w:rFonts w:ascii="Calibri" w:hAnsi="Calibri"/>
        </w:rPr>
        <w:t xml:space="preserve">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sz w:val="22"/>
          <w:szCs w:val="22"/>
          <w:rFonts w:asciiTheme="minorHAnsi" w:eastAsia="Calibri" w:hAnsiTheme="minorHAnsi" w:cstheme="minorHAnsi"/>
        </w:rPr>
      </w:pPr>
      <w:r>
        <w:rPr>
          <w:sz w:val="22"/>
          <w:szCs w:val="22"/>
          <w:rFonts w:asciiTheme="minorHAnsi" w:hAnsiTheme="minorHAnsi"/>
        </w:rPr>
        <w:t xml:space="preserve">(4) </w:t>
      </w:r>
      <w:r>
        <w:rPr>
          <w:sz w:val="22"/>
          <w:szCs w:val="22"/>
          <w:vertAlign w:val="superscript"/>
          <w:rFonts w:asciiTheme="minorHAnsi" w:hAnsiTheme="minorHAnsi"/>
        </w:rPr>
        <w:t xml:space="preserve">1</w:t>
      </w:r>
      <w:r>
        <w:rPr>
          <w:sz w:val="22"/>
          <w:szCs w:val="22"/>
          <w:rFonts w:asciiTheme="minorHAnsi" w:hAnsiTheme="minorHAnsi"/>
        </w:rPr>
        <w:t xml:space="preserve">Gebruikersinterfaces moeten de mogelijkheid voorbehouden om in alle aanbiedingen op bepaalde aanbiedingen te kunnen zoeken (zoekfunctie).</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Het resultaat van de zoekopdracht inclusief de tijdens het zoeken uitgevoerde zoekvoorstellen (bv. door een autocomplete-functie) moet vrij van discriminatie zijn.</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Bovendien kan een gebruikersinterface ook de mogelijkheid voorbehouden om naar inhoud te zoeken; lid 3, zin 1 geldt dienovereenkomstig.</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sz w:val="22"/>
          <w:szCs w:val="22"/>
          <w:rFonts w:asciiTheme="minorHAnsi" w:eastAsia="Calibri" w:hAnsiTheme="minorHAnsi" w:cstheme="minorHAnsi"/>
        </w:rPr>
      </w:pPr>
      <w:r>
        <w:rPr>
          <w:sz w:val="22"/>
          <w:szCs w:val="22"/>
          <w:rFonts w:asciiTheme="minorHAnsi" w:hAnsiTheme="minorHAnsi"/>
        </w:rPr>
        <w:t xml:space="preserve">(5) </w:t>
      </w:r>
      <w:r>
        <w:rPr>
          <w:sz w:val="22"/>
          <w:szCs w:val="22"/>
          <w:vertAlign w:val="superscript"/>
          <w:rFonts w:asciiTheme="minorHAnsi" w:hAnsiTheme="minorHAnsi"/>
        </w:rPr>
        <w:t xml:space="preserve">1</w:t>
      </w:r>
      <w:r>
        <w:rPr>
          <w:sz w:val="22"/>
          <w:szCs w:val="22"/>
          <w:rFonts w:asciiTheme="minorHAnsi" w:hAnsiTheme="minorHAnsi"/>
        </w:rPr>
        <w:t xml:space="preserve">Aanbiedingen in gebruikersinterfaces zijn makkelijk vindbaar wanneer ze eenvoudig en snel te vinden zijn, aangezien ze bijvoorbeeld bovenaan of benadrukt worden gepresenteerd, bijvoorbeeld door een eigen button.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Hoe een gemakkelijke vindbaarheid individueel kan worden gegarandeerd, is afhankelijk van de aard, omvang en vormgeving van de gebruikersinterface alsook de concrete weergave of andere presentatie van aanbiedingen en inhoud.</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In de regel is het voor de gemakkelijke vindbaarheid van de desbetreffende aanbiedingen nodig, maar niet voldoende dat ze even eenvoudig en snel te vinden zijn als de andere aanbiedingen.</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sz w:val="22"/>
          <w:szCs w:val="22"/>
          <w:rFonts w:asciiTheme="minorHAnsi" w:eastAsia="Calibri" w:hAnsiTheme="minorHAnsi" w:cstheme="minorHAnsi"/>
        </w:rPr>
      </w:pPr>
      <w:bookmarkStart w:id="8" w:name="_Hlk46133741"/>
      <w:r>
        <w:rPr>
          <w:sz w:val="22"/>
          <w:szCs w:val="22"/>
          <w:rFonts w:asciiTheme="minorHAnsi" w:hAnsiTheme="minorHAnsi"/>
        </w:rPr>
        <w:t xml:space="preserve">(6) </w:t>
      </w:r>
      <w:r>
        <w:rPr>
          <w:sz w:val="22"/>
          <w:szCs w:val="22"/>
          <w:vertAlign w:val="superscript"/>
          <w:rFonts w:asciiTheme="minorHAnsi" w:hAnsiTheme="minorHAnsi"/>
        </w:rPr>
        <w:t xml:space="preserve">1</w:t>
      </w:r>
      <w:r>
        <w:rPr>
          <w:sz w:val="22"/>
          <w:szCs w:val="22"/>
          <w:rFonts w:asciiTheme="minorHAnsi" w:hAnsiTheme="minorHAnsi"/>
        </w:rPr>
        <w:t xml:space="preserve">Gemakkelijk te vinden in gebruikersinterfaces moeten zijn:</w:t>
      </w:r>
    </w:p>
    <w:p w:rsidR="00F57DE5" w:rsidRPr="00077B73" w:rsidRDefault="00F57DE5" w:rsidP="002417C5">
      <w:pPr>
        <w:numPr>
          <w:ilvl w:val="0"/>
          <w:numId w:val="7"/>
        </w:numPr>
        <w:spacing w:after="200" w:line="276" w:lineRule="auto"/>
        <w:contextualSpacing/>
        <w:rPr>
          <w:sz w:val="22"/>
          <w:szCs w:val="22"/>
          <w:rFonts w:ascii="Calibri" w:eastAsia="Calibri" w:hAnsi="Calibri"/>
        </w:rPr>
      </w:pPr>
      <w:r>
        <w:rPr>
          <w:sz w:val="22"/>
          <w:szCs w:val="22"/>
          <w:rFonts w:ascii="Calibri" w:hAnsi="Calibri"/>
        </w:rPr>
        <w:t xml:space="preserve">op het eerste selectieniveau van de radio in zijn geheel, voor zover op dit niveau niet alleen radioprogramma’s selecteerbaar zijn.</w:t>
      </w:r>
    </w:p>
    <w:p w:rsidR="00F57DE5" w:rsidRPr="00077B73" w:rsidRDefault="00F57DE5" w:rsidP="002417C5">
      <w:pPr>
        <w:numPr>
          <w:ilvl w:val="0"/>
          <w:numId w:val="7"/>
        </w:numPr>
        <w:spacing w:after="200" w:line="276" w:lineRule="auto"/>
        <w:contextualSpacing/>
        <w:rPr>
          <w:sz w:val="22"/>
          <w:szCs w:val="22"/>
          <w:rFonts w:ascii="Calibri" w:eastAsia="Calibri" w:hAnsi="Calibri"/>
        </w:rPr>
      </w:pPr>
      <w:r>
        <w:rPr>
          <w:sz w:val="22"/>
          <w:szCs w:val="22"/>
          <w:rFonts w:ascii="Calibri" w:hAnsi="Calibri"/>
        </w:rPr>
        <w:t xml:space="preserve">binnen de radio de wettelijk bepaalde programma’s met bijdragefinanciering, de radioprogramma’s, de vensterprogramma’s (§ 59, lid 4 van MStV) moeten opnemen, alsook de particuliere programma’s die in bijzondere mate een bijdrage leveren tot de diversiteit van meningen en aanbod in heel Duitsland en</w:t>
      </w:r>
    </w:p>
    <w:p w:rsidR="00F57DE5" w:rsidRPr="00077B73" w:rsidRDefault="00F57DE5" w:rsidP="002417C5">
      <w:pPr>
        <w:numPr>
          <w:ilvl w:val="0"/>
          <w:numId w:val="7"/>
        </w:numPr>
        <w:spacing w:after="200" w:line="276" w:lineRule="auto"/>
        <w:contextualSpacing/>
        <w:rPr>
          <w:sz w:val="22"/>
          <w:szCs w:val="22"/>
          <w:rFonts w:ascii="Calibri" w:eastAsia="Calibri" w:hAnsi="Calibri"/>
        </w:rPr>
      </w:pPr>
      <w:r>
        <w:rPr>
          <w:sz w:val="22"/>
          <w:szCs w:val="22"/>
          <w:rFonts w:ascii="Calibri" w:hAnsi="Calibri"/>
        </w:rPr>
        <w:t xml:space="preserve">op selectieniveaus die alleen of overwegend radioachtige telemedia presenteren of softwaregebaseerde telemedia die voor de directe aansturing daarvan dienen, de telemedia-aanbiedingen en softwaregebaseerde toepassingen volgens § 84, lid 4 van MStV.</w:t>
      </w:r>
      <w:bookmarkEnd w:id="8"/>
    </w:p>
    <w:p w:rsidR="00F57DE5" w:rsidRPr="00077B73" w:rsidRDefault="0060422A" w:rsidP="0060422A">
      <w:pPr>
        <w:spacing w:line="276" w:lineRule="auto"/>
        <w:rPr>
          <w:sz w:val="22"/>
          <w:szCs w:val="22"/>
          <w:rFonts w:asciiTheme="minorHAnsi" w:eastAsia="Calibri" w:hAnsiTheme="minorHAnsi" w:cstheme="minorHAnsi"/>
        </w:rPr>
      </w:pPr>
      <w:r>
        <w:rPr>
          <w:sz w:val="22"/>
          <w:szCs w:val="22"/>
          <w:vertAlign w:val="superscript"/>
          <w:rFonts w:asciiTheme="minorHAnsi" w:hAnsiTheme="minorHAnsi"/>
        </w:rPr>
        <w:t xml:space="preserve">2</w:t>
      </w:r>
      <w:r>
        <w:rPr>
          <w:sz w:val="22"/>
          <w:szCs w:val="22"/>
          <w:rFonts w:asciiTheme="minorHAnsi" w:hAnsiTheme="minorHAnsi"/>
        </w:rPr>
        <w:t xml:space="preserve">De radio in zijn geheel moet op het eerste selectieniveau zonder belangrijke tussenstappen kunnen worden bereikt, doorgaans met slechts één handeling.</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Indien radioprogramma’s die vensterprogramma’s (§ 59, lid 4) moeten opnemen, worden weergegeven of akoestisch overgebracht, dan moeten in het gebied waarvoor de vensterprogramma’s zijn toegelaten of wettelijk bepaald, de hoofdprogramma’s met het vensterprogramma voorrang krijgen tegenover het zonder vensterprogramma uitgezonden hoofdprogramma en tegenover de vensterprogramma’s die voor andere gebieden zijn toegelaten of wettelijk bepaald.</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sz w:val="22"/>
          <w:szCs w:val="22"/>
          <w:rFonts w:asciiTheme="minorHAnsi" w:eastAsia="Calibri" w:hAnsiTheme="minorHAnsi" w:cstheme="minorHAnsi"/>
        </w:rPr>
      </w:pPr>
      <w:bookmarkStart w:id="9" w:name="_Hlk46133783"/>
      <w:r>
        <w:rPr>
          <w:sz w:val="22"/>
          <w:szCs w:val="22"/>
          <w:rFonts w:asciiTheme="minorHAnsi" w:hAnsiTheme="minorHAnsi"/>
        </w:rPr>
        <w:t xml:space="preserve">(7) </w:t>
      </w:r>
      <w:r>
        <w:rPr>
          <w:sz w:val="22"/>
          <w:szCs w:val="22"/>
          <w:vertAlign w:val="superscript"/>
          <w:rFonts w:asciiTheme="minorHAnsi" w:hAnsiTheme="minorHAnsi"/>
        </w:rPr>
        <w:t xml:space="preserve">1</w:t>
      </w:r>
      <w:r>
        <w:rPr>
          <w:sz w:val="22"/>
          <w:szCs w:val="22"/>
          <w:rFonts w:asciiTheme="minorHAnsi" w:hAnsiTheme="minorHAnsi"/>
        </w:rPr>
        <w:t xml:space="preserve">Los van de voorinstellingen moeten aanbiedingen en inhoud door de gebruiker zelf gemakkelijk en snel kunnen worden gesorteerd en gerangschikt (bv. met een favorietenlijst).</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In de regel kunnen aanbiedingen of inhoud eenvoudig en snel worden gesorteerd of gerangschikt, wanneer dit duidelijk is of gemakkelijk te begrijpen wordt uitgelegd.</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De door de gebruiker uitgevoerde sortering of plaatsing mag alleen door hem zelf en in het bijzonder niet door updates kunnen worden gewijzigd.</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sz w:val="22"/>
          <w:szCs w:val="22"/>
          <w:rFonts w:asciiTheme="minorHAnsi" w:eastAsia="Calibri" w:hAnsiTheme="minorHAnsi" w:cstheme="minorHAnsi"/>
        </w:rPr>
      </w:pPr>
      <w:r>
        <w:rPr>
          <w:sz w:val="22"/>
          <w:szCs w:val="22"/>
          <w:rFonts w:asciiTheme="minorHAnsi" w:hAnsiTheme="minorHAnsi"/>
        </w:rPr>
        <w:t xml:space="preserve">(8) </w:t>
      </w:r>
      <w:r>
        <w:rPr>
          <w:sz w:val="22"/>
          <w:szCs w:val="22"/>
          <w:vertAlign w:val="superscript"/>
          <w:rFonts w:asciiTheme="minorHAnsi" w:hAnsiTheme="minorHAnsi"/>
        </w:rPr>
        <w:t xml:space="preserve">1</w:t>
      </w:r>
      <w:r>
        <w:rPr>
          <w:sz w:val="22"/>
          <w:szCs w:val="22"/>
          <w:rFonts w:asciiTheme="minorHAnsi" w:hAnsiTheme="minorHAnsi"/>
        </w:rPr>
        <w:t xml:space="preserve">De leden 4 tot en met 7 gelden niet wanneer de aanbieder van de gebruikersinterface aantoont dat een omzetting technisch gezien onmogelijk is of met onredelijke kosten gepaard gaat.</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Doorslaggevend voor de bepaling van onredelijke kosten is een algemene afweging waarbij in het bijzonder rekening wordt gehouden met de financiële draagkracht van de aanbieder, de kosten voor andere functies voor de vindbaarheid van de gebruikersinterface alsook de aard en omvang van de overtreding die is begaan bij niet-naleving.</w:t>
      </w:r>
      <w:r>
        <w:rPr>
          <w:sz w:val="22"/>
          <w:szCs w:val="22"/>
          <w:rFonts w:asciiTheme="minorHAnsi" w:hAnsiTheme="minorHAnsi"/>
        </w:rPr>
        <w:t xml:space="preserve"> </w:t>
      </w:r>
      <w:r>
        <w:rPr>
          <w:sz w:val="22"/>
          <w:szCs w:val="22"/>
          <w:rFonts w:asciiTheme="minorHAnsi" w:hAnsiTheme="minorHAnsi"/>
        </w:rPr>
        <w:t xml:space="preserve">De kosten zijn alleen onredelijk bij een ernstige wanverhouding.</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Hoofdstuk 5:</w:t>
      </w:r>
      <w:r>
        <w:rPr>
          <w:b/>
          <w:bCs/>
          <w:sz w:val="22"/>
          <w:szCs w:val="22"/>
          <w:rFonts w:asciiTheme="minorHAnsi" w:hAnsiTheme="minorHAnsi"/>
        </w:rPr>
        <w:t xml:space="preserve"> </w:t>
      </w:r>
      <w:r>
        <w:rPr>
          <w:b/>
          <w:bCs/>
          <w:sz w:val="22"/>
          <w:szCs w:val="22"/>
          <w:rFonts w:asciiTheme="minorHAnsi" w:hAnsiTheme="minorHAnsi"/>
        </w:rPr>
        <w:t xml:space="preserve">Transparantievoorschriften</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11</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Transparantie</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Aanbieders van mediaplatforms en gebruikersinterfaces moeten de informatie in de zin van § 85 MStV transparant maken.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De informatie moet in het Duits worden aangeboden, zodat ze voor de gebruiker gemakkelijk waarneembaar, direct bereikbaar en permanent beschikbaar is.</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r>
        <w:rPr>
          <w:sz w:val="22"/>
          <w:szCs w:val="22"/>
          <w:rFonts w:asciiTheme="minorHAnsi" w:hAnsiTheme="minorHAnsi"/>
        </w:rPr>
        <w:t xml:space="preserve">(2) Met betrekking tot de eisen aan de omzetting van de transparantievoorschriften is het begrip van een gemiddelde gebruiker die niet over specifieke technische kennis beschikt, doorslaggevend.</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bookmarkStart w:id="10" w:name="_Hlk46134451"/>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Gemakkelijk waarneembaar is de informatie wanneer ze bij het gebruik van het mediaplatform eenvoudig en snel te vinden is, aangezien ze bijvoorbeeld bovenaan staat en met een duidelijk te verstaan begrip wordt aangeduid.</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De concrete vormgeving voor de garantie van de gemakkelijke waarneembaarheid moet in het licht van de aard, de omvang en de verdere vormgeving van de dienst gebeuren.</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Indien de dienst overwegend spraakgestuurd wordt gebruikt, dan moet de informatie op aanvraag van de gebruiker ook akoestisch worden weergegeven, waarbij een akoestisch signaal waar de informatie wordt voorgehouden, volstaat.</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bookmarkStart w:id="11" w:name="_Hlk46134475"/>
      <w:bookmarkEnd w:id="10"/>
      <w:r>
        <w:rPr>
          <w:sz w:val="22"/>
          <w:szCs w:val="22"/>
          <w:rFonts w:asciiTheme="minorHAnsi" w:hAnsiTheme="minorHAnsi"/>
        </w:rPr>
        <w:t xml:space="preserve">(4) </w:t>
      </w:r>
      <w:r>
        <w:rPr>
          <w:sz w:val="22"/>
          <w:szCs w:val="22"/>
          <w:vertAlign w:val="superscript"/>
          <w:rFonts w:asciiTheme="minorHAnsi" w:hAnsiTheme="minorHAnsi"/>
        </w:rPr>
        <w:t xml:space="preserve">1</w:t>
      </w:r>
      <w:r>
        <w:rPr>
          <w:sz w:val="22"/>
          <w:szCs w:val="22"/>
          <w:rFonts w:asciiTheme="minorHAnsi" w:hAnsiTheme="minorHAnsi"/>
        </w:rPr>
        <w:t xml:space="preserve">Informatie is direct bereikbaar wanneer ze ter beschikking wordt gesteld op een manier waardoor ze binnen het mediaplatform of de gebruikersinterface zonder belangrijke tussenstappen opvraagbaar is.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Indien de dienst via het internet wordt gebruikt, dan kan dit ook via een koppeling gebeuren.</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r>
        <w:rPr>
          <w:sz w:val="22"/>
          <w:szCs w:val="22"/>
          <w:rFonts w:asciiTheme="minorHAnsi" w:hAnsiTheme="minorHAnsi"/>
        </w:rPr>
        <w:t xml:space="preserve">(5) Informatie is permanent beschikbaar wanneer ze permanent en zonder tijdelijke beperking ter beschikking wordt gesteld.</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Hoofdstuk 6:</w:t>
      </w:r>
      <w:r>
        <w:rPr>
          <w:b/>
          <w:bCs/>
          <w:sz w:val="22"/>
          <w:szCs w:val="22"/>
          <w:rFonts w:asciiTheme="minorHAnsi" w:hAnsiTheme="minorHAnsi"/>
        </w:rPr>
        <w:t xml:space="preserve"> </w:t>
      </w:r>
      <w:r>
        <w:rPr>
          <w:b/>
          <w:bCs/>
          <w:sz w:val="22"/>
          <w:szCs w:val="22"/>
          <w:rFonts w:asciiTheme="minorHAnsi" w:hAnsiTheme="minorHAnsi"/>
        </w:rPr>
        <w:t xml:space="preserve">Procedureregels</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12</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Toelating en toezicht</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Voor de in het kader van de reglement te vervullen taken dient de commissie voor toelating en toezicht (ZAK) van de bevoegde media-instantie van de deelstaat als orgaan (§ 104, lid 2, blz. 1, punt 1, § 105, lid 1, blz. 1, punten 8 en 9 van MStV in combinatie met de regels inzake de werking en procedure van ZAK – GVO ZAK).</w:t>
      </w:r>
      <w:r>
        <w:rPr>
          <w:sz w:val="22"/>
          <w:szCs w:val="22"/>
          <w:rFonts w:asciiTheme="minorHAnsi" w:hAnsiTheme="minorHAnsi"/>
        </w:rPr>
        <w:t xml:space="preserve"> </w:t>
        <w:br/>
      </w:r>
      <w:r>
        <w:rPr>
          <w:sz w:val="22"/>
          <w:szCs w:val="22"/>
          <w:vertAlign w:val="superscript"/>
          <w:rFonts w:asciiTheme="minorHAnsi" w:hAnsiTheme="minorHAnsi"/>
        </w:rPr>
        <w:t xml:space="preserve">2</w:t>
      </w:r>
      <w:r>
        <w:rPr>
          <w:sz w:val="22"/>
          <w:szCs w:val="22"/>
          <w:rFonts w:asciiTheme="minorHAnsi" w:hAnsiTheme="minorHAnsi"/>
        </w:rPr>
        <w:t xml:space="preserve">§ 81, lid 5, zin 3 in combinatie met § 105, lid 2, zin 1, alt.</w:t>
      </w:r>
      <w:r>
        <w:rPr>
          <w:sz w:val="22"/>
          <w:szCs w:val="22"/>
          <w:rFonts w:asciiTheme="minorHAnsi" w:hAnsiTheme="minorHAnsi"/>
        </w:rPr>
        <w:t xml:space="preserve"> </w:t>
      </w:r>
      <w:r>
        <w:rPr>
          <w:sz w:val="22"/>
          <w:szCs w:val="22"/>
          <w:rFonts w:asciiTheme="minorHAnsi" w:hAnsiTheme="minorHAnsi"/>
        </w:rPr>
        <w:t xml:space="preserve">2</w:t>
      </w:r>
      <w:r>
        <w:rPr>
          <w:sz w:val="22"/>
          <w:szCs w:val="22"/>
          <w:rFonts w:asciiTheme="minorHAnsi" w:hAnsiTheme="minorHAnsi"/>
        </w:rPr>
        <w:t xml:space="preserve"> MStV blijft ongewijzigd.</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sz w:val="22"/>
          <w:szCs w:val="22"/>
          <w:rFonts w:asciiTheme="minorHAnsi" w:eastAsia="Calibri" w:hAnsiTheme="minorHAnsi" w:cstheme="minorHAnsi"/>
        </w:rPr>
      </w:pPr>
      <w:r>
        <w:rPr>
          <w:sz w:val="22"/>
          <w:szCs w:val="22"/>
          <w:rFonts w:asciiTheme="minorHAnsi" w:hAnsiTheme="minorHAnsi"/>
        </w:rPr>
        <w:t xml:space="preserve">(2) </w:t>
      </w:r>
      <w:r>
        <w:rPr>
          <w:sz w:val="22"/>
          <w:szCs w:val="22"/>
          <w:vertAlign w:val="superscript"/>
          <w:rFonts w:asciiTheme="minorHAnsi" w:hAnsiTheme="minorHAnsi"/>
        </w:rPr>
        <w:t xml:space="preserve">1</w:t>
      </w:r>
      <w:r>
        <w:rPr>
          <w:sz w:val="22"/>
          <w:szCs w:val="22"/>
          <w:rFonts w:asciiTheme="minorHAnsi" w:hAnsiTheme="minorHAnsi"/>
        </w:rPr>
        <w:t xml:space="preserve">De bevoegde media-instantie van de deelstaat stuurt meldingen volgens § 2 en klachten volgens § 14 onmiddellijk via de gemeenschappelijke dienst door naar de commissie voor toelating en informeert deze van ambtswege over controles.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De bevoegde media-instantie van de deelstaat brengt de procedure in een beslissende fase.</w:t>
      </w:r>
      <w:r>
        <w:rPr>
          <w:sz w:val="22"/>
          <w:szCs w:val="22"/>
          <w:rFonts w:asciiTheme="minorHAnsi" w:hAnsiTheme="minorHAnsi"/>
        </w:rPr>
        <w:t xml:space="preserve">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13</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Procedure</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(1) De bevoegde media-instantie van de deelstaat controleert via de commissie voor toelating en toezicht op basis van een klacht van een gerechtigde volgens § 14 of van ambtswege of de aanbieder van een mediaplatform of gebruikersinterface de bepalingen van §§ 79 tot en met 85 van MStV of §§ 2 tot en met 6 en 10, 11 van dit reglement schendt.</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(2) Indien er concrete aanknopingspunten voor een inbreuk bestaan, dan is de aanbieder van een mediaplatform of gebruikersinterface verplicht om aan de bevoegde media-instantie van de deelstaat onmiddellijk alle informatie en documenten te verstrekken die nodig zijn voor de controle.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Indien de bevoegde media-instantie van de deelstaat via de commissie toelating en toezicht een inbreuk vaststelt, dan kan ze de aanbieder van het mediaplatform of de gebruikersinterface met inachtneming van een gepaste termijn de gelegenheid bieden om dit recht te zetten.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Indien de wettelijke vereisten vervolgens nog steeds niet worden vervuld, dan neemt de bevoegde media-instantie van de deelstaat op besluit van de commissie toelating en toezicht alsook in het geval van § 81, lid 5, zin 3 van MStv op besluit van de GVK de volgens § 109, lid 1 van MStV vereiste maatregelen.</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14</w:t>
      </w:r>
    </w:p>
    <w:p w:rsidR="00F57DE5" w:rsidRPr="00077B73" w:rsidRDefault="00F57DE5" w:rsidP="00077B73">
      <w:pPr>
        <w:keepNext/>
        <w:spacing w:line="276" w:lineRule="auto"/>
        <w:jc w:val="center"/>
        <w:rPr>
          <w:b/>
          <w:bCs/>
          <w:sz w:val="22"/>
          <w:szCs w:val="22"/>
          <w:rFonts w:asciiTheme="minorHAnsi" w:eastAsia="Calibri" w:hAnsiTheme="minorHAnsi" w:cstheme="minorHAnsi"/>
        </w:rPr>
      </w:pPr>
      <w:r>
        <w:rPr>
          <w:b/>
          <w:sz w:val="22"/>
          <w:szCs w:val="22"/>
        </w:rPr>
        <w:t xml:space="preserve">Klachten in het kader van het toezicht</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Klachten kunnen worden ingediend door aanbieders van radio-, radioachtige telemedia of telemedia volgens § 19, lid 1 van MStV, die</w:t>
      </w:r>
    </w:p>
    <w:p w:rsidR="00F57DE5" w:rsidRPr="00077B73" w:rsidRDefault="00F57DE5" w:rsidP="002417C5">
      <w:pPr>
        <w:numPr>
          <w:ilvl w:val="0"/>
          <w:numId w:val="8"/>
        </w:numPr>
        <w:spacing w:after="200" w:line="276" w:lineRule="auto"/>
        <w:contextualSpacing/>
        <w:rPr>
          <w:sz w:val="22"/>
          <w:szCs w:val="22"/>
          <w:rFonts w:ascii="Calibri" w:eastAsia="Calibri" w:hAnsi="Calibri"/>
        </w:rPr>
      </w:pPr>
      <w:r>
        <w:rPr>
          <w:sz w:val="22"/>
          <w:szCs w:val="22"/>
          <w:rFonts w:ascii="Calibri" w:hAnsi="Calibri"/>
        </w:rPr>
        <w:t xml:space="preserve">op een mediaplatform worden verspreid, of</w:t>
      </w:r>
      <w:r>
        <w:rPr>
          <w:sz w:val="22"/>
          <w:szCs w:val="22"/>
          <w:rFonts w:ascii="Calibri" w:hAnsi="Calibri"/>
        </w:rPr>
        <w:t xml:space="preserve"> </w:t>
      </w:r>
    </w:p>
    <w:p w:rsidR="00F57DE5" w:rsidRPr="00077B73" w:rsidRDefault="00F57DE5" w:rsidP="002417C5">
      <w:pPr>
        <w:numPr>
          <w:ilvl w:val="0"/>
          <w:numId w:val="8"/>
        </w:numPr>
        <w:spacing w:after="200" w:line="276" w:lineRule="auto"/>
        <w:contextualSpacing/>
        <w:rPr>
          <w:sz w:val="22"/>
          <w:szCs w:val="22"/>
          <w:rFonts w:ascii="Calibri" w:eastAsia="Calibri" w:hAnsi="Calibri"/>
        </w:rPr>
      </w:pPr>
      <w:r>
        <w:rPr>
          <w:sz w:val="22"/>
          <w:szCs w:val="22"/>
          <w:rFonts w:ascii="Calibri" w:hAnsi="Calibri"/>
        </w:rPr>
        <w:t xml:space="preserve">toegang tot een mediaplatform wensen, om radio, radioachtige telemedia of telemedia volgens § 19, lid 1 van RStV aan te bieden of te verkopen, of</w:t>
      </w:r>
    </w:p>
    <w:p w:rsidR="00F57DE5" w:rsidRPr="00077B73" w:rsidRDefault="00F57DE5" w:rsidP="002417C5">
      <w:pPr>
        <w:numPr>
          <w:ilvl w:val="0"/>
          <w:numId w:val="8"/>
        </w:numPr>
        <w:spacing w:after="200" w:line="276" w:lineRule="auto"/>
        <w:contextualSpacing/>
        <w:rPr>
          <w:sz w:val="22"/>
          <w:szCs w:val="22"/>
          <w:rFonts w:ascii="Calibri" w:eastAsia="Calibri" w:hAnsi="Calibri"/>
        </w:rPr>
      </w:pPr>
      <w:r>
        <w:rPr>
          <w:sz w:val="22"/>
          <w:szCs w:val="22"/>
          <w:rFonts w:ascii="Calibri" w:hAnsi="Calibri"/>
        </w:rPr>
        <w:t xml:space="preserve">zelf getroffen zijn door de voorstelling in gebruikersinterfaces in de zin van § § 2, lid 2, punt 15 van MStV.</w:t>
      </w:r>
    </w:p>
    <w:p w:rsidR="00F57DE5" w:rsidRPr="00077B73" w:rsidRDefault="00A16C12" w:rsidP="00F57DE5">
      <w:pPr>
        <w:spacing w:after="160" w:line="259" w:lineRule="auto"/>
        <w:contextualSpacing/>
        <w:jc w:val="both"/>
        <w:rPr>
          <w:sz w:val="22"/>
          <w:szCs w:val="22"/>
          <w:rFonts w:asciiTheme="minorHAnsi" w:eastAsia="Calibri" w:hAnsiTheme="minorHAnsi" w:cstheme="minorHAnsi"/>
        </w:rPr>
      </w:pPr>
      <w:r>
        <w:rPr>
          <w:sz w:val="22"/>
          <w:szCs w:val="22"/>
          <w:vertAlign w:val="superscript"/>
          <w:rFonts w:asciiTheme="minorHAnsi" w:hAnsiTheme="minorHAnsi"/>
        </w:rPr>
        <w:t xml:space="preserve">2</w:t>
      </w:r>
      <w:r>
        <w:rPr>
          <w:sz w:val="22"/>
          <w:szCs w:val="22"/>
          <w:rFonts w:asciiTheme="minorHAnsi" w:hAnsiTheme="minorHAnsi"/>
        </w:rPr>
        <w:t xml:space="preserve">Verweerders kunnen aanbieders van mediaplatforms volgens § 2, lid 2, punt 19 van MStV en aanbieders van gebruikersinterfaces volgens § 2, lid 2, punt 20 van MStV zijn.</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(2) Personen die beroep kunnen instellen volgens lid 1 kunnen bij de bevoegde media-instantie van de deelstaat schriftelijk met vermelding van concrete aanknopingspunten voor een inbreuk op de bepalingen van §§ 80 tot en met 84 van MStV of §§ 3 tot en met 6 en 10 van dit reglement en met vermelding van de toedracht klacht indienen.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(3) Bij het indienen van de klacht moeten gerechtigden aantonen en aannemelijk maken dat ze hebben gestreefd naar een opheldering van de strijdige positie met de aanbieder van het mediaplatform of de gebruikersinterface.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(4) </w:t>
      </w:r>
      <w:r>
        <w:rPr>
          <w:sz w:val="22"/>
          <w:szCs w:val="22"/>
          <w:vertAlign w:val="superscript"/>
          <w:rFonts w:asciiTheme="minorHAnsi" w:hAnsiTheme="minorHAnsi"/>
        </w:rPr>
        <w:t xml:space="preserve">1</w:t>
      </w:r>
      <w:r>
        <w:rPr>
          <w:sz w:val="22"/>
          <w:szCs w:val="22"/>
          <w:rFonts w:asciiTheme="minorHAnsi" w:hAnsiTheme="minorHAnsi"/>
        </w:rPr>
        <w:t xml:space="preserve">De bevoegde media-instantie van de deelstaat kan eerst proberen om tot een correcte oplossing voor de betrokkenen te komen.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In de gevallen van § 83, lid 3 van MStV moet de bevoegde media-instantie van de deelstaat voor de klachtenprocedure bemiddelen.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(5) Indien systemen voor toegangsrechten en interfaces voor toepassingsprogramma's getroffen zijn, stuurt de bevoegde media-instantie van de deelstaat in het kader van de met het federaal netwerkagentschap overeengekomen procedure (procedurebeschrijving van 20.04.2010) de klacht door naar het federaal netwerkagentschap, waar de procedure wordt gevoerd.</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(6) </w:t>
      </w:r>
      <w:r>
        <w:rPr>
          <w:sz w:val="22"/>
          <w:szCs w:val="22"/>
          <w:vertAlign w:val="superscript"/>
          <w:rFonts w:asciiTheme="minorHAnsi" w:hAnsiTheme="minorHAnsi"/>
        </w:rPr>
        <w:t xml:space="preserve">1</w:t>
      </w:r>
      <w:r>
        <w:rPr>
          <w:sz w:val="22"/>
          <w:szCs w:val="22"/>
          <w:rFonts w:asciiTheme="minorHAnsi" w:hAnsiTheme="minorHAnsi"/>
        </w:rPr>
        <w:t xml:space="preserve">De klacht moet worden gericht aan de media-instantie van de deelstaat waar het mediaplatform of de gebruikersinterface is aangemeld.</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Indien er op het ogenblik van de klacht geen aanmelding bestaat, dan geldt voor aanbiedingen in heel Duitsland § 106, lid 1 van MStV dienovereenkomstig.</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15</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Verklaring van een verklaring van geen bezwaar overeenkomstig § 87 van MStV</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Indien een opdracht tot verklaring van geen bezwaar volgens § 84, lid 1 van MStV wordt ingesteld, dan informeert de bevoegde media-instantie van de deelstaat de aanbieders van de volgens § 84, lid 3, zin 2, en lid 4 van MStV geprivilegieerde aanbiedingen over de inleiding van de procedure.</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Het informeren kan via elektronische weg gebeuren.</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sz w:val="22"/>
          <w:szCs w:val="22"/>
          <w:rFonts w:asciiTheme="minorHAnsi" w:eastAsia="Calibri" w:hAnsiTheme="minorHAnsi" w:cstheme="minorHAnsi"/>
        </w:rPr>
      </w:pPr>
      <w:r>
        <w:rPr>
          <w:sz w:val="22"/>
          <w:szCs w:val="22"/>
          <w:rFonts w:asciiTheme="minorHAnsi" w:hAnsiTheme="minorHAnsi"/>
        </w:rPr>
        <w:t xml:space="preserve">(2) De bevoegde media-instantie van de deelstaat stuurt de aanvraag van de gemeenschappelijke dienst naar de commissie toelating en toezicht.</w:t>
      </w:r>
      <w:r>
        <w:rPr>
          <w:sz w:val="22"/>
          <w:szCs w:val="22"/>
          <w:rFonts w:asciiTheme="minorHAnsi" w:hAnsiTheme="minorHAnsi"/>
        </w:rPr>
        <w:t xml:space="preserve"> </w:t>
      </w:r>
      <w:r>
        <w:rPr>
          <w:sz w:val="22"/>
          <w:szCs w:val="22"/>
          <w:rFonts w:asciiTheme="minorHAnsi" w:hAnsiTheme="minorHAnsi"/>
        </w:rPr>
        <w:t xml:space="preserve">De bevoegde media-instantie van de deelstaat voert de procedure uit totdat een besluit is genomen.</w:t>
      </w:r>
      <w:r>
        <w:rPr>
          <w:sz w:val="22"/>
          <w:szCs w:val="22"/>
          <w:rFonts w:asciiTheme="minorHAnsi" w:hAnsiTheme="minorHAnsi"/>
        </w:rPr>
        <w:t xml:space="preserve">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Tijdens de looptijd van de verklaring van geen bezwaar moet de aanbieder van het mediaplatform of de gebruikersinterface de bevoegde media-instantie van de deelstaat informeren over alle belangrijke wijzigingen die op het mediaplatform of in de gebruikersinterface worden uitgevoerd.</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De bevoegde media-instantie van de deelstaat controleert van ambtswege of de voorwaarden van de verklaring van geen bezwaar nog steeds zijn vervuld.</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Hoofdstuk 7:</w:t>
      </w:r>
      <w:r>
        <w:rPr>
          <w:b/>
          <w:bCs/>
          <w:sz w:val="22"/>
          <w:szCs w:val="22"/>
          <w:rFonts w:asciiTheme="minorHAnsi" w:hAnsiTheme="minorHAnsi"/>
        </w:rPr>
        <w:t xml:space="preserve"> </w:t>
      </w:r>
      <w:r>
        <w:rPr>
          <w:b/>
          <w:bCs/>
          <w:sz w:val="22"/>
          <w:szCs w:val="22"/>
          <w:rFonts w:asciiTheme="minorHAnsi" w:hAnsiTheme="minorHAnsi"/>
        </w:rPr>
        <w:t xml:space="preserve">Slotbepalingen</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16</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Toegankelijkheid</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bCs/>
          <w:sz w:val="22"/>
          <w:szCs w:val="22"/>
          <w:rFonts w:asciiTheme="minorHAnsi" w:eastAsia="Calibri" w:hAnsiTheme="minorHAnsi" w:cstheme="minorHAnsi"/>
        </w:rPr>
      </w:pPr>
      <w:r>
        <w:rPr>
          <w:sz w:val="22"/>
          <w:szCs w:val="22"/>
          <w:rFonts w:asciiTheme="minorHAnsi" w:hAnsiTheme="minorHAnsi"/>
        </w:rPr>
        <w:t xml:space="preserve">Aanbieders van gebruikersinterfaces en aanbieders van mediaplatforms moeten in het kader van hun technische en financiële mogelijkheden de barrièrevrije toegang tot televisieprogramma’s en televisieachtige telemedia ondersteunen (§ 21 van MStV).</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b/>
          <w:bCs/>
          <w:sz w:val="22"/>
          <w:szCs w:val="22"/>
          <w:rFonts w:asciiTheme="minorHAnsi" w:eastAsia="Calibri" w:hAnsiTheme="minorHAnsi" w:cstheme="minorHAnsi"/>
        </w:rPr>
      </w:pPr>
      <w:r>
        <w:rPr>
          <w:b/>
          <w:bCs/>
          <w:sz w:val="22"/>
          <w:szCs w:val="22"/>
          <w:rFonts w:asciiTheme="minorHAnsi" w:hAnsiTheme="minorHAnsi"/>
        </w:rPr>
        <w:t xml:space="preserve">§ 17</w:t>
      </w:r>
    </w:p>
    <w:p w:rsidR="00F57DE5" w:rsidRPr="00077B73" w:rsidRDefault="00F71879" w:rsidP="00077B73">
      <w:pPr>
        <w:keepNext/>
        <w:spacing w:line="276" w:lineRule="auto"/>
        <w:jc w:val="center"/>
        <w:rPr>
          <w:b/>
          <w:sz w:val="22"/>
          <w:szCs w:val="22"/>
          <w:rFonts w:ascii="Calibri" w:eastAsia="Calibri" w:hAnsi="Calibri"/>
        </w:rPr>
      </w:pPr>
      <w:r>
        <w:rPr>
          <w:b/>
          <w:sz w:val="22"/>
          <w:szCs w:val="22"/>
          <w:rFonts w:ascii="Calibri" w:hAnsi="Calibri"/>
        </w:rPr>
        <w:t xml:space="preserve">Inwerkingtreding, buitenwerkingtreding</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Dit reglement treedt op 15 april 2021 in werking.</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De voorzitter van de directeursconferentie van de media-instanties van de deelstaten (DLM) publiceert op de website onder “de media-instanties” of alle media-instanties van de deelstaten tot dusver overeenstemmende reglementen hebben uitgevaardigd en gepubliceerd.</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In afwijking van zin 1 treden § 10, leden 5 tot en met 7 van dit reglement op 01.09.2021 in werking.</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sz w:val="22"/>
          <w:szCs w:val="22"/>
          <w:rFonts w:asciiTheme="minorHAnsi" w:eastAsia="Calibri" w:hAnsiTheme="minorHAnsi" w:cstheme="minorHAnsi"/>
        </w:rPr>
      </w:pPr>
      <w:r>
        <w:rPr>
          <w:sz w:val="22"/>
          <w:szCs w:val="22"/>
          <w:rFonts w:asciiTheme="minorHAnsi" w:hAnsiTheme="minorHAnsi"/>
        </w:rPr>
        <w:t xml:space="preserve">(2) Tegelijkertijd treedt het reglement inzake de toegankelijkheid van digitale diensten en de regulering van platforms overeenkomstig § 53 van het staatsverdrag voor radio en telemedia van 14.12.2016 buiten werking.</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sz w:val="22"/>
            <w:rFonts w:asciiTheme="minorHAnsi" w:hAnsiTheme="minorHAnsi" w:cstheme="minorHAnsi"/>
          </w:rPr>
        </w:pPr>
        <w:r w:rsidRPr="00A1291E">
          <w:rPr>
            <w:sz w:val="22"/>
            <w:rFonts w:asciiTheme="minorHAnsi" w:hAnsiTheme="minorHAnsi" w:cstheme="minorHAnsi"/>
          </w:rPr>
          <w:fldChar w:fldCharType="begin"/>
        </w:r>
        <w:r w:rsidRPr="00A1291E">
          <w:rPr>
            <w:sz w:val="22"/>
            <w:rFonts w:asciiTheme="minorHAnsi" w:hAnsiTheme="minorHAnsi" w:cstheme="minorHAnsi"/>
          </w:rPr>
          <w:instrText>PAGE   \* MERGEFORMAT</w:instrText>
        </w:r>
        <w:r w:rsidRPr="00A1291E">
          <w:rPr>
            <w:sz w:val="22"/>
            <w:rFonts w:asciiTheme="minorHAnsi" w:hAnsiTheme="minorHAnsi" w:cstheme="minorHAnsi"/>
          </w:rPr>
          <w:fldChar w:fldCharType="separate"/>
        </w:r>
        <w:r w:rsidR="00AF2F17">
          <w:rPr>
            <w:sz w:val="22"/>
            <w:rFonts w:asciiTheme="minorHAnsi" w:hAnsiTheme="minorHAnsi" w:cstheme="minorHAnsi"/>
          </w:rPr>
          <w:t>11</w:t>
        </w:r>
        <w:r w:rsidRPr="00A1291E">
          <w:rPr>
            <w:sz w:val="22"/>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t xml:space="preserve"> </w:t>
      </w:r>
      <w:r>
        <w:rPr>
          <w:rFonts w:asciiTheme="minorHAnsi" w:hAnsiTheme="minorHAnsi"/>
        </w:rPr>
        <w:t xml:space="preserve">Aangemeld overeenkomstig Richtlijn (EU) 2015/1535 van het Europees Parlement en de Raad van 9 september 2015 betreffende een informatieprocedure op het gebied van technische voorschriften en regels betreffende de diensten van de informatiemaatschappij (PB L 241 van 17.9.2015,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sz w:val="32"/>
                              <w:rFonts w:asciiTheme="minorHAnsi" w:hAnsiTheme="minorHAnsi" w:cstheme="minorHAnsi"/>
                            </w:rPr>
                          </w:pPr>
                          <w:r>
                            <w:rPr>
                              <w:sz w:val="32"/>
                              <w:rFonts w:asciiTheme="minorHAnsi" w:hAnsiTheme="minorHAnsi"/>
                            </w:rPr>
                            <w:t xml:space="preserve">die medienanstalten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sz w:val="32"/>
                        <w:rFonts w:asciiTheme="minorHAnsi" w:hAnsiTheme="minorHAnsi" w:cstheme="minorHAnsi"/>
                      </w:rPr>
                    </w:pPr>
                    <w:r>
                      <w:rPr>
                        <w:sz w:val="32"/>
                        <w:rFonts w:asciiTheme="minorHAnsi" w:hAnsiTheme="minorHAnsi"/>
                      </w:rPr>
                      <w:t xml:space="preserve">die medienanstalten</w:t>
                    </w:r>
                  </w:p>
                </w:txbxContent>
              </v:textbox>
            </v:shape>
          </w:pict>
        </mc:Fallback>
      </mc:AlternateContent>
    </w:r>
    <w: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5A467"/>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nl-NL"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DD57-B853-4C5A-8A06-B74795AE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3882</Words>
  <Characters>22134</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Liu, Lei</cp:lastModifiedBy>
  <cp:revision>5</cp:revision>
  <cp:lastPrinted>2014-01-13T11:15:00Z</cp:lastPrinted>
  <dcterms:created xsi:type="dcterms:W3CDTF">2020-12-17T11:14:00Z</dcterms:created>
  <dcterms:modified xsi:type="dcterms:W3CDTF">2020-12-17T14:10:00Z</dcterms:modified>
</cp:coreProperties>
</file>