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7B296F" w:rsidRDefault="003574F8" w:rsidP="003574F8">
      <w:pPr>
        <w:jc w:val="center"/>
        <w:rPr>
          <w:rFonts w:ascii="Courier New" w:hAnsi="Courier New"/>
          <w:sz w:val="20"/>
          <w:lang w:val="da-DK"/>
        </w:rPr>
      </w:pPr>
      <w:r w:rsidRPr="007B296F">
        <w:rPr>
          <w:rFonts w:ascii="Courier New" w:hAnsi="Courier New"/>
          <w:sz w:val="20"/>
          <w:lang w:val="da-DK"/>
        </w:rPr>
        <w:t>1. ------IND- 2020 0813 D-- SV- ------ 20201231 --- --- PROJE</w:t>
      </w:r>
      <w:bookmarkStart w:id="0" w:name="_GoBack"/>
      <w:bookmarkEnd w:id="0"/>
      <w:r w:rsidRPr="007B296F">
        <w:rPr>
          <w:rFonts w:ascii="Courier New" w:hAnsi="Courier New"/>
          <w:sz w:val="20"/>
          <w:lang w:val="da-DK"/>
        </w:rPr>
        <w:t>T</w:t>
      </w:r>
    </w:p>
    <w:p w:rsidR="00A211F5" w:rsidRPr="007B296F" w:rsidRDefault="00A211F5" w:rsidP="00A211F5">
      <w:pPr>
        <w:spacing w:before="120" w:line="320" w:lineRule="exact"/>
        <w:rPr>
          <w:rFonts w:ascii="Verdana" w:hAnsi="Verdana"/>
          <w:sz w:val="16"/>
          <w:szCs w:val="16"/>
          <w:lang w:val="da-DK"/>
        </w:rPr>
      </w:pPr>
      <w:r w:rsidRPr="007B296F">
        <w:rPr>
          <w:rFonts w:ascii="Verdana" w:hAnsi="Verdana"/>
          <w:sz w:val="16"/>
          <w:lang w:val="da-DK"/>
        </w:rPr>
        <w:t>Utgåva: 2020-12-16</w:t>
      </w:r>
    </w:p>
    <w:p w:rsidR="002C21BC" w:rsidRPr="00077B73" w:rsidRDefault="009C24A4">
      <w:pPr>
        <w:rPr>
          <w:rFonts w:ascii="Calibri" w:hAnsi="Calibri"/>
          <w:sz w:val="22"/>
          <w:szCs w:val="22"/>
        </w:rPr>
      </w:pPr>
      <w:r>
        <w:rPr>
          <w:rFonts w:ascii="Calibri" w:hAnsi="Calibri"/>
          <w:sz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rPr>
        <w:t>Stadga</w:t>
      </w:r>
      <w:r>
        <w:rPr>
          <w:rFonts w:asciiTheme="minorHAnsi" w:hAnsiTheme="minorHAnsi"/>
          <w:b/>
          <w:sz w:val="22"/>
        </w:rPr>
        <w:t xml:space="preserve"> för specificering av bestämmelserna i det statliga mediefördraget om medieplattformar och användargränssnitt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sz w:val="22"/>
        </w:rPr>
        <w:t>(MB-stadga)</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rPr>
        <w:t>av den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sz w:val="22"/>
        </w:rPr>
        <w:t xml:space="preserve">På grundval av paragraferna 84, avsnitt 8. </w:t>
      </w:r>
      <w:r>
        <w:rPr>
          <w:rFonts w:ascii="Calibri" w:hAnsi="Calibri"/>
          <w:sz w:val="22"/>
        </w:rPr>
        <w:t>88</w:t>
      </w:r>
      <w:r>
        <w:rPr>
          <w:rFonts w:asciiTheme="minorHAnsi" w:hAnsiTheme="minorHAnsi"/>
          <w:sz w:val="22"/>
        </w:rPr>
        <w:t xml:space="preserve"> </w:t>
      </w:r>
      <w:r>
        <w:rPr>
          <w:rFonts w:ascii="Calibri" w:hAnsi="Calibri"/>
          <w:sz w:val="22"/>
        </w:rPr>
        <w:t>i medieavtalet mellan delstater (</w:t>
      </w:r>
      <w:proofErr w:type="spellStart"/>
      <w:r>
        <w:rPr>
          <w:rFonts w:ascii="Calibri" w:hAnsi="Calibri"/>
          <w:sz w:val="22"/>
        </w:rPr>
        <w:t>Medienstaatsvertrag</w:t>
      </w:r>
      <w:proofErr w:type="spellEnd"/>
      <w:r>
        <w:rPr>
          <w:rFonts w:ascii="Calibri" w:hAnsi="Calibri"/>
          <w:sz w:val="22"/>
        </w:rPr>
        <w:t xml:space="preserve">, nedan kallat </w:t>
      </w:r>
      <w:proofErr w:type="spellStart"/>
      <w:r>
        <w:rPr>
          <w:rFonts w:ascii="Calibri" w:hAnsi="Calibri"/>
          <w:i/>
          <w:iCs/>
          <w:sz w:val="22"/>
        </w:rPr>
        <w:t>MStV</w:t>
      </w:r>
      <w:proofErr w:type="spellEnd"/>
      <w:r>
        <w:rPr>
          <w:rFonts w:ascii="Calibri" w:hAnsi="Calibri"/>
          <w:sz w:val="22"/>
        </w:rPr>
        <w:t>) av den 14-28 april 2020 (... referens) utfärdar [namnet på den statliga mediemyndighet] följande stadgar</w:t>
      </w:r>
      <w:r>
        <w:rPr>
          <w:sz w:val="22"/>
        </w:rPr>
        <w:t xml:space="preserve"> enligt de andra delstatliga mediemyndigheterna:</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1. Avsnitt: Allmänna föreskrifter</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rPr>
        <w:t>Paragraf 1</w:t>
      </w:r>
      <w:r>
        <w:rPr>
          <w:rFonts w:ascii="Calibri" w:hAnsi="Calibri"/>
          <w:b/>
          <w:sz w:val="22"/>
        </w:rPr>
        <w:cr/>
      </w:r>
      <w:r>
        <w:rPr>
          <w:rFonts w:ascii="Calibri" w:hAnsi="Calibri"/>
          <w:b/>
          <w:sz w:val="22"/>
        </w:rPr>
        <w:br/>
        <w:t>Syfte, omfattning</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Dessa stadgar reglerar </w:t>
      </w:r>
      <w:proofErr w:type="spellStart"/>
      <w:r>
        <w:rPr>
          <w:rFonts w:asciiTheme="minorHAnsi" w:hAnsiTheme="minorHAnsi"/>
          <w:sz w:val="22"/>
        </w:rPr>
        <w:t>MStV:s</w:t>
      </w:r>
      <w:proofErr w:type="spellEnd"/>
      <w:r>
        <w:rPr>
          <w:rFonts w:asciiTheme="minorHAnsi" w:hAnsiTheme="minorHAnsi"/>
          <w:sz w:val="22"/>
        </w:rPr>
        <w:t xml:space="preserve"> detaljer om innehållet i paragraferna 84 avsnitt 8 och 88 och </w:t>
      </w:r>
      <w:r>
        <w:rPr>
          <w:rFonts w:ascii="Calibri" w:hAnsi="Calibri"/>
          <w:sz w:val="22"/>
        </w:rPr>
        <w:t>procedurmässiga</w:t>
      </w:r>
      <w:r>
        <w:rPr>
          <w:rFonts w:asciiTheme="minorHAnsi" w:hAnsiTheme="minorHAnsi"/>
          <w:sz w:val="22"/>
        </w:rPr>
        <w:t xml:space="preserve"> konkretisering av de lagstadgade bestämmelserna i V avsnitt 2. Underavsnitt i </w:t>
      </w:r>
      <w:proofErr w:type="spellStart"/>
      <w:r>
        <w:rPr>
          <w:rFonts w:asciiTheme="minorHAnsi" w:hAnsiTheme="minorHAnsi"/>
          <w:sz w:val="22"/>
        </w:rPr>
        <w:t>MStV</w:t>
      </w:r>
      <w:proofErr w:type="spellEnd"/>
      <w:r>
        <w:rPr>
          <w:rFonts w:asciiTheme="minorHAnsi" w:hAnsiTheme="minorHAnsi"/>
          <w:sz w:val="22"/>
        </w:rPr>
        <w:t xml:space="preserve"> om medieplattformar och användargränssnitt (paragraferna 78 till 88 i </w:t>
      </w:r>
      <w:proofErr w:type="spellStart"/>
      <w:r>
        <w:rPr>
          <w:rFonts w:asciiTheme="minorHAnsi" w:hAnsiTheme="minorHAnsi"/>
          <w:sz w:val="22"/>
        </w:rPr>
        <w:t>MStV</w:t>
      </w:r>
      <w:proofErr w:type="spellEnd"/>
      <w:r>
        <w:rPr>
          <w:rFonts w:asciiTheme="minorHAnsi" w:hAnsiTheme="minorHAnsi"/>
          <w:sz w:val="22"/>
        </w:rPr>
        <w:t xml:space="preserve">). </w:t>
      </w:r>
      <w:r>
        <w:rPr>
          <w:rFonts w:asciiTheme="minorHAnsi" w:hAnsiTheme="minorHAnsi"/>
          <w:sz w:val="22"/>
          <w:vertAlign w:val="superscript"/>
        </w:rPr>
        <w:t>2</w:t>
      </w:r>
      <w:r>
        <w:rPr>
          <w:rFonts w:asciiTheme="minorHAnsi" w:hAnsiTheme="minorHAnsi"/>
          <w:sz w:val="22"/>
        </w:rPr>
        <w:t xml:space="preserve">Dess främsta syfte är att skydda åsiktsmångfalden (mångfald av utbud och leverantörer).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(2) </w:t>
      </w:r>
      <w:r>
        <w:rPr>
          <w:rFonts w:asciiTheme="minorHAnsi" w:hAnsiTheme="minorHAnsi"/>
          <w:sz w:val="22"/>
          <w:vertAlign w:val="superscript"/>
        </w:rPr>
        <w:t>1</w:t>
      </w:r>
      <w:r>
        <w:rPr>
          <w:rFonts w:asciiTheme="minorHAnsi" w:hAnsiTheme="minorHAnsi"/>
          <w:sz w:val="22"/>
        </w:rPr>
        <w:t xml:space="preserve">Bestämmelserna i dessa stadgar gäller för medieplattformar och användargränssnitt. </w:t>
      </w:r>
      <w:r>
        <w:rPr>
          <w:rFonts w:asciiTheme="minorHAnsi" w:hAnsiTheme="minorHAnsi"/>
          <w:sz w:val="22"/>
          <w:vertAlign w:val="superscript"/>
        </w:rPr>
        <w:t>2</w:t>
      </w:r>
      <w:r>
        <w:rPr>
          <w:rFonts w:asciiTheme="minorHAnsi" w:hAnsiTheme="minorHAnsi"/>
          <w:sz w:val="22"/>
        </w:rPr>
        <w:t xml:space="preserve">Med undantag för paragraferna 1, 2, 3, 12 ff., gäller dessa stadgar inte för medieplattformar och användargränssnitt vars betydelse för utbud- och åsiktsmångfalden är inte särskilt stor. </w:t>
      </w:r>
      <w:r>
        <w:rPr>
          <w:rFonts w:asciiTheme="minorHAnsi" w:hAnsiTheme="minorHAnsi"/>
          <w:sz w:val="22"/>
          <w:vertAlign w:val="superscript"/>
        </w:rPr>
        <w:t>3</w:t>
      </w:r>
      <w:r>
        <w:rPr>
          <w:rFonts w:asciiTheme="minorHAnsi" w:hAnsiTheme="minorHAnsi"/>
          <w:sz w:val="22"/>
        </w:rPr>
        <w:t xml:space="preserve">Detta är vanligtvis fallet om medieplattformen eller användargränssnittet faller under de tröskelvärden som föreskrivs i paragraf 78 avsnitt 2.1 och 2.2 i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Medieplattformar är infrastrukturbundna när leverantören av medieplattformen också kontrollerar överföringsinfrastrukturen från inmatnings- till nätavslutningspunkten. </w:t>
      </w:r>
      <w:r>
        <w:rPr>
          <w:rFonts w:asciiTheme="minorHAnsi" w:hAnsiTheme="minorHAnsi"/>
          <w:sz w:val="22"/>
          <w:vertAlign w:val="superscript"/>
        </w:rPr>
        <w:t>2</w:t>
      </w:r>
      <w:r>
        <w:rPr>
          <w:rFonts w:asciiTheme="minorHAnsi" w:hAnsiTheme="minorHAnsi"/>
          <w:sz w:val="22"/>
        </w:rPr>
        <w:t>Kontrollen kan också ske på grundval av ett avtal mellan leverantören och ägaren av överföringsinfrastrukturen.</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rPr>
        <w:t xml:space="preserve">(4) Identifieringen av de anslutna bostäderna för kabelnätanslutna medieplattformar och deras användargränssnitt enligt paragraf 78 avsnitt 2.1 i </w:t>
      </w:r>
      <w:proofErr w:type="spellStart"/>
      <w:r>
        <w:rPr>
          <w:rFonts w:asciiTheme="minorHAnsi" w:hAnsiTheme="minorHAnsi"/>
          <w:sz w:val="22"/>
        </w:rPr>
        <w:t>MStV</w:t>
      </w:r>
      <w:proofErr w:type="spellEnd"/>
      <w:r>
        <w:rPr>
          <w:rFonts w:asciiTheme="minorHAnsi" w:hAnsiTheme="minorHAnsi"/>
          <w:sz w:val="22"/>
        </w:rPr>
        <w:t>, ska utföras enligt följande bestämmelser:</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Alla berättigade nätverk från en leverantör av en kabelnätansluten </w:t>
      </w:r>
      <w:r>
        <w:rPr>
          <w:rFonts w:ascii="Calibri" w:hAnsi="Calibri"/>
          <w:sz w:val="22"/>
        </w:rPr>
        <w:t>medieplattform</w:t>
      </w:r>
      <w:r>
        <w:rPr>
          <w:rFonts w:asciiTheme="minorHAnsi" w:hAnsiTheme="minorHAnsi"/>
          <w:sz w:val="22"/>
        </w:rPr>
        <w:t xml:space="preserve"> betraktas som sammanslagna.</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Anslutna bostäder som avses i paragraf 78 avsnitt 2.1 i </w:t>
      </w:r>
      <w:proofErr w:type="spellStart"/>
      <w:r>
        <w:rPr>
          <w:rFonts w:asciiTheme="minorHAnsi" w:hAnsiTheme="minorHAnsi"/>
          <w:sz w:val="22"/>
        </w:rPr>
        <w:t>MStV</w:t>
      </w:r>
      <w:proofErr w:type="spellEnd"/>
      <w:r>
        <w:rPr>
          <w:rFonts w:asciiTheme="minorHAnsi" w:hAnsiTheme="minorHAnsi"/>
          <w:sz w:val="22"/>
        </w:rPr>
        <w:t xml:space="preserve"> är bostäder som är har tillgång till kabelnätanslutna medieplattformar där det finns en fysisk </w:t>
      </w:r>
      <w:proofErr w:type="spellStart"/>
      <w:r>
        <w:rPr>
          <w:rFonts w:asciiTheme="minorHAnsi" w:hAnsiTheme="minorHAnsi"/>
          <w:sz w:val="22"/>
        </w:rPr>
        <w:t>nätavslutningspunkt</w:t>
      </w:r>
      <w:proofErr w:type="spellEnd"/>
      <w:r>
        <w:rPr>
          <w:rFonts w:asciiTheme="minorHAnsi" w:hAnsiTheme="minorHAnsi"/>
          <w:sz w:val="22"/>
        </w:rPr>
        <w:t xml:space="preserve"> där en slutanvändare ges tillträde till ett kabelnät. Förutsättningen är att det finns ett avtal för den </w:t>
      </w:r>
      <w:proofErr w:type="spellStart"/>
      <w:r>
        <w:rPr>
          <w:rFonts w:asciiTheme="minorHAnsi" w:hAnsiTheme="minorHAnsi"/>
          <w:sz w:val="22"/>
        </w:rPr>
        <w:t>nätavslutningspunkt</w:t>
      </w:r>
      <w:proofErr w:type="spellEnd"/>
      <w:r>
        <w:rPr>
          <w:rFonts w:asciiTheme="minorHAnsi" w:hAnsiTheme="minorHAnsi"/>
          <w:sz w:val="22"/>
        </w:rPr>
        <w:t xml:space="preserve"> enligt vilken slutanvändaren har rätt att använda radio- och tv-program.</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rPr>
        <w:lastRenderedPageBreak/>
        <w:t xml:space="preserve">(5) Följande bestämmelser gäller för fastställandet av de faktiska dagliga användare som avses i paragraf 78 avsnitt 2.2 i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Faktiska dagliga användare av en medieplattform eller ett användargränssnitt som inte är bunden till infrastruktur är användare som besöker medieplattformen eller användargränssnittet inom en dag. Flera anrop från en användare är lätta att räkna (unik användare).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Det som är avgörande är anropet på den första urvalsnivån för en medieplattform eller ett användargränssnitt. Om däremot medieplattformen är en identifierbar del av ett blandat utbud, är de unika besökarna avgörande för den identifierbara funktionen.</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Om anropet av radio- och tv-program, radioliknande telemedier eller telemedier som avses i paragraf 19 avsnitt 1 i </w:t>
      </w:r>
      <w:proofErr w:type="spellStart"/>
      <w:r>
        <w:rPr>
          <w:rFonts w:ascii="Calibri" w:hAnsi="Calibri"/>
          <w:sz w:val="22"/>
        </w:rPr>
        <w:t>MStV</w:t>
      </w:r>
      <w:proofErr w:type="spellEnd"/>
      <w:r>
        <w:rPr>
          <w:rFonts w:ascii="Calibri" w:hAnsi="Calibri"/>
          <w:sz w:val="22"/>
        </w:rPr>
        <w:t xml:space="preserve"> baseras uteslutande på registrering eller inloggning, är fastställandet av de unika besökares anrop på den första urvalsnivån efter tillgänglig registrering eller inloggning avgörande för bedömningen av unika användare.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Om inga uppgifter kan ges om de faktiska dagliga användarna används antalet sålda enheter som grund för användargränssnitten.</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Ovanstående beräkningar av månadsgenomsnittet baseras på en period på sex månader.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(6) Leverantören måste uppfylla kraven enligt paragraf 78 avsnitt 2.1 och 2.2 i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rPr>
        <w:t>Paragraf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Anmälan</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Leverantörer som vill erbjuda en medieplattform eller ett användargränssnitt måste anmäla detta minst en månad före idrifttagandet till den ansvariga statliga mediemyndigheten. </w:t>
      </w:r>
      <w:r>
        <w:rPr>
          <w:rFonts w:asciiTheme="minorHAnsi" w:hAnsiTheme="minorHAnsi"/>
          <w:sz w:val="22"/>
          <w:vertAlign w:val="superscript"/>
        </w:rPr>
        <w:t>2</w:t>
      </w:r>
      <w:r>
        <w:rPr>
          <w:rFonts w:asciiTheme="minorHAnsi" w:hAnsiTheme="minorHAnsi"/>
          <w:sz w:val="22"/>
        </w:rPr>
        <w:t xml:space="preserve">I den mån idrifttagandet av utbudet inte är leverantörens ansvar måste den anmälningsplikt som avses i avsnitt 1 baseras på dagen för tidpunkten för frisläppandet på marknaden.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rPr>
        <w:t>(2) I samband med anmälan ska följande uppgifter och handlingar lämnas in:</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Beskrivning av utbudet; detta innefattar uppgifter om medieplattformens infrastrukturkoppling, t.ex. uppgifter om huruvida det är ett användargränssnitt för en infrastrukturbunden medieplattform.</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Utnämning av den fysiska eller juridiska personen för leverantören av medieplattformen eller användargränssnittet samt bostads- eller hemvist,</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kopia av ett straffregisterutdrag för inlämning till en myndighet eller ett jämförbart utländskt dokument för personen till leverantören av medieplattformen eller användargränssnittet dvs. den person som representerar honom eller henne lagligen eller stadgeenligt och som inte är äldre än sex månader när den lämnas in. Om det är flera personer som företräder honom eller henne lagligen eller stadgeenligt, är det tillräckligt att lämna in ett dokument i den mening som avses i avsnitt 1 för de företrädare som är ansvariga för val av utbud eller utformningen av översikten,</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 xml:space="preserve">uppgifter om den tekniska och förväntade användningsräckvidden. Detta inkluderar särskilt de uppgifter som krävs för att granska paragraf 78, avsnitt 2 i </w:t>
      </w:r>
      <w:proofErr w:type="spellStart"/>
      <w:r>
        <w:rPr>
          <w:rFonts w:ascii="Calibri" w:hAnsi="Calibri"/>
          <w:sz w:val="22"/>
        </w:rPr>
        <w:t>MStV</w:t>
      </w:r>
      <w:proofErr w:type="spellEnd"/>
      <w:r>
        <w:rPr>
          <w:rFonts w:ascii="Calibri" w:hAnsi="Calibri"/>
          <w:sz w:val="22"/>
        </w:rPr>
        <w:t xml:space="preserve"> samt avsnitt 1.4 till 1.6 i dessa stadgar.</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3. Om leverantören av medieplattformen eller användargränssnittet inte är hemmahörande i Tyskland eller inte har sin hemvist i Tyskland, en annan medlemsstat i Europeiska unionen eller </w:t>
      </w:r>
      <w:r>
        <w:rPr>
          <w:rFonts w:asciiTheme="minorHAnsi" w:hAnsiTheme="minorHAnsi"/>
          <w:sz w:val="22"/>
        </w:rPr>
        <w:lastRenderedPageBreak/>
        <w:t xml:space="preserve">någon annan stat som är part i avtalet om det Europeiska ekonomiska samarbetsområdet, ska han eller hon i samband med anmälan utse ett auktoriserat ombud enligt paragraf 79 avsnitt 1.2 i </w:t>
      </w:r>
      <w:proofErr w:type="spellStart"/>
      <w:r>
        <w:rPr>
          <w:rFonts w:asciiTheme="minorHAnsi" w:hAnsiTheme="minorHAnsi"/>
          <w:sz w:val="22"/>
        </w:rPr>
        <w:t>MStV</w:t>
      </w:r>
      <w:proofErr w:type="spellEnd"/>
      <w:r>
        <w:rPr>
          <w:rFonts w:asciiTheme="minorHAnsi" w:hAnsiTheme="minorHAnsi"/>
          <w:sz w:val="22"/>
        </w:rPr>
        <w:t xml:space="preserve"> mot uppvisande av ett dokument enligt avsnitt 2.3.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(4) Den ansvariga mediemyndigheten kan också begära in ytterligare dokument och uppgifter som kan vara nödvändiga för bedömning av anmälan.</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Paragraf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Signalintegritet, överlagring och skalbarhet</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(1) En teknisk förändring som avses i paragraf 80 avsnitt 1.1 i </w:t>
      </w:r>
      <w:proofErr w:type="spellStart"/>
      <w:r>
        <w:rPr>
          <w:rFonts w:asciiTheme="minorHAnsi" w:hAnsiTheme="minorHAnsi"/>
          <w:sz w:val="22"/>
        </w:rPr>
        <w:t>MStV</w:t>
      </w:r>
      <w:proofErr w:type="spellEnd"/>
      <w:r>
        <w:rPr>
          <w:rFonts w:asciiTheme="minorHAnsi" w:hAnsiTheme="minorHAnsi"/>
          <w:sz w:val="22"/>
        </w:rPr>
        <w:t xml:space="preserve"> föreligger också om tekniskt tillhandahållna </w:t>
      </w:r>
      <w:proofErr w:type="spellStart"/>
      <w:r>
        <w:rPr>
          <w:rFonts w:asciiTheme="minorHAnsi" w:hAnsiTheme="minorHAnsi"/>
          <w:sz w:val="22"/>
        </w:rPr>
        <w:t>HbbTV</w:t>
      </w:r>
      <w:proofErr w:type="spellEnd"/>
      <w:r>
        <w:rPr>
          <w:rFonts w:asciiTheme="minorHAnsi" w:hAnsiTheme="minorHAnsi"/>
          <w:sz w:val="22"/>
        </w:rPr>
        <w:t>-signaler inte vidarebefordras av leverantörer av medieplattform.</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rPr>
        <w:t xml:space="preserve">(2) Den överlagring som avses i paragraf 80 avsnitt 1.2 i </w:t>
      </w:r>
      <w:proofErr w:type="spellStart"/>
      <w:r>
        <w:rPr>
          <w:rFonts w:asciiTheme="minorHAnsi" w:hAnsiTheme="minorHAnsi"/>
          <w:sz w:val="22"/>
        </w:rPr>
        <w:t>MStV</w:t>
      </w:r>
      <w:proofErr w:type="spellEnd"/>
      <w:r>
        <w:rPr>
          <w:rFonts w:asciiTheme="minorHAnsi" w:hAnsiTheme="minorHAnsi"/>
          <w:sz w:val="22"/>
        </w:rPr>
        <w:t xml:space="preserve"> är akustiska eller visuella skärmar som följer omedelbart efter en användares val och innan radio- och tv-program startar (pre-roll) är likvärdiga.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En orsak i enskilda fall som avses i paragraf 80 avsnitt 2.2 och 2.3 i </w:t>
      </w:r>
      <w:proofErr w:type="spellStart"/>
      <w:r>
        <w:rPr>
          <w:rFonts w:asciiTheme="minorHAnsi" w:hAnsiTheme="minorHAnsi"/>
          <w:sz w:val="22"/>
        </w:rPr>
        <w:t>MStV</w:t>
      </w:r>
      <w:proofErr w:type="spellEnd"/>
      <w:r>
        <w:rPr>
          <w:rFonts w:asciiTheme="minorHAnsi" w:hAnsiTheme="minorHAnsi"/>
          <w:sz w:val="22"/>
        </w:rPr>
        <w:t xml:space="preserve"> sker genom en tydlig handling från användaren, med vilken det är frivilligt sagt, för den specifika användningssituationen och entydigt, att användaren vill utlösa överlagring eller skalning. </w:t>
      </w:r>
      <w:r>
        <w:rPr>
          <w:rFonts w:asciiTheme="minorHAnsi" w:hAnsiTheme="minorHAnsi"/>
          <w:sz w:val="22"/>
          <w:vertAlign w:val="superscript"/>
        </w:rPr>
        <w:t>2</w:t>
      </w:r>
      <w:r>
        <w:rPr>
          <w:rFonts w:asciiTheme="minorHAnsi" w:hAnsiTheme="minorHAnsi"/>
          <w:sz w:val="22"/>
        </w:rPr>
        <w:t>Detta är särskilt fallet när användaren använder lämpligt markerade visuella eller akustiska manöverknappar för att utlösa överliggande inslag eller skalning.</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2. Avsnitt: Riktlinjer för tilldelning</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Paragraf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Tilldelningskrav för infrastrukturbundna medieplattformar</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Lämpligt övervägande av utbud enligt paragraf 81 avsnitt 2.1.1.b och c i </w:t>
      </w:r>
      <w:proofErr w:type="spellStart"/>
      <w:r>
        <w:rPr>
          <w:rFonts w:asciiTheme="minorHAnsi" w:hAnsiTheme="minorHAnsi"/>
          <w:sz w:val="22"/>
        </w:rPr>
        <w:t>MStV</w:t>
      </w:r>
      <w:proofErr w:type="spellEnd"/>
      <w:r>
        <w:rPr>
          <w:rFonts w:asciiTheme="minorHAnsi" w:hAnsiTheme="minorHAnsi"/>
          <w:sz w:val="22"/>
        </w:rPr>
        <w:t xml:space="preserve"> och paragraf 81 avsnitt 3.1.1. b i </w:t>
      </w:r>
      <w:proofErr w:type="spellStart"/>
      <w:r>
        <w:rPr>
          <w:rFonts w:asciiTheme="minorHAnsi" w:hAnsiTheme="minorHAnsi"/>
          <w:sz w:val="22"/>
        </w:rPr>
        <w:t>MStV</w:t>
      </w:r>
      <w:proofErr w:type="spellEnd"/>
      <w:r>
        <w:rPr>
          <w:rFonts w:asciiTheme="minorHAnsi" w:hAnsiTheme="minorHAnsi"/>
          <w:sz w:val="22"/>
        </w:rPr>
        <w:t xml:space="preserve"> förutsätter att det</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 xml:space="preserve">är bevisat att beläggningsförmågan enligt avsnitt 1.1 är otillräcklig för att fullt ut uppfylla spridningsskyldigheter enligt paragraf 81 avsnitt 2.1.1 i </w:t>
      </w:r>
      <w:proofErr w:type="spellStart"/>
      <w:r>
        <w:rPr>
          <w:rFonts w:ascii="Calibri" w:hAnsi="Calibri"/>
          <w:sz w:val="22"/>
        </w:rPr>
        <w:t>MStV</w:t>
      </w:r>
      <w:proofErr w:type="spellEnd"/>
      <w:r>
        <w:rPr>
          <w:rFonts w:ascii="Calibri" w:hAnsi="Calibri"/>
          <w:sz w:val="22"/>
        </w:rPr>
        <w:t xml:space="preserve"> samt paragraf 81 avsnitt 3.1.1 i </w:t>
      </w:r>
      <w:proofErr w:type="spellStart"/>
      <w:r>
        <w:rPr>
          <w:rFonts w:ascii="Calibri" w:hAnsi="Calibri"/>
          <w:sz w:val="22"/>
        </w:rPr>
        <w:t>MStV</w:t>
      </w:r>
      <w:proofErr w:type="spellEnd"/>
      <w:r>
        <w:rPr>
          <w:rFonts w:ascii="Calibri" w:hAnsi="Calibri"/>
          <w:sz w:val="22"/>
        </w:rPr>
        <w:t>;</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program som distribueras i olika standarder räknas endast en gång,</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 xml:space="preserve">program enligt paragraf 81 avsnitt 2.1.1 i </w:t>
      </w:r>
      <w:proofErr w:type="spellStart"/>
      <w:r>
        <w:rPr>
          <w:rFonts w:ascii="Calibri" w:hAnsi="Calibri"/>
          <w:sz w:val="22"/>
        </w:rPr>
        <w:t>MStV</w:t>
      </w:r>
      <w:proofErr w:type="spellEnd"/>
      <w:r>
        <w:rPr>
          <w:rFonts w:ascii="Calibri" w:hAnsi="Calibri"/>
          <w:sz w:val="22"/>
        </w:rPr>
        <w:t xml:space="preserve"> samt paragraf 81 avsnitt 3.1.1 i </w:t>
      </w:r>
      <w:proofErr w:type="spellStart"/>
      <w:r>
        <w:rPr>
          <w:rFonts w:ascii="Calibri" w:hAnsi="Calibri"/>
          <w:sz w:val="22"/>
        </w:rPr>
        <w:t>MStV</w:t>
      </w:r>
      <w:proofErr w:type="spellEnd"/>
      <w:r>
        <w:rPr>
          <w:rFonts w:ascii="Calibri" w:hAnsi="Calibri"/>
          <w:sz w:val="22"/>
        </w:rPr>
        <w:t xml:space="preserve"> vilka inte är rättsligt avsedda för respektive distributionsområde, tilldelas i en ordningsföljd efter utbud enligt paragraf 81 avsnitt 2.1.1 b och c i </w:t>
      </w:r>
      <w:proofErr w:type="spellStart"/>
      <w:r>
        <w:rPr>
          <w:rFonts w:ascii="Calibri" w:hAnsi="Calibri"/>
          <w:sz w:val="22"/>
        </w:rPr>
        <w:t>MStV</w:t>
      </w:r>
      <w:proofErr w:type="spellEnd"/>
      <w:r>
        <w:rPr>
          <w:rFonts w:ascii="Calibri" w:hAnsi="Calibri"/>
          <w:sz w:val="22"/>
        </w:rPr>
        <w:t xml:space="preserve"> och paragraf 81 avsnitt 3.1.1.b i </w:t>
      </w:r>
      <w:proofErr w:type="spellStart"/>
      <w:r>
        <w:rPr>
          <w:rFonts w:ascii="Calibri" w:hAnsi="Calibri"/>
          <w:sz w:val="22"/>
        </w:rPr>
        <w:t>MStV</w:t>
      </w:r>
      <w:proofErr w:type="spellEnd"/>
      <w:r>
        <w:rPr>
          <w:rFonts w:ascii="Calibri" w:hAnsi="Calibri"/>
          <w:sz w:val="22"/>
        </w:rPr>
        <w:t xml:space="preserve"> sprids,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 xml:space="preserve">utbud enligt paragraf 81 avsnitt 2.1.1.b och c i </w:t>
      </w:r>
      <w:proofErr w:type="spellStart"/>
      <w:r>
        <w:rPr>
          <w:rFonts w:ascii="Calibri" w:hAnsi="Calibri"/>
          <w:sz w:val="22"/>
        </w:rPr>
        <w:t>MStV</w:t>
      </w:r>
      <w:proofErr w:type="spellEnd"/>
      <w:r>
        <w:rPr>
          <w:rFonts w:ascii="Calibri" w:hAnsi="Calibri"/>
          <w:sz w:val="22"/>
        </w:rPr>
        <w:t xml:space="preserve"> samt paragraf 81 avsnitt 3.1.1.b i </w:t>
      </w:r>
      <w:proofErr w:type="spellStart"/>
      <w:r>
        <w:rPr>
          <w:rFonts w:ascii="Calibri" w:hAnsi="Calibri"/>
          <w:sz w:val="22"/>
        </w:rPr>
        <w:t>MStV</w:t>
      </w:r>
      <w:proofErr w:type="spellEnd"/>
      <w:r>
        <w:rPr>
          <w:rFonts w:ascii="Calibri" w:hAnsi="Calibri"/>
          <w:sz w:val="22"/>
        </w:rPr>
        <w:t xml:space="preserve"> kan inte förskjutas helt.</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sz w:val="22"/>
        </w:rPr>
        <w:lastRenderedPageBreak/>
        <w:t>3. Avsnitt: Åtkomstvillkor för medieplattformar</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Paragraf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Lika möjligheter</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(1) Leverantörer av medieplattformar måste erbjuda tillgång till sina medieplattformar på ett sådant sätt att utbuden, enligt paragraf 82 avsnitt 2 i </w:t>
      </w:r>
      <w:proofErr w:type="spellStart"/>
      <w:r>
        <w:rPr>
          <w:rFonts w:asciiTheme="minorHAnsi" w:hAnsiTheme="minorHAnsi"/>
          <w:sz w:val="22"/>
        </w:rPr>
        <w:t>MStV</w:t>
      </w:r>
      <w:proofErr w:type="spellEnd"/>
      <w:r>
        <w:rPr>
          <w:rFonts w:asciiTheme="minorHAnsi" w:hAnsiTheme="minorHAnsi"/>
          <w:sz w:val="22"/>
        </w:rPr>
        <w:t>, inte hindras på ett oskäligt sätt, varken direkt eller indirekt, i samband med deras spridning eller marknadsföring.</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(2) Oskäligheten i ett hinder måste fastställas genom en grundlig avvägning av de berörda parternas intressen och med hänsyn till </w:t>
      </w:r>
      <w:proofErr w:type="spellStart"/>
      <w:r>
        <w:rPr>
          <w:rFonts w:asciiTheme="minorHAnsi" w:hAnsiTheme="minorHAnsi"/>
          <w:sz w:val="22"/>
        </w:rPr>
        <w:t>MStV:s</w:t>
      </w:r>
      <w:proofErr w:type="spellEnd"/>
      <w:r>
        <w:rPr>
          <w:rFonts w:asciiTheme="minorHAnsi" w:hAnsiTheme="minorHAnsi"/>
          <w:sz w:val="22"/>
        </w:rPr>
        <w:t xml:space="preserve"> mål och stadgar för säkerställande av åsikts- och utbudsmångfalden.</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(3) Ett oskäligt hinder föreligger särskilt om medieplattformar inte erbjuder en realistisk möjlighet att få åtkomst inom ramen för vad som är tekniskt och ekonomiskt rimligt eller om villkoren för åtkomst leder till en strukturell nackdel med utbud enligt paragraf 82 avsnitt 2 i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Paragraf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Icke-diskriminering</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Leverantörer av medieplattformar får inte behandla utbudet inom ramen för paragraf 82 avsnitt 2 i </w:t>
      </w:r>
      <w:proofErr w:type="spellStart"/>
      <w:r>
        <w:rPr>
          <w:rFonts w:asciiTheme="minorHAnsi" w:hAnsiTheme="minorHAnsi"/>
          <w:sz w:val="22"/>
        </w:rPr>
        <w:t>MStV</w:t>
      </w:r>
      <w:proofErr w:type="spellEnd"/>
      <w:r>
        <w:rPr>
          <w:rFonts w:asciiTheme="minorHAnsi" w:hAnsiTheme="minorHAnsi"/>
          <w:sz w:val="22"/>
        </w:rPr>
        <w:t xml:space="preserve"> på ett annat sätt än liknande utbud utan objektivt motiverade skäl. </w:t>
      </w:r>
      <w:r>
        <w:rPr>
          <w:rFonts w:asciiTheme="minorHAnsi" w:hAnsiTheme="minorHAnsi"/>
          <w:sz w:val="22"/>
          <w:vertAlign w:val="superscript"/>
        </w:rPr>
        <w:t>2</w:t>
      </w:r>
      <w:r>
        <w:rPr>
          <w:rFonts w:asciiTheme="minorHAnsi" w:hAnsiTheme="minorHAnsi"/>
          <w:sz w:val="22"/>
        </w:rPr>
        <w:t xml:space="preserve">Detta gäller särskilt när en leverantör av en medieplattform erbjuder tillgång till medieplattformar till ett erbjudande enligt paragraf 82 avsnitt 2 i </w:t>
      </w:r>
      <w:proofErr w:type="spellStart"/>
      <w:r>
        <w:rPr>
          <w:rFonts w:asciiTheme="minorHAnsi" w:hAnsiTheme="minorHAnsi"/>
          <w:sz w:val="22"/>
        </w:rPr>
        <w:t>MStV</w:t>
      </w:r>
      <w:proofErr w:type="spellEnd"/>
      <w:r>
        <w:rPr>
          <w:rFonts w:asciiTheme="minorHAnsi" w:hAnsiTheme="minorHAnsi"/>
          <w:sz w:val="22"/>
        </w:rPr>
        <w:t xml:space="preserve"> enligt andra villkor för tillträdet än ett företag som kan tillskrivas tillhandahållaren av medieplattformen, såvida det inte finns ett väsentligt försvarbart skäl för detta. </w:t>
      </w:r>
      <w:r>
        <w:rPr>
          <w:rFonts w:asciiTheme="minorHAnsi" w:hAnsiTheme="minorHAnsi"/>
          <w:sz w:val="22"/>
          <w:vertAlign w:val="superscript"/>
        </w:rPr>
        <w:t>3</w:t>
      </w:r>
      <w:r>
        <w:rPr>
          <w:rFonts w:asciiTheme="minorHAnsi" w:hAnsiTheme="minorHAnsi"/>
          <w:sz w:val="22"/>
        </w:rPr>
        <w:t xml:space="preserve">Detta gäller företag till vilka leverantörer av medieplattformar är direkt eller indirekt kopplade genom deltagande eller på något annat sätt. Paragraf 62 </w:t>
      </w:r>
      <w:proofErr w:type="spellStart"/>
      <w:r>
        <w:rPr>
          <w:rFonts w:asciiTheme="minorHAnsi" w:hAnsiTheme="minorHAnsi"/>
          <w:sz w:val="22"/>
        </w:rPr>
        <w:t>MStV</w:t>
      </w:r>
      <w:proofErr w:type="spellEnd"/>
      <w:r>
        <w:rPr>
          <w:rFonts w:asciiTheme="minorHAnsi" w:hAnsiTheme="minorHAnsi"/>
          <w:sz w:val="22"/>
        </w:rPr>
        <w:t xml:space="preserve"> ska tillämpas i enlighet därmed.</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(2) Det objektivt motiverande skälet till ojämlik behandling måste gälla före huvudmålet att säkerställa mångfald i åsikter.</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Paragraf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System med villkorad tillgång</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(1) System för villkorad tillgång är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någon teknisk åtgärd,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något autentiseringssystem och/eller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någon enhet,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rPr>
        <w:t xml:space="preserve">som ger tillgång till en skyddad radio- eller televisionstjänst i </w:t>
      </w:r>
      <w:proofErr w:type="spellStart"/>
      <w:r>
        <w:rPr>
          <w:rFonts w:asciiTheme="minorHAnsi" w:hAnsiTheme="minorHAnsi"/>
          <w:sz w:val="22"/>
        </w:rPr>
        <w:t>okrypterad</w:t>
      </w:r>
      <w:proofErr w:type="spellEnd"/>
      <w:r>
        <w:rPr>
          <w:rFonts w:asciiTheme="minorHAnsi" w:hAnsiTheme="minorHAnsi"/>
          <w:sz w:val="22"/>
        </w:rPr>
        <w:t xml:space="preserve"> form beroende av ett abonnemang eller annan form av ett tidigare tillstånd för enskilda.</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(2) Beträffande system för villkorad tillgång som avses i paragraf 82 avsnitt 2.1 i </w:t>
      </w:r>
      <w:proofErr w:type="spellStart"/>
      <w:r>
        <w:rPr>
          <w:rFonts w:asciiTheme="minorHAnsi" w:hAnsiTheme="minorHAnsi"/>
          <w:sz w:val="22"/>
        </w:rPr>
        <w:t>MStV</w:t>
      </w:r>
      <w:proofErr w:type="spellEnd"/>
      <w:r>
        <w:rPr>
          <w:rFonts w:asciiTheme="minorHAnsi" w:hAnsiTheme="minorHAnsi"/>
          <w:sz w:val="22"/>
        </w:rPr>
        <w:t>, måste alla berättigade instanser ge användarna möjlighet att använda de nödvändiga tekniska tjänster som krävs och dess system samt tillhandahålla alla uppgifter som krävs för detta på lika möjligheter, lämpliga och icke-diskriminerande villkor.</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lastRenderedPageBreak/>
        <w:t>Paragraf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Åtkomstvillkor</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(1) Utformningen av åtkomstvillkoren som avses i paragraferna 82 avsnitt 2.4, paragraf 83 avsnitt 2 i </w:t>
      </w:r>
      <w:proofErr w:type="spellStart"/>
      <w:r>
        <w:rPr>
          <w:rFonts w:asciiTheme="minorHAnsi" w:hAnsiTheme="minorHAnsi"/>
          <w:sz w:val="22"/>
        </w:rPr>
        <w:t>MStV</w:t>
      </w:r>
      <w:proofErr w:type="spellEnd"/>
      <w:r>
        <w:rPr>
          <w:rFonts w:asciiTheme="minorHAnsi" w:hAnsiTheme="minorHAnsi"/>
          <w:sz w:val="22"/>
        </w:rPr>
        <w:t xml:space="preserve"> omfattar särskilt det sätt på vilket en leverantör av medieplattformen definierar medieplattformen med hjälp av finansiella och tekniska krav för tillgång av ett utbud enligt paragraf 82 avsnitt 2 i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rPr>
        <w:t>(2) Om ett programföretag begär åtkomst till en medieplattform ska granskningen av icke-diskriminering och lika möjligheter omfatta alla monetära förmåner som kan utbytas eller är avsedda att utbytas i direkt eller indirekta materiell koppling. Detta omfattar i synnerhet,</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rPr>
        <w:t>avgifter och taxor som leverantören av en medieplattform tar ut eller vill ta ut från programföretag som begär åtkomst,</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rPr>
        <w:t>ersättning som leverantören av en medieplattform betalar eller ska betala enligt avtal på grundval av signalupplåtelse till programföretaget, inklusive avkastning i HD-CPS-modeller.</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rPr>
        <w:t xml:space="preserve">(3) I den mån det är nödvändigt att bedöma tillträdessituationen kan avtal om beviljande och ersättning av rättigheter, som den som tillhandahåller en medieplattform ingår eller avser att ingå med programföretaget på basis av upphovsrätten eller varumärkesrättigheterna, också ingå i den övergripande bedömning som krävs. Bestämmelserna i </w:t>
      </w:r>
      <w:proofErr w:type="spellStart"/>
      <w:r>
        <w:rPr>
          <w:rFonts w:asciiTheme="minorHAnsi" w:hAnsiTheme="minorHAnsi"/>
          <w:sz w:val="22"/>
        </w:rPr>
        <w:t>UrhG</w:t>
      </w:r>
      <w:proofErr w:type="spellEnd"/>
      <w:r>
        <w:rPr>
          <w:rFonts w:asciiTheme="minorHAnsi" w:hAnsiTheme="minorHAnsi"/>
          <w:sz w:val="22"/>
        </w:rPr>
        <w:t xml:space="preserve">, </w:t>
      </w:r>
      <w:proofErr w:type="spellStart"/>
      <w:r>
        <w:rPr>
          <w:rFonts w:asciiTheme="minorHAnsi" w:hAnsiTheme="minorHAnsi"/>
          <w:sz w:val="22"/>
        </w:rPr>
        <w:t>UrhWahrG</w:t>
      </w:r>
      <w:proofErr w:type="spellEnd"/>
      <w:r>
        <w:rPr>
          <w:rFonts w:asciiTheme="minorHAnsi" w:hAnsiTheme="minorHAnsi"/>
          <w:sz w:val="22"/>
        </w:rPr>
        <w:t xml:space="preserve"> och GWB samt tillhörande ansvar förblir opåverkade.</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rPr>
        <w:t>Paragraf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Offentliggörande</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(1) Leverantörer av medieplattformar är skyldiga att,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rPr>
        <w:t xml:space="preserve">vid ett överskridande av de lagstadgade tröskelvärden som anges i paragraf 78 i </w:t>
      </w:r>
      <w:proofErr w:type="spellStart"/>
      <w:r>
        <w:rPr>
          <w:rFonts w:ascii="Calibri" w:hAnsi="Calibri"/>
          <w:sz w:val="22"/>
        </w:rPr>
        <w:t>MStV</w:t>
      </w:r>
      <w:proofErr w:type="spellEnd"/>
      <w:r>
        <w:rPr>
          <w:rFonts w:ascii="Calibri" w:hAnsi="Calibri"/>
          <w:sz w:val="22"/>
        </w:rPr>
        <w:t xml:space="preserve">, villkoren för tillträde som avses i paragraf 82 avsnitt 2 i </w:t>
      </w:r>
      <w:proofErr w:type="spellStart"/>
      <w:r>
        <w:rPr>
          <w:rFonts w:ascii="Calibri" w:hAnsi="Calibri"/>
          <w:sz w:val="22"/>
        </w:rPr>
        <w:t>MStV</w:t>
      </w:r>
      <w:proofErr w:type="spellEnd"/>
      <w:r>
        <w:rPr>
          <w:rFonts w:ascii="Calibri" w:hAnsi="Calibri"/>
          <w:sz w:val="22"/>
        </w:rPr>
        <w:t xml:space="preserve"> paragraf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när det gäller paragraf 81 avsnitt 2.2 i </w:t>
      </w:r>
      <w:proofErr w:type="spellStart"/>
      <w:r>
        <w:rPr>
          <w:rFonts w:asciiTheme="minorHAnsi" w:hAnsiTheme="minorHAnsi"/>
          <w:sz w:val="22"/>
        </w:rPr>
        <w:t>MStV</w:t>
      </w:r>
      <w:proofErr w:type="spellEnd"/>
      <w:r>
        <w:rPr>
          <w:rFonts w:asciiTheme="minorHAnsi" w:hAnsiTheme="minorHAnsi"/>
          <w:sz w:val="22"/>
        </w:rPr>
        <w:t xml:space="preserve"> att offentliggöra uppgifter om den totala tillgängliga kapaciteten för digital distribution av TV-program eller radio</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rPr>
        <w:t>till den ansvariga statliga mediemyndigheten på begäran.</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rPr>
        <w:t>(2) Offentliggörandet görs genom att lämna in lämpliga handlingar.</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(3) Offentliggörandet måste särskilt innehålla uppgifter om följande punkter:</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När det gäller avsnitt 1.1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alla tekniska parametrar och tekniska ramvillkor, vars kännedom är nödvändig för att bedöma åtkomst enligt paragraf 82 avsnitt 2.1 och 2.2 i </w:t>
      </w:r>
      <w:proofErr w:type="spellStart"/>
      <w:r>
        <w:rPr>
          <w:rFonts w:asciiTheme="minorHAnsi" w:hAnsiTheme="minorHAnsi"/>
          <w:sz w:val="22"/>
        </w:rPr>
        <w:t>MStV</w:t>
      </w:r>
      <w:proofErr w:type="spellEnd"/>
      <w:r>
        <w:rPr>
          <w:rFonts w:asciiTheme="minorHAnsi" w:hAnsiTheme="minorHAnsi"/>
          <w:sz w:val="22"/>
        </w:rPr>
        <w:t>,</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de avgifter och taxor som krävs av leverantörer av medieplattformar, inklusive deras kalkyler, statistiska uppgifter och affärsantaganden,</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en beskrivning av det tillämpade ersättningssystemet.</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När det gäller avsnitt 1.2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rPr>
        <w:t>uppgifter om möjligheterna till effektiv kapacitetsanvändning;</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rPr>
        <w:t>om och i vilka olika spridningsstandarder ett program sprids.</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sz w:val="22"/>
        </w:rPr>
        <w:lastRenderedPageBreak/>
        <w:t>4. Avsnitt: Bestämmelser för användargränssnitt</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rPr>
        <w:t xml:space="preserve">Paragraf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Sökbarhet i användargränssnitt</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Sortering, arrangemang och presentation av utbud och innehåll samt andra textuella, visuella och akustiska former av presentation är avgörande för att utbud och innehåll i användargränssnitt kan upptäckas. </w:t>
      </w:r>
      <w:r>
        <w:rPr>
          <w:rFonts w:asciiTheme="minorHAnsi" w:hAnsiTheme="minorHAnsi"/>
          <w:sz w:val="22"/>
          <w:vertAlign w:val="superscript"/>
        </w:rPr>
        <w:t>2</w:t>
      </w:r>
      <w:r>
        <w:rPr>
          <w:rFonts w:asciiTheme="minorHAnsi" w:hAnsiTheme="minorHAnsi"/>
          <w:sz w:val="22"/>
        </w:rPr>
        <w:t xml:space="preserve">Utbudet består av individuella radio- och tv-program, radioliknande telemedier, telemedier enligt paragraf 19 avsnitt 1 i </w:t>
      </w:r>
      <w:proofErr w:type="spellStart"/>
      <w:r>
        <w:rPr>
          <w:rFonts w:asciiTheme="minorHAnsi" w:hAnsiTheme="minorHAnsi"/>
          <w:sz w:val="22"/>
        </w:rPr>
        <w:t>MStV</w:t>
      </w:r>
      <w:proofErr w:type="spellEnd"/>
      <w:r>
        <w:rPr>
          <w:rFonts w:asciiTheme="minorHAnsi" w:hAnsiTheme="minorHAnsi"/>
          <w:sz w:val="22"/>
        </w:rPr>
        <w:t xml:space="preserve"> och, i huvudsak, programvarubaserat användande föra att direkt styra hela det nämnda utbudet. </w:t>
      </w:r>
      <w:r>
        <w:rPr>
          <w:rFonts w:asciiTheme="minorHAnsi" w:hAnsiTheme="minorHAnsi"/>
          <w:sz w:val="22"/>
          <w:vertAlign w:val="superscript"/>
        </w:rPr>
        <w:t>3</w:t>
      </w:r>
      <w:r>
        <w:rPr>
          <w:rFonts w:asciiTheme="minorHAnsi" w:hAnsiTheme="minorHAnsi"/>
          <w:sz w:val="22"/>
        </w:rPr>
        <w:t>Innehållet är avgränsat, särskilt separat namngivna eller märkbara delar av utbudet såsom sändningar.</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rPr>
        <w:t>(2) När det gäller kraven för sökbarhet och manövrering i användargränssnittet baseras följande föreskrifter på genomsnittlig kunskap hos en användare som inte besitter någon specifik teknisk kunskap.</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Likvärdiga utbud eller innehåll måste kunna hittas med lika möjligheter och utan diskriminering. </w:t>
      </w:r>
      <w:r>
        <w:rPr>
          <w:rFonts w:asciiTheme="minorHAnsi" w:hAnsiTheme="minorHAnsi"/>
          <w:sz w:val="22"/>
          <w:vertAlign w:val="superscript"/>
        </w:rPr>
        <w:t>2</w:t>
      </w:r>
      <w:r>
        <w:rPr>
          <w:rFonts w:asciiTheme="minorHAnsi" w:hAnsiTheme="minorHAnsi"/>
          <w:sz w:val="22"/>
        </w:rPr>
        <w:t xml:space="preserve">Ojämlik behandling är endast tillåten om det finns en verifierbar saklig grund för detta som inte strider mot målet att säkerställa mångfalden. </w:t>
      </w:r>
      <w:r>
        <w:rPr>
          <w:rFonts w:asciiTheme="minorHAnsi" w:hAnsiTheme="minorHAnsi"/>
          <w:sz w:val="22"/>
          <w:vertAlign w:val="superscript"/>
        </w:rPr>
        <w:t>3</w:t>
      </w:r>
      <w:r>
        <w:rPr>
          <w:rFonts w:asciiTheme="minorHAnsi" w:hAnsiTheme="minorHAnsi"/>
          <w:sz w:val="22"/>
        </w:rPr>
        <w:t>Särskilt tillåtna kriterier för sortering eller arrangemang av utbud och innehåll är:</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Alfabet,</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genrer som information, utbildning, kultur, regional eller underhållning eller</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användningsräckvidden.</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vertAlign w:val="superscript"/>
        </w:rPr>
        <w:t>4</w:t>
      </w:r>
      <w:r>
        <w:rPr>
          <w:rFonts w:asciiTheme="minorHAnsi" w:hAnsiTheme="minorHAnsi"/>
          <w:sz w:val="22"/>
        </w:rPr>
        <w:t xml:space="preserve">Möjligheten att vidareutveckla kriterierna förblir opåverkad. </w:t>
      </w:r>
      <w:r>
        <w:rPr>
          <w:rFonts w:asciiTheme="minorHAnsi" w:hAnsiTheme="minorHAnsi"/>
          <w:sz w:val="22"/>
          <w:vertAlign w:val="superscript"/>
        </w:rPr>
        <w:t>5</w:t>
      </w:r>
      <w:r>
        <w:rPr>
          <w:rFonts w:asciiTheme="minorHAnsi" w:hAnsiTheme="minorHAnsi"/>
          <w:sz w:val="22"/>
        </w:rPr>
        <w:t xml:space="preserve">Diskriminering föreligger särskilt om leverantören av användargränssnittet avviker från sina egna tillåtna kriterier. </w:t>
      </w:r>
      <w:r>
        <w:rPr>
          <w:rFonts w:asciiTheme="minorHAnsi" w:hAnsiTheme="minorHAnsi"/>
          <w:sz w:val="22"/>
          <w:vertAlign w:val="superscript"/>
        </w:rPr>
        <w:t>6</w:t>
      </w:r>
      <w:r>
        <w:rPr>
          <w:rFonts w:asciiTheme="minorHAnsi" w:hAnsiTheme="minorHAnsi"/>
          <w:sz w:val="22"/>
        </w:rPr>
        <w:t xml:space="preserve">Leverantören måste garantera den statliga mediemyndigheten att kriterierna kan verifieras och att de följs, särskilt genom att i detalj specificera vilka kriterier som används och vilken information som används som grund. </w:t>
      </w:r>
      <w:r>
        <w:rPr>
          <w:rFonts w:asciiTheme="minorHAnsi" w:hAnsiTheme="minorHAnsi"/>
          <w:sz w:val="22"/>
          <w:vertAlign w:val="superscript"/>
        </w:rPr>
        <w:t>7</w:t>
      </w:r>
      <w:r>
        <w:rPr>
          <w:rFonts w:asciiTheme="minorHAnsi" w:hAnsiTheme="minorHAnsi"/>
          <w:sz w:val="22"/>
        </w:rPr>
        <w:t xml:space="preserve">Vanligtvis är det inte tillåtet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rPr>
        <w:t>med en sortering eller arrangemang som påverkas av betalning eller liknande ersättning eller</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rPr>
        <w:t xml:space="preserve">prioritering av eget utbud och innehåll från leverantören av användargränssnittet, såvida inte en avgift betalas för användningen.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Användargränssnitt måste erbjuda möjligheten att kunna söka igenom samtliga utbud till specifikt utbud (sökfunktion). </w:t>
      </w:r>
      <w:r>
        <w:rPr>
          <w:rFonts w:asciiTheme="minorHAnsi" w:hAnsiTheme="minorHAnsi"/>
          <w:sz w:val="22"/>
          <w:vertAlign w:val="superscript"/>
        </w:rPr>
        <w:t>2</w:t>
      </w:r>
      <w:r>
        <w:rPr>
          <w:rFonts w:asciiTheme="minorHAnsi" w:hAnsiTheme="minorHAnsi"/>
          <w:sz w:val="22"/>
        </w:rPr>
        <w:t xml:space="preserve">Resultatet av sökningen inklusive sökförslag som gjorts under sökprocessen (t.ex. genom en </w:t>
      </w:r>
      <w:proofErr w:type="spellStart"/>
      <w:r>
        <w:rPr>
          <w:rFonts w:asciiTheme="minorHAnsi" w:hAnsiTheme="minorHAnsi"/>
          <w:sz w:val="22"/>
        </w:rPr>
        <w:t>autocomplete</w:t>
      </w:r>
      <w:proofErr w:type="spellEnd"/>
      <w:r>
        <w:rPr>
          <w:rFonts w:asciiTheme="minorHAnsi" w:hAnsiTheme="minorHAnsi"/>
          <w:sz w:val="22"/>
        </w:rPr>
        <w:t xml:space="preserve">-funktion) måste vara icke-diskriminerande. </w:t>
      </w:r>
      <w:r>
        <w:rPr>
          <w:rFonts w:asciiTheme="minorHAnsi" w:hAnsiTheme="minorHAnsi"/>
          <w:sz w:val="22"/>
          <w:vertAlign w:val="superscript"/>
        </w:rPr>
        <w:t>3</w:t>
      </w:r>
      <w:r>
        <w:rPr>
          <w:rFonts w:asciiTheme="minorHAnsi" w:hAnsiTheme="minorHAnsi"/>
          <w:sz w:val="22"/>
        </w:rPr>
        <w:t>Dessutom kan ett användargränssnitt också ge möjlighet att söka efter innehåll; avsnitt 3.1 gäller därefter.</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rPr>
        <w:t xml:space="preserve">(5) </w:t>
      </w:r>
      <w:r>
        <w:rPr>
          <w:rFonts w:asciiTheme="minorHAnsi" w:hAnsiTheme="minorHAnsi"/>
          <w:sz w:val="22"/>
          <w:vertAlign w:val="superscript"/>
        </w:rPr>
        <w:t>1</w:t>
      </w:r>
      <w:r>
        <w:rPr>
          <w:rFonts w:asciiTheme="minorHAnsi" w:hAnsiTheme="minorHAnsi"/>
          <w:sz w:val="22"/>
        </w:rPr>
        <w:t xml:space="preserve">Utbudet betraktas som lätt att hitta i användargränssnittet om det kan hittas snabbt och enkelt eftersom det presenteras som förmärkt eller markeras med till exempel en separat knapp. </w:t>
      </w:r>
      <w:r>
        <w:rPr>
          <w:rFonts w:asciiTheme="minorHAnsi" w:hAnsiTheme="minorHAnsi"/>
          <w:sz w:val="22"/>
          <w:vertAlign w:val="superscript"/>
        </w:rPr>
        <w:t>2</w:t>
      </w:r>
      <w:r>
        <w:rPr>
          <w:rFonts w:asciiTheme="minorHAnsi" w:hAnsiTheme="minorHAnsi"/>
          <w:sz w:val="22"/>
        </w:rPr>
        <w:t xml:space="preserve">Hur lätt det kan hittas i enskilda fall beror på användargränssnittets typ, omfattning och utformning samt den konkreta avbildningen eller annan framställning av utbudet och innehållet. </w:t>
      </w:r>
      <w:r>
        <w:rPr>
          <w:rFonts w:asciiTheme="minorHAnsi" w:hAnsiTheme="minorHAnsi"/>
          <w:sz w:val="22"/>
          <w:vertAlign w:val="superscript"/>
        </w:rPr>
        <w:t>3</w:t>
      </w:r>
      <w:r>
        <w:rPr>
          <w:rFonts w:asciiTheme="minorHAnsi" w:hAnsiTheme="minorHAnsi"/>
          <w:sz w:val="22"/>
        </w:rPr>
        <w:t>Det som kännetecknar lätt upptäckbarhet av önskat utbud, som är nödvändigt men inte tillräckligt, är vanligtvis att det kan hittas lika enkelt och snabbt som resten av utbudet.</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rPr>
        <w:lastRenderedPageBreak/>
        <w:t xml:space="preserve">(6) </w:t>
      </w:r>
      <w:r>
        <w:rPr>
          <w:rFonts w:asciiTheme="minorHAnsi" w:hAnsiTheme="minorHAnsi"/>
          <w:sz w:val="22"/>
          <w:vertAlign w:val="superscript"/>
        </w:rPr>
        <w:t>1</w:t>
      </w:r>
      <w:r>
        <w:rPr>
          <w:rFonts w:asciiTheme="minorHAnsi" w:hAnsiTheme="minorHAnsi"/>
          <w:sz w:val="22"/>
        </w:rPr>
        <w:t>Följande måste vara lätt att hitta i användargränssnitt:</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På den första urvalsnivån för sändningen i sin helhet, förutsatt att inte endast sändningsprogram kan väljas på denna nivå.</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 xml:space="preserve">Inom sändning för lagstadgade bestämda bidragsfinansierade programmen, radio- och tv-program, fönsterprogram (paragraf 59 avsnitt 4 i </w:t>
      </w:r>
      <w:proofErr w:type="spellStart"/>
      <w:r>
        <w:rPr>
          <w:rFonts w:ascii="Calibri" w:hAnsi="Calibri"/>
          <w:sz w:val="22"/>
        </w:rPr>
        <w:t>MStV</w:t>
      </w:r>
      <w:proofErr w:type="spellEnd"/>
      <w:r>
        <w:rPr>
          <w:rFonts w:ascii="Calibri" w:hAnsi="Calibri"/>
          <w:sz w:val="22"/>
        </w:rPr>
        <w:t>) samt de privata programmen som särskilt bidrar till åsikts- och utbudsmångfalden i Förbundsrepubliken Tyskland och</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 xml:space="preserve">på urvalsnivåer, där endast eller huvudsakligen presenteras radioliknande telemedier eller programvarubaserade användande som tjänar till att direkt styra dem, telemedieutbudet och programvarubaserat användande enligt paragraf 84 avsnitt 4 i </w:t>
      </w:r>
      <w:proofErr w:type="spellStart"/>
      <w:r>
        <w:rPr>
          <w:rFonts w:ascii="Calibri" w:hAnsi="Calibri"/>
          <w:sz w:val="22"/>
        </w:rPr>
        <w:t>MStV</w:t>
      </w:r>
      <w:proofErr w:type="spellEnd"/>
      <w:r>
        <w:rPr>
          <w:rFonts w:ascii="Calibri" w:hAnsi="Calibri"/>
          <w:sz w:val="22"/>
        </w:rPr>
        <w:t>.</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vertAlign w:val="superscript"/>
        </w:rPr>
        <w:t>2</w:t>
      </w:r>
      <w:r>
        <w:rPr>
          <w:rFonts w:asciiTheme="minorHAnsi" w:hAnsiTheme="minorHAnsi"/>
          <w:sz w:val="22"/>
        </w:rPr>
        <w:t xml:space="preserve">Sändningen i sin helhet måste kunna nås på den första urvalsnivån utan några väsentliga mellansteg, vanligtvis genom endast en åtgärd. </w:t>
      </w:r>
      <w:r>
        <w:rPr>
          <w:rFonts w:asciiTheme="minorHAnsi" w:hAnsiTheme="minorHAnsi"/>
          <w:sz w:val="22"/>
          <w:vertAlign w:val="superscript"/>
        </w:rPr>
        <w:t>3</w:t>
      </w:r>
      <w:r>
        <w:rPr>
          <w:rFonts w:asciiTheme="minorHAnsi" w:hAnsiTheme="minorHAnsi"/>
          <w:sz w:val="22"/>
        </w:rPr>
        <w:t>Om radio- och tv-program visas eller överförs akustiskt och som måste innefatta fönsterprogram (paragraf 59 avsnitt 4), inom det område för vilket fönsterprogrammen är tillåtna eller lagligt tillåtna, måste huvudprogrammen med fönsterprogram visas först jämfört med huvudprogram som sänds utan fönsterprogram och som är tillåtna för andra områden eller som föreskrivs enligt lag.</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rPr>
        <w:t xml:space="preserve">(7) </w:t>
      </w:r>
      <w:r>
        <w:rPr>
          <w:rFonts w:asciiTheme="minorHAnsi" w:hAnsiTheme="minorHAnsi"/>
          <w:sz w:val="22"/>
          <w:vertAlign w:val="superscript"/>
        </w:rPr>
        <w:t>1</w:t>
      </w:r>
      <w:r>
        <w:rPr>
          <w:rFonts w:asciiTheme="minorHAnsi" w:hAnsiTheme="minorHAnsi"/>
          <w:sz w:val="22"/>
        </w:rPr>
        <w:t xml:space="preserve">Oberoende av standardinställningarna måste utbud och innehåll enkelt och snabbt kunna sorteras och ordnas av användaren (t.ex. med hjälp av en favoritlista). </w:t>
      </w:r>
      <w:r>
        <w:rPr>
          <w:rFonts w:asciiTheme="minorHAnsi" w:hAnsiTheme="minorHAnsi"/>
          <w:sz w:val="22"/>
          <w:vertAlign w:val="superscript"/>
        </w:rPr>
        <w:t>2</w:t>
      </w:r>
      <w:r>
        <w:rPr>
          <w:rFonts w:asciiTheme="minorHAnsi" w:hAnsiTheme="minorHAnsi"/>
          <w:sz w:val="22"/>
        </w:rPr>
        <w:t xml:space="preserve">Som regel kan utbud eller innehåll sorteras eller ordnas snabbt och enkelt om detta är tydligt eller förklaras på ett lättförståeligt sätt. </w:t>
      </w:r>
      <w:r>
        <w:rPr>
          <w:rFonts w:asciiTheme="minorHAnsi" w:hAnsiTheme="minorHAnsi"/>
          <w:sz w:val="22"/>
          <w:vertAlign w:val="superscript"/>
        </w:rPr>
        <w:t>3</w:t>
      </w:r>
      <w:r>
        <w:rPr>
          <w:rFonts w:asciiTheme="minorHAnsi" w:hAnsiTheme="minorHAnsi"/>
          <w:sz w:val="22"/>
        </w:rPr>
        <w:t>Den sortering eller det arrangemang som användaren gör kan endast ändras av användaren själv och inte genom uppdateringar.</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rPr>
        <w:t xml:space="preserve">(8) </w:t>
      </w:r>
      <w:r>
        <w:rPr>
          <w:rFonts w:asciiTheme="minorHAnsi" w:hAnsiTheme="minorHAnsi"/>
          <w:sz w:val="22"/>
          <w:vertAlign w:val="superscript"/>
        </w:rPr>
        <w:t>1</w:t>
      </w:r>
      <w:r>
        <w:rPr>
          <w:rFonts w:asciiTheme="minorHAnsi" w:hAnsiTheme="minorHAnsi"/>
          <w:sz w:val="22"/>
        </w:rPr>
        <w:t xml:space="preserve">Avsnitt 4 till 7 gäller inte om leverantören av användargränssnittet kan bevisa att genomförandet är tekniskt omöjligt eller endast möjligt med oproportionerliga insatser. </w:t>
      </w:r>
      <w:r>
        <w:rPr>
          <w:rFonts w:asciiTheme="minorHAnsi" w:hAnsiTheme="minorHAnsi"/>
          <w:sz w:val="22"/>
          <w:vertAlign w:val="superscript"/>
        </w:rPr>
        <w:t>2</w:t>
      </w:r>
      <w:r>
        <w:rPr>
          <w:rFonts w:asciiTheme="minorHAnsi" w:hAnsiTheme="minorHAnsi"/>
          <w:sz w:val="22"/>
        </w:rPr>
        <w:t>Fastställandet av oproportionerliga insatser grundar sig på en helhetsbedömning, med särskild hänsyn till leverantörens ekonomiska kapacitet, bördan av andra funktioner i användargränssnittet för upptäckbarhet liksom typen och omfattningen av den överträdelse som begåtts vid ett uteblivet genomförande. Insatsen är oproportionerlig endast vid en grov obalans.</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5. Avsnitt: Krav på transparens</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rPr>
        <w:t>Paragraf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Transparens</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Medieplattforms- och användargränssnittsleverantörer är skyldiga att tillhandahålla den transparenta information som avses i paragraf 85 i </w:t>
      </w:r>
      <w:proofErr w:type="spellStart"/>
      <w:r>
        <w:rPr>
          <w:rFonts w:asciiTheme="minorHAnsi" w:hAnsiTheme="minorHAnsi"/>
          <w:sz w:val="22"/>
        </w:rPr>
        <w:t>MStV</w:t>
      </w:r>
      <w:proofErr w:type="spellEnd"/>
      <w:r>
        <w:rPr>
          <w:rFonts w:asciiTheme="minorHAnsi" w:hAnsiTheme="minorHAnsi"/>
          <w:sz w:val="22"/>
        </w:rPr>
        <w:t xml:space="preserve">. </w:t>
      </w:r>
      <w:r>
        <w:rPr>
          <w:rFonts w:asciiTheme="minorHAnsi" w:hAnsiTheme="minorHAnsi"/>
          <w:sz w:val="22"/>
          <w:vertAlign w:val="superscript"/>
        </w:rPr>
        <w:t>2</w:t>
      </w:r>
      <w:r>
        <w:rPr>
          <w:rFonts w:asciiTheme="minorHAnsi" w:hAnsiTheme="minorHAnsi"/>
          <w:sz w:val="22"/>
        </w:rPr>
        <w:t>Informationen måste tillhandahållas på tyska så att den är lätt att uppfatta för användaren, är direkt tillgänglig och ständigt åtkomlig.</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(2) När det gäller kraven för genomförandet av transparens är det viktigt att förstå att en genomsnittlig användare inte har någon specifik teknisk kunskap.</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Informationen är lätt att uppfatta om den kan hittas snabbt och enkelt när man använder medieplattformen eller användargränssnittet, eftersom den till exempel markeras och identifieras med en omisskännlig term. </w:t>
      </w:r>
      <w:r>
        <w:rPr>
          <w:rFonts w:asciiTheme="minorHAnsi" w:hAnsiTheme="minorHAnsi"/>
          <w:sz w:val="22"/>
          <w:vertAlign w:val="superscript"/>
        </w:rPr>
        <w:t>2</w:t>
      </w:r>
      <w:r>
        <w:rPr>
          <w:rFonts w:asciiTheme="minorHAnsi" w:hAnsiTheme="minorHAnsi"/>
          <w:sz w:val="22"/>
        </w:rPr>
        <w:t xml:space="preserve">Den specifika design som ska säkerställa enkel uppfattning ska göras mot bakgrund av tjänstens typ, omfattning och övriga utformning. </w:t>
      </w:r>
      <w:r>
        <w:rPr>
          <w:rFonts w:asciiTheme="minorHAnsi" w:hAnsiTheme="minorHAnsi"/>
          <w:sz w:val="22"/>
          <w:vertAlign w:val="superscript"/>
        </w:rPr>
        <w:t>3</w:t>
      </w:r>
      <w:r>
        <w:rPr>
          <w:rFonts w:asciiTheme="minorHAnsi" w:hAnsiTheme="minorHAnsi"/>
          <w:sz w:val="22"/>
        </w:rPr>
        <w:t xml:space="preserve">Om användningen av tjänsten </w:t>
      </w:r>
      <w:r>
        <w:rPr>
          <w:rFonts w:asciiTheme="minorHAnsi" w:hAnsiTheme="minorHAnsi"/>
          <w:sz w:val="22"/>
        </w:rPr>
        <w:lastRenderedPageBreak/>
        <w:t>huvudsakligen är röststyrd bör informationen också återges akustiskt på begäran av användaren. En akustisk indikation på var informationen finns är tillräcklig.</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Informationen är omedelbart tillgänglig om den görs åtkomlig på ett sådant sätt att den kan anropas på inom medieplattformen eller användargränssnittet utan några betydande mellansteg. </w:t>
      </w:r>
      <w:r>
        <w:rPr>
          <w:rFonts w:asciiTheme="minorHAnsi" w:hAnsiTheme="minorHAnsi"/>
          <w:sz w:val="22"/>
          <w:vertAlign w:val="superscript"/>
        </w:rPr>
        <w:t>2</w:t>
      </w:r>
      <w:r>
        <w:rPr>
          <w:rFonts w:asciiTheme="minorHAnsi" w:hAnsiTheme="minorHAnsi"/>
          <w:sz w:val="22"/>
        </w:rPr>
        <w:t>Om tjänsten används över Internet kan detta också ske genom att länka.</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(5) Informationen är alltid tillgänglig om den görs åtkomlig permanent och utan tidsbegränsning.</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6. Avsnitt: Förfaranderegler</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rPr>
        <w:t>Paragraf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Kommissionen för tillträde och tillsyn (nedan kallad 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För de uppgifter som ska utföras inom ramen för dessa stadgar fungerar kommissionen för tillträde och tillsyn (ZAK) som institution för det behöriga statliga mediemyndigheten (paragraf 104 avsnitt 2.1.1, paragraf 105 avsnitt 1.1.8 och 9 i </w:t>
      </w:r>
      <w:proofErr w:type="spellStart"/>
      <w:r>
        <w:rPr>
          <w:rFonts w:asciiTheme="minorHAnsi" w:hAnsiTheme="minorHAnsi"/>
          <w:sz w:val="22"/>
        </w:rPr>
        <w:t>MStV</w:t>
      </w:r>
      <w:proofErr w:type="spellEnd"/>
      <w:r>
        <w:rPr>
          <w:rFonts w:asciiTheme="minorHAnsi" w:hAnsiTheme="minorHAnsi"/>
          <w:sz w:val="22"/>
        </w:rPr>
        <w:t xml:space="preserve"> jämförd med </w:t>
      </w:r>
      <w:proofErr w:type="spellStart"/>
      <w:r>
        <w:rPr>
          <w:rFonts w:asciiTheme="minorHAnsi" w:hAnsiTheme="minorHAnsi"/>
          <w:sz w:val="22"/>
        </w:rPr>
        <w:t>ZAK:s</w:t>
      </w:r>
      <w:proofErr w:type="spellEnd"/>
      <w:r>
        <w:rPr>
          <w:rFonts w:asciiTheme="minorHAnsi" w:hAnsiTheme="minorHAnsi"/>
          <w:sz w:val="22"/>
        </w:rPr>
        <w:t xml:space="preserve"> arbetsordning och förfarande - GVO ZAK). </w:t>
      </w:r>
      <w:r>
        <w:rPr>
          <w:rFonts w:asciiTheme="minorHAnsi" w:hAnsiTheme="minorHAnsi"/>
          <w:sz w:val="22"/>
        </w:rPr>
        <w:cr/>
      </w:r>
      <w:r>
        <w:rPr>
          <w:rFonts w:asciiTheme="minorHAnsi" w:hAnsiTheme="minorHAnsi"/>
          <w:sz w:val="22"/>
        </w:rPr>
        <w:br/>
      </w:r>
      <w:r>
        <w:rPr>
          <w:rFonts w:asciiTheme="minorHAnsi" w:hAnsiTheme="minorHAnsi"/>
          <w:sz w:val="22"/>
          <w:vertAlign w:val="superscript"/>
        </w:rPr>
        <w:t>2</w:t>
      </w:r>
      <w:r>
        <w:rPr>
          <w:rFonts w:asciiTheme="minorHAnsi" w:hAnsiTheme="minorHAnsi"/>
          <w:sz w:val="22"/>
        </w:rPr>
        <w:t xml:space="preserve">paragraf 81 avsnitt 5.3 jämförd med paragraf 105 avsnitt 2.1 alternativt 2 i </w:t>
      </w:r>
      <w:proofErr w:type="spellStart"/>
      <w:r>
        <w:rPr>
          <w:rFonts w:asciiTheme="minorHAnsi" w:hAnsiTheme="minorHAnsi"/>
          <w:sz w:val="22"/>
        </w:rPr>
        <w:t>MStV</w:t>
      </w:r>
      <w:proofErr w:type="spellEnd"/>
      <w:r>
        <w:rPr>
          <w:rFonts w:asciiTheme="minorHAnsi" w:hAnsiTheme="minorHAnsi"/>
          <w:sz w:val="22"/>
        </w:rPr>
        <w:t xml:space="preserve"> förblir opåverkade.</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rPr>
        <w:t xml:space="preserve">(2) </w:t>
      </w:r>
      <w:r>
        <w:rPr>
          <w:rFonts w:asciiTheme="minorHAnsi" w:hAnsiTheme="minorHAnsi"/>
          <w:sz w:val="22"/>
          <w:vertAlign w:val="superscript"/>
        </w:rPr>
        <w:t>1</w:t>
      </w:r>
      <w:r>
        <w:rPr>
          <w:rFonts w:asciiTheme="minorHAnsi" w:hAnsiTheme="minorHAnsi"/>
          <w:sz w:val="22"/>
        </w:rPr>
        <w:t xml:space="preserve">Den behöriga statliga mediemyndigheten vidarebefordrar anmälningar enligt paragraf 2 och klagomål enligt paragraf 14 omedelbart via det gemensamma kontoret till ZAK och informerar dem om granskning av egen rörelse. </w:t>
      </w:r>
      <w:r>
        <w:rPr>
          <w:rFonts w:asciiTheme="minorHAnsi" w:hAnsiTheme="minorHAnsi"/>
          <w:sz w:val="22"/>
          <w:vertAlign w:val="superscript"/>
        </w:rPr>
        <w:t>2</w:t>
      </w:r>
      <w:r>
        <w:rPr>
          <w:rFonts w:asciiTheme="minorHAnsi" w:hAnsiTheme="minorHAnsi"/>
          <w:sz w:val="22"/>
        </w:rPr>
        <w:t xml:space="preserve">Den ansvariga statliga mediemyndigheten genomför förfarandet tills den är redo för ett beslut.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Paragraf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Förfarande</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(1) Den behöriga statliga medieinstitutionen granskar genom ZAK, på grundval av ett klagomål från en berättigad person enligt paragraf 14 eller på eget initiativ, om den som tillhandahåller en medieplattform eller ett användargränssnitt bryter mot bestämmelserna enligt paragraferna 79 till 85 i </w:t>
      </w:r>
      <w:proofErr w:type="spellStart"/>
      <w:r>
        <w:rPr>
          <w:rFonts w:asciiTheme="minorHAnsi" w:hAnsiTheme="minorHAnsi"/>
          <w:sz w:val="22"/>
        </w:rPr>
        <w:t>MStV</w:t>
      </w:r>
      <w:proofErr w:type="spellEnd"/>
      <w:r>
        <w:rPr>
          <w:rFonts w:asciiTheme="minorHAnsi" w:hAnsiTheme="minorHAnsi"/>
          <w:sz w:val="22"/>
        </w:rPr>
        <w:t xml:space="preserve"> eller paragraferna 2 till 6 och 10, 11 i dessa artiklar.</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(2) Om det finns konkreta indikationer på en överträdelse, är leverantören av en medieplattform eller ett användargränssnitt skyldig att omedelbart skicka den information och de handlingar som krävs för verifiering till den behöriga statliga mediemyndigheten.</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Om den behöriga statliga mediemyndigheten upptäcker en överträdelse genom ZAK enligt avsnitt 1, kan den ge leverantören av medieplattformen eller användargränssnittet möjlighet att rätta till situationen genom att ange en rimlig tidsfrist. </w:t>
      </w:r>
      <w:r>
        <w:rPr>
          <w:rFonts w:asciiTheme="minorHAnsi" w:hAnsiTheme="minorHAnsi"/>
          <w:sz w:val="22"/>
          <w:vertAlign w:val="superscript"/>
        </w:rPr>
        <w:t>2</w:t>
      </w:r>
      <w:r>
        <w:rPr>
          <w:rFonts w:asciiTheme="minorHAnsi" w:hAnsiTheme="minorHAnsi"/>
          <w:sz w:val="22"/>
        </w:rPr>
        <w:t xml:space="preserve">Om de rättsliga kraven har fortfarande inte uppfyllts kommer den behöriga statliga mediemyndigheten att vidta de åtgärder som krävs enligt paragraf 109 avsnitt 1 i </w:t>
      </w:r>
      <w:proofErr w:type="spellStart"/>
      <w:r>
        <w:rPr>
          <w:rFonts w:asciiTheme="minorHAnsi" w:hAnsiTheme="minorHAnsi"/>
          <w:sz w:val="22"/>
        </w:rPr>
        <w:t>MStV</w:t>
      </w:r>
      <w:proofErr w:type="spellEnd"/>
      <w:r>
        <w:rPr>
          <w:rFonts w:asciiTheme="minorHAnsi" w:hAnsiTheme="minorHAnsi"/>
          <w:sz w:val="22"/>
        </w:rPr>
        <w:t xml:space="preserve"> på grundval av ett beslut av ZAK och vad gäller paragraf 81 avsnitt 5.3 i </w:t>
      </w:r>
      <w:proofErr w:type="spellStart"/>
      <w:r>
        <w:rPr>
          <w:rFonts w:asciiTheme="minorHAnsi" w:hAnsiTheme="minorHAnsi"/>
          <w:sz w:val="22"/>
        </w:rPr>
        <w:t>MStV</w:t>
      </w:r>
      <w:proofErr w:type="spellEnd"/>
      <w:r>
        <w:rPr>
          <w:rFonts w:asciiTheme="minorHAnsi" w:hAnsiTheme="minorHAnsi"/>
          <w:sz w:val="22"/>
        </w:rPr>
        <w:t xml:space="preserve"> på grundval av beslut genom GVK.</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rPr>
        <w:lastRenderedPageBreak/>
        <w:t>Paragraf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rPr>
        <w:t>Klagomål</w:t>
      </w:r>
      <w:r>
        <w:rPr>
          <w:rFonts w:asciiTheme="minorHAnsi" w:hAnsiTheme="minorHAnsi"/>
          <w:b/>
          <w:sz w:val="22"/>
        </w:rPr>
        <w:t xml:space="preserve"> inom ramen för tillsyn</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Leverantörer av radio- och tv-program, radioliknande telemedier eller telemedier, har rätt att överklaga enligt 19 paragraf avsnitt 1 i </w:t>
      </w:r>
      <w:proofErr w:type="spellStart"/>
      <w:r>
        <w:rPr>
          <w:rFonts w:asciiTheme="minorHAnsi" w:hAnsiTheme="minorHAnsi"/>
          <w:sz w:val="22"/>
        </w:rPr>
        <w:t>MStV</w:t>
      </w:r>
      <w:proofErr w:type="spellEnd"/>
      <w:r>
        <w:rPr>
          <w:rFonts w:asciiTheme="minorHAnsi" w:hAnsiTheme="minorHAnsi"/>
          <w:sz w:val="22"/>
        </w:rPr>
        <w:t>, när de</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 xml:space="preserve">sprids på en medieplattform eller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 xml:space="preserve">begär tillgång till en medieplattform för att erbjuda eller marknadsföra radio- och tv-program, radioliknade telemedier eller telemedier enligt paragraf 19 avsnitt 1 i </w:t>
      </w:r>
      <w:proofErr w:type="spellStart"/>
      <w:r>
        <w:rPr>
          <w:rFonts w:ascii="Calibri" w:hAnsi="Calibri"/>
          <w:sz w:val="22"/>
        </w:rPr>
        <w:t>RStV</w:t>
      </w:r>
      <w:proofErr w:type="spellEnd"/>
      <w:r>
        <w:rPr>
          <w:rFonts w:ascii="Calibri" w:hAnsi="Calibri"/>
          <w:sz w:val="22"/>
        </w:rPr>
        <w:t xml:space="preserve"> eller</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 xml:space="preserve">själva påverkas av visningen i användargränssnitt i den mening som avses i paragraf 2 avsnitt 2.15 i </w:t>
      </w:r>
      <w:proofErr w:type="spellStart"/>
      <w:r>
        <w:rPr>
          <w:rFonts w:ascii="Calibri" w:hAnsi="Calibri"/>
          <w:sz w:val="22"/>
        </w:rPr>
        <w:t>MStV</w:t>
      </w:r>
      <w:proofErr w:type="spellEnd"/>
      <w:r>
        <w:rPr>
          <w:rFonts w:ascii="Calibri" w:hAnsi="Calibri"/>
          <w:sz w:val="22"/>
        </w:rPr>
        <w:t>.</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vertAlign w:val="superscript"/>
        </w:rPr>
        <w:t>2</w:t>
      </w:r>
      <w:r>
        <w:rPr>
          <w:rFonts w:asciiTheme="minorHAnsi" w:hAnsiTheme="minorHAnsi"/>
          <w:sz w:val="22"/>
        </w:rPr>
        <w:t xml:space="preserve">Svarande kan vara leverantörer av medieplattformar enligt paragraf 2 avsnitt 2.19 i </w:t>
      </w:r>
      <w:proofErr w:type="spellStart"/>
      <w:r>
        <w:rPr>
          <w:rFonts w:asciiTheme="minorHAnsi" w:hAnsiTheme="minorHAnsi"/>
          <w:sz w:val="22"/>
        </w:rPr>
        <w:t>MStV</w:t>
      </w:r>
      <w:proofErr w:type="spellEnd"/>
      <w:r>
        <w:rPr>
          <w:rFonts w:asciiTheme="minorHAnsi" w:hAnsiTheme="minorHAnsi"/>
          <w:sz w:val="22"/>
        </w:rPr>
        <w:t xml:space="preserve"> och leverantörer av användargränssnitt enligt paragraf 2 avsnitt 2.20 i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(2) Personer som har rätt att lämna in en skriftlig överklagan enligt paragraf 1 till den ansvariga statliga mediemyndigheten och ange konkreta indikationer på en överträdelse av bestämmelserna enligt paragraferna 80 till 84 i </w:t>
      </w:r>
      <w:proofErr w:type="spellStart"/>
      <w:r>
        <w:rPr>
          <w:rFonts w:asciiTheme="minorHAnsi" w:hAnsiTheme="minorHAnsi"/>
          <w:sz w:val="22"/>
        </w:rPr>
        <w:t>MStV</w:t>
      </w:r>
      <w:proofErr w:type="spellEnd"/>
      <w:r>
        <w:rPr>
          <w:rFonts w:asciiTheme="minorHAnsi" w:hAnsiTheme="minorHAnsi"/>
          <w:sz w:val="22"/>
        </w:rPr>
        <w:t xml:space="preserve"> eller paragraferna 3 till 6 och 10 i dessa stadgar har gjorts och förklara de underliggande sakförhållandena.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(3) När överklagandet lämnas in måste de berättigade parterna visa och styrka att de har försökt att klargöra läget i tvisten med leverantören av medieplattformen eller användargränssnittet.</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Den ansvariga statliga mediemyndigheten får först försöka nå en lämplig lösning för de berörda parterna. </w:t>
      </w:r>
      <w:r>
        <w:rPr>
          <w:rFonts w:asciiTheme="minorHAnsi" w:hAnsiTheme="minorHAnsi"/>
          <w:sz w:val="22"/>
          <w:vertAlign w:val="superscript"/>
        </w:rPr>
        <w:t>2</w:t>
      </w:r>
      <w:r>
        <w:rPr>
          <w:rFonts w:asciiTheme="minorHAnsi" w:hAnsiTheme="minorHAnsi"/>
          <w:sz w:val="22"/>
        </w:rPr>
        <w:t xml:space="preserve">I de fall som paragraf 83 avsnitt 3 i </w:t>
      </w:r>
      <w:proofErr w:type="spellStart"/>
      <w:r>
        <w:rPr>
          <w:rFonts w:asciiTheme="minorHAnsi" w:hAnsiTheme="minorHAnsi"/>
          <w:sz w:val="22"/>
        </w:rPr>
        <w:t>MStV</w:t>
      </w:r>
      <w:proofErr w:type="spellEnd"/>
      <w:r>
        <w:rPr>
          <w:rFonts w:asciiTheme="minorHAnsi" w:hAnsiTheme="minorHAnsi"/>
          <w:sz w:val="22"/>
        </w:rPr>
        <w:t xml:space="preserve"> gäller måste den behöriga statliga mediemyndigheten genomföra medling före överklagandeförfarandet.</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(5) När det gäller system för villkorad tillgång och gränssnitt för applikationsprogram, vidarebefordrar den ansvariga statliga mediemyndigheten klagomålet till </w:t>
      </w:r>
      <w:proofErr w:type="spellStart"/>
      <w:r>
        <w:rPr>
          <w:rFonts w:asciiTheme="minorHAnsi" w:hAnsiTheme="minorHAnsi"/>
          <w:sz w:val="22"/>
        </w:rPr>
        <w:t>Bundesnetzagentur</w:t>
      </w:r>
      <w:proofErr w:type="spellEnd"/>
      <w:r>
        <w:rPr>
          <w:rFonts w:asciiTheme="minorHAnsi" w:hAnsiTheme="minorHAnsi"/>
          <w:sz w:val="22"/>
        </w:rPr>
        <w:t xml:space="preserve"> (nedan kallad </w:t>
      </w:r>
      <w:r>
        <w:rPr>
          <w:rFonts w:asciiTheme="minorHAnsi" w:hAnsiTheme="minorHAnsi"/>
          <w:i/>
          <w:iCs/>
          <w:sz w:val="22"/>
        </w:rPr>
        <w:t>posttillsynsmyndigheten</w:t>
      </w:r>
      <w:r>
        <w:rPr>
          <w:rFonts w:asciiTheme="minorHAnsi" w:hAnsiTheme="minorHAnsi"/>
          <w:sz w:val="22"/>
        </w:rPr>
        <w:t>) inom ramen för det förfarande som överenskommits med posttillsynsmyndigheten (procedurbeskrivning av den 20 april 2010).</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(6) </w:t>
      </w:r>
      <w:r>
        <w:rPr>
          <w:rFonts w:asciiTheme="minorHAnsi" w:hAnsiTheme="minorHAnsi"/>
          <w:sz w:val="22"/>
          <w:vertAlign w:val="superscript"/>
        </w:rPr>
        <w:t>1</w:t>
      </w:r>
      <w:r>
        <w:rPr>
          <w:rFonts w:asciiTheme="minorHAnsi" w:hAnsiTheme="minorHAnsi"/>
          <w:sz w:val="22"/>
        </w:rPr>
        <w:t xml:space="preserve">Klagomålet måste riktas till den statliga mediemyndigheten där medieplattformen eller användargränssnittet visas. </w:t>
      </w:r>
      <w:r>
        <w:rPr>
          <w:rFonts w:asciiTheme="minorHAnsi" w:hAnsiTheme="minorHAnsi"/>
          <w:sz w:val="22"/>
          <w:vertAlign w:val="superscript"/>
        </w:rPr>
        <w:t>2</w:t>
      </w:r>
      <w:r>
        <w:rPr>
          <w:rFonts w:asciiTheme="minorHAnsi" w:hAnsiTheme="minorHAnsi"/>
          <w:sz w:val="22"/>
        </w:rPr>
        <w:t xml:space="preserve">Om det inte föreligger någon anmälan vid tidpunkten för klagomålet då gäller paragraf 106 avsnitt 1 i </w:t>
      </w:r>
      <w:proofErr w:type="spellStart"/>
      <w:r>
        <w:rPr>
          <w:rFonts w:asciiTheme="minorHAnsi" w:hAnsiTheme="minorHAnsi"/>
          <w:sz w:val="22"/>
        </w:rPr>
        <w:t>MStV</w:t>
      </w:r>
      <w:proofErr w:type="spellEnd"/>
      <w:r>
        <w:rPr>
          <w:rFonts w:asciiTheme="minorHAnsi" w:hAnsiTheme="minorHAnsi"/>
          <w:sz w:val="22"/>
        </w:rPr>
        <w:t xml:space="preserve"> för det rikstäckande utbudet.</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Paragraf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Utfärdande av ett godkännande enligt paragraf 87 i </w:t>
      </w:r>
      <w:proofErr w:type="spellStart"/>
      <w:r>
        <w:rPr>
          <w:rFonts w:ascii="Calibri" w:hAnsi="Calibri"/>
          <w:b/>
          <w:sz w:val="22"/>
        </w:rPr>
        <w:t>MStV</w:t>
      </w:r>
      <w:proofErr w:type="spellEnd"/>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Om en ansökan om godkännande görs enligt paragraf 87 avsnitt 1 i </w:t>
      </w:r>
      <w:proofErr w:type="spellStart"/>
      <w:r>
        <w:rPr>
          <w:rFonts w:asciiTheme="minorHAnsi" w:hAnsiTheme="minorHAnsi"/>
          <w:sz w:val="22"/>
        </w:rPr>
        <w:t>MStV</w:t>
      </w:r>
      <w:proofErr w:type="spellEnd"/>
      <w:r>
        <w:rPr>
          <w:rFonts w:asciiTheme="minorHAnsi" w:hAnsiTheme="minorHAnsi"/>
          <w:sz w:val="22"/>
        </w:rPr>
        <w:t xml:space="preserve">, måste den behöriga statliga mediemyndigheten underrätta dem som tillhandahåller de anbud som är privilegierade enligt paragraf 84 avsnitt 3.2.4 i </w:t>
      </w:r>
      <w:proofErr w:type="spellStart"/>
      <w:r>
        <w:rPr>
          <w:rFonts w:asciiTheme="minorHAnsi" w:hAnsiTheme="minorHAnsi"/>
          <w:sz w:val="22"/>
        </w:rPr>
        <w:t>MStV</w:t>
      </w:r>
      <w:proofErr w:type="spellEnd"/>
      <w:r>
        <w:rPr>
          <w:rFonts w:asciiTheme="minorHAnsi" w:hAnsiTheme="minorHAnsi"/>
          <w:sz w:val="22"/>
        </w:rPr>
        <w:t xml:space="preserve"> om inledandet av förfarandet. </w:t>
      </w:r>
      <w:r>
        <w:rPr>
          <w:rFonts w:asciiTheme="minorHAnsi" w:hAnsiTheme="minorHAnsi"/>
          <w:sz w:val="22"/>
          <w:vertAlign w:val="superscript"/>
        </w:rPr>
        <w:t>2</w:t>
      </w:r>
      <w:r>
        <w:rPr>
          <w:rFonts w:asciiTheme="minorHAnsi" w:hAnsiTheme="minorHAnsi"/>
          <w:sz w:val="22"/>
        </w:rPr>
        <w:t>Informationen kan tillhandahållas elektroniskt.</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(2) Den ansvariga statliga mediemyndigheten vidarebefordrar ansökan till ZAK via det gemensamma kontoret. Den behöriga statliga medieinstitutionen genomför förfarandet till dess att den är redo för ett beslut.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lastRenderedPageBreak/>
        <w:t xml:space="preserve">(3) </w:t>
      </w:r>
      <w:r>
        <w:rPr>
          <w:rFonts w:asciiTheme="minorHAnsi" w:hAnsiTheme="minorHAnsi"/>
          <w:sz w:val="22"/>
          <w:vertAlign w:val="superscript"/>
        </w:rPr>
        <w:t>1</w:t>
      </w:r>
      <w:r>
        <w:rPr>
          <w:rFonts w:asciiTheme="minorHAnsi" w:hAnsiTheme="minorHAnsi"/>
          <w:sz w:val="22"/>
        </w:rPr>
        <w:t xml:space="preserve">Under tillståndsperioden måste leverantören av medieplattformen eller användargränssnittet underrätta den behöriga statliga mediemyndigheten om alla viktiga ändringar som görs på medieplattformen eller användargränssnittet. </w:t>
      </w:r>
      <w:r>
        <w:rPr>
          <w:rFonts w:asciiTheme="minorHAnsi" w:hAnsiTheme="minorHAnsi"/>
          <w:sz w:val="22"/>
          <w:vertAlign w:val="superscript"/>
        </w:rPr>
        <w:t>2</w:t>
      </w:r>
      <w:r>
        <w:rPr>
          <w:rFonts w:asciiTheme="minorHAnsi" w:hAnsiTheme="minorHAnsi"/>
          <w:sz w:val="22"/>
        </w:rPr>
        <w:t>De ansvariga statliga mediemyndigheten kontroller på eget initiativ om villkoren för tillståndet fortfarande är uppfyllda.</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Avsnitt 7: Slutbestämmelser</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Paragraf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Tillgänglighet</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rPr>
        <w:t xml:space="preserve">Leverantörer av användargränssnitt och medieplattformar ska stödja hinderfri åtkomst till TV-program och TV-liknande telemedier inom ramen för de tekniska och ekonomiska möjligheterna (paragraf 21 i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sz w:val="22"/>
        </w:rPr>
        <w:t>Paragraf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rPr>
        <w:t>Ikraftträdande, upphörande</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Dessa stadgar träder i kraft den 15 april 2021. </w:t>
      </w:r>
      <w:r>
        <w:rPr>
          <w:rFonts w:asciiTheme="minorHAnsi" w:hAnsiTheme="minorHAnsi"/>
          <w:sz w:val="22"/>
          <w:vertAlign w:val="superscript"/>
        </w:rPr>
        <w:t>2</w:t>
      </w:r>
      <w:r>
        <w:rPr>
          <w:rFonts w:asciiTheme="minorHAnsi" w:hAnsiTheme="minorHAnsi"/>
          <w:sz w:val="22"/>
        </w:rPr>
        <w:t xml:space="preserve">Ordföranden för konferensen för direktörer för de statliga medieinstitutionerna (DLM) publicerar på webbplatsen, under paraplymärket "medieinstitutionerna", om alla statliga medieinstitutioner har antagit och publicerat identiska stadgar fram till dess. </w:t>
      </w:r>
      <w:r>
        <w:rPr>
          <w:rFonts w:asciiTheme="minorHAnsi" w:hAnsiTheme="minorHAnsi"/>
          <w:sz w:val="22"/>
          <w:vertAlign w:val="superscript"/>
        </w:rPr>
        <w:t>3</w:t>
      </w:r>
      <w:r>
        <w:rPr>
          <w:rFonts w:asciiTheme="minorHAnsi" w:hAnsiTheme="minorHAnsi"/>
          <w:sz w:val="22"/>
        </w:rPr>
        <w:t>Med undantag för avsnitt 1 träder paragraf 10 avsnitt 5 till 7 i dessa stadgar i kraft den 1 september 2019.</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rPr>
        <w:t>(2) samtidigt träder stadgarna om fri tillgång till digitala tjänster och plattformsreglering enligt paragraf 53 i statligt sändningsfördrag ur kraft från den 14 december 2016.</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0C1" w:rsidRDefault="001110C1" w:rsidP="00986629">
      <w:r>
        <w:separator/>
      </w:r>
    </w:p>
  </w:endnote>
  <w:endnote w:type="continuationSeparator" w:id="0">
    <w:p w:rsidR="001110C1" w:rsidRDefault="001110C1"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AF2F17">
          <w:rPr>
            <w:rFonts w:asciiTheme="minorHAnsi" w:hAnsiTheme="minorHAnsi" w:cstheme="minorHAnsi"/>
            <w:sz w:val="22"/>
          </w:rPr>
          <w:t>11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0C1" w:rsidRDefault="001110C1" w:rsidP="00986629">
      <w:r>
        <w:separator/>
      </w:r>
    </w:p>
  </w:footnote>
  <w:footnote w:type="continuationSeparator" w:id="0">
    <w:p w:rsidR="001110C1" w:rsidRDefault="001110C1"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Anmäld enligt Europaparlamentets och rådets direktiv (EU) 2015/1535 av den 9 september 2015 om ett informationsförfarande beträffande tekniska föreskrifter och beträffande föreskrifter för informationssamhällets tjänster (EUT L 241,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r>
      <w:rPr>
        <w:noProof/>
      </w:rP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proofErr w:type="spellStart"/>
                          <w:r>
                            <w:rPr>
                              <w:rFonts w:asciiTheme="minorHAnsi" w:hAnsiTheme="minorHAnsi"/>
                              <w:sz w:val="32"/>
                            </w:rPr>
                            <w:t>die</w:t>
                          </w:r>
                          <w:proofErr w:type="spellEnd"/>
                          <w:r>
                            <w:rPr>
                              <w:rFonts w:asciiTheme="minorHAnsi" w:hAnsiTheme="minorHAnsi"/>
                              <w:sz w:val="32"/>
                            </w:rPr>
                            <w:t xml:space="preserve"> </w:t>
                          </w:r>
                          <w:proofErr w:type="spellStart"/>
                          <w:r>
                            <w:rPr>
                              <w:rFonts w:asciiTheme="minorHAnsi" w:hAnsiTheme="minorHAnsi"/>
                              <w:sz w:val="32"/>
                            </w:rPr>
                            <w:t>medienanstalten</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rFonts w:asciiTheme="minorHAnsi" w:hAnsiTheme="minorHAnsi" w:cstheme="minorHAnsi"/>
                        <w:sz w:val="32"/>
                      </w:rPr>
                    </w:pPr>
                    <w:proofErr w:type="spellStart"/>
                    <w:r>
                      <w:rPr>
                        <w:rFonts w:asciiTheme="minorHAnsi" w:hAnsiTheme="minorHAnsi"/>
                        <w:sz w:val="32"/>
                      </w:rPr>
                      <w:t>die</w:t>
                    </w:r>
                    <w:proofErr w:type="spellEnd"/>
                    <w:r>
                      <w:rPr>
                        <w:rFonts w:asciiTheme="minorHAnsi" w:hAnsiTheme="minorHAnsi"/>
                        <w:sz w:val="32"/>
                      </w:rPr>
                      <w:t xml:space="preserve"> </w:t>
                    </w:r>
                    <w:proofErr w:type="spellStart"/>
                    <w:r>
                      <w:rPr>
                        <w:rFonts w:asciiTheme="minorHAnsi" w:hAnsiTheme="minorHAnsi"/>
                        <w:sz w:val="32"/>
                      </w:rPr>
                      <w:t>medienanstalten</w:t>
                    </w:r>
                    <w:proofErr w:type="spellEnd"/>
                  </w:p>
                </w:txbxContent>
              </v:textbox>
            </v:shape>
          </w:pict>
        </mc:Fallback>
      </mc:AlternateContent>
    </w:r>
    <w:r>
      <w:rPr>
        <w:noProof/>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110C1"/>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B296F"/>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57DA3"/>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sv-SE"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6FFA-D77F-49A2-945D-26E466EF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3713</Words>
  <Characters>21168</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Ke, Tingting</cp:lastModifiedBy>
  <cp:revision>7</cp:revision>
  <cp:lastPrinted>2014-01-13T11:15:00Z</cp:lastPrinted>
  <dcterms:created xsi:type="dcterms:W3CDTF">2020-12-17T11:14:00Z</dcterms:created>
  <dcterms:modified xsi:type="dcterms:W3CDTF">2021-01-04T12:25:00Z</dcterms:modified>
</cp:coreProperties>
</file>