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D9DC9D" w14:textId="282E5D0C" w:rsidR="007A1FAA" w:rsidRPr="00153F89" w:rsidRDefault="007A1FAA" w:rsidP="00C54A0E">
      <w:pPr>
        <w:jc w:val="center"/>
        <w:rPr>
          <w:b/>
        </w:rPr>
      </w:pPr>
      <w:r>
        <w:rPr>
          <w:b/>
        </w:rPr>
        <w:t>Νόμος [...] του 2023</w:t>
      </w:r>
    </w:p>
    <w:p w14:paraId="4A900911" w14:textId="77777777" w:rsidR="007A1FAA" w:rsidRPr="00153F89" w:rsidRDefault="007A1FAA" w:rsidP="00C54A0E">
      <w:pPr>
        <w:jc w:val="center"/>
        <w:rPr>
          <w:b/>
        </w:rPr>
      </w:pPr>
    </w:p>
    <w:p w14:paraId="3305083E" w14:textId="28A6A7D7" w:rsidR="007A1FAA" w:rsidRDefault="007A1FAA" w:rsidP="00C54A0E">
      <w:pPr>
        <w:jc w:val="center"/>
        <w:rPr>
          <w:b/>
        </w:rPr>
      </w:pPr>
      <w:r>
        <w:rPr>
          <w:b/>
        </w:rPr>
        <w:t xml:space="preserve">για την τροποποίηση του νόμου XLII του 1999 </w:t>
      </w:r>
      <w:r>
        <w:rPr>
          <w:rStyle w:val="Emphasis"/>
          <w:b/>
          <w:i w:val="0"/>
        </w:rPr>
        <w:t>περί προστασίας των μη καπνιστών</w:t>
      </w:r>
      <w:r>
        <w:rPr>
          <w:b/>
        </w:rPr>
        <w:t xml:space="preserve"> και ορισμένων κανονισμών για την κατανάλωση και τη διανομή προϊόντων καπνού και του νόμου CXXXIV του 2012 για την καταστολή του καπνίσματος ανηλίκων και για το λιανικό εμπόριο προϊόντων καπνού</w:t>
      </w:r>
    </w:p>
    <w:p w14:paraId="60E721BE" w14:textId="1C81A8B7" w:rsidR="007A1FAA" w:rsidRDefault="007A1FAA" w:rsidP="00C54A0E">
      <w:pPr>
        <w:jc w:val="center"/>
        <w:rPr>
          <w:b/>
        </w:rPr>
      </w:pPr>
    </w:p>
    <w:p w14:paraId="35324481" w14:textId="647AE267" w:rsidR="00396C85" w:rsidRDefault="00396C85" w:rsidP="00C54A0E">
      <w:pPr>
        <w:jc w:val="center"/>
        <w:rPr>
          <w:b/>
        </w:rPr>
      </w:pPr>
    </w:p>
    <w:p w14:paraId="594C6594" w14:textId="62E1C8A3" w:rsidR="00396C85" w:rsidRDefault="00396C85" w:rsidP="00C54A0E">
      <w:pPr>
        <w:jc w:val="center"/>
        <w:rPr>
          <w:b/>
        </w:rPr>
      </w:pPr>
    </w:p>
    <w:p w14:paraId="0ADB084F" w14:textId="3753FB14" w:rsidR="00396C85" w:rsidRPr="00153F89" w:rsidRDefault="00396C85" w:rsidP="00913058">
      <w:pPr>
        <w:jc w:val="center"/>
        <w:rPr>
          <w:rFonts w:eastAsia="Noto Sans CJK SC"/>
          <w:b/>
          <w:kern w:val="2"/>
        </w:rPr>
      </w:pPr>
      <w:r>
        <w:rPr>
          <w:b/>
        </w:rPr>
        <w:t xml:space="preserve">1. Τροποποίηση του νόμου XLII του 1999 </w:t>
      </w:r>
      <w:r>
        <w:rPr>
          <w:rStyle w:val="Emphasis"/>
          <w:b/>
          <w:i w:val="0"/>
        </w:rPr>
        <w:t>περί προστασίας των μη καπνιστών</w:t>
      </w:r>
      <w:r>
        <w:rPr>
          <w:b/>
        </w:rPr>
        <w:t xml:space="preserve"> και ορισμένων κανονισμών για την κατανάλωση και διανομή των προϊόντων καπνού</w:t>
      </w:r>
    </w:p>
    <w:p w14:paraId="77B62EF7" w14:textId="77777777" w:rsidR="007A1FAA" w:rsidRDefault="007A1FAA" w:rsidP="00C54A0E">
      <w:pPr>
        <w:jc w:val="center"/>
        <w:rPr>
          <w:rFonts w:eastAsia="Noto Sans CJK SC"/>
          <w:b/>
          <w:kern w:val="2"/>
          <w:lang w:eastAsia="zh-CN" w:bidi="hi-IN"/>
        </w:rPr>
      </w:pPr>
    </w:p>
    <w:p w14:paraId="37AE6481" w14:textId="77777777" w:rsidR="007A1FAA" w:rsidRDefault="007A1FAA" w:rsidP="00C54A0E">
      <w:pPr>
        <w:jc w:val="center"/>
        <w:rPr>
          <w:rFonts w:eastAsia="Noto Sans CJK SC"/>
          <w:b/>
          <w:kern w:val="2"/>
          <w:lang w:eastAsia="zh-CN" w:bidi="hi-IN"/>
        </w:rPr>
      </w:pPr>
    </w:p>
    <w:p w14:paraId="7602B97D" w14:textId="1DC3F8E9" w:rsidR="00C54A0E" w:rsidRPr="00C54A0E" w:rsidRDefault="00835734" w:rsidP="00C54A0E">
      <w:pPr>
        <w:jc w:val="center"/>
        <w:rPr>
          <w:rFonts w:eastAsia="Noto Sans CJK SC"/>
          <w:b/>
          <w:kern w:val="2"/>
        </w:rPr>
      </w:pPr>
      <w:r>
        <w:rPr>
          <w:b/>
        </w:rPr>
        <w:t>Τμήμα 1</w:t>
      </w:r>
    </w:p>
    <w:p w14:paraId="59207714" w14:textId="77777777" w:rsidR="00C54A0E" w:rsidRDefault="00C54A0E" w:rsidP="00DB125E">
      <w:pPr>
        <w:jc w:val="both"/>
        <w:rPr>
          <w:rFonts w:eastAsia="Noto Sans CJK SC"/>
          <w:kern w:val="2"/>
          <w:lang w:eastAsia="zh-CN" w:bidi="hi-IN"/>
        </w:rPr>
      </w:pPr>
    </w:p>
    <w:p w14:paraId="1103FA69" w14:textId="1C54AF0F" w:rsidR="00DB125E" w:rsidRDefault="004049B2" w:rsidP="00DB125E">
      <w:pPr>
        <w:jc w:val="both"/>
      </w:pPr>
      <w:r>
        <w:t>(1) Στον νόμο XLII του 1999 περί προστασίας των μη καπνιστών και σε ορισμένους κανονισμούς σχετικά με την κατανάλωση και τη διανομή προϊόντων καπνού (στο εξής «αντικαπνιστικός νόμος»), το τμήμα 1 σημεία </w:t>
      </w:r>
      <w:r>
        <w:rPr>
          <w:i/>
        </w:rPr>
        <w:t>ιθ)</w:t>
      </w:r>
      <w:r>
        <w:t xml:space="preserve"> και </w:t>
      </w:r>
      <w:r>
        <w:rPr>
          <w:i/>
        </w:rPr>
        <w:t>κ)</w:t>
      </w:r>
      <w:r>
        <w:t xml:space="preserve">, αντικαθίσταται από το ακόλουθο κείμενο: </w:t>
      </w:r>
    </w:p>
    <w:p w14:paraId="60AA4A3C" w14:textId="77777777" w:rsidR="00DB125E" w:rsidRDefault="00DB125E" w:rsidP="00DB125E">
      <w:pPr>
        <w:jc w:val="both"/>
      </w:pPr>
    </w:p>
    <w:p w14:paraId="7FEED38F" w14:textId="77777777" w:rsidR="00DB125E" w:rsidRPr="00E5303B" w:rsidRDefault="00DB125E" w:rsidP="00DB125E">
      <w:pPr>
        <w:suppressAutoHyphens/>
        <w:jc w:val="both"/>
        <w:rPr>
          <w:rFonts w:eastAsia="Noto Sans CJK SC"/>
          <w:i/>
          <w:iCs/>
          <w:kern w:val="2"/>
        </w:rPr>
      </w:pPr>
      <w:r>
        <w:rPr>
          <w:i/>
        </w:rPr>
        <w:t>(Για τους σκοπούς του παρόντος νόμου)</w:t>
      </w:r>
    </w:p>
    <w:p w14:paraId="08370725" w14:textId="77777777" w:rsidR="00DB125E" w:rsidRPr="005A143B" w:rsidRDefault="00DB125E" w:rsidP="00DB125E">
      <w:pPr>
        <w:jc w:val="both"/>
      </w:pPr>
    </w:p>
    <w:p w14:paraId="4219C306" w14:textId="77777777" w:rsidR="00DB125E" w:rsidRPr="00164E2E" w:rsidRDefault="00DB125E" w:rsidP="00DB125E">
      <w:pPr>
        <w:jc w:val="both"/>
      </w:pPr>
      <w:r>
        <w:t>«</w:t>
      </w:r>
      <w:r>
        <w:rPr>
          <w:i/>
        </w:rPr>
        <w:t>ιθ)</w:t>
      </w:r>
      <w:r>
        <w:t xml:space="preserve"> </w:t>
      </w:r>
      <w:r>
        <w:rPr>
          <w:i/>
        </w:rPr>
        <w:t>ηλεκτρονική συσκευή προσομοίωσης καπνίσματος</w:t>
      </w:r>
      <w:r>
        <w:t>: ηλεκτρονικό προϊόν μίας χρήσης (αναλώσιμο) ή προϊόν που επαναπληρώνεται με περιέκτη επαναπλήρωσης χωρίς νικοτίνη ή λειτουργεί με φυσίγγιο χωρίς νικοτίνη (για πολλαπλή χρήση), το οποίο είναι δυνατό να χρησιμοποιηθεί για την κατανάλωση ατμού χωρίς νικοτίνη μέσω επιστομίου. ή οποιοδήποτε στοιχείο του εν λόγω προϊόντος, συμπεριλαμβανομένων των δοχείων ή οποιαδήποτε συσκευή χωρίς φυσίγγιο ή δοχείο·</w:t>
      </w:r>
    </w:p>
    <w:p w14:paraId="715B99F0" w14:textId="77777777" w:rsidR="00DB125E" w:rsidRPr="00164E2E" w:rsidRDefault="00DB125E" w:rsidP="00DB125E">
      <w:pPr>
        <w:jc w:val="both"/>
      </w:pPr>
      <w:r>
        <w:rPr>
          <w:i/>
        </w:rPr>
        <w:t>κ)</w:t>
      </w:r>
      <w:r>
        <w:t xml:space="preserve"> </w:t>
      </w:r>
      <w:r>
        <w:rPr>
          <w:i/>
        </w:rPr>
        <w:t>περιέκτης επαναπλήρωσης χωρίς νικοτίνη</w:t>
      </w:r>
      <w:r>
        <w:t>: δοχείο που περιέχει μη νικοτινούχο υγρό για την επαναπλήρωση μιας ηλεκτρονικής συσκευής προσομοίωσης καπνίσματος·»</w:t>
      </w:r>
    </w:p>
    <w:p w14:paraId="622D8771" w14:textId="77777777" w:rsidR="00DB125E" w:rsidRDefault="00DB125E" w:rsidP="00DB125E">
      <w:pPr>
        <w:jc w:val="both"/>
      </w:pPr>
    </w:p>
    <w:p w14:paraId="07B1F29D" w14:textId="747BAB26" w:rsidR="00DB125E" w:rsidRDefault="00DB125E" w:rsidP="00DB125E">
      <w:pPr>
        <w:jc w:val="both"/>
      </w:pPr>
      <w:r>
        <w:t>(2) Στον αντικαπνιστικό νόμο, στο τμήμα 1 προστίθεται το ακόλουθο σημείο </w:t>
      </w:r>
      <w:r>
        <w:rPr>
          <w:i/>
        </w:rPr>
        <w:t>κστ)</w:t>
      </w:r>
      <w:r>
        <w:t xml:space="preserve">: </w:t>
      </w:r>
    </w:p>
    <w:p w14:paraId="7979A114" w14:textId="77777777" w:rsidR="00AF7221" w:rsidRDefault="00AF7221" w:rsidP="00DB125E">
      <w:pPr>
        <w:suppressAutoHyphens/>
        <w:jc w:val="both"/>
        <w:rPr>
          <w:rFonts w:eastAsia="Noto Sans CJK SC"/>
          <w:i/>
          <w:iCs/>
          <w:kern w:val="2"/>
          <w:lang w:eastAsia="zh-CN" w:bidi="hi-IN"/>
        </w:rPr>
      </w:pPr>
    </w:p>
    <w:p w14:paraId="50B52E7A" w14:textId="77777777" w:rsidR="00DB125E" w:rsidRPr="00E5303B" w:rsidRDefault="00DB125E" w:rsidP="00DB125E">
      <w:pPr>
        <w:suppressAutoHyphens/>
        <w:jc w:val="both"/>
        <w:rPr>
          <w:rFonts w:eastAsia="Noto Sans CJK SC"/>
          <w:i/>
          <w:iCs/>
          <w:kern w:val="2"/>
        </w:rPr>
      </w:pPr>
      <w:r>
        <w:rPr>
          <w:i/>
        </w:rPr>
        <w:t>(Για τους σκοπούς του παρόντος νόμου)</w:t>
      </w:r>
    </w:p>
    <w:p w14:paraId="51C4D610" w14:textId="77777777" w:rsidR="00DB125E" w:rsidRPr="00164E2E" w:rsidRDefault="00DB125E" w:rsidP="00DB125E">
      <w:pPr>
        <w:jc w:val="both"/>
      </w:pPr>
    </w:p>
    <w:p w14:paraId="0754F231" w14:textId="77777777" w:rsidR="00DB125E" w:rsidRPr="00164E2E" w:rsidRDefault="00DB125E" w:rsidP="00DB125E">
      <w:pPr>
        <w:jc w:val="both"/>
      </w:pPr>
      <w:r>
        <w:t>«</w:t>
      </w:r>
      <w:r>
        <w:rPr>
          <w:i/>
        </w:rPr>
        <w:t>κστ) φυσίγγιο χωρίς νικοτίνη</w:t>
      </w:r>
      <w:r>
        <w:t>: τύπος περιέκτη επαναπλήρωσης χωρίς νικοτίνη, ο οποίος απαιτείται για τη χρήση ορισμένων ηλεκτρονικών συσκευών προσομοίωσης καπνίσματος και ο οποίος είναι δοχείο που περιέχει μη νικοτινούχο υγρό σε οποιαδήποτε μορφή, συνήθως για μία χρήση (μη επαναπληρώσιμο).»</w:t>
      </w:r>
    </w:p>
    <w:p w14:paraId="60DBF520" w14:textId="77777777" w:rsidR="00DB125E" w:rsidRPr="00E5303B" w:rsidRDefault="00DB125E" w:rsidP="00DB125E">
      <w:pPr>
        <w:pStyle w:val="BodyText"/>
        <w:spacing w:after="0"/>
      </w:pPr>
    </w:p>
    <w:p w14:paraId="7157B6B9" w14:textId="77F5D7FF" w:rsidR="00DB125E" w:rsidRPr="00E5303B" w:rsidRDefault="002D6BBD" w:rsidP="00DB125E">
      <w:pPr>
        <w:suppressAutoHyphens/>
        <w:jc w:val="center"/>
        <w:rPr>
          <w:rFonts w:eastAsia="Noto Sans CJK SC"/>
          <w:b/>
          <w:bCs/>
          <w:kern w:val="2"/>
        </w:rPr>
      </w:pPr>
      <w:r>
        <w:rPr>
          <w:b/>
        </w:rPr>
        <w:t xml:space="preserve">Τμήμα 2 </w:t>
      </w:r>
    </w:p>
    <w:p w14:paraId="4D09B8D7" w14:textId="77777777" w:rsidR="00DB125E" w:rsidRPr="00E5303B" w:rsidRDefault="00DB125E" w:rsidP="00DB125E">
      <w:pPr>
        <w:suppressAutoHyphens/>
        <w:jc w:val="center"/>
        <w:rPr>
          <w:rFonts w:eastAsia="Noto Sans CJK SC"/>
          <w:b/>
          <w:bCs/>
          <w:kern w:val="2"/>
          <w:lang w:eastAsia="zh-CN" w:bidi="hi-IN"/>
        </w:rPr>
      </w:pPr>
    </w:p>
    <w:p w14:paraId="0904DDA9" w14:textId="77777777" w:rsidR="00DB125E" w:rsidRPr="00E5303B" w:rsidRDefault="00DB125E" w:rsidP="00DB125E">
      <w:pPr>
        <w:suppressAutoHyphens/>
        <w:jc w:val="both"/>
        <w:rPr>
          <w:rFonts w:eastAsia="Noto Sans CJK SC"/>
          <w:kern w:val="2"/>
        </w:rPr>
      </w:pPr>
      <w:r>
        <w:t>(1) Το τμήμα 7/Δ παράγραφος 1 του αντικαπνιστικού νόμου αντικαθίσταται από το ακόλουθο κείμενο:</w:t>
      </w:r>
    </w:p>
    <w:p w14:paraId="1AB84FCC" w14:textId="77777777" w:rsidR="00DB125E" w:rsidRPr="00E5303B" w:rsidRDefault="00DB125E" w:rsidP="00DB125E">
      <w:pPr>
        <w:suppressAutoHyphens/>
        <w:jc w:val="both"/>
        <w:rPr>
          <w:rFonts w:eastAsia="Noto Sans CJK SC"/>
          <w:kern w:val="2"/>
          <w:lang w:eastAsia="zh-CN" w:bidi="hi-IN"/>
        </w:rPr>
      </w:pPr>
    </w:p>
    <w:p w14:paraId="2BDA0FD0" w14:textId="77777777" w:rsidR="00DB125E" w:rsidRPr="00E5303B" w:rsidRDefault="00DB125E" w:rsidP="00DB125E">
      <w:pPr>
        <w:suppressAutoHyphens/>
        <w:jc w:val="both"/>
        <w:rPr>
          <w:rFonts w:eastAsia="Noto Sans CJK SC"/>
          <w:kern w:val="2"/>
        </w:rPr>
      </w:pPr>
      <w:r>
        <w:t xml:space="preserve">«1) Οι κατασκευαστές και οι εισαγωγείς ηλεκτρονικών τσιγάρων, περιεκτών επαναπλήρωσης και φυσιγγίων, ηλεκτρονικών συσκευών προσομοίωσης καπνίσματος, περιεκτών επαναπλήρωσης χωρίς νικοτίνη, φυσιγγίων χωρίς νικοτίνη και υποκατάστατων καπνίσματος που περιέχουν νικοτίνη, καθώς και οι διανομείς τους στην Ουγγαρία πρέπει να ενημερώνουν </w:t>
      </w:r>
      <w:r>
        <w:lastRenderedPageBreak/>
        <w:t>την αρμόδια για τη δημόσια υγεία αρχή για κάθε προϊόν που σκοπεύουν να διαθέσουν στην αγορά έξι μήνες πριν από τη διάθεσή τους στην αγορά.»</w:t>
      </w:r>
    </w:p>
    <w:p w14:paraId="679D7C12" w14:textId="77777777" w:rsidR="00DB125E" w:rsidRPr="00E5303B" w:rsidRDefault="00DB125E" w:rsidP="00DB125E">
      <w:pPr>
        <w:suppressAutoHyphens/>
        <w:jc w:val="both"/>
        <w:rPr>
          <w:rFonts w:eastAsia="Noto Sans CJK SC"/>
          <w:kern w:val="2"/>
          <w:lang w:eastAsia="zh-CN" w:bidi="hi-IN"/>
        </w:rPr>
      </w:pPr>
    </w:p>
    <w:p w14:paraId="1FADB2C1" w14:textId="77777777" w:rsidR="00DB125E" w:rsidRPr="00E5303B" w:rsidRDefault="00DB125E" w:rsidP="00DB125E">
      <w:pPr>
        <w:suppressAutoHyphens/>
        <w:jc w:val="both"/>
        <w:rPr>
          <w:rFonts w:eastAsia="Noto Sans CJK SC"/>
          <w:kern w:val="2"/>
        </w:rPr>
      </w:pPr>
      <w:r>
        <w:t>(2) Το τμήμα 7/Δ παράγραφος 3 του αντικαπνιστικού νόμου αντικαθίσταται από το ακόλουθο κείμενο:</w:t>
      </w:r>
    </w:p>
    <w:p w14:paraId="65AF6563" w14:textId="77777777" w:rsidR="00DB125E" w:rsidRPr="00E5303B" w:rsidRDefault="00DB125E" w:rsidP="00DB125E">
      <w:pPr>
        <w:suppressAutoHyphens/>
        <w:jc w:val="both"/>
        <w:rPr>
          <w:rFonts w:eastAsia="Noto Sans CJK SC"/>
          <w:kern w:val="2"/>
          <w:lang w:eastAsia="zh-CN" w:bidi="hi-IN"/>
        </w:rPr>
      </w:pPr>
    </w:p>
    <w:p w14:paraId="14D1678D" w14:textId="77777777" w:rsidR="00DB125E" w:rsidRPr="00E5303B" w:rsidRDefault="00DB125E" w:rsidP="00DB125E">
      <w:pPr>
        <w:suppressAutoHyphens/>
        <w:jc w:val="both"/>
        <w:rPr>
          <w:rFonts w:eastAsia="Noto Sans CJK SC"/>
          <w:kern w:val="2"/>
        </w:rPr>
      </w:pPr>
      <w:r>
        <w:t>«3) Σύμφωνα με την παράγραφο 1 πρέπει να αναφέρονται στην αρμόδια για τη δημόσια υγεία αρχή:</w:t>
      </w:r>
    </w:p>
    <w:p w14:paraId="407E44DE" w14:textId="77777777" w:rsidR="00DB125E" w:rsidRPr="00E5303B" w:rsidRDefault="00DB125E" w:rsidP="00DB125E">
      <w:pPr>
        <w:suppressAutoHyphens/>
        <w:jc w:val="both"/>
        <w:rPr>
          <w:rFonts w:eastAsia="Noto Sans CJK SC"/>
          <w:kern w:val="2"/>
        </w:rPr>
      </w:pPr>
      <w:r>
        <w:t>α) τυχόν αλλαγές στα ηλεκτρονικά τσιγάρα, τους περιέκτες επαναπλήρωσης και τα φυσίγγια, τις ηλεκτρονικές συσκευές προσομοίωσης καπνίσματος, τους περιέκτες επαναπλήρωσης χωρίς νικοτίνη, τα φυσίγγια χωρίς νικοτίνη και τα υποκατάστατα καπνίσματος που περιέχουν νικοτίνη, οι οποίες επηρεάζουν τα τεχνικά χαρακτηριστικά του προϊόντος όπως ορίζονται στον παρόντα νόμο ή σε κυβερνητικό διάταγμα που εκδίδεται κατ’ εξουσιοδότηση του παρόντος νόμου και</w:t>
      </w:r>
    </w:p>
    <w:p w14:paraId="4724DEC7" w14:textId="77777777" w:rsidR="00DB125E" w:rsidRPr="00E5303B" w:rsidRDefault="00DB125E" w:rsidP="00DB125E">
      <w:pPr>
        <w:suppressAutoHyphens/>
        <w:jc w:val="both"/>
        <w:rPr>
          <w:rFonts w:eastAsia="Noto Sans CJK SC"/>
          <w:kern w:val="2"/>
        </w:rPr>
      </w:pPr>
      <w:r>
        <w:t>β) αλλαγές στην ταυτότητα και τη διαθεσιμότητα του παρασκευαστή, του εισαγωγέα ή του Ούγγρου διανομέα ηλεκτρονικών τσιγάρων, περιεκτών και φυσιγγίων επαναπλήρωσης, ηλεκτρονικών συσκευών προσομοίωσης καπνίσματος, περιεκτών επαναπλήρωσης χωρίς νικοτίνη, φυσιγγίων χωρίς νικοτίνη και υποκατάστατων καπνίσματος που περιέχουν νικοτίνη.»</w:t>
      </w:r>
    </w:p>
    <w:p w14:paraId="6C8341DF" w14:textId="77777777" w:rsidR="00DB125E" w:rsidRPr="00E5303B" w:rsidRDefault="00DB125E" w:rsidP="00DB125E">
      <w:pPr>
        <w:suppressAutoHyphens/>
        <w:jc w:val="both"/>
        <w:rPr>
          <w:rFonts w:eastAsia="Noto Sans CJK SC"/>
          <w:kern w:val="2"/>
          <w:lang w:eastAsia="zh-CN" w:bidi="hi-IN"/>
        </w:rPr>
      </w:pPr>
    </w:p>
    <w:p w14:paraId="0282F017" w14:textId="77777777" w:rsidR="00DB125E" w:rsidRPr="00E5303B" w:rsidRDefault="00DB125E" w:rsidP="00DB125E">
      <w:pPr>
        <w:suppressAutoHyphens/>
        <w:jc w:val="both"/>
        <w:rPr>
          <w:rFonts w:eastAsia="Noto Sans CJK SC"/>
          <w:kern w:val="2"/>
        </w:rPr>
      </w:pPr>
      <w:r>
        <w:t>(3) Στον αντικαπνιστικό νόμο στο τμήμα 7/Δ προστίθενται οι ακόλουθες παράγραφοι 5 και 6:</w:t>
      </w:r>
    </w:p>
    <w:p w14:paraId="7441615E" w14:textId="77777777" w:rsidR="00DB125E" w:rsidRPr="00E5303B" w:rsidRDefault="00DB125E" w:rsidP="00DB125E">
      <w:pPr>
        <w:suppressAutoHyphens/>
        <w:jc w:val="both"/>
        <w:rPr>
          <w:rFonts w:eastAsia="Noto Sans CJK SC"/>
          <w:kern w:val="2"/>
          <w:lang w:eastAsia="zh-CN" w:bidi="hi-IN"/>
        </w:rPr>
      </w:pPr>
    </w:p>
    <w:p w14:paraId="0B414A24" w14:textId="77777777" w:rsidR="00DB125E" w:rsidRPr="00E5303B" w:rsidRDefault="00DB125E" w:rsidP="00DB125E">
      <w:pPr>
        <w:suppressAutoHyphens/>
        <w:jc w:val="both"/>
        <w:rPr>
          <w:rFonts w:eastAsia="Noto Sans CJK SC"/>
          <w:kern w:val="2"/>
        </w:rPr>
      </w:pPr>
      <w:r>
        <w:t>«5) Η αρμόδια για τη δημόσια υγεία αρχή θα τηρεί αρχεία των προϊόντων που κοινοποιούνται σύμφωνα με την παράγραφο 1, τα οποία πρέπει να περιλαμβάνουν:</w:t>
      </w:r>
    </w:p>
    <w:p w14:paraId="62C5FC5A" w14:textId="77777777" w:rsidR="00DB125E" w:rsidRPr="00E5303B" w:rsidRDefault="00DB125E" w:rsidP="00DB125E">
      <w:pPr>
        <w:suppressAutoHyphens/>
        <w:ind w:left="426" w:hanging="426"/>
        <w:jc w:val="both"/>
        <w:rPr>
          <w:rFonts w:eastAsia="Noto Sans CJK SC"/>
          <w:kern w:val="2"/>
        </w:rPr>
      </w:pPr>
      <w:r>
        <w:t>α) όνομα του κοινοποιούντος, του κατασκευαστή ή του εισαγωγέα, του διανομέα στην Ουγγαρία,</w:t>
      </w:r>
    </w:p>
    <w:p w14:paraId="606EE827" w14:textId="77777777" w:rsidR="00DB125E" w:rsidRPr="00E5303B" w:rsidRDefault="00DB125E" w:rsidP="00DB125E">
      <w:pPr>
        <w:suppressAutoHyphens/>
        <w:ind w:left="426" w:hanging="426"/>
        <w:jc w:val="both"/>
        <w:rPr>
          <w:rFonts w:eastAsia="Noto Sans CJK SC"/>
          <w:kern w:val="2"/>
        </w:rPr>
      </w:pPr>
      <w:r>
        <w:t>β) αριθμό αναγνώρισης ηλεκτρονικών τσιγάρων,</w:t>
      </w:r>
    </w:p>
    <w:p w14:paraId="19CD09BF" w14:textId="77777777" w:rsidR="00DB125E" w:rsidRPr="00E5303B" w:rsidRDefault="00DB125E" w:rsidP="00DB125E">
      <w:pPr>
        <w:suppressAutoHyphens/>
        <w:ind w:left="426" w:hanging="426"/>
        <w:jc w:val="both"/>
        <w:rPr>
          <w:rFonts w:eastAsia="Noto Sans CJK SC"/>
          <w:kern w:val="2"/>
        </w:rPr>
      </w:pPr>
      <w:r>
        <w:t>γ) εμπορικό σήμα και υπο-εμπορικό σήμα,</w:t>
      </w:r>
    </w:p>
    <w:p w14:paraId="69FB953D" w14:textId="77777777" w:rsidR="00DB125E" w:rsidRPr="00E5303B" w:rsidRDefault="00DB125E" w:rsidP="00DB125E">
      <w:pPr>
        <w:suppressAutoHyphens/>
        <w:ind w:left="426" w:hanging="426"/>
        <w:jc w:val="both"/>
        <w:rPr>
          <w:rFonts w:eastAsia="Noto Sans CJK SC"/>
          <w:kern w:val="2"/>
        </w:rPr>
      </w:pPr>
      <w:r>
        <w:t>δ) τύπο προϊόντος,</w:t>
      </w:r>
    </w:p>
    <w:p w14:paraId="73992F7B" w14:textId="77777777" w:rsidR="00DB125E" w:rsidRPr="00E5303B" w:rsidRDefault="00DB125E" w:rsidP="00DB125E">
      <w:pPr>
        <w:suppressAutoHyphens/>
        <w:ind w:left="426" w:hanging="426"/>
        <w:jc w:val="both"/>
        <w:rPr>
          <w:rFonts w:eastAsia="Noto Sans CJK SC"/>
          <w:kern w:val="2"/>
        </w:rPr>
      </w:pPr>
      <w:r>
        <w:t>ε) αύξοντα αριθμό του πιστοποιητικού που εκδόθηκε σχετικά με την κοινοποίηση και</w:t>
      </w:r>
    </w:p>
    <w:p w14:paraId="56BF7838" w14:textId="77777777" w:rsidR="00DB125E" w:rsidRPr="00E5303B" w:rsidRDefault="00DB125E" w:rsidP="00DB125E">
      <w:pPr>
        <w:suppressAutoHyphens/>
        <w:ind w:left="426" w:hanging="426"/>
        <w:jc w:val="both"/>
        <w:rPr>
          <w:rFonts w:eastAsia="Noto Sans CJK SC"/>
          <w:kern w:val="2"/>
        </w:rPr>
      </w:pPr>
      <w:r>
        <w:t>στ) πρώτη δυνατή ημέρα για τη διάθεση στην αγορά, όπως υπολογίζεται σύμφωνα με την παράγραφο 1.</w:t>
      </w:r>
    </w:p>
    <w:p w14:paraId="0A73E3F9" w14:textId="77777777" w:rsidR="00DB125E" w:rsidRPr="00E5303B" w:rsidRDefault="00DB125E" w:rsidP="00DB125E">
      <w:pPr>
        <w:suppressAutoHyphens/>
        <w:jc w:val="both"/>
        <w:rPr>
          <w:rFonts w:eastAsia="Noto Sans CJK SC"/>
          <w:kern w:val="2"/>
          <w:lang w:eastAsia="zh-CN" w:bidi="hi-IN"/>
        </w:rPr>
      </w:pPr>
    </w:p>
    <w:p w14:paraId="1AFD82F4" w14:textId="77777777" w:rsidR="00DB125E" w:rsidRPr="00E5303B" w:rsidRDefault="00DB125E" w:rsidP="00DB125E">
      <w:pPr>
        <w:suppressAutoHyphens/>
        <w:jc w:val="both"/>
        <w:rPr>
          <w:rFonts w:eastAsia="Noto Sans CJK SC"/>
          <w:kern w:val="2"/>
        </w:rPr>
      </w:pPr>
      <w:r>
        <w:t>(6) Ο Ούγγρος παρασκευαστής, εισαγωγέας και διανομέας μεριμνά για την απόσυρση από την αγορά και την επαναγορά κάθε προϊόντος που καλύπτεται από την απαγόρευση εμπορίας και βρίσκεται σε απόθεμα από τον έμπορο λιανικής πώλησης προϊόντων καπνού.»</w:t>
      </w:r>
    </w:p>
    <w:p w14:paraId="0A9586A9" w14:textId="422B59D3" w:rsidR="00333428" w:rsidRDefault="00333428"/>
    <w:p w14:paraId="1421BAD6" w14:textId="29A4BA46" w:rsidR="002D6BBD" w:rsidRDefault="002D6BBD" w:rsidP="00153F89">
      <w:pPr>
        <w:jc w:val="center"/>
        <w:rPr>
          <w:b/>
        </w:rPr>
      </w:pPr>
      <w:r>
        <w:rPr>
          <w:b/>
        </w:rPr>
        <w:t>Τμήμα 3</w:t>
      </w:r>
    </w:p>
    <w:p w14:paraId="49A18EF4" w14:textId="77777777" w:rsidR="002D6BBD" w:rsidRPr="002D6BBD" w:rsidRDefault="002D6BBD" w:rsidP="00741559">
      <w:pPr>
        <w:suppressAutoHyphens/>
        <w:rPr>
          <w:rFonts w:eastAsia="Noto Sans CJK SC"/>
          <w:b/>
          <w:bCs/>
          <w:kern w:val="2"/>
          <w:lang w:eastAsia="zh-CN" w:bidi="hi-IN"/>
        </w:rPr>
      </w:pPr>
    </w:p>
    <w:p w14:paraId="55F5F8E9" w14:textId="77777777" w:rsidR="002D6BBD" w:rsidRPr="002D6BBD" w:rsidRDefault="002D6BBD" w:rsidP="002D6BBD">
      <w:pPr>
        <w:suppressAutoHyphens/>
        <w:jc w:val="both"/>
        <w:rPr>
          <w:rFonts w:eastAsia="Noto Sans CJK SC"/>
          <w:kern w:val="2"/>
        </w:rPr>
      </w:pPr>
      <w:r>
        <w:t xml:space="preserve">  Το τμήμα 8 παράγραφος 5 στοιχείο α) του αντικαπνιστικού νόμου αντικαθίσταται από το ακόλουθο κείμενο:</w:t>
      </w:r>
    </w:p>
    <w:p w14:paraId="585AED6B" w14:textId="77777777" w:rsidR="002D6BBD" w:rsidRPr="002D6BBD" w:rsidRDefault="002D6BBD" w:rsidP="002D6BBD">
      <w:pPr>
        <w:suppressAutoHyphens/>
        <w:jc w:val="both"/>
        <w:rPr>
          <w:rFonts w:eastAsia="Noto Sans CJK SC"/>
          <w:kern w:val="2"/>
          <w:lang w:eastAsia="zh-CN" w:bidi="hi-IN"/>
        </w:rPr>
      </w:pPr>
    </w:p>
    <w:p w14:paraId="3352F57E" w14:textId="77777777" w:rsidR="002D6BBD" w:rsidRPr="002D6BBD" w:rsidRDefault="002D6BBD" w:rsidP="002D6BBD">
      <w:pPr>
        <w:suppressAutoHyphens/>
        <w:jc w:val="both"/>
        <w:rPr>
          <w:rFonts w:eastAsia="Noto Sans CJK SC"/>
          <w:i/>
          <w:iCs/>
          <w:kern w:val="2"/>
        </w:rPr>
      </w:pPr>
      <w:r>
        <w:rPr>
          <w:i/>
        </w:rPr>
        <w:t>(Η κυβέρνηση εξουσιοδοτείται να καθορίζει και να θεσπίζει με κανονισμό τα ακόλουθα:</w:t>
      </w:r>
    </w:p>
    <w:p w14:paraId="10A0B187" w14:textId="77777777" w:rsidR="002D6BBD" w:rsidRPr="002D6BBD" w:rsidRDefault="002D6BBD" w:rsidP="002D6BBD">
      <w:pPr>
        <w:suppressAutoHyphens/>
        <w:jc w:val="both"/>
        <w:rPr>
          <w:rFonts w:eastAsia="Noto Sans CJK SC"/>
          <w:i/>
          <w:iCs/>
          <w:kern w:val="2"/>
          <w:lang w:eastAsia="zh-CN" w:bidi="hi-IN"/>
        </w:rPr>
      </w:pPr>
    </w:p>
    <w:p w14:paraId="455FABFB" w14:textId="7FC737D8" w:rsidR="002D6BBD" w:rsidRPr="00153F89" w:rsidRDefault="002D6BBD" w:rsidP="00153F89">
      <w:pPr>
        <w:jc w:val="both"/>
        <w:rPr>
          <w:b/>
        </w:rPr>
      </w:pPr>
      <w:r>
        <w:t xml:space="preserve">«α) τις συνδυασμένες προειδοποιήσεις, τις προειδοποιήσεις για την υγεία και τους λεπτομερείς κανόνες χρήσης τους, καθώς και τους λεπτομερείς κανόνες για μονάδες συσκευασίας προϊόντων καπνού και μονάδες συσκευασίας ηλεκτρονικών τσιγάρων, περιέκτες επαναπλήρωσης, ηλεκτρονικές συσκευές προσομοίωσης καπνίσματος, περιέκτες επαναπλήρωσης χωρίς νικοτίνη, φυσίγγια χωρίς νικοτίνη και υποκατάστατα καπνίσματος που περιέχουν νικοτίνη, το περιεχόμενο και τη μορφή των σημάτων και σημάνσεων για τον περιορισμό του καπνίσματος και των καθορισμένων χώρων καπνίσματος και τους χώρους για </w:t>
      </w:r>
      <w:r>
        <w:lastRenderedPageBreak/>
        <w:t>τη χρήση ηλεκτρονικών τσιγάρων και ηλεκτρονικών συσκευών προσομοίωσης καπνίσματος, εκτός από άλλους όρους παραγωγής, διανομής και ελέγχου των προϊόντων καπνού, των ηλεκτρονικών τσιγάρων, των περιεκτών επαναπλήρωσης, των ηλεκτρονικών συσκευών απομιμήσεως καπνίσματος, των περιεκτών επαναπλήρωσης χωρίς νικοτίνη και των υποκατάστατων καπνίσματος που περιέχουν νικοτίνη, με τους όρους αυτούς να μην εμπίπτουν στο πεδίο εφαρμογής του νόμου περί ειδικών φόρων κατανάλωσης,»</w:t>
      </w:r>
    </w:p>
    <w:p w14:paraId="0D5D932B" w14:textId="77777777" w:rsidR="002D6BBD" w:rsidRDefault="002D6BBD"/>
    <w:p w14:paraId="255BC7D4" w14:textId="48DF91E1" w:rsidR="00DB125E" w:rsidRPr="00D55D42" w:rsidRDefault="00827692" w:rsidP="00DB125E">
      <w:pPr>
        <w:suppressAutoHyphens/>
        <w:jc w:val="center"/>
        <w:rPr>
          <w:rFonts w:eastAsia="Noto Sans CJK SC"/>
          <w:b/>
          <w:kern w:val="2"/>
        </w:rPr>
      </w:pPr>
      <w:r>
        <w:rPr>
          <w:b/>
        </w:rPr>
        <w:t>Τμήμα 4</w:t>
      </w:r>
    </w:p>
    <w:p w14:paraId="4D0DDFF7" w14:textId="77777777" w:rsidR="00DB125E" w:rsidRPr="007F65BB" w:rsidRDefault="00DB125E" w:rsidP="00DB125E">
      <w:pPr>
        <w:suppressAutoHyphens/>
        <w:jc w:val="both"/>
        <w:rPr>
          <w:rFonts w:eastAsia="Noto Sans CJK SC"/>
          <w:kern w:val="2"/>
          <w:lang w:eastAsia="zh-CN" w:bidi="hi-IN"/>
        </w:rPr>
      </w:pPr>
    </w:p>
    <w:p w14:paraId="2855D94E" w14:textId="77777777" w:rsidR="00DB125E" w:rsidRPr="00D55D42" w:rsidRDefault="00DB125E" w:rsidP="00DB125E">
      <w:pPr>
        <w:jc w:val="both"/>
      </w:pPr>
      <w:r>
        <w:t>Στον αντικαπνιστικό νόμο στο τμήμα 10 προστίθεται η ακόλουθη παράγραφος 4α:</w:t>
      </w:r>
    </w:p>
    <w:p w14:paraId="007E3F42" w14:textId="77777777" w:rsidR="00DB125E" w:rsidRPr="00D55D42" w:rsidRDefault="00DB125E" w:rsidP="00DB125E">
      <w:pPr>
        <w:jc w:val="center"/>
      </w:pPr>
    </w:p>
    <w:p w14:paraId="37B8ADF9" w14:textId="59AF2AF0" w:rsidR="005777D3" w:rsidRDefault="00DB125E" w:rsidP="005777D3">
      <w:pPr>
        <w:jc w:val="both"/>
      </w:pPr>
      <w:r>
        <w:t>«4α) Για τους περιέκτες επαναπλήρωσης χωρίς νικοτίνη, τα φυσίγγια χωρίς νικοτίνη και τα υποκατάστατα καπνίσματος που περιέχουν νικοτίνη που κυκλοφορούν ήδη στην αγορά την 1η Σεπτεμβρίου 2023, την κοινοποίηση όπως ορίζεται στο τμήμα 7/Δ παράγραφος 1 σύμφωνα με το τμήμα 2 του νόμου... του 2023 για την τροποποίηση του νόμου XLII του 1999 για την προστασία των μη καπνιστών και ορισμένων κανόνων για την κατανάλωση και τη διανομή προϊόντων καπνού και του νόμου CXXXIV του 2012 για την καταστολή του καπνίσματος ανηλίκων και για το λιανικό εμπόριο προϊόντων καπνού,</w:t>
      </w:r>
    </w:p>
    <w:p w14:paraId="064D8A1E" w14:textId="4F3F8F5C" w:rsidR="00DB125E" w:rsidRDefault="005777D3" w:rsidP="005777D3">
      <w:pPr>
        <w:jc w:val="both"/>
      </w:pPr>
      <w:r>
        <w:t xml:space="preserve">  πρέπει να γίνει έως την 31η Ιανουαρίου 2024.»</w:t>
      </w:r>
    </w:p>
    <w:p w14:paraId="717F87AE" w14:textId="77777777" w:rsidR="00E91F8B" w:rsidRDefault="00E91F8B" w:rsidP="005777D3">
      <w:pPr>
        <w:jc w:val="both"/>
      </w:pPr>
    </w:p>
    <w:p w14:paraId="44851160" w14:textId="00604E87" w:rsidR="00E91F8B" w:rsidRDefault="00DC56BA" w:rsidP="00E91F8B">
      <w:pPr>
        <w:jc w:val="center"/>
        <w:rPr>
          <w:b/>
        </w:rPr>
      </w:pPr>
      <w:r>
        <w:rPr>
          <w:b/>
        </w:rPr>
        <w:t>Τμήμα 5</w:t>
      </w:r>
    </w:p>
    <w:p w14:paraId="664F8A47" w14:textId="77777777" w:rsidR="00E91F8B" w:rsidRDefault="00E91F8B" w:rsidP="00E91F8B">
      <w:pPr>
        <w:jc w:val="center"/>
        <w:rPr>
          <w:b/>
        </w:rPr>
      </w:pPr>
    </w:p>
    <w:p w14:paraId="1478B73D" w14:textId="09EACD72" w:rsidR="00E91F8B" w:rsidRPr="00E91F8B" w:rsidRDefault="00E91F8B" w:rsidP="00E91F8B">
      <w:pPr>
        <w:jc w:val="both"/>
      </w:pPr>
      <w:r>
        <w:t>Στον αντικαπνιστικό νόμο παρεμβάλλεται το ακόλουθο τμήμα 8/B:</w:t>
      </w:r>
    </w:p>
    <w:p w14:paraId="67B84AC8" w14:textId="77777777" w:rsidR="00DB125E" w:rsidRPr="00E91F8B" w:rsidRDefault="00DB125E" w:rsidP="00DB125E">
      <w:pPr>
        <w:suppressAutoHyphens/>
        <w:jc w:val="both"/>
        <w:rPr>
          <w:rFonts w:eastAsia="Noto Sans CJK SC"/>
          <w:kern w:val="2"/>
          <w:lang w:eastAsia="zh-CN" w:bidi="hi-IN"/>
        </w:rPr>
      </w:pPr>
    </w:p>
    <w:p w14:paraId="084A7AE2" w14:textId="4761C864" w:rsidR="00E91F8B" w:rsidRDefault="00E91F8B" w:rsidP="00E91F8B">
      <w:pPr>
        <w:suppressAutoHyphens/>
        <w:jc w:val="both"/>
      </w:pPr>
      <w:r>
        <w:t>«Τμήμα 8/B  Τα ακόλουθα τμήματα που θεσπίστηκαν με τον νόμο [...] του 2023 για την τροποποίηση του νόμου XLII του 1999 περί προστασίας των μη καπνιστών και ορισμένων κανόνων για την κατανάλωση και τη διανομή προϊόντων καπνού και του νόμου CXXXIV του 2012 σχετικά με την καταστολή του καπνίσματος ανηλίκων και για το λιανικό εμπόριο προϊόντων καπνού, όπως απαριθμούνται κατωτέρω, ήτοι τμήμα 1 στοιχεία ιθ), κ) και κστ), τμήμα 7/Γ, τμήμα 7/Δ παράγραφοι 1, 3, 5 και 6, τμήμα 7/Ε παράγραφοι 1-6, τμήμα 7/ΣΤ, τμήμα 7/Ζ παράγραφοι 1 και 2, τμήμα 7/Η, τμήμα 8 παράγραφος 5 στοιχείο α) και τμήμα 10 παράγραφος 4α του παρόντος νομοσχεδίου έχουν αποτελέσει αντικείμενο προηγούμενης κοινοποίησης, όπως ορίζεται στα άρθρα 5-7 της οδηγίας (ΕΕ) 2015/1535 του Ευρωπαϊκού Κοινοβουλίου και του Συμβουλίου της 9ης Σεπτεμβρίου 2015, για την καθιέρωση μιας διαδικασίας πληροφόρησης στον τομέα των τεχνικών κανονισμών και των κανόνων σχετικά με τις υπηρεσίες της κοινωνίας της πληροφορίας.»</w:t>
      </w:r>
    </w:p>
    <w:p w14:paraId="1DD4D51B" w14:textId="77777777" w:rsidR="00F46F72" w:rsidRPr="00E91F8B" w:rsidRDefault="00F46F72" w:rsidP="00E91F8B">
      <w:pPr>
        <w:suppressAutoHyphens/>
        <w:jc w:val="both"/>
        <w:rPr>
          <w:rFonts w:eastAsia="Noto Sans CJK SC"/>
          <w:kern w:val="2"/>
        </w:rPr>
      </w:pPr>
    </w:p>
    <w:p w14:paraId="2419D499" w14:textId="0D517A46" w:rsidR="00DB125E" w:rsidRPr="00E5303B" w:rsidRDefault="00DC56BA" w:rsidP="00DB125E">
      <w:pPr>
        <w:suppressAutoHyphens/>
        <w:jc w:val="center"/>
        <w:rPr>
          <w:rFonts w:eastAsia="Noto Sans CJK SC"/>
          <w:b/>
          <w:bCs/>
          <w:kern w:val="2"/>
        </w:rPr>
      </w:pPr>
      <w:r>
        <w:rPr>
          <w:b/>
        </w:rPr>
        <w:t>Τμήμα 6</w:t>
      </w:r>
    </w:p>
    <w:p w14:paraId="0DFDC86D" w14:textId="77777777" w:rsidR="00DB125E" w:rsidRPr="00E5303B" w:rsidRDefault="00DB125E" w:rsidP="00DB125E">
      <w:pPr>
        <w:suppressAutoHyphens/>
        <w:jc w:val="center"/>
        <w:rPr>
          <w:rFonts w:eastAsia="Noto Sans CJK SC"/>
          <w:b/>
          <w:bCs/>
          <w:kern w:val="2"/>
          <w:lang w:eastAsia="zh-CN" w:bidi="hi-IN"/>
        </w:rPr>
      </w:pPr>
    </w:p>
    <w:p w14:paraId="5BFEC514" w14:textId="77777777" w:rsidR="00DB125E" w:rsidRPr="00220B1E" w:rsidRDefault="00DB125E" w:rsidP="00DB125E">
      <w:pPr>
        <w:suppressAutoHyphens/>
        <w:jc w:val="both"/>
        <w:rPr>
          <w:rFonts w:eastAsia="Noto Sans CJK SC"/>
          <w:kern w:val="2"/>
        </w:rPr>
      </w:pPr>
      <w:r>
        <w:t>Στον αντικαπνιστικό νόμο</w:t>
      </w:r>
    </w:p>
    <w:p w14:paraId="122223BC" w14:textId="072F979E" w:rsidR="00DB125E" w:rsidRPr="00330FEB" w:rsidRDefault="00153F89" w:rsidP="00DB125E">
      <w:pPr>
        <w:pStyle w:val="BodyText"/>
        <w:spacing w:after="0" w:line="240" w:lineRule="auto"/>
        <w:jc w:val="both"/>
        <w:rPr>
          <w:rFonts w:ascii="Times New Roman" w:hAnsi="Times New Roman" w:cs="Times New Roman"/>
        </w:rPr>
      </w:pPr>
      <w:r>
        <w:rPr>
          <w:rFonts w:ascii="Times New Roman" w:hAnsi="Times New Roman"/>
        </w:rPr>
        <w:t>α) στο τμήμα 7/Γ, οι λέξεις «ηλεκτρονικά τσιγάρα» αντικαθίστανται από τις λέξεις «ηλεκτρονικά τσιγάρα, περιέκτες επαναπλήρωσης, φυσίγγια, ηλεκτρονικές συσκευές προσομοίωσης καπνίσματος, περιέκτες επαναπλήρωσης χωρίς νικοτίνη, φυσίγγια χωρίς νικοτίνη και υποκατάστατα καπνίσματος που περιέχουν νικοτίνη»·</w:t>
      </w:r>
    </w:p>
    <w:p w14:paraId="42C19F9D" w14:textId="47D845C4" w:rsidR="00DB125E" w:rsidRPr="00D55D42" w:rsidRDefault="00153F89" w:rsidP="00DB125E">
      <w:pPr>
        <w:pStyle w:val="BodyText"/>
        <w:spacing w:after="0" w:line="240" w:lineRule="auto"/>
        <w:jc w:val="both"/>
        <w:rPr>
          <w:rFonts w:ascii="Times New Roman" w:hAnsi="Times New Roman" w:cs="Times New Roman"/>
        </w:rPr>
      </w:pPr>
      <w:r>
        <w:rPr>
          <w:rFonts w:ascii="Times New Roman" w:hAnsi="Times New Roman"/>
        </w:rPr>
        <w:t>β) στο τμήμα 7/Ε παράγραφοι 1-5, οι λέξεις «ηλεκτρονικά τσιγάρα και περιέκτες επαναπλήρωσης» αντικαθίστανται από τις λέξεις «ηλεκτρονικά τσιγάρα, περιέκτες επαναπλήρωσης, φυσίγγια, ηλεκτρονικές συσκευές προσομοίωσης καπνίσματος, περιέκτες επαναπλήρωσης χωρίς νικοτίνη, φυσίγγια χωρίς νικοτίνη και υποκατάστατα καπνίσματος που περιέχουν νικοτίνη»·</w:t>
      </w:r>
    </w:p>
    <w:p w14:paraId="19152C58" w14:textId="4EF940FA" w:rsidR="00DB125E" w:rsidRPr="00D55D42" w:rsidRDefault="00153F89" w:rsidP="00DB125E">
      <w:pPr>
        <w:pStyle w:val="BodyText"/>
        <w:spacing w:after="0" w:line="240" w:lineRule="auto"/>
        <w:jc w:val="both"/>
        <w:rPr>
          <w:rFonts w:ascii="Times New Roman" w:hAnsi="Times New Roman" w:cs="Times New Roman"/>
        </w:rPr>
      </w:pPr>
      <w:r>
        <w:rPr>
          <w:rFonts w:ascii="Times New Roman" w:hAnsi="Times New Roman"/>
        </w:rPr>
        <w:lastRenderedPageBreak/>
        <w:t>γ) στο τμήμα 7/Ε παράγραφος 6, οι λέξεις «ηλεκτρονικά τσιγάρα ή περιέκτες επαναπλήρωσης» αντικαθίστανται από τις λέξεις «ηλεκτρονικά τσιγάρα, περιέκτες επαναπλήρωσης, φυσίγγια, ηλεκτρονικές συσκευές προσομοίωσης καπνίσματος, περιέκτες επαναπλήρωσης χωρίς νικοτίνη, φυσίγγια χωρίς νικοτίνη και υποκατάστατα καπνίσματος που περιέχουν νικοτίνη»·</w:t>
      </w:r>
    </w:p>
    <w:p w14:paraId="5C52EB6E" w14:textId="4B3E8951" w:rsidR="00DB125E" w:rsidRPr="00D55D42" w:rsidRDefault="00153F89" w:rsidP="00DB125E">
      <w:pPr>
        <w:pStyle w:val="BodyText"/>
        <w:spacing w:after="0" w:line="240" w:lineRule="auto"/>
        <w:jc w:val="both"/>
        <w:rPr>
          <w:rFonts w:ascii="Times New Roman" w:hAnsi="Times New Roman" w:cs="Times New Roman"/>
        </w:rPr>
      </w:pPr>
      <w:r>
        <w:rPr>
          <w:rFonts w:ascii="Times New Roman" w:hAnsi="Times New Roman"/>
        </w:rPr>
        <w:t>δ) στο τμήμα 7/ΣΤ, οι λέξεις «ηλεκτρονικά τσιγάρα και περιέκτες επαναπλήρωσης» αντικαθίστανται από τις λέξεις «ηλεκτρονικά τσιγάρα, περιέκτες επαναπλήρωσης, φυσίγγια, ηλεκτρονικές συσκευές προσομοίωσης καπνίσματος, περιέκτες επαναπλήρωσης χωρίς νικοτίνη, φυσίγγια χωρίς νικοτίνη και υποκατάστατα καπνίσματος που περιέχουν νικοτίνη»·</w:t>
      </w:r>
    </w:p>
    <w:p w14:paraId="741ED564" w14:textId="3926C1BE" w:rsidR="00DB125E" w:rsidRPr="00D55D42" w:rsidRDefault="00153F89" w:rsidP="00DB125E">
      <w:pPr>
        <w:pStyle w:val="BodyText"/>
        <w:spacing w:after="0" w:line="240" w:lineRule="auto"/>
        <w:jc w:val="both"/>
        <w:rPr>
          <w:rFonts w:ascii="Times New Roman" w:hAnsi="Times New Roman" w:cs="Times New Roman"/>
        </w:rPr>
      </w:pPr>
      <w:r>
        <w:rPr>
          <w:rFonts w:ascii="Times New Roman" w:hAnsi="Times New Roman"/>
        </w:rPr>
        <w:t>ρ) στο τμήμα 7/Ζ παράγραφος 1, οι λέξεις «ηλεκτρονικά τσιγάρα ή περιέκτες επαναπλήρωσης» αντικαθίστανται από τις λέξεις «ηλεκτρονικά τσιγάρα, περιέκτες επαναπλήρωσης, φυσίγγια, ηλεκτρονικές συσκευές προσομοίωσης καπνίσματος, περιέκτες επαναπλήρωσης χωρίς νικοτίνη, φυσίγγια χωρίς νικοτίνη και υποκατάστατα καπνίσματος που περιέχουν νικοτίνη»·</w:t>
      </w:r>
    </w:p>
    <w:p w14:paraId="5DED55E3" w14:textId="1EE35D48" w:rsidR="00DB125E" w:rsidRPr="00673F64" w:rsidRDefault="00153F89" w:rsidP="00DB125E">
      <w:pPr>
        <w:pStyle w:val="BodyText"/>
        <w:spacing w:after="0" w:line="240" w:lineRule="auto"/>
        <w:jc w:val="both"/>
      </w:pPr>
      <w:r>
        <w:rPr>
          <w:rFonts w:ascii="Times New Roman" w:hAnsi="Times New Roman"/>
        </w:rPr>
        <w:t>στ) στο τμήμα 7/Ζ παράγραφος 2, οι λέξεις «ηλεκτρονικά τσιγάρα και περιέκτες επαναπλήρωσης» αντικαθίστανται από τις λέξεις «ηλεκτρονικά τσιγάρα, περιέκτες επαναπλήρωσης, φυσίγγια, ηλεκτρονικές συσκευές προσομοίωσης καπνίσματος, περιέκτες επαναπλήρωσης χωρίς νικοτίνη, φυσίγγια χωρίς νικοτίνη και υποκατάστατα καπνίσματος που περιέχουν νικοτίνη»·</w:t>
      </w:r>
    </w:p>
    <w:p w14:paraId="7504C957" w14:textId="137E6308" w:rsidR="00DB125E" w:rsidRPr="00673F64" w:rsidRDefault="00153F89" w:rsidP="00DB125E">
      <w:pPr>
        <w:pStyle w:val="BodyText"/>
        <w:spacing w:after="0" w:line="240" w:lineRule="auto"/>
        <w:jc w:val="both"/>
      </w:pPr>
      <w:r>
        <w:rPr>
          <w:rFonts w:ascii="Times New Roman" w:hAnsi="Times New Roman"/>
        </w:rPr>
        <w:t xml:space="preserve">ζ) στο τμήμα 7/Η, οι λέξεις «ηλεκτρονικά τσιγάρα και ηλεκτρονικές απομιμήσεις καπνίσματος» αντικαθίστανται από τις λέξεις «ηλεκτρονικά τσιγάρα, περιέκτες επαναπλήρωσης, φυσίγγια, ηλεκτρονικές συσκευές προσομοίωσης καπνίσματος, περιέκτες επαναπλήρωσης χωρίς νικοτίνη, φυσίγγια χωρίς νικοτίνη και υποκατάστατα καπνίσματος που περιέχουν νικοτίνη».  </w:t>
      </w:r>
    </w:p>
    <w:p w14:paraId="7B117976" w14:textId="6C5DAC8A" w:rsidR="00AD4247" w:rsidRPr="00206271" w:rsidRDefault="00AD4247" w:rsidP="00DB125E">
      <w:pPr>
        <w:suppressAutoHyphens/>
        <w:jc w:val="both"/>
        <w:rPr>
          <w:rFonts w:eastAsia="Noto Sans CJK SC"/>
          <w:kern w:val="2"/>
        </w:rPr>
      </w:pPr>
    </w:p>
    <w:p w14:paraId="31D8C477" w14:textId="77777777" w:rsidR="00DB125E" w:rsidRDefault="00DB125E" w:rsidP="00DB125E">
      <w:pPr>
        <w:suppressAutoHyphens/>
        <w:jc w:val="both"/>
        <w:rPr>
          <w:rFonts w:eastAsia="Noto Sans CJK SC"/>
          <w:kern w:val="2"/>
          <w:lang w:eastAsia="zh-CN" w:bidi="hi-IN"/>
        </w:rPr>
      </w:pPr>
    </w:p>
    <w:p w14:paraId="63F5E34B" w14:textId="09CC9006" w:rsidR="00DB125E" w:rsidRPr="00D55D42" w:rsidRDefault="00DC56BA" w:rsidP="00DB125E">
      <w:pPr>
        <w:suppressAutoHyphens/>
        <w:jc w:val="center"/>
        <w:rPr>
          <w:rFonts w:eastAsia="Noto Sans CJK SC"/>
          <w:b/>
          <w:kern w:val="2"/>
        </w:rPr>
      </w:pPr>
      <w:r>
        <w:rPr>
          <w:b/>
        </w:rPr>
        <w:t>Τμήμα 7</w:t>
      </w:r>
    </w:p>
    <w:p w14:paraId="6B1D9AD2" w14:textId="77777777" w:rsidR="00DB125E" w:rsidRDefault="00DB125E" w:rsidP="00DB125E">
      <w:pPr>
        <w:suppressAutoHyphens/>
        <w:jc w:val="center"/>
        <w:rPr>
          <w:rFonts w:eastAsia="Noto Sans CJK SC"/>
          <w:kern w:val="2"/>
          <w:lang w:eastAsia="zh-CN" w:bidi="hi-IN"/>
        </w:rPr>
      </w:pPr>
    </w:p>
    <w:p w14:paraId="69C95DAD" w14:textId="00089198" w:rsidR="00DB125E" w:rsidRDefault="00DB125E" w:rsidP="00DB125E">
      <w:pPr>
        <w:suppressAutoHyphens/>
        <w:jc w:val="both"/>
        <w:rPr>
          <w:rFonts w:eastAsia="Noto Sans CJK SC"/>
          <w:kern w:val="2"/>
        </w:rPr>
      </w:pPr>
      <w:r>
        <w:t xml:space="preserve"> Το τμήμα 7/I του αντικαπνιστικού νόμου καταργείται.</w:t>
      </w:r>
    </w:p>
    <w:p w14:paraId="63C6352E" w14:textId="441D5254" w:rsidR="00396C85" w:rsidRDefault="00396C85" w:rsidP="00DB125E">
      <w:pPr>
        <w:suppressAutoHyphens/>
        <w:jc w:val="both"/>
        <w:rPr>
          <w:rFonts w:eastAsia="Noto Sans CJK SC"/>
          <w:kern w:val="2"/>
          <w:lang w:eastAsia="zh-CN" w:bidi="hi-IN"/>
        </w:rPr>
      </w:pPr>
    </w:p>
    <w:p w14:paraId="33EC2E38" w14:textId="06B5DBAF" w:rsidR="00396C85" w:rsidRDefault="00396C85" w:rsidP="00DB125E">
      <w:pPr>
        <w:suppressAutoHyphens/>
        <w:jc w:val="both"/>
        <w:rPr>
          <w:rFonts w:eastAsia="Noto Sans CJK SC"/>
          <w:kern w:val="2"/>
          <w:lang w:eastAsia="zh-CN" w:bidi="hi-IN"/>
        </w:rPr>
      </w:pPr>
    </w:p>
    <w:p w14:paraId="09B98B0A" w14:textId="59AFB0A9" w:rsidR="00396C85" w:rsidRPr="00153F89" w:rsidRDefault="00396C85" w:rsidP="00153F89">
      <w:pPr>
        <w:suppressAutoHyphens/>
        <w:jc w:val="center"/>
        <w:rPr>
          <w:rFonts w:eastAsia="Noto Sans CJK SC"/>
          <w:b/>
          <w:kern w:val="2"/>
        </w:rPr>
      </w:pPr>
      <w:r>
        <w:rPr>
          <w:b/>
        </w:rPr>
        <w:t>2. Τροποποίηση του νόμου CXXXIV του 2012 σχετικά με την καταστολή του καπνίσματος ανηλίκων και το λιανικό εμπόριο προϊόντων καπνού</w:t>
      </w:r>
    </w:p>
    <w:p w14:paraId="1908A397" w14:textId="7B789F09" w:rsidR="00396C85" w:rsidRDefault="00396C85" w:rsidP="00DB125E">
      <w:pPr>
        <w:suppressAutoHyphens/>
        <w:jc w:val="both"/>
        <w:rPr>
          <w:rFonts w:eastAsia="Noto Sans CJK SC"/>
          <w:kern w:val="2"/>
          <w:lang w:eastAsia="zh-CN" w:bidi="hi-IN"/>
        </w:rPr>
      </w:pPr>
    </w:p>
    <w:p w14:paraId="4CC534DD" w14:textId="24BAC365" w:rsidR="006802D9" w:rsidRDefault="00DC56BA" w:rsidP="006802D9">
      <w:pPr>
        <w:suppressAutoHyphens/>
        <w:jc w:val="center"/>
        <w:rPr>
          <w:rFonts w:eastAsia="Noto Sans CJK SC"/>
          <w:b/>
          <w:kern w:val="2"/>
        </w:rPr>
      </w:pPr>
      <w:r>
        <w:rPr>
          <w:b/>
        </w:rPr>
        <w:t>Τμήμα 8</w:t>
      </w:r>
    </w:p>
    <w:p w14:paraId="0CFD6C4A" w14:textId="77777777" w:rsidR="006802D9" w:rsidRDefault="006802D9" w:rsidP="006802D9">
      <w:pPr>
        <w:suppressAutoHyphens/>
        <w:jc w:val="center"/>
      </w:pPr>
    </w:p>
    <w:p w14:paraId="2F519D6D" w14:textId="7C6EFEEE" w:rsidR="006802D9" w:rsidRDefault="006802D9" w:rsidP="006802D9">
      <w:pPr>
        <w:suppressAutoHyphens/>
        <w:jc w:val="both"/>
      </w:pPr>
      <w:r>
        <w:t>Στον νόμο CXXXIV του 2012 σχετικά με την καταστολή του καπνίσματος ανηλίκων και για το λιανικό εμπόριο προϊόντων καπνού (στο εξής: Νόμος περί καταστολής καπνίσματος ανηλίκων), στο τμήμα 28 προστίθεται η ακόλουθη παράγραφος 4:</w:t>
      </w:r>
    </w:p>
    <w:p w14:paraId="71301D22" w14:textId="77777777" w:rsidR="006802D9" w:rsidRDefault="006802D9" w:rsidP="006802D9">
      <w:pPr>
        <w:suppressAutoHyphens/>
        <w:jc w:val="both"/>
        <w:rPr>
          <w:rFonts w:eastAsia="Noto Sans CJK SC"/>
          <w:b/>
          <w:kern w:val="2"/>
          <w:lang w:eastAsia="zh-CN" w:bidi="hi-IN"/>
        </w:rPr>
      </w:pPr>
    </w:p>
    <w:p w14:paraId="5F246645" w14:textId="07BDD953" w:rsidR="006802D9" w:rsidRPr="00E91F8B" w:rsidRDefault="006802D9" w:rsidP="006802D9">
      <w:pPr>
        <w:suppressAutoHyphens/>
        <w:jc w:val="both"/>
        <w:rPr>
          <w:rFonts w:eastAsia="Noto Sans CJK SC"/>
          <w:kern w:val="2"/>
        </w:rPr>
      </w:pPr>
      <w:r>
        <w:t>«4) Το σχέδιο του τμήματος 1 παράγραφος 1 στοιχείο ε) και του τμήματος 3 παράγραφος 2 στοιχείο ε), όπως θεσπίστηκε με τον νόμο [...] του 2023 για την τροποποίηση του νόμου XLII του 1999 περί προστασίας των μη καπνιστών και ορισμένων κανόνων για την κατανάλωση και τη διανομή προϊόντων καπνού και του νόμου CXXXIV του 2012 σχετικά με την καταστολή του καπνίσματος ανηλίκων και για το λιανικό εμπόριο προϊόντων καπνού, έχει αποτελέσει αντικείμενο προηγούμενης κοινοποίησης, όπως ορίζεται στα άρθρα 5-7 της οδηγίας (ΕΕ) 2015/1535 του Ευρωπαϊκού Κοινοβουλίου και του Συμβουλίου της 9ης Σεπτεμβρίου 2015, για την καθιέρωση μιας διαδικασίας πληροφόρησης στον τομέα των τεχνικών κανονισμών και των κανόνων σχετικά με τις υπηρεσίες της κοινωνίας της πληροφορίας.»</w:t>
      </w:r>
    </w:p>
    <w:p w14:paraId="0CD8ED42" w14:textId="77777777" w:rsidR="006802D9" w:rsidRDefault="006802D9" w:rsidP="006802D9">
      <w:pPr>
        <w:suppressAutoHyphens/>
        <w:jc w:val="center"/>
        <w:rPr>
          <w:rFonts w:eastAsia="Noto Sans CJK SC"/>
          <w:b/>
          <w:kern w:val="2"/>
          <w:lang w:eastAsia="zh-CN" w:bidi="hi-IN"/>
        </w:rPr>
      </w:pPr>
    </w:p>
    <w:p w14:paraId="69112F5E" w14:textId="0F9E35C3" w:rsidR="006802D9" w:rsidRDefault="00DC56BA" w:rsidP="004F07D3">
      <w:pPr>
        <w:keepNext/>
        <w:suppressAutoHyphens/>
        <w:jc w:val="center"/>
        <w:rPr>
          <w:rFonts w:eastAsia="Noto Sans CJK SC"/>
          <w:b/>
          <w:kern w:val="2"/>
        </w:rPr>
      </w:pPr>
      <w:r>
        <w:rPr>
          <w:b/>
        </w:rPr>
        <w:lastRenderedPageBreak/>
        <w:t>Τμήμα 9</w:t>
      </w:r>
    </w:p>
    <w:p w14:paraId="2586615B" w14:textId="77777777" w:rsidR="006802D9" w:rsidRPr="006802D9" w:rsidRDefault="006802D9" w:rsidP="004F07D3">
      <w:pPr>
        <w:keepNext/>
        <w:suppressAutoHyphens/>
        <w:jc w:val="center"/>
        <w:rPr>
          <w:rFonts w:eastAsia="Noto Sans CJK SC"/>
          <w:b/>
          <w:kern w:val="2"/>
          <w:lang w:eastAsia="zh-CN" w:bidi="hi-IN"/>
        </w:rPr>
      </w:pPr>
    </w:p>
    <w:p w14:paraId="012E5D30" w14:textId="1946FFE6" w:rsidR="00396C85" w:rsidRDefault="00402174" w:rsidP="00153F89">
      <w:pPr>
        <w:jc w:val="both"/>
      </w:pPr>
      <w:r>
        <w:t>Στο τμήμα 1 παράγραφος 1 στοιχείο </w:t>
      </w:r>
      <w:r>
        <w:rPr>
          <w:i/>
        </w:rPr>
        <w:t>ε)</w:t>
      </w:r>
      <w:r>
        <w:t xml:space="preserve"> και στο τμήμα 3 παράγραφος 2 στοιχείο </w:t>
      </w:r>
      <w:r>
        <w:rPr>
          <w:i/>
        </w:rPr>
        <w:t>ε)</w:t>
      </w:r>
      <w:r>
        <w:t xml:space="preserve"> του νόμου περί καταστολής του καπνίσματος ανηλίκων, οι λέξεις «περιέκτες επαναπλήρωσης χωρίς νικοτίνη», αντικαθίστανται από τις λέξεις «περιέκτες επαναπλήρωσης χωρίς νικοτίνη, φυσίγγια χωρίς νικοτίνη».</w:t>
      </w:r>
    </w:p>
    <w:p w14:paraId="5D7A0B89" w14:textId="77777777" w:rsidR="00396C85" w:rsidRDefault="00396C85" w:rsidP="00DB125E">
      <w:pPr>
        <w:suppressAutoHyphens/>
        <w:jc w:val="both"/>
        <w:rPr>
          <w:rFonts w:eastAsia="Noto Sans CJK SC"/>
          <w:kern w:val="2"/>
          <w:lang w:eastAsia="zh-CN" w:bidi="hi-IN"/>
        </w:rPr>
      </w:pPr>
    </w:p>
    <w:p w14:paraId="22C61ABF" w14:textId="24FCE190" w:rsidR="008848B7" w:rsidRDefault="008848B7" w:rsidP="00DB125E">
      <w:pPr>
        <w:suppressAutoHyphens/>
        <w:jc w:val="both"/>
        <w:rPr>
          <w:rFonts w:eastAsia="Noto Sans CJK SC"/>
          <w:kern w:val="2"/>
          <w:lang w:eastAsia="zh-CN" w:bidi="hi-IN"/>
        </w:rPr>
      </w:pPr>
    </w:p>
    <w:p w14:paraId="1466126E" w14:textId="15A9380C" w:rsidR="008848B7" w:rsidRPr="00153F89" w:rsidRDefault="005F4FA3" w:rsidP="00153F89">
      <w:pPr>
        <w:suppressAutoHyphens/>
        <w:jc w:val="center"/>
        <w:rPr>
          <w:rFonts w:eastAsia="Noto Sans CJK SC"/>
          <w:b/>
          <w:kern w:val="2"/>
        </w:rPr>
      </w:pPr>
      <w:r>
        <w:rPr>
          <w:b/>
        </w:rPr>
        <w:t>3. Τελικές διατάξεις</w:t>
      </w:r>
    </w:p>
    <w:p w14:paraId="163CB994" w14:textId="30D9ABEE" w:rsidR="008848B7" w:rsidRDefault="008848B7" w:rsidP="00DB125E">
      <w:pPr>
        <w:suppressAutoHyphens/>
        <w:jc w:val="both"/>
        <w:rPr>
          <w:rFonts w:eastAsia="Noto Sans CJK SC"/>
          <w:kern w:val="2"/>
          <w:lang w:eastAsia="zh-CN" w:bidi="hi-IN"/>
        </w:rPr>
      </w:pPr>
    </w:p>
    <w:p w14:paraId="29A59FA1" w14:textId="53D3DD9D" w:rsidR="008246FC" w:rsidRDefault="00DC56BA" w:rsidP="008246FC">
      <w:pPr>
        <w:suppressAutoHyphens/>
        <w:jc w:val="center"/>
        <w:rPr>
          <w:rFonts w:eastAsia="Noto Sans CJK SC"/>
          <w:b/>
          <w:kern w:val="2"/>
        </w:rPr>
      </w:pPr>
      <w:r>
        <w:rPr>
          <w:b/>
        </w:rPr>
        <w:t>Τμήμα 10</w:t>
      </w:r>
    </w:p>
    <w:p w14:paraId="2974E0DE" w14:textId="77777777" w:rsidR="00741559" w:rsidRPr="008246FC" w:rsidRDefault="00741559" w:rsidP="008246FC">
      <w:pPr>
        <w:suppressAutoHyphens/>
        <w:jc w:val="center"/>
        <w:rPr>
          <w:rFonts w:eastAsia="Noto Sans CJK SC"/>
          <w:b/>
          <w:kern w:val="2"/>
          <w:lang w:eastAsia="zh-CN" w:bidi="hi-IN"/>
        </w:rPr>
      </w:pPr>
    </w:p>
    <w:p w14:paraId="478AF8B4" w14:textId="27448AA5" w:rsidR="008246FC" w:rsidRDefault="008246FC" w:rsidP="004049B2">
      <w:pPr>
        <w:pStyle w:val="ListParagraph"/>
        <w:suppressAutoHyphens/>
        <w:ind w:left="0"/>
        <w:jc w:val="both"/>
        <w:rPr>
          <w:rFonts w:eastAsia="Noto Sans CJK SC"/>
          <w:kern w:val="2"/>
        </w:rPr>
      </w:pPr>
      <w:r>
        <w:t>Ο παρών νόμος τίθεται σε ισχύ την 1η Νοεμβρίου 2023.</w:t>
      </w:r>
    </w:p>
    <w:p w14:paraId="6B8F11CF" w14:textId="77777777" w:rsidR="00020F6A" w:rsidRDefault="00020F6A" w:rsidP="004049B2">
      <w:pPr>
        <w:pStyle w:val="ListParagraph"/>
        <w:suppressAutoHyphens/>
        <w:ind w:left="0"/>
        <w:jc w:val="both"/>
        <w:rPr>
          <w:rFonts w:eastAsia="Noto Sans CJK SC"/>
          <w:kern w:val="2"/>
          <w:lang w:eastAsia="zh-CN" w:bidi="hi-IN"/>
        </w:rPr>
      </w:pPr>
    </w:p>
    <w:p w14:paraId="7FC9F906" w14:textId="02636919" w:rsidR="00704C1F" w:rsidRDefault="00704C1F"/>
    <w:p w14:paraId="315EA5DC" w14:textId="41BBEEA0" w:rsidR="00E91F8B" w:rsidRPr="00E91F8B" w:rsidRDefault="006802D9" w:rsidP="00E91F8B">
      <w:pPr>
        <w:jc w:val="center"/>
        <w:rPr>
          <w:b/>
        </w:rPr>
      </w:pPr>
      <w:r>
        <w:rPr>
          <w:b/>
        </w:rPr>
        <w:t>Τμήμα 11</w:t>
      </w:r>
    </w:p>
    <w:p w14:paraId="7BC9C63E" w14:textId="77777777" w:rsidR="00E91F8B" w:rsidRDefault="00E91F8B" w:rsidP="00E91F8B">
      <w:pPr>
        <w:jc w:val="center"/>
      </w:pPr>
    </w:p>
    <w:p w14:paraId="50C1AEE0" w14:textId="45A9E010" w:rsidR="00E91F8B" w:rsidRDefault="00E91F8B" w:rsidP="00E91F8B">
      <w:pPr>
        <w:jc w:val="both"/>
        <w:rPr>
          <w:rFonts w:eastAsia="Noto Sans CJK SC"/>
          <w:kern w:val="2"/>
        </w:rPr>
      </w:pPr>
      <w:r>
        <w:t>Έχει τηρηθεί η απαίτηση για προηγούμενη κοινοποίηση του παρόντος νομοσχεδίου, όπως ορίζεται στα άρθρα 5-7 της οδηγίας (ΕΕ) 2015/1535 του Ευρωπαϊκού Κοινοβουλίου και του Συμβουλίου της 9ης Σεπτεμβρίου 2015, για την καθιέρωση μιας διαδικασίας πληροφόρησης στον τομέα των τεχνικών κανονισμών και των κανόνων σχετικά με τις υπηρεσίες της κοινωνίας της πληροφορίας.</w:t>
      </w:r>
    </w:p>
    <w:p w14:paraId="34D6B5FF" w14:textId="77777777" w:rsidR="00704C1F" w:rsidRDefault="00704C1F"/>
    <w:sectPr w:rsidR="00704C1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iberation Serif">
    <w:altName w:val="Times New Roman"/>
    <w:charset w:val="EE"/>
    <w:family w:val="roman"/>
    <w:pitch w:val="variable"/>
    <w:sig w:usb0="E0000AFF" w:usb1="500078FF" w:usb2="00000021" w:usb3="00000000" w:csb0="000001BF" w:csb1="00000000"/>
  </w:font>
  <w:font w:name="Noto Sans CJK SC">
    <w:charset w:val="00"/>
    <w:family w:val="auto"/>
    <w:pitch w:val="variable"/>
  </w:font>
  <w:font w:name="Lohit Devanagari">
    <w:charset w:val="00"/>
    <w:family w:val="auto"/>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B7E05"/>
    <w:multiLevelType w:val="hybridMultilevel"/>
    <w:tmpl w:val="B6D2390E"/>
    <w:lvl w:ilvl="0" w:tplc="040E000F">
      <w:start w:val="1"/>
      <w:numFmt w:val="decimal"/>
      <w:lvlText w:val="%1."/>
      <w:lvlJc w:val="left"/>
      <w:pPr>
        <w:ind w:left="720" w:hanging="360"/>
      </w:pPr>
      <w:rPr>
        <w:rFonts w:eastAsia="Times New Roman"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3F54B9B"/>
    <w:multiLevelType w:val="hybridMultilevel"/>
    <w:tmpl w:val="9AD43B9C"/>
    <w:lvl w:ilvl="0" w:tplc="21BCA196">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2" w15:restartNumberingAfterBreak="0">
    <w:nsid w:val="4E82103A"/>
    <w:multiLevelType w:val="hybridMultilevel"/>
    <w:tmpl w:val="2D6256B8"/>
    <w:lvl w:ilvl="0" w:tplc="07768FE0">
      <w:start w:val="1"/>
      <w:numFmt w:val="lowerLetter"/>
      <w:lvlText w:val="%1)"/>
      <w:lvlJc w:val="left"/>
      <w:pPr>
        <w:ind w:left="1065" w:hanging="705"/>
      </w:pPr>
      <w:rPr>
        <w:i/>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num w:numId="1" w16cid:durableId="1249535200">
    <w:abstractNumId w:val="1"/>
  </w:num>
  <w:num w:numId="2" w16cid:durableId="10395531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440763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2A11"/>
    <w:rsid w:val="00003480"/>
    <w:rsid w:val="00020F6A"/>
    <w:rsid w:val="000622EF"/>
    <w:rsid w:val="000B2D67"/>
    <w:rsid w:val="000D2A11"/>
    <w:rsid w:val="001124F5"/>
    <w:rsid w:val="00153F89"/>
    <w:rsid w:val="00156D3E"/>
    <w:rsid w:val="00193FD6"/>
    <w:rsid w:val="001F588D"/>
    <w:rsid w:val="00237063"/>
    <w:rsid w:val="002D6BBD"/>
    <w:rsid w:val="00333428"/>
    <w:rsid w:val="00396C85"/>
    <w:rsid w:val="003A401D"/>
    <w:rsid w:val="00402174"/>
    <w:rsid w:val="004049B2"/>
    <w:rsid w:val="004947EA"/>
    <w:rsid w:val="004F07D3"/>
    <w:rsid w:val="00521434"/>
    <w:rsid w:val="00531A08"/>
    <w:rsid w:val="005777D3"/>
    <w:rsid w:val="00593AE9"/>
    <w:rsid w:val="005A2187"/>
    <w:rsid w:val="005C77CD"/>
    <w:rsid w:val="005F4FA3"/>
    <w:rsid w:val="00623454"/>
    <w:rsid w:val="006802D9"/>
    <w:rsid w:val="00704C1F"/>
    <w:rsid w:val="00741559"/>
    <w:rsid w:val="007A1FAA"/>
    <w:rsid w:val="008246FC"/>
    <w:rsid w:val="00827692"/>
    <w:rsid w:val="00835734"/>
    <w:rsid w:val="008848B7"/>
    <w:rsid w:val="008B7648"/>
    <w:rsid w:val="009002BA"/>
    <w:rsid w:val="00913058"/>
    <w:rsid w:val="009F216A"/>
    <w:rsid w:val="00AD4247"/>
    <w:rsid w:val="00AF7221"/>
    <w:rsid w:val="00B353AA"/>
    <w:rsid w:val="00B771CC"/>
    <w:rsid w:val="00C124B9"/>
    <w:rsid w:val="00C54A0E"/>
    <w:rsid w:val="00CC4E66"/>
    <w:rsid w:val="00D524FF"/>
    <w:rsid w:val="00DB125E"/>
    <w:rsid w:val="00DC56BA"/>
    <w:rsid w:val="00E54C14"/>
    <w:rsid w:val="00E91F8B"/>
    <w:rsid w:val="00F220C3"/>
    <w:rsid w:val="00F260A9"/>
    <w:rsid w:val="00F46F7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279F0"/>
  <w15:docId w15:val="{A62FC256-44D0-4473-BEEF-349E02F50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125E"/>
    <w:pPr>
      <w:spacing w:after="0" w:line="240" w:lineRule="auto"/>
    </w:pPr>
    <w:rPr>
      <w:rFonts w:ascii="Times New Roman" w:eastAsia="Times New Roman" w:hAnsi="Times New Roman" w:cs="Times New Roman"/>
      <w:sz w:val="24"/>
      <w:szCs w:val="24"/>
      <w:lang w:eastAsia="hu-H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DB125E"/>
    <w:pPr>
      <w:suppressAutoHyphens/>
      <w:spacing w:after="140" w:line="276" w:lineRule="auto"/>
    </w:pPr>
    <w:rPr>
      <w:rFonts w:ascii="Liberation Serif" w:eastAsia="Noto Sans CJK SC" w:hAnsi="Liberation Serif" w:cs="Lohit Devanagari"/>
      <w:kern w:val="2"/>
      <w:lang w:eastAsia="zh-CN" w:bidi="hi-IN"/>
    </w:rPr>
  </w:style>
  <w:style w:type="character" w:customStyle="1" w:styleId="BodyTextChar">
    <w:name w:val="Body Text Char"/>
    <w:basedOn w:val="DefaultParagraphFont"/>
    <w:link w:val="BodyText"/>
    <w:rsid w:val="00DB125E"/>
    <w:rPr>
      <w:rFonts w:ascii="Liberation Serif" w:eastAsia="Noto Sans CJK SC" w:hAnsi="Liberation Serif" w:cs="Lohit Devanagari"/>
      <w:kern w:val="2"/>
      <w:sz w:val="24"/>
      <w:szCs w:val="24"/>
      <w:lang w:eastAsia="zh-CN" w:bidi="hi-IN"/>
    </w:rPr>
  </w:style>
  <w:style w:type="character" w:styleId="CommentReference">
    <w:name w:val="annotation reference"/>
    <w:uiPriority w:val="99"/>
    <w:unhideWhenUsed/>
    <w:rsid w:val="00DB125E"/>
    <w:rPr>
      <w:sz w:val="16"/>
      <w:szCs w:val="16"/>
    </w:rPr>
  </w:style>
  <w:style w:type="paragraph" w:styleId="CommentText">
    <w:name w:val="annotation text"/>
    <w:aliases w:val="Char,Comment Text Char"/>
    <w:basedOn w:val="Normal"/>
    <w:link w:val="CommentTextChar1"/>
    <w:uiPriority w:val="99"/>
    <w:unhideWhenUsed/>
    <w:qFormat/>
    <w:rsid w:val="00DB125E"/>
    <w:pPr>
      <w:spacing w:after="200"/>
    </w:pPr>
    <w:rPr>
      <w:rFonts w:ascii="Calibri" w:eastAsia="Calibri" w:hAnsi="Calibri"/>
      <w:sz w:val="20"/>
      <w:szCs w:val="20"/>
      <w:lang w:eastAsia="x-none"/>
    </w:rPr>
  </w:style>
  <w:style w:type="character" w:customStyle="1" w:styleId="CommentTextChar1">
    <w:name w:val="Comment Text Char1"/>
    <w:aliases w:val="Char Char,Comment Text Char Char"/>
    <w:basedOn w:val="DefaultParagraphFont"/>
    <w:link w:val="CommentText"/>
    <w:uiPriority w:val="99"/>
    <w:qFormat/>
    <w:rsid w:val="00DB125E"/>
    <w:rPr>
      <w:rFonts w:ascii="Calibri" w:eastAsia="Calibri" w:hAnsi="Calibri" w:cs="Times New Roman"/>
      <w:sz w:val="20"/>
      <w:szCs w:val="20"/>
      <w:lang w:val="el-GR" w:eastAsia="x-none"/>
    </w:rPr>
  </w:style>
  <w:style w:type="paragraph" w:styleId="BalloonText">
    <w:name w:val="Balloon Text"/>
    <w:basedOn w:val="Normal"/>
    <w:link w:val="BalloonTextChar"/>
    <w:uiPriority w:val="99"/>
    <w:semiHidden/>
    <w:unhideWhenUsed/>
    <w:rsid w:val="00DB125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125E"/>
    <w:rPr>
      <w:rFonts w:ascii="Segoe UI" w:eastAsia="Times New Roman" w:hAnsi="Segoe UI" w:cs="Segoe UI"/>
      <w:sz w:val="18"/>
      <w:szCs w:val="18"/>
      <w:lang w:eastAsia="hu-HU"/>
    </w:rPr>
  </w:style>
  <w:style w:type="paragraph" w:styleId="ListParagraph">
    <w:name w:val="List Paragraph"/>
    <w:basedOn w:val="Normal"/>
    <w:uiPriority w:val="34"/>
    <w:qFormat/>
    <w:rsid w:val="008246FC"/>
    <w:pPr>
      <w:ind w:left="720"/>
      <w:contextualSpacing/>
    </w:pPr>
  </w:style>
  <w:style w:type="character" w:styleId="Emphasis">
    <w:name w:val="Emphasis"/>
    <w:basedOn w:val="DefaultParagraphFont"/>
    <w:uiPriority w:val="20"/>
    <w:qFormat/>
    <w:rsid w:val="007A1FAA"/>
    <w:rPr>
      <w:i/>
      <w:iCs/>
    </w:rPr>
  </w:style>
  <w:style w:type="paragraph" w:styleId="CommentSubject">
    <w:name w:val="annotation subject"/>
    <w:basedOn w:val="CommentText"/>
    <w:next w:val="CommentText"/>
    <w:link w:val="CommentSubjectChar"/>
    <w:uiPriority w:val="99"/>
    <w:semiHidden/>
    <w:unhideWhenUsed/>
    <w:rsid w:val="002D6BBD"/>
    <w:pPr>
      <w:spacing w:after="0"/>
    </w:pPr>
    <w:rPr>
      <w:rFonts w:ascii="Times New Roman" w:eastAsia="Times New Roman" w:hAnsi="Times New Roman"/>
      <w:b/>
      <w:bCs/>
      <w:lang w:eastAsia="hu-HU"/>
    </w:rPr>
  </w:style>
  <w:style w:type="character" w:customStyle="1" w:styleId="CommentSubjectChar">
    <w:name w:val="Comment Subject Char"/>
    <w:basedOn w:val="CommentTextChar1"/>
    <w:link w:val="CommentSubject"/>
    <w:uiPriority w:val="99"/>
    <w:semiHidden/>
    <w:rsid w:val="002D6BBD"/>
    <w:rPr>
      <w:rFonts w:ascii="Times New Roman" w:eastAsia="Times New Roman" w:hAnsi="Times New Roman" w:cs="Times New Roman"/>
      <w:b/>
      <w:bCs/>
      <w:sz w:val="20"/>
      <w:szCs w:val="20"/>
      <w:lang w:val="el-GR"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339102">
      <w:bodyDiv w:val="1"/>
      <w:marLeft w:val="0"/>
      <w:marRight w:val="0"/>
      <w:marTop w:val="0"/>
      <w:marBottom w:val="0"/>
      <w:divBdr>
        <w:top w:val="none" w:sz="0" w:space="0" w:color="auto"/>
        <w:left w:val="none" w:sz="0" w:space="0" w:color="auto"/>
        <w:bottom w:val="none" w:sz="0" w:space="0" w:color="auto"/>
        <w:right w:val="none" w:sz="0" w:space="0" w:color="auto"/>
      </w:divBdr>
    </w:div>
    <w:div w:id="269245879">
      <w:bodyDiv w:val="1"/>
      <w:marLeft w:val="0"/>
      <w:marRight w:val="0"/>
      <w:marTop w:val="0"/>
      <w:marBottom w:val="0"/>
      <w:divBdr>
        <w:top w:val="none" w:sz="0" w:space="0" w:color="auto"/>
        <w:left w:val="none" w:sz="0" w:space="0" w:color="auto"/>
        <w:bottom w:val="none" w:sz="0" w:space="0" w:color="auto"/>
        <w:right w:val="none" w:sz="0" w:space="0" w:color="auto"/>
      </w:divBdr>
    </w:div>
    <w:div w:id="1238516932">
      <w:bodyDiv w:val="1"/>
      <w:marLeft w:val="0"/>
      <w:marRight w:val="0"/>
      <w:marTop w:val="0"/>
      <w:marBottom w:val="0"/>
      <w:divBdr>
        <w:top w:val="none" w:sz="0" w:space="0" w:color="auto"/>
        <w:left w:val="none" w:sz="0" w:space="0" w:color="auto"/>
        <w:bottom w:val="none" w:sz="0" w:space="0" w:color="auto"/>
        <w:right w:val="none" w:sz="0" w:space="0" w:color="auto"/>
      </w:divBdr>
    </w:div>
    <w:div w:id="1775784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63DE22-5A29-45DC-B5E5-077A39BBC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1716</Words>
  <Characters>9784</Characters>
  <Application>Microsoft Office Word</Application>
  <DocSecurity>0</DocSecurity>
  <Lines>81</Lines>
  <Paragraphs>22</Paragraphs>
  <ScaleCrop>false</ScaleCrop>
  <HeadingPairs>
    <vt:vector size="2" baseType="variant">
      <vt:variant>
        <vt:lpstr>Cím</vt:lpstr>
      </vt:variant>
      <vt:variant>
        <vt:i4>1</vt:i4>
      </vt:variant>
    </vt:vector>
  </HeadingPairs>
  <TitlesOfParts>
    <vt:vector size="1" baseType="lpstr">
      <vt:lpstr/>
    </vt:vector>
  </TitlesOfParts>
  <Company>BM</Company>
  <LinksUpToDate>false</LinksUpToDate>
  <CharactersWithSpaces>11478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Nádasdy-Horváth Benedek dr.</dc:creator>
  <cp:keywords/>
  <dc:description/>
  <cp:lastModifiedBy>Liana Brili</cp:lastModifiedBy>
  <cp:revision>4</cp:revision>
  <cp:lastPrinted>2023-03-28T12:44:00Z</cp:lastPrinted>
  <dcterms:created xsi:type="dcterms:W3CDTF">2023-04-11T08:39:00Z</dcterms:created>
  <dcterms:modified xsi:type="dcterms:W3CDTF">2023-04-18T14:59:00Z</dcterms:modified>
</cp:coreProperties>
</file>