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Gníomh […] de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lena leasaítear Gníomh XLII de 1999 </w:t>
      </w:r>
      <w:r>
        <w:rPr>
          <w:rStyle w:val="Emphasis"/>
          <w:b/>
          <w:i w:val="0"/>
        </w:rPr>
        <w:t>maidir le daoine nach gcaitheann tobac a chosaint;</w:t>
      </w:r>
      <w:r>
        <w:rPr>
          <w:b/>
        </w:rPr>
        <w:t xml:space="preserve"> agus rialacháin áirithe maidir le caitheamh agus dáileadh táirgí tobac agus Gníomh CXXXIV 2012 maidir le caitheamh tobac faoi bhun aoise a chur faoi chois agus maidir le trádáil mhiondíola táirgí tobac</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rFonts w:eastAsia="Noto Sans CJK SC"/>
          <w:b/>
          <w:kern w:val="2"/>
        </w:rPr>
      </w:pPr>
      <w:r>
        <w:rPr>
          <w:b/>
        </w:rPr>
        <w:t xml:space="preserve">1. Leasú ar Ghníomh XLII 1999 </w:t>
      </w:r>
      <w:r>
        <w:rPr>
          <w:rStyle w:val="Emphasis"/>
          <w:b/>
          <w:i w:val="0"/>
        </w:rPr>
        <w:t>maidir le daoine nach gcaitheann tobac a chosaint</w:t>
      </w:r>
      <w:r>
        <w:rPr>
          <w:b/>
        </w:rPr>
        <w:t xml:space="preserve"> agus ar rialacháin áirithe maidir le caitheamh agus dáileadh táirgí tobac</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rFonts w:eastAsia="Noto Sans CJK SC"/>
          <w:b/>
          <w:kern w:val="2"/>
        </w:rPr>
      </w:pPr>
      <w:r>
        <w:rPr>
          <w:b/>
        </w:rPr>
        <w:t>Roinn 1</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(1) I nGníomh XLII de 1999 maidir le cosaint nach tobac iad agus i rialacháin áirithe maidir le caitheamh agus dáileadh táirgí tobac (dá ngairtear an Gníomh um Neamhchaitheamh Tobac anseo feasta), cuirfear an méid seo a leanas in ionad Roinn 1</w:t>
      </w:r>
      <w:r>
        <w:rPr>
          <w:i/>
        </w:rPr>
        <w:t>(s)</w:t>
      </w:r>
      <w:r>
        <w:t xml:space="preserve"> agus </w:t>
      </w:r>
      <w:r>
        <w:rPr>
          <w:i/>
        </w:rPr>
        <w:t>(t):</w:t>
      </w:r>
      <w:r>
        <w:t xml:space="preserve">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rFonts w:eastAsia="Noto Sans CJK SC"/>
          <w:i/>
          <w:iCs/>
          <w:kern w:val="2"/>
        </w:rPr>
      </w:pPr>
      <w:r>
        <w:rPr>
          <w:i/>
        </w:rPr>
        <w:t>(Chun críocha an Ghnímh seo)</w:t>
      </w:r>
    </w:p>
    <w:p w14:paraId="08370725" w14:textId="77777777" w:rsidR="00DB125E" w:rsidRPr="005A143B" w:rsidRDefault="00DB125E" w:rsidP="00DB125E">
      <w:pPr>
        <w:jc w:val="both"/>
      </w:pPr>
    </w:p>
    <w:p w14:paraId="4219C306" w14:textId="77777777" w:rsidR="00DB125E" w:rsidRPr="00164E2E" w:rsidRDefault="00DB125E" w:rsidP="00DB125E">
      <w:pPr>
        <w:jc w:val="both"/>
      </w:pPr>
      <w:r>
        <w:t>‘</w:t>
      </w:r>
      <w:r>
        <w:rPr>
          <w:i/>
        </w:rPr>
        <w:t>(s)</w:t>
      </w:r>
      <w:r>
        <w:t xml:space="preserve"> is éard atá i gceist le </w:t>
      </w:r>
      <w:r>
        <w:rPr>
          <w:i/>
        </w:rPr>
        <w:t>gléas bréige leictreonach tobac</w:t>
      </w:r>
      <w:r>
        <w:t xml:space="preserve"> ná táirge leictreonach le haghaidh aon úsáide (diúscartha) nó táirge atá le hathlíonadh le coimeádán athlíonta saor ó nicitín nó a oibrítear le cartúis atá saor ó nicitín (le haghaidh ilúsáide) é ar féidir é a úsáid chun gal gan nicitín a ithe trí bhéalphíosa; nó aon chomhpháirt den táirge sin, lena n-áirítear umair, nó aon fheiste gan cartúis ná umar;</w:t>
      </w:r>
    </w:p>
    <w:p w14:paraId="715B99F0" w14:textId="77777777" w:rsidR="00DB125E" w:rsidRPr="00164E2E" w:rsidRDefault="00DB125E" w:rsidP="00DB125E">
      <w:pPr>
        <w:jc w:val="both"/>
      </w:pPr>
      <w:r>
        <w:rPr>
          <w:i/>
        </w:rPr>
        <w:t>(t)</w:t>
      </w:r>
      <w:r>
        <w:t xml:space="preserve"> is éard atá i gceist le </w:t>
      </w:r>
      <w:r>
        <w:rPr>
          <w:i/>
        </w:rPr>
        <w:t>coimeádán athlíonta saor ó nicitín</w:t>
      </w:r>
      <w:r>
        <w:t xml:space="preserve"> ná humar é ina bhfuil leacht saor ó nicitín chun gléas leictreonach bréige de chaitheamh tobac a athlíonadh;’</w:t>
      </w:r>
    </w:p>
    <w:p w14:paraId="622D8771" w14:textId="77777777" w:rsidR="00DB125E" w:rsidRDefault="00DB125E" w:rsidP="00DB125E">
      <w:pPr>
        <w:jc w:val="both"/>
      </w:pPr>
    </w:p>
    <w:p w14:paraId="07B1F29D" w14:textId="747BAB26" w:rsidR="00DB125E" w:rsidRDefault="00DB125E" w:rsidP="00DB125E">
      <w:pPr>
        <w:jc w:val="both"/>
      </w:pPr>
      <w:r>
        <w:t xml:space="preserve">(2) Sa Ghníomh um Neamhchaitheamh Tobac, cuirfear an pointe </w:t>
      </w:r>
      <w:r>
        <w:rPr>
          <w:i/>
        </w:rPr>
        <w:t>(z)</w:t>
      </w:r>
      <w:r>
        <w:t xml:space="preserve"> seo a leanas le Roinn 1: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rFonts w:eastAsia="Noto Sans CJK SC"/>
          <w:i/>
          <w:iCs/>
          <w:kern w:val="2"/>
        </w:rPr>
      </w:pPr>
      <w:r>
        <w:rPr>
          <w:i/>
        </w:rPr>
        <w:t>(Chun críocha an Ghnímh seo)</w:t>
      </w:r>
    </w:p>
    <w:p w14:paraId="51C4D610" w14:textId="77777777" w:rsidR="00DB125E" w:rsidRPr="00164E2E" w:rsidRDefault="00DB125E" w:rsidP="00DB125E">
      <w:pPr>
        <w:jc w:val="both"/>
      </w:pPr>
    </w:p>
    <w:p w14:paraId="0754F231" w14:textId="77777777" w:rsidR="00DB125E" w:rsidRPr="00164E2E" w:rsidRDefault="00DB125E" w:rsidP="00DB125E">
      <w:pPr>
        <w:jc w:val="both"/>
      </w:pPr>
      <w:r>
        <w:rPr>
          <w:i/>
        </w:rPr>
        <w:t>‘(z) cartúis saor ó nicitín</w:t>
      </w:r>
      <w:r>
        <w:t xml:space="preserve"> is éard atá i gceist leo ná cineál coimeádáin athlíonta saor ó nicitín atá riachtanach chun gléasanna leictreonacha bréige tobac a úsáid, agus ar umar é ina bhfuil leacht saor ó nicitín i bhfoirm ar bith, le haghaidh aon úsáide de ghnáth (nach féidir a athlíonadh).’</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rFonts w:eastAsia="Noto Sans CJK SC"/>
          <w:b/>
          <w:bCs/>
          <w:kern w:val="2"/>
        </w:rPr>
      </w:pPr>
      <w:r>
        <w:rPr>
          <w:b/>
        </w:rPr>
        <w:t xml:space="preserve">Roinn 2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rFonts w:eastAsia="Noto Sans CJK SC"/>
          <w:kern w:val="2"/>
        </w:rPr>
      </w:pPr>
      <w:r>
        <w:t>(1) Cuirtear an méid seo a leanas in ionad alt 7/D(1) den Ghníomh um Neamhchaitheamh Tobac:</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rFonts w:eastAsia="Noto Sans CJK SC"/>
          <w:kern w:val="2"/>
        </w:rPr>
      </w:pPr>
      <w:r>
        <w:t>‘(1) Déanfaidh monaróirí agus allmhaireoirí toitíní leictreonacha, coimeádáin agus cartúis athlíonta, gléasanna leictreonacha bréige tobac, coimeádáin athlíonta saor ó nicitín, cartúis atá saor ó nicitín agus ionadaigh tobac ina bhfuil nicitín, agus a ndáileoirí san Ungáir fógra a thabhairt don údarás sláinte poiblí maidir le haon táirge a bheartaíonn siad a chur ar an margadh sé mhí sula gcuirfear ar an margadh iad.’</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rFonts w:eastAsia="Noto Sans CJK SC"/>
          <w:kern w:val="2"/>
        </w:rPr>
      </w:pPr>
      <w:r>
        <w:t>(2) Cuirfear an méid seo a leanas in ionad Roinn 7/D(3) den Ghníomh um Neamhchaitheamh Tobac:</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rFonts w:eastAsia="Noto Sans CJK SC"/>
          <w:kern w:val="2"/>
        </w:rPr>
      </w:pPr>
      <w:r>
        <w:t>‘(3) Tuairisceofar an méid seo a leanas don údarás sláinte poiblí i gcomhréir le mír (1):</w:t>
      </w:r>
    </w:p>
    <w:p w14:paraId="407E44DE" w14:textId="77777777" w:rsidR="00DB125E" w:rsidRPr="00E5303B" w:rsidRDefault="00DB125E" w:rsidP="00DB125E">
      <w:pPr>
        <w:suppressAutoHyphens/>
        <w:jc w:val="both"/>
        <w:rPr>
          <w:rFonts w:eastAsia="Noto Sans CJK SC"/>
          <w:kern w:val="2"/>
        </w:rPr>
      </w:pPr>
      <w:r>
        <w:t>(a) ar aon athruithe ar thoitíní leictreonacha, ar choimeádáin agus ar chartúis athlíonta, ar ghairis leictreonacha bhréige tobac, ar choimeádáin athlíonta atá saor ó nicitín, ar chartúis atá saor ó nicitín agus ar ionaid tobac ina bhfuil nicitín agus a dhéanann difear do shaintréithe teicniúla an táirge mar a mhínítear sa Ghníomh seo nó i bhforaithne rialtais arna heisiúint de bhun údarú an Ghnímh seo, agus</w:t>
      </w:r>
    </w:p>
    <w:p w14:paraId="4724DEC7" w14:textId="77777777" w:rsidR="00DB125E" w:rsidRPr="00E5303B" w:rsidRDefault="00DB125E" w:rsidP="00DB125E">
      <w:pPr>
        <w:suppressAutoHyphens/>
        <w:jc w:val="both"/>
        <w:rPr>
          <w:rFonts w:eastAsia="Noto Sans CJK SC"/>
          <w:kern w:val="2"/>
        </w:rPr>
      </w:pPr>
      <w:r>
        <w:t>(b) athruithe ar chéannacht agus ar infhaighteacht an mhonaróra, an allmhaireora nó an dáileora Ungáracha de thoitíní leictreonacha, coimeádáin agus cartúis athlíonta, gléasanna bréige leictreonacha caite tobac, coimeádáin athlíonta gan nicitín, cartúis atá saor ó nicitín agus ionadaigh tobac ina bhfuil nicitín.”</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rFonts w:eastAsia="Noto Sans CJK SC"/>
          <w:kern w:val="2"/>
        </w:rPr>
      </w:pPr>
      <w:r>
        <w:t>(3) Sa Ghníomh um Neamhchaitheamh Tobac cuirfear na míreanna (5) agus (6) seo a leanas le Roinn 7/D:</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rFonts w:eastAsia="Noto Sans CJK SC"/>
          <w:kern w:val="2"/>
        </w:rPr>
      </w:pPr>
      <w:r>
        <w:t>‘(5) Coimeádfaidh an t-údarás sláinte poiblí taifid ar na táirgí ar tugadh fógra dóibh faoi mhír 1, ina mbeidh:</w:t>
      </w:r>
    </w:p>
    <w:p w14:paraId="62C5FC5A" w14:textId="77777777" w:rsidR="00DB125E" w:rsidRPr="00E5303B" w:rsidRDefault="00DB125E" w:rsidP="00DB125E">
      <w:pPr>
        <w:suppressAutoHyphens/>
        <w:ind w:left="426" w:hanging="426"/>
        <w:jc w:val="both"/>
        <w:rPr>
          <w:rFonts w:eastAsia="Noto Sans CJK SC"/>
          <w:kern w:val="2"/>
        </w:rPr>
      </w:pPr>
      <w:r>
        <w:t>(a) ainm an fhógróra, ainm an mhonaróra nó ainm an allmhaireora, nó ainm an dáileora san Ungáir,</w:t>
      </w:r>
    </w:p>
    <w:p w14:paraId="606EE827" w14:textId="77777777" w:rsidR="00DB125E" w:rsidRPr="00E5303B" w:rsidRDefault="00DB125E" w:rsidP="00DB125E">
      <w:pPr>
        <w:suppressAutoHyphens/>
        <w:ind w:left="426" w:hanging="426"/>
        <w:jc w:val="both"/>
        <w:rPr>
          <w:rFonts w:eastAsia="Noto Sans CJK SC"/>
          <w:kern w:val="2"/>
        </w:rPr>
      </w:pPr>
      <w:r>
        <w:t>(b) an uimhir aitheantais leictreonach toitíní,</w:t>
      </w:r>
    </w:p>
    <w:p w14:paraId="19CD09BF" w14:textId="77777777" w:rsidR="00DB125E" w:rsidRPr="00E5303B" w:rsidRDefault="00DB125E" w:rsidP="00DB125E">
      <w:pPr>
        <w:suppressAutoHyphens/>
        <w:ind w:left="426" w:hanging="426"/>
        <w:jc w:val="both"/>
        <w:rPr>
          <w:rFonts w:eastAsia="Noto Sans CJK SC"/>
          <w:kern w:val="2"/>
        </w:rPr>
      </w:pPr>
      <w:r>
        <w:t>(c) ainm an bhranda agus an fhobhranda,</w:t>
      </w:r>
    </w:p>
    <w:p w14:paraId="69FB953D" w14:textId="77777777" w:rsidR="00DB125E" w:rsidRPr="00E5303B" w:rsidRDefault="00DB125E" w:rsidP="00DB125E">
      <w:pPr>
        <w:suppressAutoHyphens/>
        <w:ind w:left="426" w:hanging="426"/>
        <w:jc w:val="both"/>
        <w:rPr>
          <w:rFonts w:eastAsia="Noto Sans CJK SC"/>
          <w:kern w:val="2"/>
        </w:rPr>
      </w:pPr>
      <w:r>
        <w:t>(d) an cineál táirge,</w:t>
      </w:r>
    </w:p>
    <w:p w14:paraId="73992F7B" w14:textId="77777777" w:rsidR="00DB125E" w:rsidRPr="00E5303B" w:rsidRDefault="00DB125E" w:rsidP="00DB125E">
      <w:pPr>
        <w:suppressAutoHyphens/>
        <w:ind w:left="426" w:hanging="426"/>
        <w:jc w:val="both"/>
        <w:rPr>
          <w:rFonts w:eastAsia="Noto Sans CJK SC"/>
          <w:kern w:val="2"/>
        </w:rPr>
      </w:pPr>
      <w:r>
        <w:t>(e) sraithuimhir an deimhnithe a eisíodh faoin bhfógra, agus</w:t>
      </w:r>
    </w:p>
    <w:p w14:paraId="56BF7838" w14:textId="77777777" w:rsidR="00DB125E" w:rsidRPr="00E5303B" w:rsidRDefault="00DB125E" w:rsidP="00DB125E">
      <w:pPr>
        <w:suppressAutoHyphens/>
        <w:ind w:left="426" w:hanging="426"/>
        <w:jc w:val="both"/>
        <w:rPr>
          <w:rFonts w:eastAsia="Noto Sans CJK SC"/>
          <w:kern w:val="2"/>
        </w:rPr>
      </w:pPr>
      <w:r>
        <w:t>(f) an chéad lá is féidir a chur ar an margadh, arna ríomh de bhun mhír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rFonts w:eastAsia="Noto Sans CJK SC"/>
          <w:kern w:val="2"/>
        </w:rPr>
      </w:pPr>
      <w:r>
        <w:t>(6) Tabharfaidh monaróir, allmhaireoir agus dáileoir na hUngáire aire do tharraingt siar ón margadh agus d’athcheannach aon táirge a chumhdaítear leis an toirmeasc margaíochta agus atá á choinneáil ar stoc ag miondíoltóir táirgí tobac.’</w:t>
      </w:r>
    </w:p>
    <w:p w14:paraId="0A9586A9" w14:textId="422B59D3" w:rsidR="00333428" w:rsidRDefault="00333428"/>
    <w:p w14:paraId="1421BAD6" w14:textId="29A4BA46" w:rsidR="002D6BBD" w:rsidRDefault="002D6BBD" w:rsidP="00153F89">
      <w:pPr>
        <w:jc w:val="center"/>
        <w:rPr>
          <w:b/>
        </w:rPr>
      </w:pPr>
      <w:r>
        <w:rPr>
          <w:b/>
        </w:rPr>
        <w:t>Roinn 3</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rFonts w:eastAsia="Noto Sans CJK SC"/>
          <w:kern w:val="2"/>
        </w:rPr>
      </w:pPr>
      <w:r>
        <w:t xml:space="preserve">  Cuirtear an méid seo a leanas in ionad roinn 8(5)(a) den Ghníomh um Neamhchaitheamh Tobac:</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rFonts w:eastAsia="Noto Sans CJK SC"/>
          <w:i/>
          <w:iCs/>
          <w:kern w:val="2"/>
        </w:rPr>
      </w:pPr>
      <w:r>
        <w:rPr>
          <w:i/>
        </w:rPr>
        <w:t>(Údaraítear leis seo don Rialtas na nithe seo a leanas a shainiú agus a bhunú le rialachán:</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‘(a) na rabhaidh chomhcheangailte, rabhaidh sláinte agus na rialacha mionsonraithe úsáide a bhaineann leo, chomh maith leis na rialacha mionsonraithe maidir le haonaid phacáistíochta do thomhaltóirí de tháirgí tobac agus aonaid phacáistíochta toitíní leictreonacha, coimeádáin athlíonta, gairis bhréige leictreonacha ar chaitheamh tobac, coimeádáin athlíonta saor ó nicitín, cartúis atá saor ó nicitín agus ionadaigh tobac ina bhfuil nicitín, ábhar agus foirm na gcomharthaí agus na marcálacha maidir le srian ar chaitheamh tobac agus limistéir ainmnithe tobac chomh maith leis na cinn a úsáidtear chun toitíní leictreonacha agus gléasanna leictreonacha bréige tobac a úsáid, i dteannta coinníollacha eile a bhaineann le monarú, dáileadh agus rialú táirgí tobac, toitíní leictreonacha, coimeádáin athlíonta, gléasanna bréige leictreonacha ar chaitheamh tobac, coimeádáin athlíonta atá saor ó nicitín agus ionadaigh tobac ina bhfuil nicitín, agus na coinníollacha sin nach dtagann faoi raon feidhme an Achta um dhleacht mháil,”</w:t>
      </w:r>
    </w:p>
    <w:p w14:paraId="0D5D932B" w14:textId="77777777" w:rsidR="002D6BBD" w:rsidRDefault="002D6BBD"/>
    <w:p w14:paraId="255BC7D4" w14:textId="48DF91E1" w:rsidR="00DB125E" w:rsidRPr="00D55D42" w:rsidRDefault="00827692" w:rsidP="000D6180">
      <w:pPr>
        <w:keepNext/>
        <w:suppressAutoHyphens/>
        <w:jc w:val="center"/>
        <w:rPr>
          <w:rFonts w:eastAsia="Noto Sans CJK SC"/>
          <w:b/>
          <w:kern w:val="2"/>
        </w:rPr>
      </w:pPr>
      <w:r>
        <w:rPr>
          <w:b/>
        </w:rPr>
        <w:lastRenderedPageBreak/>
        <w:t>Roinn 4</w:t>
      </w:r>
    </w:p>
    <w:p w14:paraId="4D0DDFF7" w14:textId="77777777" w:rsidR="00DB125E" w:rsidRPr="007F65BB" w:rsidRDefault="00DB125E" w:rsidP="00DB125E">
      <w:pPr>
        <w:suppressAutoHyphens/>
        <w:jc w:val="both"/>
        <w:rPr>
          <w:rFonts w:eastAsia="Noto Sans CJK SC"/>
          <w:kern w:val="2"/>
          <w:lang w:eastAsia="zh-CN" w:bidi="hi-IN"/>
        </w:rPr>
      </w:pPr>
    </w:p>
    <w:p w14:paraId="2855D94E" w14:textId="77777777" w:rsidR="00DB125E" w:rsidRPr="00D55D42" w:rsidRDefault="00DB125E" w:rsidP="00DB125E">
      <w:pPr>
        <w:jc w:val="both"/>
      </w:pPr>
      <w:r>
        <w:t>Sa Ghníomh um Neamhchaitheamh Tobac, cuirfear an mhír (4a) seo a leanas le Roinn 10:</w:t>
      </w:r>
    </w:p>
    <w:p w14:paraId="007E3F42" w14:textId="77777777" w:rsidR="00DB125E" w:rsidRPr="00D55D42" w:rsidRDefault="00DB125E" w:rsidP="00DB125E">
      <w:pPr>
        <w:jc w:val="center"/>
      </w:pPr>
    </w:p>
    <w:p w14:paraId="37B8ADF9" w14:textId="59AF2AF0" w:rsidR="005777D3" w:rsidRDefault="00DB125E" w:rsidP="005777D3">
      <w:pPr>
        <w:jc w:val="both"/>
      </w:pPr>
      <w:r>
        <w:t>‘(4a) I gcás coimeádán athlíonta saor ó nicitín, cartúis atá saor ó nicitín agus ionadaigh tobac ina bhfuil nicitín atá ar an margadh cheana féin 1 Meán Fómhair 2023, an fógra mar a shainmhínítear i Roinn 7/D(1) de bhun Roinn 2 de Ghníomh... de 2023 lena leasaítear Gníomh XLII de 1999 maidir le cosaint daoine nach tobac iad agus rialacha áirithe maidir le táirgí tobac a thomhailt agus a dháileadh agus Gníomh CXXXIV 2012 maidir le caitheamh tobac faoi bhun aoise a chur faoi chois agus maidir le trádáil mhiondíola táirgí tobac,</w:t>
      </w:r>
    </w:p>
    <w:p w14:paraId="064D8A1E" w14:textId="4F3F8F5C" w:rsidR="00DB125E" w:rsidRDefault="005777D3" w:rsidP="005777D3">
      <w:pPr>
        <w:jc w:val="both"/>
      </w:pPr>
      <w:r>
        <w:t xml:space="preserve">  ní mór é a dhéanamh go dtí 31 Eanáir 2024.’</w:t>
      </w:r>
    </w:p>
    <w:p w14:paraId="717F87AE" w14:textId="77777777" w:rsidR="00E91F8B" w:rsidRDefault="00E91F8B" w:rsidP="005777D3">
      <w:pPr>
        <w:jc w:val="both"/>
      </w:pPr>
    </w:p>
    <w:p w14:paraId="44851160" w14:textId="00604E87" w:rsidR="00E91F8B" w:rsidRDefault="00DC56BA" w:rsidP="00E91F8B">
      <w:pPr>
        <w:jc w:val="center"/>
        <w:rPr>
          <w:b/>
        </w:rPr>
      </w:pPr>
      <w:r>
        <w:rPr>
          <w:b/>
        </w:rPr>
        <w:t>Roinn 5</w:t>
      </w:r>
    </w:p>
    <w:p w14:paraId="664F8A47" w14:textId="77777777" w:rsidR="00E91F8B" w:rsidRDefault="00E91F8B" w:rsidP="00E91F8B">
      <w:pPr>
        <w:jc w:val="center"/>
        <w:rPr>
          <w:b/>
        </w:rPr>
      </w:pPr>
    </w:p>
    <w:p w14:paraId="1478B73D" w14:textId="09EACD72" w:rsidR="00E91F8B" w:rsidRPr="00E91F8B" w:rsidRDefault="00E91F8B" w:rsidP="00E91F8B">
      <w:pPr>
        <w:jc w:val="both"/>
      </w:pPr>
      <w:r>
        <w:t>Sa Ghníomh um Neamhchaitheamh Tobac, cuirtear isteach an Roinn 8/B seo a leanas:</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‘Roinn 8/B Na ranna seo a leanas a bunaíodh le Gníomh... 2023 lena leasaítear Gníomh XLII de 1999 ar chosaint daoine nach gcaitheanna tobac agus rialacha áirithe maidir le táirgí tobac a thomhailt agus a dháileadh agus Gníomh CXXXIV 2012 maidir le caitheamh tobac faoi bhun aoise a dhíothú agus maidir le trádáil mhiondíola táirgí tobac, mar a liostaítear thíos, is é sin Roinn 1(s), (t) agus (z), Roinn 7/C, Roinn 7/D(1), (3), (5) agus (6). Bhí Roinn 7/E(1)-(6), Roinn 7/F, Roinn 7/G(1) agus (2), Roinn 7/H, Roinn 8(5)(a) agus Roinn 10(4a) den Dreachtghníomh seo, faoi réir fógra a thabhairt roimh ré, mar a shonraítear in Airteagal 5-7 de Threoir (AE) 2015/1535 ó Pharlaimint na hEorpa agus ón gComhairle 9 Meán Fómhair 2015 lena leagtar síos nós imeachta chun faisnéis a sholáthar i réimse na rialachán teicniúil agus na rialacha maidir le seirbhísí na Sochaí Faisnéise.’</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rFonts w:eastAsia="Noto Sans CJK SC"/>
          <w:b/>
          <w:bCs/>
          <w:kern w:val="2"/>
        </w:rPr>
      </w:pPr>
      <w:r>
        <w:rPr>
          <w:b/>
        </w:rPr>
        <w:t>Roinn 6</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rFonts w:eastAsia="Noto Sans CJK SC"/>
          <w:kern w:val="2"/>
        </w:rPr>
      </w:pPr>
      <w:r>
        <w:t>Sa Ghníomh um Neamhchaitheamh Tobac</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(a) i Roinn 7/C, cuirtear na focail ‘toitíní leictreonacha, coimeádáin athlíonta, cartúis, gairis bhréige leictreonacha tobac, coimeádáin athlíonta gan nicitín’ in ionad na bhfocal ‘toitíní leictreonacha’;</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(b) i Roinn 7/E(1)-(5), cuirtear na focail ‘toitíní leictreonacha, coimeádáin athlíonta, cartúis, gléasanna bréige leictreonacha tobac, coimeádáin athlíonta gan nicitín agus coimeádáin athlíonta’ in ionad na bhfocal ‘toitíní leictreonacha agus coimeádáin athlíonta’;</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(c) i Roinn 7/E(6), cuirtear na focail ‘toitíní leictreonacha, coimeádáin athlíonta, cartúis, gléasanna bréige leictreonacha tobac, coimeádáin athlíonta nó coimeádáin athlíonta’ in ionad na bhfocal ‘toitíní leictreonacha nó coimeádáin athlíonta’;</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(d) i Roinn 7/F, cuirtear na focail ‘toitíní leictreonacha, coimeádáin athlíonta, cartúis, gléasanna bréige leictreonacha tobac, coimeádáin athlíonta agus coimeádáin athlíonta’ in ionad na bhfocal ‘toitíní leictreonacha agus coimeádáin athlíonta’;</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(e) i Roinn 7/G(1), cuirtear na focail ‘toitíní leictreonacha, coimeádáin athlíonta, cartúis, gléasanna bréige leictreonacha tobac, coimeádáin athlíonta gan nicitín nó coimeádáin athlíonta’ in ionad na bhfocal ‘toitíní leictreonacha nó coimeádáin athlíonta’;</w:t>
      </w:r>
    </w:p>
    <w:p w14:paraId="5DED55E3" w14:textId="1EE35D48" w:rsidR="00DB125E" w:rsidRPr="00673F64" w:rsidRDefault="00153F89" w:rsidP="00DB125E">
      <w:pPr>
        <w:pStyle w:val="BodyText"/>
        <w:spacing w:after="0" w:line="240" w:lineRule="auto"/>
        <w:jc w:val="both"/>
      </w:pPr>
      <w:r>
        <w:rPr>
          <w:rFonts w:ascii="Times New Roman" w:hAnsi="Times New Roman"/>
        </w:rPr>
        <w:t>(f) i Roinn 7/G(2), cuirtear na focail ‘toitíní leictreonacha, coimeádáin athlíonta, cartúis, gléasanna bréige leictreonacha tobac, coimeádáin athlíonta gan nicitín agus coimeádáin athlíonta’ in ionad na bhfocal ‘toitíní leictreonacha agus coimeádáin athlíonta’;</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(g) i Roinn 7/H, cuirtear na focail ‘toitíní leictreonacha, coimeádáin athlíonta, cartúis, gléasanna bréige leictreonacha tobac, coimeádáin athlíonta, fearais bhréige leictreonacha tobac, </w:t>
      </w:r>
      <w:r>
        <w:rPr>
          <w:rFonts w:ascii="Times New Roman" w:hAnsi="Times New Roman"/>
        </w:rPr>
        <w:lastRenderedPageBreak/>
        <w:t xml:space="preserve">coimeádáin athlíonta saor ó nicitín, cartúis atá saor ó nicitín agus ionadaigh tobac ina bhfuil nicitín’ in ionad na bhfocal ‘toitíní leictreonacha agus gairis bhréige leictreonacha tobac.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DB125E">
      <w:pPr>
        <w:suppressAutoHyphens/>
        <w:jc w:val="center"/>
        <w:rPr>
          <w:rFonts w:eastAsia="Noto Sans CJK SC"/>
          <w:b/>
          <w:kern w:val="2"/>
        </w:rPr>
      </w:pPr>
      <w:r>
        <w:rPr>
          <w:b/>
        </w:rPr>
        <w:t>Roinn 7</w:t>
      </w:r>
    </w:p>
    <w:p w14:paraId="6B1D9AD2" w14:textId="77777777" w:rsidR="00DB125E" w:rsidRDefault="00DB125E" w:rsidP="00DB125E">
      <w:pPr>
        <w:suppressAutoHyphens/>
        <w:jc w:val="center"/>
        <w:rPr>
          <w:rFonts w:eastAsia="Noto Sans CJK SC"/>
          <w:kern w:val="2"/>
          <w:lang w:eastAsia="zh-CN" w:bidi="hi-IN"/>
        </w:rPr>
      </w:pPr>
    </w:p>
    <w:p w14:paraId="69C95DAD" w14:textId="00089198" w:rsidR="00DB125E" w:rsidRDefault="00DB125E" w:rsidP="00DB125E">
      <w:pPr>
        <w:suppressAutoHyphens/>
        <w:jc w:val="both"/>
        <w:rPr>
          <w:rFonts w:eastAsia="Noto Sans CJK SC"/>
          <w:kern w:val="2"/>
        </w:rPr>
      </w:pPr>
      <w:r>
        <w:t xml:space="preserve"> Aisghairfear roinn 7/I den Ghníomh um Neamhchaitheamh Tobac.</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rFonts w:eastAsia="Noto Sans CJK SC"/>
          <w:b/>
          <w:kern w:val="2"/>
        </w:rPr>
      </w:pPr>
      <w:r>
        <w:rPr>
          <w:b/>
        </w:rPr>
        <w:t>2. Leasú ar Ghníomh CXXXIV de 2012 maidir le caitheamh tobac faoi bhun aoise a dhíothú agus maidir le trádáil mhiondíola táirgí tobac</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rFonts w:eastAsia="Noto Sans CJK SC"/>
          <w:b/>
          <w:kern w:val="2"/>
        </w:rPr>
      </w:pPr>
      <w:r>
        <w:rPr>
          <w:b/>
        </w:rPr>
        <w:t>Roinn 8</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I nGníomh CXXXIV de 2012 maidir le caitheamh tobac faoi bhun aoise a dhíothú agus maidir le trádáil mhiondíola táirgí tobac (anseo feasta: An Gníomh um Chaitheamh Tobac faoi Aois a Dhíchur), cuirfear an mhír (4) seo a leanas le Roinn 28:</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rFonts w:eastAsia="Noto Sans CJK SC"/>
          <w:kern w:val="2"/>
        </w:rPr>
      </w:pPr>
      <w:r>
        <w:t>‘(4) Bhí Dréachtroinn 1(1)(e) agus Alt 3(2)(e), mar a bunaíodh le Gníomh... 2023 lena leasaítear Gníomh XLII de 1999 maidir le cosaint daoine nach tobac iad agus rialacha áirithe maidir le caitheamh agus dáileadh táirgí tobac agus Gníomh CXXXIV 2012 maidir le caitheamh tobac faoi bhun aoise a chur faoi chois agus maidir le trádáil mhiondíola táirgí tobac, faoi réir fógra a thabhairt roimh ré, mar a shonraítear in Airteagail 5-7 de Threoir (AE) 2015/1535 ó Pharlaimint na hEorpa agus ón gComhairle 9 Meán Fómhair 2015 lena leagtar síos nós imeachta chun faisnéis a sholáthar i réimse na rialachán teicniúil agus na rialacha maidir le seirbhísí na Sochaí Faisnéise.’</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rFonts w:eastAsia="Noto Sans CJK SC"/>
          <w:b/>
          <w:kern w:val="2"/>
        </w:rPr>
      </w:pPr>
      <w:r>
        <w:rPr>
          <w:b/>
        </w:rPr>
        <w:t>Roinn 9</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I Roinn 1(1)</w:t>
      </w:r>
      <w:r>
        <w:rPr>
          <w:i/>
        </w:rPr>
        <w:t>(e)</w:t>
      </w:r>
      <w:r>
        <w:t xml:space="preserve"> agus Roinn 3(2)</w:t>
      </w:r>
      <w:r>
        <w:rPr>
          <w:i/>
        </w:rPr>
        <w:t>(e)</w:t>
      </w:r>
      <w:r>
        <w:t xml:space="preserve"> den Ghníomh um Chaitheamh Tobac faoi Aois a Dhíchur, cuirtear na focail ‘coimeádáin athlíonta atá saor ó nicitín,’ in ionad na bhfocal ‘coimeádáin athlíonta saor ó eititín,’.</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rFonts w:eastAsia="Noto Sans CJK SC"/>
          <w:b/>
          <w:kern w:val="2"/>
        </w:rPr>
      </w:pPr>
      <w:r>
        <w:rPr>
          <w:b/>
        </w:rPr>
        <w:t>3. Forálacha dúnta</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rFonts w:eastAsia="Noto Sans CJK SC"/>
          <w:b/>
          <w:kern w:val="2"/>
        </w:rPr>
      </w:pPr>
      <w:r>
        <w:rPr>
          <w:b/>
        </w:rPr>
        <w:t>Roinn 10</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rFonts w:eastAsia="Noto Sans CJK SC"/>
          <w:kern w:val="2"/>
        </w:rPr>
      </w:pPr>
      <w:r>
        <w:t>Tiocfaidh an Gníomh seo i bhfeidhm ar 1 Samhain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Roinn 11</w:t>
      </w:r>
    </w:p>
    <w:p w14:paraId="7BC9C63E" w14:textId="77777777" w:rsidR="00E91F8B" w:rsidRDefault="00E91F8B" w:rsidP="00E91F8B">
      <w:pPr>
        <w:jc w:val="center"/>
      </w:pPr>
    </w:p>
    <w:p w14:paraId="50C1AEE0" w14:textId="45A9E010" w:rsidR="00E91F8B" w:rsidRDefault="00E91F8B" w:rsidP="00E91F8B">
      <w:pPr>
        <w:jc w:val="both"/>
        <w:rPr>
          <w:rFonts w:eastAsia="Noto Sans CJK SC"/>
          <w:kern w:val="2"/>
        </w:rPr>
      </w:pPr>
      <w:r>
        <w:t>Comhlíonadh an ceanglas maidir le réamhfhógra a thabhairt maidir leis an dréachtfhoraithne sin, mar a leagtar síos in Airteagal 5-7 de Threoir (AE) 2015/1535 ó Pharlaimint na hEorpa agus ón gComhairle 9 Meán Fómhair 2015 lena leagtar síos nós imeachta chun faisnéis a sholáthar i réimse na rialachán teicniúil agus na rialacha maidir le seirbhísí na Sochaí Faisnéise.</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0D6180"/>
    <w:rsid w:val="001124F5"/>
    <w:rsid w:val="00153F89"/>
    <w:rsid w:val="00156D3E"/>
    <w:rsid w:val="00193FD6"/>
    <w:rsid w:val="001F588D"/>
    <w:rsid w:val="00237063"/>
    <w:rsid w:val="002D6BBD"/>
    <w:rsid w:val="00333428"/>
    <w:rsid w:val="00396C85"/>
    <w:rsid w:val="003A401D"/>
    <w:rsid w:val="00402174"/>
    <w:rsid w:val="004049B2"/>
    <w:rsid w:val="004947EA"/>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ga-IE"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ga-IE"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1582</Words>
  <Characters>9021</Characters>
  <Application>Microsoft Office Word</Application>
  <DocSecurity>0</DocSecurity>
  <Lines>75</Lines>
  <Paragraphs>21</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Liana Brili</cp:lastModifiedBy>
  <cp:revision>4</cp:revision>
  <cp:lastPrinted>2023-03-28T12:44:00Z</cp:lastPrinted>
  <dcterms:created xsi:type="dcterms:W3CDTF">2023-04-11T08:39:00Z</dcterms:created>
  <dcterms:modified xsi:type="dcterms:W3CDTF">2023-04-18T15:00:00Z</dcterms:modified>
</cp:coreProperties>
</file>