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FFCD" w14:textId="441DC6D2" w:rsidR="00210603" w:rsidRPr="008F3636" w:rsidRDefault="00210603">
      <w:pPr>
        <w:pStyle w:val="Bezeichnungnderungsdokument"/>
      </w:pPr>
      <w:bookmarkStart w:id="0" w:name="DQCIER01FD9B0B438EFF4297AEDD79676430967C"/>
      <w:r>
        <w:t xml:space="preserve">Ley relativa a la modificación de la Ley sobre bienestar animal – Prohibición de la matanza de pollos</w:t>
      </w:r>
      <w:r>
        <w:rPr>
          <w:rStyle w:val="FootnoteReference"/>
        </w:rPr>
        <w:footnoteReference w:customMarkFollows="1" w:id="1"/>
        <w:t xml:space="preserve">*</w:t>
      </w:r>
      <w:bookmarkEnd w:id="0"/>
    </w:p>
    <w:p w14:paraId="53C127F9" w14:textId="3021B62C" w:rsidR="00210603" w:rsidRPr="008F3636" w:rsidRDefault="00D82BF8">
      <w:pPr>
        <w:pStyle w:val="Ausfertigungsdatumnderungsdokument"/>
      </w:pPr>
      <w:r>
        <w:t xml:space="preserve">A 18 de junio de 2021.</w:t>
      </w:r>
    </w:p>
    <w:p w14:paraId="342766C1" w14:textId="77777777" w:rsidR="00210603" w:rsidRPr="008F3636" w:rsidRDefault="00210603">
      <w:pPr>
        <w:pStyle w:val="EingangsformelStandardnderungsdokument"/>
      </w:pPr>
      <w:r>
        <w:t xml:space="preserve">El Bundestag alemán ha adoptado la siguiente Ley:</w:t>
      </w:r>
    </w:p>
    <w:p w14:paraId="669DD825" w14:textId="1FD82554" w:rsidR="00210603" w:rsidRPr="008F3636" w:rsidRDefault="006472BA" w:rsidP="006472BA">
      <w:pPr>
        <w:pStyle w:val="ArtikelBezeichner"/>
        <w:numPr>
          <w:ilvl w:val="0"/>
          <w:numId w:val="0"/>
        </w:numPr>
      </w:pPr>
      <w:r>
        <w:t xml:space="preserve"> </w:t>
      </w:r>
      <w:r>
        <w:t xml:space="preserve">Artículo 1</w:t>
      </w:r>
    </w:p>
    <w:p w14:paraId="507A0212" w14:textId="77777777" w:rsidR="00210603" w:rsidRPr="008F3636" w:rsidRDefault="00210603" w:rsidP="00210603">
      <w:pPr>
        <w:pStyle w:val="Artikelberschrift"/>
      </w:pPr>
      <w:r>
        <w:t xml:space="preserve">Modificación de la Ley sobre bienestar animal</w:t>
      </w:r>
    </w:p>
    <w:p w14:paraId="73AE4554" w14:textId="1FE42EC2" w:rsidR="00210603" w:rsidRPr="008F3636" w:rsidRDefault="00D82BF8" w:rsidP="008702FE">
      <w:pPr>
        <w:pStyle w:val="JuristischerAbsatznichtnummeriert"/>
      </w:pPr>
      <w:r>
        <w:t xml:space="preserve">La Ley sobre bienestar animal, en su versión publicada el 18 de mayo de 2006 (Boletín Oficial Federal, parte I, pp. 1206, 1313), modificada por última vez por el artículo 280 del reglamento de 19 de junio de 2020 (Boletín Oficial Federal, parte I, p. 1328), se modifica como sigue:</w:t>
      </w:r>
    </w:p>
    <w:p w14:paraId="5B49F37B" w14:textId="1991F508" w:rsidR="008702FE" w:rsidRPr="008F3636" w:rsidRDefault="00210603" w:rsidP="008702FE">
      <w:pPr>
        <w:pStyle w:val="NummerierungStufe1"/>
      </w:pPr>
      <w:r>
        <w:t xml:space="preserve">Después del apartado 4 </w:t>
      </w:r>
      <w:r>
        <w:rPr>
          <w:i/>
          <w:iCs/>
        </w:rPr>
        <w:t xml:space="preserve">ter</w:t>
      </w:r>
      <w:r>
        <w:t xml:space="preserve">, se inserta el apartado 4 </w:t>
      </w:r>
      <w:r>
        <w:rPr>
          <w:i/>
          <w:iCs/>
        </w:rPr>
        <w:t xml:space="preserve">quater</w:t>
      </w:r>
      <w:r>
        <w:t xml:space="preserve"> siguiente:</w:t>
      </w:r>
    </w:p>
    <w:p w14:paraId="2710725B" w14:textId="77777777" w:rsidR="008702FE" w:rsidRPr="008F3636" w:rsidRDefault="008702FE" w:rsidP="0057660F">
      <w:pPr>
        <w:pStyle w:val="RevisionParagraphBezeichnermanuell"/>
        <w:ind w:left="425" w:hanging="75"/>
        <w:rPr>
          <w:color w:val="auto"/>
        </w:rPr>
      </w:pPr>
      <w:r>
        <w:rPr>
          <w:color w:val="auto"/>
        </w:rPr>
        <w:t xml:space="preserve">«Artículo 4 </w:t>
      </w:r>
      <w:r>
        <w:rPr>
          <w:color w:val="auto"/>
          <w:i/>
          <w:iCs/>
        </w:rPr>
        <w:t xml:space="preserve">quater</w:t>
      </w:r>
    </w:p>
    <w:p w14:paraId="3CFFCEFF"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Está prohibido matar pollitos de pollos domésticos de </w:t>
      </w:r>
      <w:r>
        <w:rPr>
          <w:color w:val="auto"/>
          <w:i/>
        </w:rPr>
        <w:t xml:space="preserve">Gallus gallus</w:t>
      </w:r>
      <w:r>
        <w:rPr>
          <w:color w:val="auto"/>
        </w:rPr>
        <w:t xml:space="preserve">.</w:t>
      </w:r>
    </w:p>
    <w:p w14:paraId="3CB4E07B"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La prohibición no se aplicará a:</w:t>
      </w:r>
      <w:r>
        <w:rPr>
          <w:color w:val="auto"/>
        </w:rPr>
        <w:t xml:space="preserve"> </w:t>
      </w:r>
    </w:p>
    <w:p w14:paraId="4494D1E7" w14:textId="6D2AF433" w:rsidR="0057660F" w:rsidRPr="008F3636" w:rsidRDefault="008702FE" w:rsidP="0057660F">
      <w:pPr>
        <w:pStyle w:val="RevisionNummerierungStufe1"/>
        <w:numPr>
          <w:ilvl w:val="3"/>
          <w:numId w:val="1"/>
        </w:numPr>
        <w:tabs>
          <w:tab w:val="clear" w:pos="425"/>
          <w:tab w:val="left" w:pos="850"/>
        </w:tabs>
        <w:ind w:left="850"/>
        <w:rPr>
          <w:color w:val="auto"/>
        </w:rPr>
      </w:pPr>
      <w:r>
        <w:rPr>
          <w:color w:val="auto"/>
        </w:rPr>
        <w:t xml:space="preserve">en caso de que la matanza de pollos:</w:t>
      </w:r>
    </w:p>
    <w:p w14:paraId="1E90D06D" w14:textId="21B30DF3" w:rsidR="0057660F" w:rsidRPr="008F3636" w:rsidRDefault="008702FE" w:rsidP="0057660F">
      <w:pPr>
        <w:pStyle w:val="RevisionNummerierungStufe2"/>
        <w:numPr>
          <w:ilvl w:val="4"/>
          <w:numId w:val="1"/>
        </w:numPr>
        <w:tabs>
          <w:tab w:val="clear" w:pos="850"/>
          <w:tab w:val="left" w:pos="1275"/>
        </w:tabs>
        <w:ind w:left="1275"/>
        <w:rPr>
          <w:color w:val="auto"/>
        </w:rPr>
      </w:pPr>
      <w:r>
        <w:rPr>
          <w:color w:val="auto"/>
        </w:rPr>
        <w:t xml:space="preserve">se haya prescrito u ordenado de acuerdo con las disposiciones en materia de epizootias;</w:t>
      </w:r>
      <w:r>
        <w:rPr>
          <w:color w:val="auto"/>
        </w:rPr>
        <w:t xml:space="preserve"> </w:t>
      </w:r>
      <w:r>
        <w:rPr>
          <w:color w:val="auto"/>
        </w:rPr>
        <w:t xml:space="preserve">o</w:t>
      </w:r>
    </w:p>
    <w:p w14:paraId="0214B258" w14:textId="1F7D2212" w:rsidR="008702FE" w:rsidRPr="008F3636" w:rsidRDefault="008702FE" w:rsidP="0057660F">
      <w:pPr>
        <w:pStyle w:val="RevisionNummerierungStufe2"/>
        <w:numPr>
          <w:ilvl w:val="4"/>
          <w:numId w:val="1"/>
        </w:numPr>
        <w:tabs>
          <w:tab w:val="clear" w:pos="850"/>
          <w:tab w:val="left" w:pos="1275"/>
        </w:tabs>
        <w:ind w:left="1275"/>
        <w:rPr>
          <w:color w:val="auto"/>
        </w:rPr>
      </w:pPr>
      <w:r>
        <w:rPr>
          <w:color w:val="auto"/>
        </w:rPr>
        <w:t xml:space="preserve">sea necesaria en casos concretos por motivos de bienestar animal;</w:t>
      </w:r>
    </w:p>
    <w:p w14:paraId="6F0A7D68" w14:textId="77777777" w:rsidR="008702FE" w:rsidRPr="008F3636" w:rsidRDefault="008702FE" w:rsidP="0057660F">
      <w:pPr>
        <w:pStyle w:val="RevisionNummerierungStufe1"/>
        <w:tabs>
          <w:tab w:val="clear" w:pos="425"/>
          <w:tab w:val="left" w:pos="850"/>
        </w:tabs>
        <w:ind w:left="850"/>
        <w:rPr>
          <w:color w:val="auto"/>
        </w:rPr>
      </w:pPr>
      <w:r>
        <w:rPr>
          <w:color w:val="auto"/>
        </w:rPr>
        <w:t xml:space="preserve">en el caso de los pollos que no pueden eclosionar;</w:t>
      </w:r>
    </w:p>
    <w:p w14:paraId="6D4E7B81" w14:textId="2ED7DF24" w:rsidR="008702FE" w:rsidRPr="008F3636" w:rsidRDefault="008702FE" w:rsidP="0057660F">
      <w:pPr>
        <w:pStyle w:val="RevisionNummerierungStufe1"/>
        <w:tabs>
          <w:tab w:val="clear" w:pos="425"/>
          <w:tab w:val="left" w:pos="850"/>
        </w:tabs>
        <w:ind w:left="850"/>
        <w:rPr>
          <w:color w:val="auto"/>
        </w:rPr>
      </w:pPr>
      <w:bookmarkStart w:id="1" w:name="DQCITD06C3D8BA1C83834739BDECAF2CA820FF18"/>
      <w:r>
        <w:rPr>
          <w:color w:val="auto"/>
        </w:rPr>
        <w:t xml:space="preserve">para los pollitos de acuerdo con el artículo 1, apartado 1, letra a), del Reglamento (CE) n.º 543/2008 de la Comisión, de 16 de junio de 2008, por el que se establecen normas de desarrollo del Reglamento (CE) n.º 1234/2007 del Consejo en lo que atañe a la comercialización de carne de aves de corral (DO L 157 de 17.6.2008, p. 46;</w:t>
      </w:r>
      <w:r>
        <w:rPr>
          <w:color w:val="auto"/>
        </w:rPr>
        <w:t xml:space="preserve"> </w:t>
      </w:r>
      <w:r>
        <w:rPr>
          <w:color w:val="auto"/>
        </w:rPr>
        <w:t xml:space="preserve">DO L 8 de 13.1.2009, p. 33), modificado por última vez por el Reglamento (UE) n.º 519/2013 de la Comisión (DO L 158 de 10.6.2013, p. 74);</w:t>
      </w:r>
      <w:r>
        <w:rPr>
          <w:color w:val="auto"/>
        </w:rPr>
        <w:t xml:space="preserve"> </w:t>
      </w:r>
      <w:r>
        <w:rPr>
          <w:color w:val="auto"/>
        </w:rPr>
        <w:t xml:space="preserve">y</w:t>
      </w:r>
      <w:bookmarkEnd w:id="1"/>
    </w:p>
    <w:p w14:paraId="5A2A9128" w14:textId="11A8E178" w:rsidR="0057660F" w:rsidRPr="008F3636" w:rsidRDefault="0057660F" w:rsidP="0057660F">
      <w:pPr>
        <w:pStyle w:val="RevisionNummerierungStufe1"/>
        <w:tabs>
          <w:tab w:val="clear" w:pos="425"/>
          <w:tab w:val="left" w:pos="850"/>
        </w:tabs>
        <w:ind w:left="850"/>
        <w:rPr>
          <w:color w:val="auto"/>
        </w:rPr>
      </w:pPr>
      <w:r>
        <w:rPr>
          <w:color w:val="auto"/>
        </w:rPr>
        <w:t xml:space="preserve">en el caso de los pollos:</w:t>
      </w:r>
    </w:p>
    <w:p w14:paraId="634C741C" w14:textId="6ABDE2D5" w:rsidR="0057660F" w:rsidRPr="008F3636" w:rsidRDefault="0057660F" w:rsidP="0057660F">
      <w:pPr>
        <w:pStyle w:val="RevisionNummerierungStufe2"/>
        <w:tabs>
          <w:tab w:val="clear" w:pos="850"/>
          <w:tab w:val="left" w:pos="1275"/>
        </w:tabs>
        <w:ind w:left="1275"/>
        <w:rPr>
          <w:color w:val="auto"/>
        </w:rPr>
      </w:pPr>
      <w:r>
        <w:rPr>
          <w:color w:val="auto"/>
        </w:rPr>
        <w:t xml:space="preserve">destinados a ser utilizados en experimentos con animales;</w:t>
      </w:r>
      <w:r>
        <w:rPr>
          <w:color w:val="auto"/>
        </w:rPr>
        <w:t xml:space="preserve"> </w:t>
      </w:r>
    </w:p>
    <w:p w14:paraId="0F71F758" w14:textId="093221EF" w:rsidR="008702FE" w:rsidRPr="008F3636" w:rsidRDefault="008702FE" w:rsidP="0057660F">
      <w:pPr>
        <w:pStyle w:val="RevisionNummerierungStufe2"/>
        <w:tabs>
          <w:tab w:val="clear" w:pos="850"/>
          <w:tab w:val="left" w:pos="1275"/>
        </w:tabs>
        <w:ind w:left="1275"/>
        <w:rPr>
          <w:color w:val="auto"/>
        </w:rPr>
      </w:pPr>
      <w:r>
        <w:rPr>
          <w:color w:val="auto"/>
        </w:rPr>
        <w:t xml:space="preserve">o</w:t>
      </w:r>
      <w:r>
        <w:rPr>
          <w:color w:val="auto"/>
        </w:rPr>
        <w:br/>
      </w:r>
      <w:r>
        <w:rPr>
          <w:color w:val="auto"/>
        </w:rPr>
        <w:t xml:space="preserve">cuyos órganos o tejidos están destinados al uso con fines científicos.».</w:t>
      </w:r>
    </w:p>
    <w:p w14:paraId="6F2DA584" w14:textId="77777777" w:rsidR="007F2840" w:rsidRPr="008F3636" w:rsidRDefault="008702FE" w:rsidP="007F2840">
      <w:pPr>
        <w:pStyle w:val="NummerierungStufe1"/>
      </w:pPr>
      <w:r>
        <w:t xml:space="preserve">Después del apartado 6 del artículo 21 se inserta el siguiente apartado 6 </w:t>
      </w:r>
      <w:r>
        <w:rPr>
          <w:i/>
          <w:iCs/>
        </w:rPr>
        <w:t xml:space="preserve">bis</w:t>
      </w:r>
      <w:r>
        <w:t xml:space="preserve"> siguiente:</w:t>
      </w:r>
      <w:r>
        <w:t xml:space="preserve"> </w:t>
      </w:r>
    </w:p>
    <w:p w14:paraId="33B1CB52" w14:textId="170961E7" w:rsidR="008702FE" w:rsidRPr="008F3636" w:rsidRDefault="007F2840" w:rsidP="007F2840">
      <w:pPr>
        <w:pStyle w:val="RevisionJuristischerAbsatzmanuell"/>
        <w:tabs>
          <w:tab w:val="clear" w:pos="850"/>
          <w:tab w:val="left" w:pos="1275"/>
        </w:tabs>
        <w:ind w:left="425" w:firstLine="350"/>
        <w:rPr>
          <w:color w:val="auto"/>
        </w:rPr>
      </w:pPr>
      <w:r>
        <w:rPr>
          <w:color w:val="auto"/>
        </w:rPr>
        <w:t xml:space="preserve">«6 </w:t>
      </w:r>
      <w:r>
        <w:rPr>
          <w:color w:val="auto"/>
          <w:i/>
          <w:iCs/>
        </w:rPr>
        <w:t xml:space="preserve">bis</w:t>
      </w:r>
      <w:r>
        <w:rPr>
          <w:color w:val="auto"/>
        </w:rPr>
        <w:t xml:space="preserve">)</w:t>
      </w:r>
      <w:r>
        <w:rPr>
          <w:color w:val="auto"/>
        </w:rPr>
        <w:tab/>
      </w:r>
      <w:r>
        <w:rPr>
          <w:color w:val="auto"/>
        </w:rPr>
        <w:t xml:space="preserve">A más tardar el 31 de marzo de 2023, el Ministerio Federal informará al comité técnico competente del Bundestag alemán sobre la evolución de los procedimientos y métodos de determinación del sexo en los huevos de pollo antes del séptimo día de incubación.»</w:t>
      </w:r>
    </w:p>
    <w:p w14:paraId="5C2F15BA" w14:textId="2CA90014" w:rsidR="00210603" w:rsidRPr="008F3636" w:rsidRDefault="006472BA" w:rsidP="006472BA">
      <w:pPr>
        <w:pStyle w:val="ArtikelBezeichner"/>
        <w:numPr>
          <w:ilvl w:val="0"/>
          <w:numId w:val="0"/>
        </w:numPr>
      </w:pPr>
      <w:r>
        <w:t xml:space="preserve"> </w:t>
      </w:r>
      <w:r>
        <w:t xml:space="preserve">Artículo 2</w:t>
      </w:r>
    </w:p>
    <w:p w14:paraId="156157A4" w14:textId="77777777" w:rsidR="00210603" w:rsidRPr="008F3636" w:rsidRDefault="00210603" w:rsidP="00210603">
      <w:pPr>
        <w:pStyle w:val="Artikelberschrift"/>
      </w:pPr>
      <w:r>
        <w:t xml:space="preserve">Modificación ulterior de la Ley sobre bienestar animal</w:t>
      </w:r>
    </w:p>
    <w:p w14:paraId="526BFB9B" w14:textId="77777777" w:rsidR="00210603" w:rsidRPr="008F3636" w:rsidRDefault="00210603" w:rsidP="00210603">
      <w:pPr>
        <w:pStyle w:val="JuristischerAbsatznichtnummeriert"/>
      </w:pPr>
      <w:r>
        <w:t xml:space="preserve">La Ley sobre bienestar animal, modificada por última vez por el artículo 1 de la presente Ley, se modifica como sigue:</w:t>
      </w:r>
    </w:p>
    <w:p w14:paraId="13A038A9" w14:textId="77777777" w:rsidR="00210603" w:rsidRPr="008F3636" w:rsidRDefault="00210603" w:rsidP="00210603">
      <w:pPr>
        <w:pStyle w:val="NummerierungStufe1"/>
      </w:pPr>
      <w:r>
        <w:t xml:space="preserve">se añade el siguiente apartado 3 al artículo 4 </w:t>
      </w:r>
      <w:r>
        <w:rPr>
          <w:i/>
          <w:iCs/>
        </w:rPr>
        <w:t xml:space="preserve">quater</w:t>
      </w:r>
      <w:r>
        <w:t xml:space="preserve">:</w:t>
      </w:r>
    </w:p>
    <w:p w14:paraId="04AA6C96" w14:textId="77777777" w:rsidR="00210603" w:rsidRPr="008F3636" w:rsidRDefault="00210603" w:rsidP="00210603">
      <w:pPr>
        <w:pStyle w:val="RevisionJuristischerAbsatzmanuell"/>
        <w:tabs>
          <w:tab w:val="clear" w:pos="850"/>
          <w:tab w:val="left" w:pos="1275"/>
        </w:tabs>
        <w:ind w:left="425" w:firstLine="350"/>
        <w:rPr>
          <w:color w:val="auto"/>
        </w:rPr>
      </w:pPr>
      <w:r>
        <w:rPr>
          <w:color w:val="auto"/>
        </w:rPr>
        <w:t xml:space="preserve">«(3) A partir del séptimo día de incubación, queda prohibido, durante o tras la utilización de un procedimiento de sexado de un huevo de gallina:</w:t>
      </w:r>
    </w:p>
    <w:p w14:paraId="19146B05" w14:textId="4B868FED" w:rsidR="00210603" w:rsidRPr="008F3636" w:rsidRDefault="00210603" w:rsidP="0050725D">
      <w:pPr>
        <w:pStyle w:val="RevisionNummerierungStufe1"/>
        <w:numPr>
          <w:ilvl w:val="3"/>
          <w:numId w:val="2"/>
        </w:numPr>
        <w:tabs>
          <w:tab w:val="clear" w:pos="425"/>
          <w:tab w:val="left" w:pos="850"/>
        </w:tabs>
        <w:ind w:left="850"/>
        <w:rPr>
          <w:color w:val="auto"/>
        </w:rPr>
      </w:pPr>
      <w:r>
        <w:rPr>
          <w:color w:val="auto"/>
        </w:rPr>
        <w:t xml:space="preserve">llevar a cabo una intervención en un huevo de gallina que cause la muerte del embrión de pollo; o</w:t>
      </w:r>
    </w:p>
    <w:p w14:paraId="3F5A5EF5" w14:textId="77777777" w:rsidR="00210603" w:rsidRPr="008F3636" w:rsidRDefault="00210603" w:rsidP="00210603">
      <w:pPr>
        <w:pStyle w:val="RevisionNummerierungStufe1"/>
        <w:tabs>
          <w:tab w:val="clear" w:pos="425"/>
          <w:tab w:val="left" w:pos="850"/>
        </w:tabs>
        <w:ind w:left="850"/>
        <w:rPr>
          <w:color w:val="auto"/>
        </w:rPr>
      </w:pPr>
      <w:bookmarkStart w:id="2" w:name="DQCIGI1528CAB054FB5442C7A9CB746ADCDD803A"/>
      <w:r>
        <w:rPr>
          <w:color w:val="auto"/>
        </w:rPr>
        <w:t xml:space="preserve">llevar a cabo una interrupción de la incubación que cause la muerte del embrión de pollo.»;</w:t>
      </w:r>
      <w:r>
        <w:rPr>
          <w:color w:val="auto"/>
        </w:rPr>
        <w:t xml:space="preserve"> </w:t>
      </w:r>
      <w:bookmarkEnd w:id="2"/>
    </w:p>
    <w:p w14:paraId="08F9A311" w14:textId="77777777" w:rsidR="00210603" w:rsidRPr="008F3636" w:rsidRDefault="00210603" w:rsidP="00210603">
      <w:pPr>
        <w:pStyle w:val="NummerierungStufe1"/>
      </w:pPr>
      <w:r>
        <w:t xml:space="preserve">después del artículo 18, apartado 1, punto 6, se añade el siguiente punto 6 </w:t>
      </w:r>
      <w:r>
        <w:rPr>
          <w:i/>
          <w:iCs/>
        </w:rPr>
        <w:t xml:space="preserve">bis</w:t>
      </w:r>
      <w:r>
        <w:t xml:space="preserve">:</w:t>
      </w:r>
    </w:p>
    <w:p w14:paraId="6BF17048" w14:textId="77777777" w:rsidR="00210603" w:rsidRPr="008F3636" w:rsidRDefault="00210603" w:rsidP="00210603">
      <w:pPr>
        <w:pStyle w:val="RevisionNummerierungStufe1manuell"/>
        <w:tabs>
          <w:tab w:val="clear" w:pos="425"/>
          <w:tab w:val="left" w:pos="925"/>
        </w:tabs>
        <w:ind w:left="925" w:hanging="500"/>
        <w:rPr>
          <w:color w:val="auto"/>
        </w:rPr>
      </w:pPr>
      <w:r>
        <w:rPr>
          <w:color w:val="auto"/>
        </w:rPr>
        <w:t xml:space="preserve">«6 </w:t>
      </w:r>
      <w:r>
        <w:rPr>
          <w:color w:val="auto"/>
          <w:i/>
          <w:iCs/>
        </w:rPr>
        <w:t xml:space="preserve">bis</w:t>
      </w:r>
      <w:r>
        <w:rPr>
          <w:color w:val="auto"/>
        </w:rPr>
        <w:t xml:space="preserve">) en contra de lo dispuesto en el artículo 4 </w:t>
      </w:r>
      <w:r>
        <w:rPr>
          <w:color w:val="auto"/>
          <w:i/>
          <w:iCs/>
        </w:rPr>
        <w:t xml:space="preserve">quater</w:t>
      </w:r>
      <w:r>
        <w:rPr>
          <w:color w:val="auto"/>
        </w:rPr>
        <w:t xml:space="preserve">, apartado 3, realiza una intervención o una interrupción ahí mencionada».</w:t>
      </w:r>
    </w:p>
    <w:p w14:paraId="286D6156" w14:textId="6100012A" w:rsidR="00210603" w:rsidRPr="008F3636" w:rsidRDefault="006472BA" w:rsidP="006472BA">
      <w:pPr>
        <w:pStyle w:val="ArtikelBezeichner"/>
        <w:numPr>
          <w:ilvl w:val="0"/>
          <w:numId w:val="0"/>
        </w:numPr>
      </w:pPr>
      <w:r>
        <w:t xml:space="preserve"> </w:t>
      </w:r>
      <w:r>
        <w:t xml:space="preserve">Artículo 3</w:t>
      </w:r>
    </w:p>
    <w:p w14:paraId="073BD85E" w14:textId="77777777" w:rsidR="00210603" w:rsidRPr="008F3636" w:rsidRDefault="00210603" w:rsidP="00210603">
      <w:pPr>
        <w:pStyle w:val="Artikelberschrift"/>
      </w:pPr>
      <w:r>
        <w:t xml:space="preserve">Entrada en vigor</w:t>
      </w:r>
    </w:p>
    <w:p w14:paraId="1DE84380" w14:textId="77777777" w:rsidR="00210603" w:rsidRPr="008F3636" w:rsidRDefault="00210603" w:rsidP="00210603">
      <w:pPr>
        <w:pStyle w:val="JuristischerAbsatznummeriert"/>
      </w:pPr>
      <w:r>
        <w:t xml:space="preserve">Sin perjuicio del apartado 2, la presenta Ley entrará en vigor el 1 de enero de 2022.</w:t>
      </w:r>
    </w:p>
    <w:p w14:paraId="3580D455" w14:textId="1CF2D3A7" w:rsidR="00190889" w:rsidRPr="008F3636" w:rsidRDefault="00210603" w:rsidP="00190889">
      <w:pPr>
        <w:pStyle w:val="JuristischerAbsatznummeriert"/>
      </w:pPr>
      <w:r>
        <w:t xml:space="preserve">El artículo 2 entrará en vigor el 1 de enero de 2024.</w:t>
      </w:r>
    </w:p>
    <w:p w14:paraId="4403118E" w14:textId="1F40954D" w:rsidR="00924AB6" w:rsidRPr="008F3636" w:rsidRDefault="00924AB6" w:rsidP="00924AB6">
      <w:pPr>
        <w:pStyle w:val="Schlussformel"/>
      </w:pPr>
      <w:r>
        <w:t xml:space="preserve">Se preservan los derechos del Bundesrat en virtud de la Constitución.</w:t>
      </w:r>
      <w:r>
        <w:t xml:space="preserve"> </w:t>
      </w:r>
      <w:r>
        <w:t xml:space="preserve">Por la presente se aplica la ley estipulada anteriormente.</w:t>
      </w:r>
      <w:r>
        <w:t xml:space="preserve"> </w:t>
      </w:r>
      <w:r>
        <w:t xml:space="preserve">Se publicará en el Boletín Oficial Federal.</w:t>
      </w:r>
    </w:p>
    <w:p w14:paraId="2B3492EE" w14:textId="4D3AB096" w:rsidR="00924AB6" w:rsidRPr="008F3636" w:rsidRDefault="00D662E3" w:rsidP="00924AB6">
      <w:pPr>
        <w:pStyle w:val="OrtDatum"/>
      </w:pPr>
      <w:r>
        <w:t xml:space="preserve">En Berlín, a 18 de junio de 2021.</w:t>
      </w:r>
    </w:p>
    <w:p w14:paraId="1B1EC85F" w14:textId="35FCF300" w:rsidR="00514DBE" w:rsidRPr="008F3636" w:rsidRDefault="00514DBE" w:rsidP="00514DBE">
      <w:pPr>
        <w:pStyle w:val="Organisation"/>
      </w:pPr>
      <w:r>
        <w:t xml:space="preserve">El Presidente Federal</w:t>
      </w:r>
    </w:p>
    <w:p w14:paraId="06F9A2C8" w14:textId="7E32030D" w:rsidR="00514DBE" w:rsidRPr="008F3636" w:rsidRDefault="00514DBE" w:rsidP="00514DBE">
      <w:pPr>
        <w:pStyle w:val="Person"/>
      </w:pPr>
      <w:r>
        <w:t xml:space="preserve">Steinmeier</w:t>
      </w:r>
    </w:p>
    <w:p w14:paraId="31E683F6" w14:textId="483EB897" w:rsidR="00514DBE" w:rsidRPr="008F3636" w:rsidRDefault="00514DBE" w:rsidP="00514DBE">
      <w:pPr>
        <w:pStyle w:val="Organisation"/>
      </w:pPr>
      <w:r>
        <w:t xml:space="preserve">El Canciller Federal</w:t>
      </w:r>
    </w:p>
    <w:p w14:paraId="73613BC5" w14:textId="536B1DD6" w:rsidR="00514DBE" w:rsidRPr="008F3636" w:rsidRDefault="00514DBE" w:rsidP="00514DBE">
      <w:pPr>
        <w:pStyle w:val="Person"/>
      </w:pPr>
      <w:r>
        <w:t xml:space="preserve">Dr. Angela Merkel</w:t>
      </w:r>
    </w:p>
    <w:p w14:paraId="743EF8BD" w14:textId="19D05DBB" w:rsidR="00514DBE" w:rsidRPr="008F3636" w:rsidRDefault="00514DBE" w:rsidP="00514DBE">
      <w:pPr>
        <w:pStyle w:val="Organisation"/>
      </w:pPr>
      <w:r>
        <w:t xml:space="preserve">El Ministro Federal de Nutrición y Agricultura</w:t>
      </w:r>
    </w:p>
    <w:p w14:paraId="0330CC42" w14:textId="1FA8E5E7" w:rsidR="009931D4" w:rsidRPr="008F3636" w:rsidRDefault="00514DBE" w:rsidP="00AE4515">
      <w:pPr>
        <w:pStyle w:val="Person"/>
      </w:pPr>
      <w:r>
        <w:t xml:space="preserve">Julia Klöckner</w:t>
      </w:r>
    </w:p>
    <w:sectPr w:rsidR="009931D4" w:rsidRPr="008F3636" w:rsidSect="00D82BF8">
      <w:headerReference w:type="default" r:id="rId7"/>
      <w:headerReference w:type="first" r:id="rId8"/>
      <w:pgSz w:w="11907" w:h="16839"/>
      <w:pgMar w:top="1134" w:right="141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7153" w14:textId="77777777" w:rsidR="00B954CF" w:rsidRDefault="00B954CF" w:rsidP="00F53181">
      <w:pPr>
        <w:spacing w:before="0" w:after="0"/>
      </w:pPr>
      <w:r>
        <w:separator/>
      </w:r>
    </w:p>
  </w:endnote>
  <w:endnote w:type="continuationSeparator" w:id="0">
    <w:p w14:paraId="571D9A41" w14:textId="77777777" w:rsidR="00B954CF" w:rsidRDefault="00B954CF" w:rsidP="00F53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AEFA" w14:textId="77777777" w:rsidR="00B954CF" w:rsidRDefault="00B954CF" w:rsidP="00F53181">
      <w:pPr>
        <w:spacing w:before="0" w:after="0"/>
      </w:pPr>
      <w:r>
        <w:separator/>
      </w:r>
    </w:p>
  </w:footnote>
  <w:footnote w:type="continuationSeparator" w:id="0">
    <w:p w14:paraId="523AF544" w14:textId="77777777" w:rsidR="00B954CF" w:rsidRDefault="00B954CF" w:rsidP="00F53181">
      <w:pPr>
        <w:spacing w:before="0" w:after="0"/>
      </w:pPr>
      <w:r>
        <w:continuationSeparator/>
      </w:r>
    </w:p>
  </w:footnote>
  <w:footnote w:id="1">
    <w:p w14:paraId="3C81BF35" w14:textId="29C7BF1D" w:rsidR="0057660F" w:rsidRDefault="0057660F" w:rsidP="00AE4515">
      <w:pPr>
        <w:pStyle w:val="FootnoteText"/>
      </w:pPr>
      <w:r>
        <w:rPr>
          <w:rStyle w:val="FootnoteReference"/>
          <w:sz w:val="20"/>
        </w:rPr>
        <w:t xml:space="preserve">*</w:t>
      </w:r>
      <w:r>
        <w:tab/>
      </w:r>
      <w:r>
        <w:t xml:space="preserve">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9B66" w14:textId="0CB1CBF0" w:rsidR="00F53181" w:rsidRPr="00D82BF8" w:rsidRDefault="00D82BF8" w:rsidP="00D82BF8">
    <w:pPr>
      <w:pStyle w:val="Header"/>
    </w:pPr>
    <w:r>
      <w:tab/>
    </w:r>
    <w:r>
      <w:t xml:space="preserve">- </w:t>
    </w:r>
    <w:r>
      <w:fldChar w:fldCharType="begin"/>
    </w:r>
    <w:r>
      <w:instrText xml:space="preserve"> PAGE  \* MERGEFORMAT </w:instrText>
    </w:r>
    <w:r>
      <w:fldChar w:fldCharType="separate"/>
    </w:r>
    <w:r w:rsidR="00895D00">
      <w:t>2</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FE24" w14:textId="117D7E2F" w:rsidR="00F53181" w:rsidRPr="00D82BF8" w:rsidRDefault="00D82BF8" w:rsidP="00D82BF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4"/>
  </w:num>
  <w:num w:numId="7">
    <w:abstractNumId w:val="26"/>
  </w:num>
  <w:num w:numId="8">
    <w:abstractNumId w:val="13"/>
  </w:num>
  <w:num w:numId="9">
    <w:abstractNumId w:val="20"/>
  </w:num>
  <w:num w:numId="10">
    <w:abstractNumId w:val="10"/>
  </w:num>
  <w:num w:numId="11">
    <w:abstractNumId w:val="33"/>
  </w:num>
  <w:num w:numId="12">
    <w:abstractNumId w:val="21"/>
  </w:num>
  <w:num w:numId="13">
    <w:abstractNumId w:val="29"/>
  </w:num>
  <w:num w:numId="14">
    <w:abstractNumId w:val="12"/>
  </w:num>
  <w:num w:numId="15">
    <w:abstractNumId w:val="25"/>
  </w:num>
  <w:num w:numId="16">
    <w:abstractNumId w:val="17"/>
  </w:num>
  <w:num w:numId="17">
    <w:abstractNumId w:val="16"/>
  </w:num>
  <w:num w:numId="18">
    <w:abstractNumId w:val="24"/>
  </w:num>
  <w:num w:numId="19">
    <w:abstractNumId w:val="30"/>
  </w:num>
  <w:num w:numId="20">
    <w:abstractNumId w:val="18"/>
  </w:num>
  <w:num w:numId="21">
    <w:abstractNumId w:val="22"/>
  </w:num>
  <w:num w:numId="22">
    <w:abstractNumId w:val="11"/>
  </w:num>
  <w:num w:numId="23">
    <w:abstractNumId w:val="23"/>
  </w:num>
  <w:num w:numId="24">
    <w:abstractNumId w:val="14"/>
  </w:num>
  <w:num w:numId="25">
    <w:abstractNumId w:val="32"/>
  </w:num>
  <w:num w:numId="26">
    <w:abstractNumId w:val="31"/>
  </w:num>
  <w:num w:numId="27">
    <w:abstractNumId w:val="19"/>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dirty"/>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4135ms] [Main] [eNormCommandLocal::BasicCommands.PrepareENormDocForOpen]"/>
    <w:docVar w:name="BefehlsHistorie_Befehl02" w:val="Zum ersten Platzhalter im Dokument navigieren [704ms] [Main] [eNormCommandLocal::PlatzhalterCommands.GotoFirstMarkerInDocument]"/>
    <w:docVar w:name="BefehlsHistorie_Befehl03" w:val="Aktualisierung der Strukturanzeige [1409ms] [Main] [eNormCommandLocal::DynamicStructureCheck.UpdateStructure]"/>
    <w:docVar w:name="BefehlsHistorie_Befehl04" w:val="Aktualisierung der Strukturanzeige [518ms] [Main] [eNormCommandLocal::DynamicStructureCheck.UpdateStructure]"/>
    <w:docVar w:name="BefehlsHistorie_Befehl05" w:val="Aktualisierung der Strukturanzeige [421ms] [Main] [eNormCommandLocal::DynamicStructureCheck.UpdateStructure]"/>
    <w:docVar w:name="BefehlsHistorie_Befehl06" w:val="Aktualisierung der Strukturanzeige [348ms] [Main] [eNormCommandLocal::DynamicStructureCheck.UpdateStructure]"/>
    <w:docVar w:name="BefehlsHistorie_Befehl07" w:val="Aktualisierung der Strukturanzeige [600ms] [Main] [eNormCommandLocal::DynamicStructureCheck.UpdateStructure]"/>
    <w:docVar w:name="BefehlsHistorie_Befehl08" w:val="Aktualisierung der Strukturanzeige [410ms] [Main] [eNormCommandLocal::DynamicStructureCheck.UpdateStructure]"/>
    <w:docVar w:name="BefehlsHistorie_Befehl09" w:val="Aktualisierung der Strukturanzeige [262ms] [Main] [eNormCommandLocal::DynamicStructureCheck.UpdateStructure]"/>
    <w:docVar w:name="BefehlsHistorie_Befehl10" w:val="Aktualisierung der Strukturanzeige [364ms] [Main] [eNormCommandLocal::DynamicStructureCheck.UpdateStructure]"/>
    <w:docVar w:name="BefehlsHistorie_Befehl11" w:val="Aktualisierung der Strukturanzeige [365ms] [Main] [eNormCommandLocal::DynamicStructureCheck.UpdateStructure]"/>
    <w:docVar w:name="BefehlsHistorie_BefehlsZähler" w:val="11"/>
    <w:docVar w:name="BefehlsKontext_SpeichernOOXML_Maximum" w:val="254ms"/>
    <w:docVar w:name="BefehlsKontext_SpeichernOOXML_Schnitt" w:val="216,444444444444ms"/>
    <w:docVar w:name="BMJ" w:val="True"/>
    <w:docVar w:name="CUSTOMER" w:val="8"/>
    <w:docVar w:name="DQCDateTime" w:val="20.05.2021 14:00:47"/>
    <w:docVar w:name="DQCDuration" w:val="21870ms"/>
    <w:docVar w:name="DQCPart_Begruendung" w:val="2"/>
    <w:docVar w:name="DQCPart_Dokument" w:val="0"/>
    <w:docVar w:name="DQCPart_Regelungsteil" w:val="0"/>
    <w:docVar w:name="DQCPart_Vorblatt" w:val="2"/>
    <w:docVar w:name="DQCResult_Aenderungsbefehl" w:val="0;0;0"/>
    <w:docVar w:name="DQCResult_Binnenverweise" w:val="0;0;0"/>
    <w:docVar w:name="DQCResult_Citations" w:val="0;0;0"/>
    <w:docVar w:name="DQCResult_EinzelneRegelungsteile" w:val="0;1;1"/>
    <w:docVar w:name="DQCResult_EmbeddedObjects" w:val="0;0;0"/>
    <w:docVar w:name="DQCResult_Gliederung" w:val="0;1;1"/>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0;0;0"/>
    <w:docVar w:name="DQCResult_TermsAndDiction" w:val="0;1;1"/>
    <w:docVar w:name="DQCResult_Verweise" w:val="0;0;0"/>
    <w:docVar w:name="DQCWithWarnings" w:val="1"/>
    <w:docVar w:name="LW_DocType" w:val="AENDER"/>
    <w:docVar w:name="LWCons_Langue" w:val="DE"/>
  </w:docVars>
  <w:rsids>
    <w:rsidRoot w:val="00210603"/>
    <w:rsid w:val="00025A5B"/>
    <w:rsid w:val="00073210"/>
    <w:rsid w:val="00092659"/>
    <w:rsid w:val="00095CE2"/>
    <w:rsid w:val="000B78A7"/>
    <w:rsid w:val="000C7573"/>
    <w:rsid w:val="000E1B50"/>
    <w:rsid w:val="000F2F74"/>
    <w:rsid w:val="0014094A"/>
    <w:rsid w:val="001607CF"/>
    <w:rsid w:val="00164A18"/>
    <w:rsid w:val="00177E9D"/>
    <w:rsid w:val="00190889"/>
    <w:rsid w:val="001C29F1"/>
    <w:rsid w:val="001F00E5"/>
    <w:rsid w:val="002050CE"/>
    <w:rsid w:val="00210603"/>
    <w:rsid w:val="00231EB0"/>
    <w:rsid w:val="0024746A"/>
    <w:rsid w:val="00262606"/>
    <w:rsid w:val="002D1A1D"/>
    <w:rsid w:val="002E4D23"/>
    <w:rsid w:val="00336F83"/>
    <w:rsid w:val="00362C11"/>
    <w:rsid w:val="003925A7"/>
    <w:rsid w:val="003972FA"/>
    <w:rsid w:val="003D154B"/>
    <w:rsid w:val="003E1900"/>
    <w:rsid w:val="00463B52"/>
    <w:rsid w:val="0049241B"/>
    <w:rsid w:val="00494CB7"/>
    <w:rsid w:val="00496550"/>
    <w:rsid w:val="00496CA2"/>
    <w:rsid w:val="004A71E7"/>
    <w:rsid w:val="004B0E81"/>
    <w:rsid w:val="004F0882"/>
    <w:rsid w:val="0050725D"/>
    <w:rsid w:val="00514DBE"/>
    <w:rsid w:val="00542846"/>
    <w:rsid w:val="00564A59"/>
    <w:rsid w:val="0057660F"/>
    <w:rsid w:val="00594A08"/>
    <w:rsid w:val="005A37CF"/>
    <w:rsid w:val="005B55B4"/>
    <w:rsid w:val="006273D5"/>
    <w:rsid w:val="00635B49"/>
    <w:rsid w:val="006472BA"/>
    <w:rsid w:val="0066695A"/>
    <w:rsid w:val="00674C59"/>
    <w:rsid w:val="006B1CF0"/>
    <w:rsid w:val="006F043A"/>
    <w:rsid w:val="00700B5C"/>
    <w:rsid w:val="007144A7"/>
    <w:rsid w:val="00720B5D"/>
    <w:rsid w:val="00732161"/>
    <w:rsid w:val="007475C7"/>
    <w:rsid w:val="00757216"/>
    <w:rsid w:val="00771487"/>
    <w:rsid w:val="0077609A"/>
    <w:rsid w:val="007A20E5"/>
    <w:rsid w:val="007F2840"/>
    <w:rsid w:val="008473D2"/>
    <w:rsid w:val="00853E02"/>
    <w:rsid w:val="008623C4"/>
    <w:rsid w:val="0086442A"/>
    <w:rsid w:val="008702FE"/>
    <w:rsid w:val="008841DD"/>
    <w:rsid w:val="00895D00"/>
    <w:rsid w:val="008D4524"/>
    <w:rsid w:val="008D4FF3"/>
    <w:rsid w:val="008E045D"/>
    <w:rsid w:val="008F3636"/>
    <w:rsid w:val="00924AB6"/>
    <w:rsid w:val="009352E3"/>
    <w:rsid w:val="00940777"/>
    <w:rsid w:val="00965F75"/>
    <w:rsid w:val="009931D4"/>
    <w:rsid w:val="009A0B5C"/>
    <w:rsid w:val="009B78A3"/>
    <w:rsid w:val="009F3297"/>
    <w:rsid w:val="009F34AF"/>
    <w:rsid w:val="009F5979"/>
    <w:rsid w:val="00A20C3A"/>
    <w:rsid w:val="00A33FB9"/>
    <w:rsid w:val="00A64C7F"/>
    <w:rsid w:val="00A83977"/>
    <w:rsid w:val="00A94018"/>
    <w:rsid w:val="00AD27F7"/>
    <w:rsid w:val="00AE0CE9"/>
    <w:rsid w:val="00AE4515"/>
    <w:rsid w:val="00B3779F"/>
    <w:rsid w:val="00B55DED"/>
    <w:rsid w:val="00B954CF"/>
    <w:rsid w:val="00BD2364"/>
    <w:rsid w:val="00C37FEC"/>
    <w:rsid w:val="00C5088A"/>
    <w:rsid w:val="00C5499F"/>
    <w:rsid w:val="00C77537"/>
    <w:rsid w:val="00CB23B3"/>
    <w:rsid w:val="00CF3D32"/>
    <w:rsid w:val="00D05F76"/>
    <w:rsid w:val="00D456E4"/>
    <w:rsid w:val="00D53A9A"/>
    <w:rsid w:val="00D62C97"/>
    <w:rsid w:val="00D662E3"/>
    <w:rsid w:val="00D82608"/>
    <w:rsid w:val="00D82BF8"/>
    <w:rsid w:val="00D93EEE"/>
    <w:rsid w:val="00DA686A"/>
    <w:rsid w:val="00DD1734"/>
    <w:rsid w:val="00DF2E91"/>
    <w:rsid w:val="00E045F8"/>
    <w:rsid w:val="00E46C33"/>
    <w:rsid w:val="00E52140"/>
    <w:rsid w:val="00E568CB"/>
    <w:rsid w:val="00EB6F40"/>
    <w:rsid w:val="00EE7C90"/>
    <w:rsid w:val="00F46519"/>
    <w:rsid w:val="00F53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B030"/>
  <w15:docId w15:val="{0E387BC4-0D21-46A5-8D40-0B572A3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23C4"/>
    <w:rPr>
      <w:sz w:val="16"/>
      <w:szCs w:val="16"/>
    </w:rPr>
  </w:style>
  <w:style w:type="character" w:styleId="Hyperlink">
    <w:name w:val="Hyperlink"/>
    <w:basedOn w:val="DefaultParagraphFont"/>
    <w:uiPriority w:val="99"/>
    <w:unhideWhenUsed/>
    <w:rsid w:val="008623C4"/>
    <w:rPr>
      <w:color w:val="0000FF" w:themeColor="hyperlink"/>
      <w:u w:val="single"/>
    </w:rPr>
  </w:style>
  <w:style w:type="paragraph" w:styleId="Revision">
    <w:name w:val="Revision"/>
    <w:hidden/>
    <w:uiPriority w:val="99"/>
    <w:semiHidden/>
    <w:rsid w:val="0049241B"/>
    <w:pPr>
      <w:spacing w:after="0" w:line="240" w:lineRule="auto"/>
    </w:pPr>
    <w:rPr>
      <w:rFonts w:ascii="Arial" w:hAnsi="Arial" w:cs="Arial"/>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AENDER.dotm</Template>
  <TotalTime>0</TotalTime>
  <Pages>2</Pages>
  <Words>414</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Beese, Franziska</dc:creator>
  <cp:keywords/>
  <dc:description/>
  <cp:lastModifiedBy>Dimitris Dimitriadis</cp:lastModifiedBy>
  <cp:revision>6</cp:revision>
  <dcterms:created xsi:type="dcterms:W3CDTF">2021-07-14T08:47:00Z</dcterms:created>
  <dcterms:modified xsi:type="dcterms:W3CDTF">2021-08-10T09:58:00Z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Version">
    <vt:lpwstr>4.2.1.3</vt:lpwstr>
  </property>
  <property fmtid="{D5CDD505-2E9C-101B-9397-08002B2CF9AE}" pid="4" name="Last edited using">
    <vt:lpwstr>LW 5.4, Build 20210518</vt:lpwstr>
  </property>
  <property fmtid="{D5CDD505-2E9C-101B-9397-08002B2CF9AE}" pid="5" name="Kategorie">
    <vt:lpwstr>AENDER/ARTGES</vt:lpwstr>
  </property>
  <property fmtid="{D5CDD505-2E9C-101B-9397-08002B2CF9AE}" pid="6" name="eNorm-Version letzte Bearbeitung">
    <vt:lpwstr>4.2.1.1 Bundesregierung [20210518]</vt:lpwstr>
  </property>
  <property fmtid="{D5CDD505-2E9C-101B-9397-08002B2CF9AE}" pid="7" name="eNorm-Version Erstellung">
    <vt:lpwstr>4.2.1, Bundesregierung, [20210416]</vt:lpwstr>
  </property>
  <property fmtid="{D5CDD505-2E9C-101B-9397-08002B2CF9AE}" pid="8" name="Created using">
    <vt:lpwstr>LW 5.4, Build 20210416</vt:lpwstr>
  </property>
  <property fmtid="{D5CDD505-2E9C-101B-9397-08002B2CF9AE}" pid="9" name="Classification">
    <vt:lpwstr> </vt:lpwstr>
  </property>
  <property fmtid="{D5CDD505-2E9C-101B-9397-08002B2CF9AE}" pid="10" name="eNorm-Version vorherige Bearbeitung">
    <vt:lpwstr>4.2.1 Bundesregierung [20210416]</vt:lpwstr>
  </property>
  <property fmtid="{D5CDD505-2E9C-101B-9397-08002B2CF9AE}" pid="11" name="DQP-Ergebnis für Version 4">
    <vt:lpwstr>keine Fehler</vt:lpwstr>
  </property>
  <property fmtid="{D5CDD505-2E9C-101B-9397-08002B2CF9AE}" pid="12" name="eNorm-Version letzte DQP">
    <vt:lpwstr>4.2.1, Bundesregierung, [20210416]</vt:lpwstr>
  </property>
  <property fmtid="{D5CDD505-2E9C-101B-9397-08002B2CF9AE}" pid="13" name="Meta_Bezeichnung">
    <vt:lpwstr>Gesetz zur Änderung des Tierschutzgesetzes - Verbot des Kükentötens</vt:lpwstr>
  </property>
  <property fmtid="{D5CDD505-2E9C-101B-9397-08002B2CF9AE}" pid="14" name="Meta_Kurzbezeichnung">
    <vt:lpwstr/>
  </property>
  <property fmtid="{D5CDD505-2E9C-101B-9397-08002B2CF9AE}" pid="15" name="Meta_Abkürzung">
    <vt:lpwstr/>
  </property>
  <property fmtid="{D5CDD505-2E9C-101B-9397-08002B2CF9AE}" pid="16" name="Meta_Typ der Vorschrift">
    <vt:lpwstr>Artikelgesetz</vt:lpwstr>
  </property>
  <property fmtid="{D5CDD505-2E9C-101B-9397-08002B2CF9AE}" pid="17" name="Meta_Federführung">
    <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 </vt:lpwstr>
  </property>
  <property fmtid="{D5CDD505-2E9C-101B-9397-08002B2CF9AE}" pid="20" name="Meta_Anlagen">
    <vt:lpwstr/>
  </property>
</Properties>
</file>