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31A0AF" w14:textId="6E015C20" w:rsidR="00341F8F" w:rsidRPr="002E5171" w:rsidRDefault="00341F8F" w:rsidP="009D5D83">
      <w:pPr>
        <w:rPr>
          <w:rFonts w:ascii="Arial" w:hAnsi="Arial" w:cs="Arial"/>
          <w:b/>
          <w:i/>
          <w:sz w:val="22"/>
          <w:szCs w:val="22"/>
        </w:rPr>
      </w:pPr>
    </w:p>
    <w:p w14:paraId="72EE155D" w14:textId="1512F31E" w:rsidR="00341F8F" w:rsidRPr="001E7C87" w:rsidRDefault="00341F8F" w:rsidP="007B0C9B">
      <w:pPr>
        <w:jc w:val="both"/>
        <w:rPr>
          <w:rFonts w:ascii="Arial" w:hAnsi="Arial" w:cs="Arial"/>
          <w:strike/>
          <w:sz w:val="24"/>
          <w:szCs w:val="24"/>
        </w:rPr>
      </w:pPr>
      <w:r>
        <w:rPr>
          <w:rFonts w:ascii="Arial" w:hAnsi="Arial"/>
          <w:b/>
          <w:sz w:val="24"/>
        </w:rPr>
        <w:t>DRAFT ROYAL DECREE REGULATING NATIONAL COMMERCIAL DESIGNATIONS AND THE DESIGNATIONS OF PRESERVED AND PREPARED FOODS ACCEPTED IN SPAIN THAT APPLY TO FISHERY AND AQUACULTURE PRODUCTS</w:t>
      </w:r>
    </w:p>
    <w:p w14:paraId="32B68F0A" w14:textId="77777777" w:rsidR="00341F8F" w:rsidRPr="001E7C87" w:rsidRDefault="00341F8F" w:rsidP="00EC748B">
      <w:pPr>
        <w:jc w:val="both"/>
        <w:rPr>
          <w:rFonts w:ascii="Arial" w:hAnsi="Arial" w:cs="Arial"/>
          <w:sz w:val="24"/>
          <w:szCs w:val="24"/>
        </w:rPr>
      </w:pPr>
    </w:p>
    <w:p w14:paraId="209A4F06" w14:textId="77777777" w:rsidR="00341F8F" w:rsidRPr="001E7C87" w:rsidRDefault="00341F8F" w:rsidP="009D5D83">
      <w:pPr>
        <w:ind w:firstLine="708"/>
        <w:jc w:val="both"/>
        <w:rPr>
          <w:rFonts w:ascii="Arial" w:hAnsi="Arial" w:cs="Arial"/>
          <w:sz w:val="24"/>
          <w:szCs w:val="24"/>
        </w:rPr>
      </w:pPr>
      <w:r>
        <w:rPr>
          <w:rFonts w:ascii="Arial" w:hAnsi="Arial"/>
          <w:sz w:val="24"/>
        </w:rPr>
        <w:t xml:space="preserve">Article 169 of the Treaty on the Functioning of the European Union (TFEU) states that to promote consumer interests and guarantee a high level of consumer protection, the European Union must contribute to protecting their health, safety and economic interests, as well as to promoting their right to information. </w:t>
      </w:r>
    </w:p>
    <w:p w14:paraId="5AD64B3B" w14:textId="77777777" w:rsidR="00341F8F" w:rsidRPr="001E7C87" w:rsidRDefault="00341F8F" w:rsidP="00EC748B">
      <w:pPr>
        <w:jc w:val="both"/>
        <w:rPr>
          <w:rFonts w:ascii="Arial" w:hAnsi="Arial" w:cs="Arial"/>
          <w:sz w:val="24"/>
          <w:szCs w:val="24"/>
        </w:rPr>
      </w:pPr>
    </w:p>
    <w:p w14:paraId="6A10FD28" w14:textId="77777777" w:rsidR="00341F8F" w:rsidRPr="001E7C87" w:rsidRDefault="00341F8F" w:rsidP="009D5D83">
      <w:pPr>
        <w:ind w:firstLine="708"/>
        <w:jc w:val="both"/>
        <w:rPr>
          <w:rFonts w:ascii="Arial" w:hAnsi="Arial" w:cs="Arial"/>
          <w:sz w:val="24"/>
          <w:szCs w:val="24"/>
        </w:rPr>
      </w:pPr>
      <w:r>
        <w:rPr>
          <w:rFonts w:ascii="Arial" w:hAnsi="Arial"/>
          <w:sz w:val="24"/>
        </w:rPr>
        <w:t xml:space="preserve">The free movement of safe and healthy food is essential to the internal market and makes a key contribution to the health and well-being of citizens, as well as to their social and economic interests. </w:t>
      </w:r>
    </w:p>
    <w:p w14:paraId="28CCE8DC" w14:textId="77777777" w:rsidR="00341F8F" w:rsidRPr="001E7C87" w:rsidRDefault="00341F8F" w:rsidP="00EC748B">
      <w:pPr>
        <w:jc w:val="both"/>
        <w:rPr>
          <w:rFonts w:ascii="Arial" w:hAnsi="Arial" w:cs="Arial"/>
          <w:sz w:val="24"/>
          <w:szCs w:val="24"/>
        </w:rPr>
      </w:pPr>
    </w:p>
    <w:p w14:paraId="580E0707" w14:textId="77777777" w:rsidR="00341F8F" w:rsidRPr="001E7C87" w:rsidRDefault="00341F8F" w:rsidP="009D5D83">
      <w:pPr>
        <w:ind w:firstLine="708"/>
        <w:jc w:val="both"/>
        <w:rPr>
          <w:rFonts w:ascii="Arial" w:hAnsi="Arial" w:cs="Arial"/>
          <w:sz w:val="24"/>
          <w:szCs w:val="24"/>
        </w:rPr>
      </w:pPr>
      <w:r>
        <w:rPr>
          <w:rFonts w:ascii="Arial" w:hAnsi="Arial"/>
          <w:sz w:val="24"/>
        </w:rPr>
        <w:t>To achieve a high level of consumer health protection and to safeguard their right to information, consumers must have adequate information on the foods they consume. Consumer decisions may be influenced by health, economic, environmental, social, ethical and other factors.</w:t>
      </w:r>
    </w:p>
    <w:p w14:paraId="2D307FD8" w14:textId="77777777" w:rsidR="00341F8F" w:rsidRPr="001E7C87" w:rsidRDefault="00341F8F" w:rsidP="00EC748B">
      <w:pPr>
        <w:tabs>
          <w:tab w:val="left" w:pos="2205"/>
        </w:tabs>
        <w:jc w:val="both"/>
        <w:rPr>
          <w:rFonts w:ascii="Arial" w:hAnsi="Arial" w:cs="Arial"/>
          <w:sz w:val="24"/>
          <w:szCs w:val="24"/>
        </w:rPr>
      </w:pPr>
      <w:r>
        <w:rPr>
          <w:rFonts w:ascii="Arial" w:hAnsi="Arial"/>
          <w:sz w:val="24"/>
        </w:rPr>
        <w:tab/>
      </w:r>
    </w:p>
    <w:p w14:paraId="38A55550" w14:textId="77777777" w:rsidR="00341F8F" w:rsidRPr="001E7C87" w:rsidRDefault="00341F8F" w:rsidP="009D5D83">
      <w:pPr>
        <w:ind w:firstLine="708"/>
        <w:jc w:val="both"/>
        <w:rPr>
          <w:rFonts w:ascii="Arial" w:hAnsi="Arial" w:cs="Arial"/>
          <w:sz w:val="24"/>
          <w:szCs w:val="24"/>
        </w:rPr>
      </w:pPr>
      <w:r>
        <w:rPr>
          <w:rFonts w:ascii="Arial" w:hAnsi="Arial"/>
          <w:sz w:val="24"/>
        </w:rPr>
        <w:t>In accordance with Regulation (EC) No 178/2002 of the European Parliament and of the Council of 28 January 2002 laying down the general principles and requirements of food law, establishing the European Food Safety Authority and laying down procedures in matters of food safety, a general principle of food legislation is to provide a basis for consumers to make informed choices in relation to the foods they consume and to avoid any other practices that may mislead the consumer.</w:t>
      </w:r>
    </w:p>
    <w:p w14:paraId="39C6C1B8" w14:textId="77777777" w:rsidR="00341F8F" w:rsidRPr="001E7C87" w:rsidRDefault="00341F8F" w:rsidP="00EC748B">
      <w:pPr>
        <w:jc w:val="both"/>
        <w:rPr>
          <w:rFonts w:ascii="Arial" w:hAnsi="Arial" w:cs="Arial"/>
          <w:sz w:val="24"/>
          <w:szCs w:val="24"/>
        </w:rPr>
      </w:pPr>
    </w:p>
    <w:p w14:paraId="190279A7" w14:textId="77777777" w:rsidR="00341F8F" w:rsidRPr="001E7C87" w:rsidRDefault="00341F8F" w:rsidP="009D5D83">
      <w:pPr>
        <w:ind w:firstLine="708"/>
        <w:jc w:val="both"/>
        <w:rPr>
          <w:rFonts w:ascii="Arial" w:hAnsi="Arial" w:cs="Arial"/>
          <w:sz w:val="24"/>
          <w:szCs w:val="24"/>
        </w:rPr>
      </w:pPr>
      <w:r>
        <w:rPr>
          <w:rFonts w:ascii="Arial" w:hAnsi="Arial"/>
          <w:sz w:val="24"/>
        </w:rPr>
        <w:t>In this regard, food labelling is the main form of communication between food producers and end consumers, making it a key tool to enable informed choices of the food they buy and consume.</w:t>
      </w:r>
    </w:p>
    <w:p w14:paraId="0F01ABED" w14:textId="77777777" w:rsidR="00341F8F" w:rsidRPr="001E7C87" w:rsidRDefault="00341F8F" w:rsidP="00EC748B">
      <w:pPr>
        <w:jc w:val="both"/>
        <w:rPr>
          <w:rFonts w:ascii="Arial" w:hAnsi="Arial" w:cs="Arial"/>
          <w:sz w:val="24"/>
          <w:szCs w:val="24"/>
        </w:rPr>
      </w:pPr>
    </w:p>
    <w:p w14:paraId="4E2D55AC" w14:textId="77777777" w:rsidR="00341F8F" w:rsidRPr="001E7C87" w:rsidRDefault="00341F8F" w:rsidP="009D5D83">
      <w:pPr>
        <w:ind w:firstLine="708"/>
        <w:jc w:val="both"/>
        <w:rPr>
          <w:rFonts w:ascii="Arial" w:hAnsi="Arial" w:cs="Arial"/>
          <w:sz w:val="24"/>
          <w:szCs w:val="24"/>
        </w:rPr>
      </w:pPr>
      <w:r>
        <w:rPr>
          <w:rFonts w:ascii="Arial" w:hAnsi="Arial"/>
          <w:sz w:val="24"/>
        </w:rPr>
        <w:t xml:space="preserve">For its part, Regulation (EU) No 1380/2013 of the European Parliament and of the Council of 11 December 2013 on the Common Fisheries Policy, amending Council Regulations (EC) No 1954/2003 and (EC) No 1224/2009 and repealing Council Regulations (EC) No 2371/2002 and (EC) No 639/2004 and Council Decision 2004/585/EC, states that the Common Fisheries Policy should contribute to an efficient and transparent internal market for fisheries and aquaculture products and contribute to ensuring a level playing field for marketed fisheries and aquaculture products, and should also take into account the interests of both consumers and producers. </w:t>
      </w:r>
    </w:p>
    <w:p w14:paraId="3C3C98A0" w14:textId="77777777" w:rsidR="00341F8F" w:rsidRPr="001E7C87" w:rsidRDefault="00341F8F" w:rsidP="00EC748B">
      <w:pPr>
        <w:jc w:val="both"/>
        <w:rPr>
          <w:rFonts w:ascii="Arial" w:hAnsi="Arial" w:cs="Arial"/>
          <w:sz w:val="24"/>
          <w:szCs w:val="24"/>
        </w:rPr>
      </w:pPr>
    </w:p>
    <w:p w14:paraId="7BB8169A" w14:textId="72440F18" w:rsidR="00341F8F" w:rsidRPr="001E7C87" w:rsidRDefault="00341F8F" w:rsidP="009D5D83">
      <w:pPr>
        <w:ind w:firstLine="708"/>
        <w:jc w:val="both"/>
        <w:rPr>
          <w:rFonts w:ascii="Arial" w:hAnsi="Arial" w:cs="Arial"/>
          <w:sz w:val="24"/>
          <w:szCs w:val="24"/>
        </w:rPr>
      </w:pPr>
      <w:r>
        <w:rPr>
          <w:rFonts w:ascii="Arial" w:hAnsi="Arial"/>
          <w:sz w:val="24"/>
        </w:rPr>
        <w:t xml:space="preserve">In fact, Regulation (EU) No 1380/2013 of the European Parliament and of the Council of 11 December 2013 provides that the Common Market Organisation should improve the transparency and stability of the markets, ensure that the distribution of added value along the sector’s supply chain is more balanced, and improve consumer </w:t>
      </w:r>
      <w:r>
        <w:rPr>
          <w:rFonts w:ascii="Arial" w:hAnsi="Arial"/>
          <w:sz w:val="24"/>
        </w:rPr>
        <w:lastRenderedPageBreak/>
        <w:t>information and raise awareness, by means of notification and labelling that provides comprehensible information. Specifically, it must provide the consumer with clear and comprehensive information on the origin of the product and its mode of production, in particular through marking and labelling.</w:t>
      </w:r>
    </w:p>
    <w:p w14:paraId="60480209" w14:textId="77777777" w:rsidR="00341F8F" w:rsidRPr="001E7C87" w:rsidRDefault="00341F8F" w:rsidP="00EC748B">
      <w:pPr>
        <w:jc w:val="both"/>
        <w:rPr>
          <w:rFonts w:ascii="Arial" w:hAnsi="Arial" w:cs="Arial"/>
          <w:sz w:val="24"/>
          <w:szCs w:val="24"/>
        </w:rPr>
      </w:pPr>
    </w:p>
    <w:p w14:paraId="45830948" w14:textId="77777777" w:rsidR="00341F8F" w:rsidRPr="001E7C87" w:rsidRDefault="00341F8F" w:rsidP="009D5D83">
      <w:pPr>
        <w:ind w:firstLine="708"/>
        <w:jc w:val="both"/>
        <w:rPr>
          <w:rFonts w:ascii="Arial" w:hAnsi="Arial" w:cs="Arial"/>
          <w:sz w:val="24"/>
          <w:szCs w:val="24"/>
        </w:rPr>
      </w:pPr>
      <w:r>
        <w:rPr>
          <w:rFonts w:ascii="Arial" w:hAnsi="Arial"/>
          <w:sz w:val="24"/>
        </w:rPr>
        <w:t xml:space="preserve">In this regard, Regulation (EU) No 1379/2013 of the European Parliament and of the Council of 11 December 2013 on the common organisation of the markets in fishery and aquaculture products indicates that to enable consumers to make informed choices, it is necessary to provide them with clear and comprehensive information. The purpose of the aforementioned Regulation is to pursue a high level of health protection for consumer and ultimately safeguard their right to information so they can make informed choices. To this end, Chapter IV of that Regulation governs the information intended for the final consumer which, without prejudice to Regulation (EU) No 1169/2011 of the European Parliament and of the Council of 25 October 2011 on the provision of food information to consumers, amending Regulations (EC) No 1924/2006 and (EC) No 1925/2006 of the European Parliament and of the Council, and repealing Commission Directive 87/250/EEC, Council Directive 90/496/EEC, Commission Directive 1999/10/EC, Directive 2000/13/EC of the European Parliament and of the Council, Commission Directives 2002/67/EC and 2008/5/EC and Commission Regulation (EC) No 608/2004, is applicable to the fisheries and aquaculture products listed in points a, b, c and e of Annex I to the CMO. </w:t>
      </w:r>
    </w:p>
    <w:p w14:paraId="4F07EC37" w14:textId="77777777" w:rsidR="00341F8F" w:rsidRPr="001E7C87" w:rsidRDefault="00341F8F" w:rsidP="00EC748B">
      <w:pPr>
        <w:jc w:val="both"/>
        <w:rPr>
          <w:rFonts w:ascii="Arial" w:hAnsi="Arial" w:cs="Arial"/>
          <w:sz w:val="24"/>
          <w:szCs w:val="24"/>
        </w:rPr>
      </w:pPr>
    </w:p>
    <w:p w14:paraId="7DFDEABE" w14:textId="77777777" w:rsidR="00341F8F" w:rsidRPr="001E7C87" w:rsidRDefault="00341F8F" w:rsidP="009D5D83">
      <w:pPr>
        <w:ind w:firstLine="708"/>
        <w:jc w:val="both"/>
        <w:rPr>
          <w:rFonts w:ascii="Arial" w:hAnsi="Arial" w:cs="Arial"/>
          <w:sz w:val="24"/>
          <w:szCs w:val="24"/>
        </w:rPr>
      </w:pPr>
      <w:r>
        <w:rPr>
          <w:rFonts w:ascii="Arial" w:hAnsi="Arial"/>
          <w:sz w:val="24"/>
        </w:rPr>
        <w:t xml:space="preserve">Specifically, Article 37 of the aforementioned Regulation (EU) No 1379/2013 of the European Parliament and of the Council of 11 December 2013 states that, for the purposes of mandatory consumer information, each Member State must publish a list of the commercial designations accepted in its territory, along with their scientific names, for the products included in points a, b, c and e of Annex I to said Regulation. </w:t>
      </w:r>
    </w:p>
    <w:p w14:paraId="11238964" w14:textId="77777777" w:rsidR="00341F8F" w:rsidRPr="001E7C87" w:rsidRDefault="00341F8F" w:rsidP="00EC748B">
      <w:pPr>
        <w:jc w:val="both"/>
        <w:rPr>
          <w:rFonts w:ascii="Arial" w:hAnsi="Arial" w:cs="Arial"/>
          <w:sz w:val="24"/>
          <w:szCs w:val="24"/>
        </w:rPr>
      </w:pPr>
    </w:p>
    <w:p w14:paraId="1B5A794D" w14:textId="77777777" w:rsidR="00341F8F" w:rsidRPr="001E7C87" w:rsidRDefault="00341F8F" w:rsidP="009D5D83">
      <w:pPr>
        <w:ind w:firstLine="708"/>
        <w:jc w:val="both"/>
        <w:rPr>
          <w:rFonts w:ascii="Arial" w:hAnsi="Arial" w:cs="Arial"/>
          <w:sz w:val="24"/>
          <w:szCs w:val="24"/>
        </w:rPr>
      </w:pPr>
      <w:r>
        <w:rPr>
          <w:rFonts w:ascii="Arial" w:hAnsi="Arial"/>
          <w:sz w:val="24"/>
        </w:rPr>
        <w:t>In this regard, the General Secretariat for Fisheries publishes an annual list of the commercial designations of fishery and aquaculture species accepted in Spain, most recently by means of the Decision of 24 May 2019.</w:t>
      </w:r>
    </w:p>
    <w:p w14:paraId="78EC4CBF" w14:textId="77777777" w:rsidR="00341F8F" w:rsidRPr="001E7C87" w:rsidRDefault="00341F8F" w:rsidP="00EC748B">
      <w:pPr>
        <w:jc w:val="both"/>
        <w:rPr>
          <w:rFonts w:ascii="Arial" w:hAnsi="Arial" w:cs="Arial"/>
          <w:sz w:val="24"/>
          <w:szCs w:val="24"/>
        </w:rPr>
      </w:pPr>
    </w:p>
    <w:p w14:paraId="1C492A0F" w14:textId="77777777" w:rsidR="00341F8F" w:rsidRPr="001E7C87" w:rsidRDefault="00341F8F" w:rsidP="009D5D83">
      <w:pPr>
        <w:ind w:firstLine="708"/>
        <w:jc w:val="both"/>
        <w:rPr>
          <w:rFonts w:ascii="Arial" w:hAnsi="Arial" w:cs="Arial"/>
          <w:sz w:val="24"/>
          <w:szCs w:val="24"/>
        </w:rPr>
      </w:pPr>
      <w:r>
        <w:rPr>
          <w:rFonts w:ascii="Arial" w:hAnsi="Arial"/>
          <w:sz w:val="24"/>
        </w:rPr>
        <w:t>However, this list of commercial designations does not include designations applicable to the products listed in points h or i of the aforementioned Annex I to Regulation (EU) No 1379/2013, i.e. prepared or preserved fish, molluscs, crustaceans and other aquatic invertebrates falling under tariff headings 1604 and 1605 of the combined nomenclature. These products are subject to the mandatory information requirements in Regulation (EU) No 1169/2011 of the European Parliament and of the Council on the provision of food information to consumers, in particular with regard to the designation of the food.</w:t>
      </w:r>
    </w:p>
    <w:p w14:paraId="3DDF3FDD" w14:textId="77777777" w:rsidR="00341F8F" w:rsidRPr="001E7C87" w:rsidRDefault="00341F8F" w:rsidP="00EC748B">
      <w:pPr>
        <w:jc w:val="both"/>
        <w:rPr>
          <w:rFonts w:ascii="Arial" w:hAnsi="Arial" w:cs="Arial"/>
          <w:sz w:val="24"/>
          <w:szCs w:val="24"/>
        </w:rPr>
      </w:pPr>
    </w:p>
    <w:p w14:paraId="38A1E6E4" w14:textId="77777777" w:rsidR="00341F8F" w:rsidRPr="001E7C87" w:rsidRDefault="00341F8F" w:rsidP="009D5D83">
      <w:pPr>
        <w:pStyle w:val="Default"/>
        <w:ind w:firstLine="708"/>
        <w:jc w:val="both"/>
        <w:rPr>
          <w:rFonts w:ascii="Arial" w:hAnsi="Arial" w:cs="Arial"/>
          <w:color w:val="auto"/>
        </w:rPr>
      </w:pPr>
      <w:r>
        <w:rPr>
          <w:rFonts w:ascii="Arial" w:hAnsi="Arial"/>
          <w:color w:val="auto"/>
        </w:rPr>
        <w:t xml:space="preserve">For the latter, it should be noted that the standardised designations applicable to preserved fishery products that have been used in Spain are those included in the current Annex IV to Royal Decree 1521/1984 of 1 August 1984 adopting the technical health regulations on fishery and aquaculture establishments and fishery and </w:t>
      </w:r>
      <w:r>
        <w:rPr>
          <w:rFonts w:ascii="Arial" w:hAnsi="Arial"/>
          <w:color w:val="auto"/>
        </w:rPr>
        <w:lastRenderedPageBreak/>
        <w:t xml:space="preserve">aquaculture products intended for human consumption, which has been partially repealed, with the exception of the aforementioned Annex IV, Annex VII and Articles 3 and 4. In this regard, given the time that has passed and in line with changes in European and national regulations on fisheries, food information and food safety, the authorities deem it necessary to adapt the definitions given in those provisions related to the forms of presentation, preservation and marketing of fishery and aquaculture products and parts of fishery products. At the same time, it is also necessary to replace the aforementioned Annex IV to Royal Decree 1521/1984 of 1 August 1984 with the provisions of the new Annex to this Royal Decree. </w:t>
      </w:r>
    </w:p>
    <w:p w14:paraId="362377FE" w14:textId="77777777" w:rsidR="00341F8F" w:rsidRPr="001E7C87" w:rsidRDefault="00341F8F" w:rsidP="00EC748B">
      <w:pPr>
        <w:jc w:val="both"/>
        <w:rPr>
          <w:rFonts w:ascii="Arial" w:hAnsi="Arial" w:cs="Arial"/>
          <w:sz w:val="24"/>
          <w:szCs w:val="24"/>
        </w:rPr>
      </w:pPr>
    </w:p>
    <w:p w14:paraId="09BF29D6" w14:textId="77777777" w:rsidR="00341F8F" w:rsidRPr="001E7C87" w:rsidRDefault="00341F8F" w:rsidP="009D5D83">
      <w:pPr>
        <w:ind w:firstLine="708"/>
        <w:jc w:val="both"/>
        <w:rPr>
          <w:rFonts w:ascii="Arial" w:hAnsi="Arial" w:cs="Arial"/>
          <w:sz w:val="24"/>
          <w:szCs w:val="24"/>
        </w:rPr>
      </w:pPr>
      <w:r>
        <w:rPr>
          <w:rFonts w:ascii="Arial" w:hAnsi="Arial"/>
          <w:sz w:val="24"/>
        </w:rPr>
        <w:t xml:space="preserve">Moreover, it is appropriate to review certain regulations that need updating in this area, for the internal consistency of the Spanish legal system, in particular the Order of 15 October 1985 adopting the Quality Standard for preserved mussels, clams and cockles, and the Order of 15 October 1985 adopting the Quality Standard for cooked and frozen mussels, which regulate aspects related to the designation of these products. </w:t>
      </w:r>
    </w:p>
    <w:p w14:paraId="05B4B310" w14:textId="77777777" w:rsidR="00341F8F" w:rsidRPr="001E7C87" w:rsidRDefault="00341F8F" w:rsidP="00EC748B">
      <w:pPr>
        <w:jc w:val="both"/>
        <w:rPr>
          <w:rFonts w:ascii="Arial" w:hAnsi="Arial" w:cs="Arial"/>
          <w:sz w:val="24"/>
          <w:szCs w:val="24"/>
        </w:rPr>
      </w:pPr>
    </w:p>
    <w:p w14:paraId="004628C2" w14:textId="77777777" w:rsidR="00341F8F" w:rsidRPr="001E7C87" w:rsidRDefault="00341F8F" w:rsidP="009D5D83">
      <w:pPr>
        <w:ind w:firstLine="708"/>
        <w:jc w:val="both"/>
        <w:rPr>
          <w:rFonts w:ascii="Arial" w:hAnsi="Arial" w:cs="Arial"/>
          <w:sz w:val="24"/>
          <w:szCs w:val="24"/>
        </w:rPr>
      </w:pPr>
      <w:r>
        <w:rPr>
          <w:rFonts w:ascii="Arial" w:hAnsi="Arial"/>
          <w:sz w:val="24"/>
        </w:rPr>
        <w:t>Both regulations are quite venerable in this area and must be replaced with the content of this Royal Decree, taking into account the developments in food production on the single market, new consumption patterns and habits and finally and above all, the primary responsibility of operators and economic agents involved in the food chain to ensure safety by providing adequate information to consumers, from primary production to processing, distribution and sale, meaning that all companies in the food sector must guarantee the safety of their products in the stages of the food chain for which they are responsible, from production to sale to the final consumer.</w:t>
      </w:r>
    </w:p>
    <w:p w14:paraId="1E9659F1" w14:textId="77777777" w:rsidR="00341F8F" w:rsidRPr="001E7C87" w:rsidRDefault="00341F8F" w:rsidP="00EC748B">
      <w:pPr>
        <w:jc w:val="both"/>
        <w:rPr>
          <w:rFonts w:ascii="Arial" w:hAnsi="Arial" w:cs="Arial"/>
          <w:sz w:val="24"/>
          <w:szCs w:val="24"/>
        </w:rPr>
      </w:pPr>
    </w:p>
    <w:p w14:paraId="090546A0" w14:textId="77777777" w:rsidR="00341F8F" w:rsidRPr="001E7C87" w:rsidRDefault="00341F8F" w:rsidP="009D5D83">
      <w:pPr>
        <w:ind w:firstLine="708"/>
        <w:jc w:val="both"/>
        <w:rPr>
          <w:rFonts w:ascii="Arial" w:hAnsi="Arial" w:cs="Arial"/>
          <w:sz w:val="24"/>
          <w:szCs w:val="24"/>
        </w:rPr>
      </w:pPr>
      <w:r>
        <w:rPr>
          <w:rFonts w:ascii="Arial" w:hAnsi="Arial"/>
          <w:sz w:val="24"/>
        </w:rPr>
        <w:t xml:space="preserve">On the other hand, please also note that the European authorities have adopted common marketing standards for certain products. This is the case with Council Regulation (EEC) No 1536/92 of 9 June 1992 laying down common marketing standards for preserved tuna and bonito and Council Regulation (EEC) No 2136/89 of 21 June 1989 laying down common marketing standards for preserved sardines. </w:t>
      </w:r>
    </w:p>
    <w:p w14:paraId="2A732259" w14:textId="77777777" w:rsidR="00341F8F" w:rsidRPr="001E7C87" w:rsidRDefault="00341F8F" w:rsidP="00EC748B">
      <w:pPr>
        <w:jc w:val="both"/>
        <w:rPr>
          <w:rFonts w:ascii="Arial" w:hAnsi="Arial" w:cs="Arial"/>
          <w:sz w:val="24"/>
          <w:szCs w:val="24"/>
        </w:rPr>
      </w:pPr>
    </w:p>
    <w:p w14:paraId="1DF968FB" w14:textId="77777777" w:rsidR="00341F8F" w:rsidRPr="001E7C87" w:rsidRDefault="00341F8F" w:rsidP="009D5D83">
      <w:pPr>
        <w:ind w:firstLine="708"/>
        <w:jc w:val="both"/>
        <w:rPr>
          <w:rFonts w:ascii="Arial" w:hAnsi="Arial" w:cs="Arial"/>
          <w:sz w:val="24"/>
          <w:szCs w:val="24"/>
        </w:rPr>
      </w:pPr>
      <w:r>
        <w:rPr>
          <w:rFonts w:ascii="Arial" w:hAnsi="Arial"/>
          <w:sz w:val="24"/>
        </w:rPr>
        <w:t>The coexistence of multiple different lists</w:t>
      </w:r>
      <w:r>
        <w:t xml:space="preserve"> </w:t>
      </w:r>
      <w:r>
        <w:rPr>
          <w:rFonts w:ascii="Arial" w:hAnsi="Arial"/>
          <w:sz w:val="24"/>
        </w:rPr>
        <w:t>of designations for the different fishery and aquaculture products, along with several common marketing standards applicable to certain products, prompts the authorities to review all of these and recast them as a single text, to create a single list that the General Secretariat for Fisheries can update efficiently, taking into account scientific and taxonomic developments as well as the commercial and technological momentum that the Spanish processing sector has enjoyed in recent decades, with the advent of new products and processes, and at the same time to improve legal certainty for operators and consumers.</w:t>
      </w:r>
    </w:p>
    <w:p w14:paraId="043D24F4" w14:textId="77777777" w:rsidR="00341F8F" w:rsidRPr="001E7C87" w:rsidRDefault="00341F8F" w:rsidP="00EC748B">
      <w:pPr>
        <w:jc w:val="both"/>
        <w:rPr>
          <w:rFonts w:ascii="Arial" w:hAnsi="Arial" w:cs="Arial"/>
          <w:sz w:val="24"/>
          <w:szCs w:val="24"/>
        </w:rPr>
      </w:pPr>
    </w:p>
    <w:p w14:paraId="38BF47DC" w14:textId="77777777" w:rsidR="00341F8F" w:rsidRPr="001E7C87" w:rsidRDefault="00341F8F" w:rsidP="009D5D83">
      <w:pPr>
        <w:ind w:firstLine="708"/>
        <w:jc w:val="both"/>
        <w:rPr>
          <w:rFonts w:ascii="Arial" w:hAnsi="Arial" w:cs="Arial"/>
          <w:sz w:val="24"/>
          <w:szCs w:val="24"/>
        </w:rPr>
      </w:pPr>
      <w:r>
        <w:rPr>
          <w:rFonts w:ascii="Arial" w:hAnsi="Arial"/>
          <w:sz w:val="24"/>
        </w:rPr>
        <w:t xml:space="preserve">On the other hand, Article 75 of Law 3/2001 of 26 March 2001 on National Marine Fisheries sets out the marketing and processing policy instruments for fishery </w:t>
      </w:r>
      <w:r>
        <w:rPr>
          <w:rFonts w:ascii="Arial" w:hAnsi="Arial"/>
          <w:sz w:val="24"/>
        </w:rPr>
        <w:lastRenderedPageBreak/>
        <w:t xml:space="preserve">products, including the option to take measures to standardise products throughout the marketing chain, thus providing market transparency and enabling adequate information for consumers, in particular on the nature and origin of the products. </w:t>
      </w:r>
    </w:p>
    <w:p w14:paraId="1D3484A3" w14:textId="77777777" w:rsidR="00341F8F" w:rsidRPr="001E7C87" w:rsidRDefault="00341F8F" w:rsidP="00EC748B">
      <w:pPr>
        <w:jc w:val="both"/>
        <w:rPr>
          <w:rFonts w:ascii="Arial" w:hAnsi="Arial" w:cs="Arial"/>
          <w:sz w:val="24"/>
          <w:szCs w:val="24"/>
        </w:rPr>
      </w:pPr>
    </w:p>
    <w:p w14:paraId="02D12029" w14:textId="77777777" w:rsidR="00341F8F" w:rsidRPr="001E7C87" w:rsidRDefault="00341F8F" w:rsidP="009D5D83">
      <w:pPr>
        <w:ind w:firstLine="708"/>
        <w:jc w:val="both"/>
        <w:rPr>
          <w:rFonts w:ascii="Arial" w:hAnsi="Arial" w:cs="Arial"/>
          <w:sz w:val="24"/>
          <w:szCs w:val="24"/>
        </w:rPr>
      </w:pPr>
      <w:r>
        <w:rPr>
          <w:rFonts w:ascii="Arial" w:hAnsi="Arial"/>
          <w:sz w:val="24"/>
        </w:rPr>
        <w:t>The provisions of this Royal Decree apply without prejudice to general food law, in particular Regulation (EU) No 1169/2011 of 25 October 2011 on the provision of food information to consumers, Regulation (EU) No 1151/2012 of 21 November 2012 on quality schemes for agricultural products and foodstuffs, Regulation (EU) 2018/848 of the European Parliament and of the Council of 30 May 2018 on organic production and labelling of organic products and repealing Council Regulation (EC) No 834/2007 and specifically on laws related to food safety, for nutrition and health claims, to derived labelling for novel foods, genetically modified organisms, foods intended for infants and small children, foods for special medical purposes and total diet replacements for weight control. In addition, they apply without prejudice to any voluntary information that operators may display within the framework of Regulation (EU) No 1379/2013 of the European Parliament and of the Council of 11 December 2013 and Regulation (EU) No 1169/2011 of the European Parliament and of the Council of 25 October 2011.</w:t>
      </w:r>
    </w:p>
    <w:p w14:paraId="2BCB6830" w14:textId="77777777" w:rsidR="00341F8F" w:rsidRPr="001E7C87" w:rsidRDefault="00341F8F" w:rsidP="00EC748B">
      <w:pPr>
        <w:jc w:val="both"/>
        <w:rPr>
          <w:rFonts w:ascii="Arial" w:hAnsi="Arial" w:cs="Arial"/>
          <w:sz w:val="24"/>
          <w:szCs w:val="24"/>
        </w:rPr>
      </w:pPr>
    </w:p>
    <w:p w14:paraId="3568C21F" w14:textId="77777777" w:rsidR="00341F8F" w:rsidRPr="001E7C87" w:rsidRDefault="00341F8F" w:rsidP="009D5D83">
      <w:pPr>
        <w:ind w:firstLine="708"/>
        <w:jc w:val="both"/>
        <w:rPr>
          <w:rFonts w:ascii="Arial" w:hAnsi="Arial" w:cs="Arial"/>
          <w:sz w:val="24"/>
          <w:szCs w:val="24"/>
        </w:rPr>
      </w:pPr>
      <w:r>
        <w:rPr>
          <w:rFonts w:ascii="Arial" w:hAnsi="Arial"/>
          <w:sz w:val="24"/>
        </w:rPr>
        <w:t xml:space="preserve">To streamline the procedures for granting requests to align the list with the legislative hierarchy, the Royal Decree provides for a future mechanism for updates, subject to disclosure to and legal certainty for operators, set down annually in an order that updates the current Annex to ensure proper notification, all without prejudice to the power of the authorities to apply </w:t>
      </w:r>
      <w:r>
        <w:rPr>
          <w:rFonts w:ascii="Arial" w:hAnsi="Arial"/>
          <w:i/>
          <w:iCs/>
          <w:sz w:val="24"/>
        </w:rPr>
        <w:t>ex-officio</w:t>
      </w:r>
      <w:r>
        <w:rPr>
          <w:rFonts w:ascii="Arial" w:hAnsi="Arial"/>
          <w:sz w:val="24"/>
        </w:rPr>
        <w:t xml:space="preserve"> changes to the list as needed.</w:t>
      </w:r>
    </w:p>
    <w:p w14:paraId="0EEBF116" w14:textId="77777777" w:rsidR="00341F8F" w:rsidRPr="001E7C87" w:rsidRDefault="00341F8F" w:rsidP="00EC748B">
      <w:pPr>
        <w:jc w:val="both"/>
        <w:rPr>
          <w:rFonts w:ascii="Arial" w:hAnsi="Arial" w:cs="Arial"/>
          <w:sz w:val="24"/>
          <w:szCs w:val="24"/>
        </w:rPr>
      </w:pPr>
    </w:p>
    <w:p w14:paraId="0C8C99F5" w14:textId="77777777" w:rsidR="00341F8F" w:rsidRPr="001E7C87" w:rsidRDefault="00341F8F" w:rsidP="009D5D83">
      <w:pPr>
        <w:ind w:firstLine="708"/>
        <w:jc w:val="both"/>
        <w:rPr>
          <w:rFonts w:ascii="Arial" w:hAnsi="Arial" w:cs="Arial"/>
          <w:sz w:val="24"/>
          <w:szCs w:val="24"/>
        </w:rPr>
      </w:pPr>
      <w:r>
        <w:rPr>
          <w:rFonts w:ascii="Arial" w:hAnsi="Arial"/>
          <w:sz w:val="24"/>
        </w:rPr>
        <w:t xml:space="preserve">In accordance with Directive (EU) 2015/1535 of the European Parliament and of the Council of 9 September 2015 laying down a procedure for the provision of information in the field of technical regulations and of rules on Information Society services, and Royal Decree 1337/1999 of 31 July 1999 regulating the provision of information in the field of technical regulations and standards and of rules on Information Society services, this regulation has been submitted to the European Commission and to the other Member States. </w:t>
      </w:r>
    </w:p>
    <w:p w14:paraId="08FB11FE" w14:textId="77777777" w:rsidR="00341F8F" w:rsidRPr="001E7C87" w:rsidRDefault="00341F8F" w:rsidP="00EC748B">
      <w:pPr>
        <w:jc w:val="both"/>
        <w:rPr>
          <w:rFonts w:ascii="Arial" w:hAnsi="Arial" w:cs="Arial"/>
          <w:sz w:val="24"/>
          <w:szCs w:val="24"/>
        </w:rPr>
      </w:pPr>
    </w:p>
    <w:p w14:paraId="22EDE36A" w14:textId="77777777" w:rsidR="00341F8F" w:rsidRPr="001E7C87" w:rsidRDefault="00341F8F" w:rsidP="009D5D83">
      <w:pPr>
        <w:ind w:firstLine="708"/>
        <w:jc w:val="both"/>
        <w:rPr>
          <w:rFonts w:ascii="Arial" w:hAnsi="Arial" w:cs="Arial"/>
          <w:sz w:val="24"/>
          <w:szCs w:val="24"/>
        </w:rPr>
      </w:pPr>
      <w:r>
        <w:rPr>
          <w:rFonts w:ascii="Arial" w:hAnsi="Arial"/>
          <w:sz w:val="24"/>
        </w:rPr>
        <w:t>The contents of this Royal Decree meet the principles for sound regulation set out in Article 129 of Law 39/2015 of 1 October 2015 on Common Administrative Procedures in Public Administration. Thus, in accordance with the principles of necessity and effectiveness, this regulation is justified by the need to adopt an adequate framework for the designations of preserved or prepared foods and the commercial designations accepted in Spain for fishery and aquaculture products, in accordance with the provisions of European law,</w:t>
      </w:r>
      <w:r>
        <w:t xml:space="preserve"> </w:t>
      </w:r>
      <w:r>
        <w:rPr>
          <w:rFonts w:ascii="Arial" w:hAnsi="Arial"/>
          <w:sz w:val="24"/>
        </w:rPr>
        <w:t xml:space="preserve">and also meets the need referred to in Article 37 of Regulation (EU) No 1379/2013 of the European Parliament and of the Council of 11 December 2013. Similarly, it meets the principles of efficiency and proportionality by providing the level of regulation strictly necessary to achieve the intended objectives. As per the principle of transparency, and as part of the public </w:t>
      </w:r>
      <w:r>
        <w:rPr>
          <w:rFonts w:ascii="Arial" w:hAnsi="Arial"/>
          <w:sz w:val="24"/>
        </w:rPr>
        <w:lastRenderedPageBreak/>
        <w:t>hearing, the drafting process for this regulation included consultations with the Autonomous Communities and entities representing the affected sectors. Finally, this Royal Decree adheres to the principle of legal certainty by maintaining consistency with the rest of the applicable legal framework and providing the necessary transitional periods for operators to adapt.</w:t>
      </w:r>
    </w:p>
    <w:p w14:paraId="1B3A1E72" w14:textId="77777777" w:rsidR="00341F8F" w:rsidRPr="00DE1B43" w:rsidRDefault="00341F8F" w:rsidP="00EC748B">
      <w:pPr>
        <w:jc w:val="both"/>
        <w:rPr>
          <w:rFonts w:ascii="Arial" w:hAnsi="Arial" w:cs="Arial"/>
          <w:sz w:val="24"/>
          <w:szCs w:val="24"/>
          <w:lang w:val="en-US"/>
        </w:rPr>
      </w:pPr>
    </w:p>
    <w:p w14:paraId="1FAEB317" w14:textId="77777777" w:rsidR="00341F8F" w:rsidRPr="001E7C87" w:rsidRDefault="00341F8F" w:rsidP="009D5D83">
      <w:pPr>
        <w:ind w:firstLine="708"/>
        <w:jc w:val="both"/>
        <w:rPr>
          <w:rFonts w:ascii="Arial" w:hAnsi="Arial" w:cs="Arial"/>
          <w:sz w:val="24"/>
          <w:szCs w:val="24"/>
        </w:rPr>
      </w:pPr>
      <w:r>
        <w:rPr>
          <w:rFonts w:ascii="Arial" w:hAnsi="Arial"/>
          <w:sz w:val="24"/>
        </w:rPr>
        <w:t xml:space="preserve">This regulation also includes a model for interadministrative cooperation that recognises the jurisdiction of both the State and the Autonomous Communities, ensuring proper interaction for the two authorities. Thus, in accordance with the relevant European legislation, the State, as the higher body, has the power to promote a single list of commercial designations for the entire country. This list includes both the list of commercial designations applicable throughout the national territory, adopted in accordance with this Royal Decree, and any lists that the competent bodies of the Autonomous Communities adopt for commercial designations accepted in their territories, which will supplement but never replace the national lists. These lists must also be published in their respective Official Gazettes and during January of each year, the competent bodies of the Autonomous Communities must notify the General Secretariat for Fisheries of the decisions adopting these supplementary lists, for compilation and publication in the aforementioned annual order, to keep these designations up-to-date and ensure legal certainty and protection of consumer interests. </w:t>
      </w:r>
    </w:p>
    <w:p w14:paraId="0C192B43" w14:textId="77777777" w:rsidR="00341F8F" w:rsidRPr="001E7C87" w:rsidRDefault="00341F8F" w:rsidP="00EC748B">
      <w:pPr>
        <w:jc w:val="both"/>
        <w:rPr>
          <w:rFonts w:ascii="Arial" w:hAnsi="Arial" w:cs="Arial"/>
          <w:sz w:val="24"/>
          <w:szCs w:val="24"/>
        </w:rPr>
      </w:pPr>
    </w:p>
    <w:p w14:paraId="3C9D5BC4" w14:textId="77777777" w:rsidR="00341F8F" w:rsidRPr="001E7C87" w:rsidRDefault="00341F8F" w:rsidP="009D5D83">
      <w:pPr>
        <w:ind w:firstLine="708"/>
        <w:jc w:val="both"/>
        <w:rPr>
          <w:rFonts w:ascii="Arial" w:hAnsi="Arial" w:cs="Arial"/>
          <w:sz w:val="24"/>
          <w:szCs w:val="24"/>
        </w:rPr>
      </w:pPr>
      <w:r>
        <w:rPr>
          <w:rFonts w:ascii="Arial" w:hAnsi="Arial"/>
          <w:sz w:val="24"/>
        </w:rPr>
        <w:t>The drafting process for this regulation</w:t>
      </w:r>
      <w:r>
        <w:rPr>
          <w:sz w:val="24"/>
        </w:rPr>
        <w:t xml:space="preserve"> </w:t>
      </w:r>
      <w:r>
        <w:rPr>
          <w:rFonts w:ascii="Arial" w:hAnsi="Arial"/>
          <w:sz w:val="24"/>
        </w:rPr>
        <w:t>completed the mandatory prior public consultation, hearing and information procedures. Moreover, the authorities consulted with the Autonomous Communities and the entities representing the affected sectors, and the Interministerial Committee for Food Management has issued its mandatory report.</w:t>
      </w:r>
    </w:p>
    <w:p w14:paraId="7BD65168" w14:textId="77777777" w:rsidR="00341F8F" w:rsidRPr="001E7C87" w:rsidRDefault="00341F8F" w:rsidP="00EC748B">
      <w:pPr>
        <w:jc w:val="both"/>
        <w:rPr>
          <w:rFonts w:ascii="Arial" w:hAnsi="Arial" w:cs="Arial"/>
          <w:sz w:val="24"/>
          <w:szCs w:val="24"/>
        </w:rPr>
      </w:pPr>
    </w:p>
    <w:p w14:paraId="67FDEF80" w14:textId="77777777" w:rsidR="00341F8F" w:rsidRPr="001E7C87" w:rsidRDefault="00341F8F" w:rsidP="009D5D83">
      <w:pPr>
        <w:ind w:firstLine="708"/>
        <w:jc w:val="both"/>
        <w:rPr>
          <w:rFonts w:ascii="Arial" w:hAnsi="Arial" w:cs="Arial"/>
          <w:sz w:val="24"/>
          <w:szCs w:val="24"/>
        </w:rPr>
      </w:pPr>
      <w:r>
        <w:rPr>
          <w:rFonts w:ascii="Arial" w:hAnsi="Arial"/>
          <w:sz w:val="24"/>
        </w:rPr>
        <w:t>Article 149(1)(13) of the Spanish Constitution provides the legal basis for adoption of this regulation by Royal Decree as a basic regulation. In accordance with the case law of the Constitutional Court, this is based on the distinctly technical nature of the purpose of the regulation and on the need to establish a single regulatory framework that applies throughout the national territory and ensures uniform treatment of all producers. Similarly, its adoption is in accordance with the exclusive powers of the State in matters of foreign trade for relationships of this kind pursuant to Article 149(1)(10).</w:t>
      </w:r>
    </w:p>
    <w:p w14:paraId="13D9F0EC" w14:textId="77777777" w:rsidR="00341F8F" w:rsidRPr="00DE1B43" w:rsidRDefault="00341F8F" w:rsidP="00EC748B">
      <w:pPr>
        <w:jc w:val="both"/>
        <w:rPr>
          <w:rFonts w:ascii="Arial" w:hAnsi="Arial" w:cs="Arial"/>
          <w:sz w:val="24"/>
          <w:szCs w:val="24"/>
          <w:lang w:val="en-US"/>
        </w:rPr>
      </w:pPr>
    </w:p>
    <w:p w14:paraId="2AFC4508" w14:textId="66216D7B" w:rsidR="00341F8F" w:rsidRPr="001E7C87" w:rsidRDefault="00341F8F" w:rsidP="009D5D83">
      <w:pPr>
        <w:ind w:firstLine="708"/>
        <w:jc w:val="both"/>
        <w:rPr>
          <w:rFonts w:ascii="Arial" w:hAnsi="Arial" w:cs="Arial"/>
          <w:sz w:val="24"/>
          <w:szCs w:val="24"/>
        </w:rPr>
      </w:pPr>
      <w:r>
        <w:rPr>
          <w:rFonts w:ascii="Arial" w:hAnsi="Arial"/>
          <w:sz w:val="24"/>
        </w:rPr>
        <w:t>Pursuant to the above, on the proposal of the Minister for Agriculture, Fisheries and Food, and the Minister for Consumer Affairs, with the prior approval of the Minister for Finance and the Civil Service, ……………….. the Council of State, and following consideration by the Council of Ministers at its meeting on xx xxxx 2019,</w:t>
      </w:r>
    </w:p>
    <w:p w14:paraId="2AF11FB2" w14:textId="77777777" w:rsidR="00341F8F" w:rsidRPr="001E7C87" w:rsidRDefault="00341F8F" w:rsidP="00EC748B">
      <w:pPr>
        <w:jc w:val="both"/>
        <w:rPr>
          <w:rFonts w:ascii="Arial" w:hAnsi="Arial" w:cs="Arial"/>
          <w:sz w:val="24"/>
          <w:szCs w:val="24"/>
        </w:rPr>
      </w:pPr>
    </w:p>
    <w:p w14:paraId="7F59B6B1" w14:textId="77777777" w:rsidR="00341F8F" w:rsidRPr="001E7C87" w:rsidRDefault="00341F8F" w:rsidP="00EC748B">
      <w:pPr>
        <w:jc w:val="both"/>
        <w:rPr>
          <w:rFonts w:ascii="Arial" w:hAnsi="Arial" w:cs="Arial"/>
          <w:sz w:val="24"/>
          <w:szCs w:val="24"/>
        </w:rPr>
      </w:pPr>
    </w:p>
    <w:p w14:paraId="2FC2ABFF" w14:textId="77777777" w:rsidR="00341F8F" w:rsidRPr="001E7C87" w:rsidRDefault="00341F8F" w:rsidP="00EC748B">
      <w:pPr>
        <w:jc w:val="both"/>
        <w:rPr>
          <w:rFonts w:ascii="Arial" w:hAnsi="Arial" w:cs="Arial"/>
          <w:b/>
          <w:sz w:val="24"/>
          <w:szCs w:val="24"/>
        </w:rPr>
      </w:pPr>
      <w:r>
        <w:rPr>
          <w:rFonts w:ascii="Arial" w:hAnsi="Arial"/>
          <w:b/>
          <w:sz w:val="24"/>
        </w:rPr>
        <w:t>I HEREBY DECREE THE FOLLOWING:</w:t>
      </w:r>
    </w:p>
    <w:p w14:paraId="5A4D2DAD" w14:textId="77777777" w:rsidR="00341F8F" w:rsidRPr="001E7C87" w:rsidRDefault="00341F8F" w:rsidP="00EC748B">
      <w:pPr>
        <w:jc w:val="both"/>
        <w:rPr>
          <w:rFonts w:ascii="Arial" w:hAnsi="Arial" w:cs="Arial"/>
          <w:b/>
          <w:sz w:val="24"/>
          <w:szCs w:val="24"/>
        </w:rPr>
      </w:pPr>
    </w:p>
    <w:p w14:paraId="5DDE3018" w14:textId="77777777" w:rsidR="00341F8F" w:rsidRPr="009D5D83" w:rsidRDefault="00341F8F" w:rsidP="00EC748B">
      <w:pPr>
        <w:jc w:val="both"/>
        <w:rPr>
          <w:rFonts w:ascii="Arial" w:hAnsi="Arial" w:cs="Arial"/>
          <w:b/>
          <w:sz w:val="24"/>
          <w:szCs w:val="24"/>
        </w:rPr>
      </w:pPr>
      <w:r>
        <w:rPr>
          <w:rFonts w:ascii="Arial" w:hAnsi="Arial"/>
          <w:b/>
          <w:sz w:val="24"/>
        </w:rPr>
        <w:lastRenderedPageBreak/>
        <w:t xml:space="preserve">Article 1. </w:t>
      </w:r>
      <w:r>
        <w:rPr>
          <w:rFonts w:ascii="Arial" w:hAnsi="Arial"/>
          <w:b/>
          <w:i/>
          <w:sz w:val="24"/>
        </w:rPr>
        <w:t>Objective</w:t>
      </w:r>
      <w:r>
        <w:rPr>
          <w:rFonts w:ascii="Arial" w:hAnsi="Arial"/>
          <w:b/>
          <w:sz w:val="24"/>
        </w:rPr>
        <w:t xml:space="preserve"> </w:t>
      </w:r>
    </w:p>
    <w:p w14:paraId="2FE7F84A" w14:textId="77777777" w:rsidR="00341F8F" w:rsidRPr="001E7C87" w:rsidRDefault="00341F8F" w:rsidP="00EC748B">
      <w:pPr>
        <w:jc w:val="both"/>
        <w:rPr>
          <w:rFonts w:ascii="Arial" w:hAnsi="Arial" w:cs="Arial"/>
          <w:sz w:val="24"/>
          <w:szCs w:val="24"/>
        </w:rPr>
      </w:pPr>
    </w:p>
    <w:p w14:paraId="712CF41D" w14:textId="20D920A9" w:rsidR="00341F8F" w:rsidRPr="009D5D83" w:rsidRDefault="009D5D83" w:rsidP="009D5D83">
      <w:pPr>
        <w:jc w:val="both"/>
        <w:rPr>
          <w:rFonts w:ascii="Arial" w:hAnsi="Arial" w:cs="Arial"/>
          <w:sz w:val="24"/>
          <w:szCs w:val="24"/>
        </w:rPr>
      </w:pPr>
      <w:r>
        <w:rPr>
          <w:rFonts w:ascii="Arial" w:hAnsi="Arial"/>
          <w:sz w:val="24"/>
        </w:rPr>
        <w:t>1. The purpose of this Royal Decree is to:</w:t>
      </w:r>
    </w:p>
    <w:p w14:paraId="649DF671" w14:textId="77777777" w:rsidR="00341F8F" w:rsidRPr="001E7C87" w:rsidRDefault="00341F8F" w:rsidP="00EC748B">
      <w:pPr>
        <w:pStyle w:val="ListParagraph"/>
        <w:ind w:left="360"/>
        <w:jc w:val="both"/>
        <w:rPr>
          <w:rFonts w:ascii="Arial" w:hAnsi="Arial" w:cs="Arial"/>
          <w:sz w:val="24"/>
          <w:szCs w:val="24"/>
        </w:rPr>
      </w:pPr>
    </w:p>
    <w:p w14:paraId="0C62A754" w14:textId="45A0921E" w:rsidR="00341F8F" w:rsidRPr="00E6403A" w:rsidRDefault="00341F8F" w:rsidP="009D5D83">
      <w:pPr>
        <w:pStyle w:val="ListParagraph"/>
        <w:numPr>
          <w:ilvl w:val="0"/>
          <w:numId w:val="3"/>
        </w:numPr>
        <w:jc w:val="both"/>
        <w:rPr>
          <w:rFonts w:ascii="Arial" w:hAnsi="Arial" w:cs="Arial"/>
          <w:sz w:val="24"/>
          <w:szCs w:val="24"/>
        </w:rPr>
      </w:pPr>
      <w:r>
        <w:rPr>
          <w:rFonts w:ascii="Arial" w:hAnsi="Arial"/>
          <w:sz w:val="24"/>
        </w:rPr>
        <w:t>set out the national commercial designations accepted in Spain for the fishery and aquaculture products included in points a, b, c and e of Annex I to Regulation (EU) No 1379/2013 of the European Parliament and of the Council of 11 December 2013 on the common organisation of the markets in fishery and aquaculture products, to provide the mandatory information as per Article 35 of said Regulation and to compile any commercial designations accepted by the various Autonomous Communities in their territories to supplement the commercial designations adopted at the national level;</w:t>
      </w:r>
    </w:p>
    <w:p w14:paraId="5AA55534" w14:textId="437C7FFE" w:rsidR="00472084" w:rsidRPr="009D5D83" w:rsidRDefault="00341F8F" w:rsidP="009D5D83">
      <w:pPr>
        <w:pStyle w:val="ListParagraph"/>
        <w:numPr>
          <w:ilvl w:val="0"/>
          <w:numId w:val="3"/>
        </w:numPr>
        <w:jc w:val="both"/>
        <w:rPr>
          <w:rFonts w:ascii="Arial" w:hAnsi="Arial" w:cs="Arial"/>
          <w:sz w:val="24"/>
          <w:szCs w:val="24"/>
        </w:rPr>
      </w:pPr>
      <w:r>
        <w:rPr>
          <w:rFonts w:ascii="Arial" w:hAnsi="Arial"/>
          <w:sz w:val="24"/>
        </w:rPr>
        <w:t>set out the designations of preserved or prepared foods accepted in Spain for the fishery and aquaculture products in points h and i of Annex I to Regulation (EU) No 1379/2013 of the European Parliament and of the Council of 11 December 2013, to provide the mandatory food designation information as per Article 17 of Regulation (EU) No 1169/2011 of the European Parliament and of the Council of 25 October 2011 on the provision of food information to consumers.</w:t>
      </w:r>
    </w:p>
    <w:p w14:paraId="13C29F35" w14:textId="77777777" w:rsidR="00472084" w:rsidRPr="001E7C87" w:rsidRDefault="00472084" w:rsidP="00472084">
      <w:pPr>
        <w:pStyle w:val="ListParagraph"/>
        <w:jc w:val="both"/>
        <w:rPr>
          <w:rFonts w:ascii="Arial" w:hAnsi="Arial" w:cs="Arial"/>
          <w:sz w:val="24"/>
          <w:szCs w:val="24"/>
        </w:rPr>
      </w:pPr>
    </w:p>
    <w:p w14:paraId="2C627CA3" w14:textId="5694CFDA" w:rsidR="00341F8F" w:rsidRPr="009D5D83" w:rsidRDefault="009D5D83" w:rsidP="009D5D83">
      <w:pPr>
        <w:jc w:val="both"/>
        <w:rPr>
          <w:rFonts w:ascii="Arial" w:hAnsi="Arial" w:cs="Arial"/>
          <w:sz w:val="24"/>
          <w:szCs w:val="24"/>
        </w:rPr>
      </w:pPr>
      <w:r>
        <w:rPr>
          <w:rFonts w:ascii="Arial" w:hAnsi="Arial"/>
          <w:sz w:val="24"/>
        </w:rPr>
        <w:t>2. The national commercial designations and the designations of preserved or prepared foods appearing on the list shall be considered the official designations throughout the national territory. However, the commercial designations in the various Autonomous Communities appearing on the list shall supplement the commercial designation in their respective territories, and shall not replace the national designations.</w:t>
      </w:r>
    </w:p>
    <w:p w14:paraId="0FEF7532" w14:textId="77777777" w:rsidR="00341F8F" w:rsidRPr="009D5D83" w:rsidRDefault="00341F8F" w:rsidP="009D5D83">
      <w:pPr>
        <w:jc w:val="both"/>
        <w:rPr>
          <w:rFonts w:ascii="Arial" w:hAnsi="Arial" w:cs="Arial"/>
          <w:sz w:val="24"/>
          <w:szCs w:val="24"/>
        </w:rPr>
      </w:pPr>
    </w:p>
    <w:p w14:paraId="706FC2D2" w14:textId="77777777" w:rsidR="00341F8F" w:rsidRPr="009D5D83" w:rsidRDefault="00341F8F" w:rsidP="00EC748B">
      <w:pPr>
        <w:jc w:val="both"/>
        <w:rPr>
          <w:rFonts w:ascii="Arial" w:hAnsi="Arial" w:cs="Arial"/>
          <w:b/>
          <w:sz w:val="24"/>
          <w:szCs w:val="24"/>
        </w:rPr>
      </w:pPr>
      <w:r>
        <w:rPr>
          <w:rFonts w:ascii="Arial" w:hAnsi="Arial"/>
          <w:b/>
          <w:sz w:val="24"/>
        </w:rPr>
        <w:t xml:space="preserve">Article 2. </w:t>
      </w:r>
      <w:r>
        <w:rPr>
          <w:rFonts w:ascii="Arial" w:hAnsi="Arial"/>
          <w:b/>
          <w:i/>
          <w:sz w:val="24"/>
        </w:rPr>
        <w:t>Terms and definitions</w:t>
      </w:r>
      <w:r>
        <w:rPr>
          <w:rFonts w:ascii="Arial" w:hAnsi="Arial"/>
          <w:b/>
          <w:sz w:val="24"/>
        </w:rPr>
        <w:t xml:space="preserve"> </w:t>
      </w:r>
    </w:p>
    <w:p w14:paraId="0A91F352" w14:textId="77777777" w:rsidR="00341F8F" w:rsidRPr="001E7C87" w:rsidRDefault="00341F8F" w:rsidP="00EC748B">
      <w:pPr>
        <w:jc w:val="both"/>
        <w:rPr>
          <w:rFonts w:ascii="Arial" w:hAnsi="Arial" w:cs="Arial"/>
          <w:sz w:val="24"/>
          <w:szCs w:val="24"/>
        </w:rPr>
      </w:pPr>
    </w:p>
    <w:p w14:paraId="1C303C2D" w14:textId="34F52F97" w:rsidR="00341F8F" w:rsidRPr="009D5D83" w:rsidRDefault="009D5D83" w:rsidP="009D5D83">
      <w:pPr>
        <w:jc w:val="both"/>
        <w:rPr>
          <w:rFonts w:ascii="Arial" w:hAnsi="Arial" w:cs="Arial"/>
          <w:sz w:val="24"/>
          <w:szCs w:val="24"/>
        </w:rPr>
      </w:pPr>
      <w:r>
        <w:rPr>
          <w:rFonts w:ascii="Arial" w:hAnsi="Arial"/>
          <w:sz w:val="24"/>
        </w:rPr>
        <w:t>1. For the purpose of this Royal Decree, the definitions in European and national legislation on fisheries, food information and food safety shall apply.</w:t>
      </w:r>
    </w:p>
    <w:p w14:paraId="01814459" w14:textId="77777777" w:rsidR="00341F8F" w:rsidRPr="001E7C87" w:rsidRDefault="00341F8F" w:rsidP="00EC748B">
      <w:pPr>
        <w:jc w:val="both"/>
        <w:rPr>
          <w:rFonts w:ascii="Arial" w:hAnsi="Arial" w:cs="Arial"/>
          <w:sz w:val="24"/>
          <w:szCs w:val="24"/>
        </w:rPr>
      </w:pPr>
    </w:p>
    <w:p w14:paraId="5727AE12" w14:textId="4607695C" w:rsidR="00341F8F" w:rsidRPr="009D5D83" w:rsidRDefault="009D5D83" w:rsidP="009D5D83">
      <w:pPr>
        <w:jc w:val="both"/>
        <w:rPr>
          <w:rFonts w:ascii="Arial" w:hAnsi="Arial" w:cs="Arial"/>
          <w:sz w:val="24"/>
          <w:szCs w:val="24"/>
        </w:rPr>
      </w:pPr>
      <w:r>
        <w:rPr>
          <w:rFonts w:ascii="Arial" w:hAnsi="Arial"/>
          <w:sz w:val="24"/>
        </w:rPr>
        <w:t xml:space="preserve">2. In addition, for the purpose of this Royal Decree, the definitions set out in Articles 3 and 4 of Royal Decree 1521/1984 of 1 August 1984 adopting the technical health regulations on fishery and aquaculture establishments and fishery and aquaculture products intended for human consumption shall apply. </w:t>
      </w:r>
    </w:p>
    <w:p w14:paraId="4DD895D3" w14:textId="77777777" w:rsidR="00341F8F" w:rsidRPr="001E7C87" w:rsidRDefault="00341F8F" w:rsidP="00500755">
      <w:pPr>
        <w:jc w:val="both"/>
        <w:rPr>
          <w:rFonts w:ascii="Arial" w:hAnsi="Arial" w:cs="Arial"/>
          <w:sz w:val="24"/>
          <w:szCs w:val="24"/>
        </w:rPr>
      </w:pPr>
    </w:p>
    <w:p w14:paraId="08F8AA47" w14:textId="77777777" w:rsidR="00341F8F" w:rsidRPr="009D5D83" w:rsidRDefault="00341F8F" w:rsidP="00EC748B">
      <w:pPr>
        <w:jc w:val="both"/>
        <w:rPr>
          <w:rFonts w:ascii="Arial" w:hAnsi="Arial" w:cs="Arial"/>
          <w:b/>
          <w:i/>
          <w:sz w:val="24"/>
          <w:szCs w:val="24"/>
        </w:rPr>
      </w:pPr>
      <w:r>
        <w:rPr>
          <w:rFonts w:ascii="Arial" w:hAnsi="Arial"/>
          <w:b/>
          <w:sz w:val="24"/>
        </w:rPr>
        <w:t xml:space="preserve">Article 3. </w:t>
      </w:r>
      <w:r>
        <w:rPr>
          <w:rFonts w:ascii="Arial" w:hAnsi="Arial"/>
          <w:b/>
          <w:i/>
          <w:sz w:val="24"/>
        </w:rPr>
        <w:t>Precondition on the sale of fishery and aquaculture products to final consumers or to groups</w:t>
      </w:r>
    </w:p>
    <w:p w14:paraId="46A92B7A" w14:textId="77777777" w:rsidR="00E130BB" w:rsidRDefault="00E130BB" w:rsidP="00E130BB">
      <w:pPr>
        <w:jc w:val="both"/>
        <w:rPr>
          <w:rFonts w:ascii="Arial" w:hAnsi="Arial" w:cs="Arial"/>
          <w:b/>
          <w:sz w:val="24"/>
          <w:szCs w:val="24"/>
        </w:rPr>
      </w:pPr>
    </w:p>
    <w:p w14:paraId="62F5BE4F" w14:textId="2A98E504" w:rsidR="00341F8F" w:rsidRPr="00E6403A" w:rsidRDefault="006F1DD6" w:rsidP="00E130BB">
      <w:pPr>
        <w:jc w:val="both"/>
        <w:rPr>
          <w:rFonts w:ascii="Arial" w:hAnsi="Arial" w:cs="Arial"/>
          <w:sz w:val="24"/>
          <w:szCs w:val="24"/>
        </w:rPr>
      </w:pPr>
      <w:r>
        <w:rPr>
          <w:rFonts w:ascii="Arial" w:hAnsi="Arial"/>
          <w:sz w:val="24"/>
        </w:rPr>
        <w:t xml:space="preserve">1. It shall only be permitted to offer the fishery and aquaculture products referred to in Article 1(1) for sale to final consumers or to groups if the marking or labelling indicates the national commercial designation or the designation of the preserved or prepared food that is accepted in Spain for the fishery and aquaculture products appearing on the list in the Annex. Where appropriate, the authorities may also add </w:t>
      </w:r>
      <w:r>
        <w:rPr>
          <w:rFonts w:ascii="Arial" w:hAnsi="Arial"/>
          <w:sz w:val="24"/>
        </w:rPr>
        <w:lastRenderedPageBreak/>
        <w:t>those accepted by the Autonomous Communities in their respective territories, as supplements to the national ones. The scientific name appearing on the list shall always be that contained in the ASFIS database of the Food and Agriculture Organisation (FAO).</w:t>
      </w:r>
    </w:p>
    <w:p w14:paraId="0892D87C" w14:textId="77777777" w:rsidR="004F5D4B" w:rsidRPr="00E6403A" w:rsidRDefault="004F5D4B" w:rsidP="00EC748B">
      <w:pPr>
        <w:jc w:val="both"/>
        <w:rPr>
          <w:rFonts w:ascii="Arial" w:hAnsi="Arial" w:cs="Arial"/>
          <w:sz w:val="24"/>
          <w:szCs w:val="24"/>
        </w:rPr>
      </w:pPr>
    </w:p>
    <w:p w14:paraId="675921B2" w14:textId="63CEFB38" w:rsidR="00341F8F" w:rsidRDefault="00A977D2" w:rsidP="00EC748B">
      <w:pPr>
        <w:jc w:val="both"/>
        <w:rPr>
          <w:rFonts w:ascii="Arial" w:hAnsi="Arial"/>
          <w:sz w:val="24"/>
        </w:rPr>
      </w:pPr>
      <w:r>
        <w:rPr>
          <w:rFonts w:ascii="Arial" w:hAnsi="Arial"/>
          <w:sz w:val="24"/>
        </w:rPr>
        <w:t>2. If the Annex does not provide any designation for a preserved or prepared food accepted in Spain for a scientific name, and an operator wants to market a preserved or prepared product made with this species in the national territory, it shall request its listing in the Annex before marketing the product, as specified in Article 5.</w:t>
      </w:r>
    </w:p>
    <w:p w14:paraId="16887BB9" w14:textId="77777777" w:rsidR="00DE1B43" w:rsidRPr="001E7C87" w:rsidRDefault="00DE1B43" w:rsidP="00EC748B">
      <w:pPr>
        <w:jc w:val="both"/>
        <w:rPr>
          <w:rFonts w:ascii="Arial" w:hAnsi="Arial" w:cs="Arial"/>
          <w:sz w:val="24"/>
          <w:szCs w:val="24"/>
        </w:rPr>
      </w:pPr>
    </w:p>
    <w:p w14:paraId="616E8826" w14:textId="77777777" w:rsidR="00341F8F" w:rsidRPr="009D5D83" w:rsidRDefault="00341F8F" w:rsidP="00EC748B">
      <w:pPr>
        <w:jc w:val="both"/>
        <w:rPr>
          <w:rFonts w:ascii="Arial" w:hAnsi="Arial" w:cs="Arial"/>
          <w:b/>
          <w:i/>
          <w:sz w:val="24"/>
          <w:szCs w:val="24"/>
        </w:rPr>
      </w:pPr>
      <w:r>
        <w:rPr>
          <w:rFonts w:ascii="Arial" w:hAnsi="Arial"/>
          <w:b/>
          <w:sz w:val="24"/>
        </w:rPr>
        <w:t xml:space="preserve">Article 4. </w:t>
      </w:r>
      <w:r>
        <w:rPr>
          <w:rFonts w:ascii="Arial" w:hAnsi="Arial"/>
          <w:b/>
          <w:i/>
          <w:sz w:val="24"/>
        </w:rPr>
        <w:t>Annual review of the list of national commercial designations and designations of preserved and prepared foods applicable to fishery and aquaculture products accepted in Spain</w:t>
      </w:r>
    </w:p>
    <w:p w14:paraId="6869F584" w14:textId="77777777" w:rsidR="00341F8F" w:rsidRPr="001E7C87" w:rsidRDefault="00341F8F" w:rsidP="00EC748B">
      <w:pPr>
        <w:jc w:val="both"/>
        <w:rPr>
          <w:rFonts w:ascii="Arial" w:hAnsi="Arial" w:cs="Arial"/>
          <w:sz w:val="24"/>
          <w:szCs w:val="24"/>
        </w:rPr>
      </w:pPr>
    </w:p>
    <w:p w14:paraId="43FCAF61" w14:textId="15E97D69" w:rsidR="00341F8F" w:rsidRPr="001E7C87" w:rsidRDefault="00895DB5" w:rsidP="00EC748B">
      <w:pPr>
        <w:jc w:val="both"/>
        <w:rPr>
          <w:rFonts w:ascii="Arial" w:hAnsi="Arial" w:cs="Arial"/>
          <w:sz w:val="24"/>
          <w:szCs w:val="24"/>
        </w:rPr>
      </w:pPr>
      <w:r>
        <w:rPr>
          <w:rFonts w:ascii="Arial" w:hAnsi="Arial"/>
          <w:sz w:val="24"/>
        </w:rPr>
        <w:t>1. Once a year, the Minister for Agriculture, Fisheries and Food shall adopt an order, published in the Official State Gazette during the first quarter of each year, containing the latest update to the list of designations.</w:t>
      </w:r>
    </w:p>
    <w:p w14:paraId="4FE101B1" w14:textId="77777777" w:rsidR="00341F8F" w:rsidRPr="001E7C87" w:rsidRDefault="00341F8F" w:rsidP="00EC748B">
      <w:pPr>
        <w:jc w:val="both"/>
        <w:rPr>
          <w:rFonts w:ascii="Arial" w:hAnsi="Arial" w:cs="Arial"/>
          <w:sz w:val="24"/>
          <w:szCs w:val="24"/>
        </w:rPr>
      </w:pPr>
    </w:p>
    <w:p w14:paraId="060ABAE5" w14:textId="3235B08F" w:rsidR="00341F8F" w:rsidRPr="001E7C87" w:rsidRDefault="00895DB5" w:rsidP="00EC748B">
      <w:pPr>
        <w:jc w:val="both"/>
        <w:rPr>
          <w:rFonts w:ascii="Arial" w:hAnsi="Arial" w:cs="Arial"/>
          <w:sz w:val="24"/>
          <w:szCs w:val="24"/>
        </w:rPr>
      </w:pPr>
      <w:r>
        <w:rPr>
          <w:rFonts w:ascii="Arial" w:hAnsi="Arial"/>
          <w:sz w:val="24"/>
        </w:rPr>
        <w:t xml:space="preserve">2. This order shall contain the updated list of national commercial designations and designations of preserved or prepared foods accepted in Spain for fishery and aquaculture products, taking into account the decisions to grant individual listing, amendment or delisting requests over the preceding year, referred to in the following article, or those that the Department takes </w:t>
      </w:r>
      <w:r>
        <w:rPr>
          <w:rFonts w:ascii="Arial" w:hAnsi="Arial"/>
          <w:i/>
          <w:iCs/>
          <w:sz w:val="24"/>
        </w:rPr>
        <w:t>ex officio</w:t>
      </w:r>
      <w:r>
        <w:rPr>
          <w:rFonts w:ascii="Arial" w:hAnsi="Arial"/>
          <w:sz w:val="24"/>
        </w:rPr>
        <w:t xml:space="preserve"> with statement of the underlying reasons.</w:t>
      </w:r>
    </w:p>
    <w:p w14:paraId="64B0A3A1" w14:textId="77777777" w:rsidR="00341F8F" w:rsidRPr="001E7C87" w:rsidRDefault="00341F8F" w:rsidP="00EC748B">
      <w:pPr>
        <w:jc w:val="both"/>
        <w:rPr>
          <w:rFonts w:ascii="Arial" w:hAnsi="Arial" w:cs="Arial"/>
          <w:sz w:val="24"/>
          <w:szCs w:val="24"/>
        </w:rPr>
      </w:pPr>
    </w:p>
    <w:p w14:paraId="6782396B" w14:textId="5D2905A2" w:rsidR="00341F8F" w:rsidRPr="001E7C87" w:rsidRDefault="00895DB5" w:rsidP="00EC748B">
      <w:pPr>
        <w:jc w:val="both"/>
        <w:rPr>
          <w:rFonts w:ascii="Arial" w:hAnsi="Arial" w:cs="Arial"/>
          <w:sz w:val="24"/>
          <w:szCs w:val="24"/>
        </w:rPr>
      </w:pPr>
      <w:r>
        <w:rPr>
          <w:rFonts w:ascii="Arial" w:hAnsi="Arial"/>
          <w:sz w:val="24"/>
        </w:rPr>
        <w:t>3. In addition, the order shall also include a compilation of the commercial designations adopted by the Autonomous Communities over the preceding year, solely for the purposes of operator information and to ensure that the Kingdom of Spain meets its obligations to the European Union pursuant to Article 37(3) of the Regulation (EU) No 1379/2013 of the European Parliament and of the Council of 11 December 2013.</w:t>
      </w:r>
    </w:p>
    <w:p w14:paraId="09E1A739" w14:textId="77777777" w:rsidR="00341F8F" w:rsidRPr="001E7C87" w:rsidRDefault="00341F8F" w:rsidP="00EC748B">
      <w:pPr>
        <w:jc w:val="both"/>
        <w:rPr>
          <w:rFonts w:ascii="Arial" w:hAnsi="Arial" w:cs="Arial"/>
          <w:b/>
          <w:sz w:val="24"/>
          <w:szCs w:val="24"/>
        </w:rPr>
      </w:pPr>
    </w:p>
    <w:p w14:paraId="30D8F805" w14:textId="77777777" w:rsidR="00341F8F" w:rsidRPr="00895DB5" w:rsidRDefault="00341F8F" w:rsidP="00EC748B">
      <w:pPr>
        <w:jc w:val="both"/>
        <w:rPr>
          <w:rFonts w:ascii="Arial" w:hAnsi="Arial" w:cs="Arial"/>
          <w:b/>
          <w:i/>
          <w:sz w:val="24"/>
          <w:szCs w:val="24"/>
        </w:rPr>
      </w:pPr>
      <w:r>
        <w:rPr>
          <w:rFonts w:ascii="Arial" w:hAnsi="Arial"/>
          <w:b/>
          <w:sz w:val="24"/>
        </w:rPr>
        <w:t xml:space="preserve">Article 5. </w:t>
      </w:r>
      <w:r>
        <w:rPr>
          <w:rFonts w:ascii="Arial" w:hAnsi="Arial"/>
          <w:b/>
          <w:i/>
          <w:sz w:val="24"/>
        </w:rPr>
        <w:t>Procedure for reviewing and updating the list of national commercial designations and designations of preserved or prepared foods accepted in Spain applicable to fishery and aquaculture products on request from an operator</w:t>
      </w:r>
    </w:p>
    <w:p w14:paraId="0EAFA825" w14:textId="77777777" w:rsidR="00341F8F" w:rsidRPr="001E7C87" w:rsidRDefault="00341F8F" w:rsidP="00EC748B">
      <w:pPr>
        <w:jc w:val="both"/>
        <w:rPr>
          <w:rFonts w:ascii="Arial" w:hAnsi="Arial" w:cs="Arial"/>
          <w:sz w:val="24"/>
          <w:szCs w:val="24"/>
        </w:rPr>
      </w:pPr>
    </w:p>
    <w:p w14:paraId="03D23C22" w14:textId="0C65CEA8" w:rsidR="00341F8F" w:rsidRPr="00E6403A" w:rsidRDefault="00341F8F" w:rsidP="00EC748B">
      <w:pPr>
        <w:jc w:val="both"/>
        <w:rPr>
          <w:rFonts w:ascii="Arial" w:hAnsi="Arial" w:cs="Arial"/>
          <w:sz w:val="24"/>
          <w:szCs w:val="24"/>
        </w:rPr>
      </w:pPr>
      <w:r>
        <w:rPr>
          <w:rFonts w:ascii="Arial" w:hAnsi="Arial"/>
          <w:sz w:val="24"/>
        </w:rPr>
        <w:t>1. The General Secretariat for Fisheries shall be the competent body to review the listing, amendment and delisting requests for national commercial designations or designations of preserved or prepared foods accepted in Spain for the products as per Article 1(1) received over the course of the year, without prejudice to the annual update to the Annex by order as per Article 4.</w:t>
      </w:r>
    </w:p>
    <w:p w14:paraId="335989AB" w14:textId="77777777" w:rsidR="00341F8F" w:rsidRPr="00E6403A" w:rsidRDefault="00341F8F" w:rsidP="00EC748B">
      <w:pPr>
        <w:tabs>
          <w:tab w:val="left" w:pos="7880"/>
        </w:tabs>
        <w:jc w:val="both"/>
        <w:rPr>
          <w:rFonts w:ascii="Arial" w:hAnsi="Arial" w:cs="Arial"/>
          <w:sz w:val="24"/>
          <w:szCs w:val="24"/>
        </w:rPr>
      </w:pPr>
    </w:p>
    <w:p w14:paraId="0D032A22" w14:textId="36D97A74" w:rsidR="00341F8F" w:rsidRPr="001E7C87" w:rsidRDefault="00341F8F" w:rsidP="00EC748B">
      <w:pPr>
        <w:jc w:val="both"/>
        <w:rPr>
          <w:rFonts w:ascii="Arial" w:hAnsi="Arial" w:cs="Arial"/>
          <w:sz w:val="24"/>
          <w:szCs w:val="24"/>
        </w:rPr>
      </w:pPr>
      <w:r>
        <w:rPr>
          <w:rFonts w:ascii="Arial" w:hAnsi="Arial"/>
          <w:sz w:val="24"/>
        </w:rPr>
        <w:t xml:space="preserve">2. At any time, stakeholders may submit requests to the General Secretariat for Fisheries – directly or by way of their member associations – to list, amend or delist </w:t>
      </w:r>
      <w:r>
        <w:rPr>
          <w:rFonts w:ascii="Arial" w:hAnsi="Arial"/>
          <w:sz w:val="24"/>
        </w:rPr>
        <w:lastRenderedPageBreak/>
        <w:t xml:space="preserve">national commercial designations or designations of preserved or prepared food accepted in Spain for the products as per Article 1(1). </w:t>
      </w:r>
    </w:p>
    <w:p w14:paraId="4D7418FE" w14:textId="77777777" w:rsidR="00341F8F" w:rsidRPr="001E7C87" w:rsidRDefault="00341F8F" w:rsidP="00EC748B">
      <w:pPr>
        <w:jc w:val="both"/>
        <w:rPr>
          <w:rFonts w:ascii="Arial" w:hAnsi="Arial" w:cs="Arial"/>
          <w:sz w:val="24"/>
          <w:szCs w:val="24"/>
        </w:rPr>
      </w:pPr>
    </w:p>
    <w:p w14:paraId="79EF9C6A" w14:textId="17190F7D" w:rsidR="00762A65" w:rsidRPr="001E7C87" w:rsidRDefault="00895DB5" w:rsidP="00762A65">
      <w:pPr>
        <w:jc w:val="both"/>
        <w:rPr>
          <w:rFonts w:ascii="Arial" w:hAnsi="Arial" w:cs="Arial"/>
          <w:sz w:val="24"/>
          <w:szCs w:val="24"/>
          <w:u w:val="single"/>
        </w:rPr>
      </w:pPr>
      <w:r>
        <w:rPr>
          <w:rFonts w:ascii="Arial" w:hAnsi="Arial"/>
          <w:sz w:val="24"/>
        </w:rPr>
        <w:t xml:space="preserve">3. In accordance with Article 14(2) of Law 39/2015 of 1 October 2015, legal entities shall submit these requests using the electronic registry of the Ministry of Agriculture, Fisheries and Food, on the electronic portal of that Ministry (https://www.mapa.gob.es), using the standard request form provided on the electronic portal of the Ministry of Agriculture, Fisheries and Food </w:t>
      </w:r>
      <w:hyperlink r:id="rId8" w:history="1">
        <w:r>
          <w:rPr>
            <w:rFonts w:ascii="Arial" w:hAnsi="Arial"/>
            <w:sz w:val="24"/>
            <w:u w:val="single"/>
          </w:rPr>
          <w:t>https://sede.mapa.gob.es/portal/site/seMAPA/ficha-procedimiento?procedure_suborg_responsable=27&amp;procedure_id=675&amp;by=theme</w:t>
        </w:r>
      </w:hyperlink>
      <w:r>
        <w:t>.</w:t>
      </w:r>
    </w:p>
    <w:p w14:paraId="78508E08" w14:textId="77777777" w:rsidR="00341F8F" w:rsidRPr="00DE1B43" w:rsidRDefault="00341F8F" w:rsidP="00FA57BF">
      <w:pPr>
        <w:jc w:val="both"/>
        <w:rPr>
          <w:rFonts w:ascii="Arial" w:hAnsi="Arial" w:cs="Arial"/>
          <w:i/>
          <w:iCs/>
          <w:sz w:val="24"/>
          <w:szCs w:val="24"/>
          <w:lang w:val="en-US"/>
        </w:rPr>
      </w:pPr>
    </w:p>
    <w:p w14:paraId="4565CF1A" w14:textId="77777777" w:rsidR="00341F8F" w:rsidRPr="001E7C87" w:rsidRDefault="00341F8F" w:rsidP="00EC748B">
      <w:pPr>
        <w:jc w:val="both"/>
        <w:rPr>
          <w:rFonts w:ascii="Arial" w:hAnsi="Arial" w:cs="Arial"/>
          <w:sz w:val="24"/>
          <w:szCs w:val="24"/>
        </w:rPr>
      </w:pPr>
      <w:r>
        <w:rPr>
          <w:rFonts w:ascii="Arial" w:hAnsi="Arial"/>
          <w:sz w:val="24"/>
        </w:rPr>
        <w:t xml:space="preserve">Natural persons may submit their requests by any of the methods provided for in Article 16(4) of Law 39/2015 of 1 October 2015, using the form provided on the Department website. </w:t>
      </w:r>
    </w:p>
    <w:p w14:paraId="6DC6FE92" w14:textId="77777777" w:rsidR="00341F8F" w:rsidRPr="001E7C87" w:rsidRDefault="00341F8F" w:rsidP="00EC748B">
      <w:pPr>
        <w:jc w:val="both"/>
        <w:rPr>
          <w:rFonts w:ascii="Arial" w:hAnsi="Arial" w:cs="Arial"/>
          <w:sz w:val="24"/>
          <w:szCs w:val="24"/>
        </w:rPr>
      </w:pPr>
    </w:p>
    <w:p w14:paraId="062116FC" w14:textId="77777777" w:rsidR="00341F8F" w:rsidRPr="001E7C87" w:rsidRDefault="00341F8F" w:rsidP="00EC748B">
      <w:pPr>
        <w:jc w:val="both"/>
        <w:rPr>
          <w:rFonts w:ascii="Arial" w:hAnsi="Arial" w:cs="Arial"/>
          <w:sz w:val="24"/>
          <w:szCs w:val="24"/>
        </w:rPr>
      </w:pPr>
      <w:r>
        <w:rPr>
          <w:rFonts w:ascii="Arial" w:hAnsi="Arial"/>
          <w:sz w:val="24"/>
        </w:rPr>
        <w:t>3. Stakeholder requests shall include at least:</w:t>
      </w:r>
    </w:p>
    <w:p w14:paraId="3E7B8369" w14:textId="77777777" w:rsidR="00820618" w:rsidRPr="001E7C87" w:rsidRDefault="00820618" w:rsidP="00EC748B">
      <w:pPr>
        <w:jc w:val="both"/>
        <w:rPr>
          <w:rFonts w:ascii="Arial" w:hAnsi="Arial" w:cs="Arial"/>
          <w:sz w:val="24"/>
          <w:szCs w:val="24"/>
        </w:rPr>
      </w:pPr>
    </w:p>
    <w:p w14:paraId="236D2006" w14:textId="6BA69247" w:rsidR="00341F8F" w:rsidRPr="00E6403A" w:rsidRDefault="00341F8F" w:rsidP="00253F7B">
      <w:pPr>
        <w:pStyle w:val="ListParagraph"/>
        <w:numPr>
          <w:ilvl w:val="0"/>
          <w:numId w:val="4"/>
        </w:numPr>
        <w:jc w:val="both"/>
        <w:rPr>
          <w:rFonts w:ascii="Arial" w:hAnsi="Arial" w:cs="Arial"/>
          <w:sz w:val="24"/>
          <w:szCs w:val="24"/>
        </w:rPr>
      </w:pPr>
      <w:r>
        <w:rPr>
          <w:rFonts w:ascii="Arial" w:hAnsi="Arial"/>
          <w:sz w:val="24"/>
        </w:rPr>
        <w:t>given name and family names of the requesting party or the name of the requesting company or representative entity;</w:t>
      </w:r>
    </w:p>
    <w:p w14:paraId="2C724798" w14:textId="79C77DFD" w:rsidR="00341F8F" w:rsidRPr="00E6403A" w:rsidRDefault="00341F8F" w:rsidP="00253F7B">
      <w:pPr>
        <w:pStyle w:val="ListParagraph"/>
        <w:numPr>
          <w:ilvl w:val="0"/>
          <w:numId w:val="4"/>
        </w:numPr>
        <w:jc w:val="both"/>
        <w:rPr>
          <w:rFonts w:ascii="Arial" w:hAnsi="Arial" w:cs="Arial"/>
          <w:sz w:val="24"/>
          <w:szCs w:val="24"/>
        </w:rPr>
      </w:pPr>
      <w:r>
        <w:rPr>
          <w:rFonts w:ascii="Arial" w:hAnsi="Arial"/>
          <w:sz w:val="24"/>
        </w:rPr>
        <w:t>scientific name of the species for listing or delisting and the national commercial designation or designation of preserved or prepared food accepted in Spain and its FAO 3-alpha code;</w:t>
      </w:r>
    </w:p>
    <w:p w14:paraId="37315BA6" w14:textId="2D0EEC7F" w:rsidR="00341F8F" w:rsidRPr="0055122D" w:rsidRDefault="00341F8F" w:rsidP="00253F7B">
      <w:pPr>
        <w:pStyle w:val="ListParagraph"/>
        <w:numPr>
          <w:ilvl w:val="0"/>
          <w:numId w:val="4"/>
        </w:numPr>
        <w:jc w:val="both"/>
        <w:rPr>
          <w:rFonts w:ascii="Arial" w:hAnsi="Arial" w:cs="Arial"/>
          <w:sz w:val="24"/>
          <w:szCs w:val="24"/>
        </w:rPr>
      </w:pPr>
      <w:r>
        <w:rPr>
          <w:rFonts w:ascii="Arial" w:hAnsi="Arial"/>
          <w:sz w:val="24"/>
        </w:rPr>
        <w:t>if the stakeholder would like to amend the national commercial designation or designation of preserved or prepared food accepted in Spain, or the scientific name of the species, it shall indicate the national commercial designation or designation of preserved or prepared food accepted in Spain and the FAO 3-alpha code of the species to be amended and the new national commercial designation or designation of preserved or prepared food accepted in Spain;</w:t>
      </w:r>
    </w:p>
    <w:p w14:paraId="7B95C971" w14:textId="77777777" w:rsidR="00341F8F" w:rsidRPr="001E7C87" w:rsidRDefault="00341F8F" w:rsidP="00253F7B">
      <w:pPr>
        <w:pStyle w:val="ListParagraph"/>
        <w:numPr>
          <w:ilvl w:val="0"/>
          <w:numId w:val="4"/>
        </w:numPr>
        <w:jc w:val="both"/>
        <w:rPr>
          <w:rFonts w:ascii="Arial" w:hAnsi="Arial" w:cs="Arial"/>
          <w:sz w:val="24"/>
          <w:szCs w:val="24"/>
        </w:rPr>
      </w:pPr>
      <w:r>
        <w:rPr>
          <w:rFonts w:ascii="Arial" w:hAnsi="Arial"/>
          <w:sz w:val="24"/>
        </w:rPr>
        <w:t>reason for the listing, amendment or delisting.</w:t>
      </w:r>
    </w:p>
    <w:p w14:paraId="3C5DE199" w14:textId="77777777" w:rsidR="00341F8F" w:rsidRPr="001E7C87" w:rsidRDefault="00341F8F" w:rsidP="00EC748B">
      <w:pPr>
        <w:pStyle w:val="ListParagraph"/>
        <w:jc w:val="both"/>
        <w:rPr>
          <w:rFonts w:ascii="Arial" w:hAnsi="Arial" w:cs="Arial"/>
          <w:sz w:val="24"/>
          <w:szCs w:val="24"/>
        </w:rPr>
      </w:pPr>
    </w:p>
    <w:p w14:paraId="78A473A2" w14:textId="77777777" w:rsidR="00341F8F" w:rsidRPr="001E7C87" w:rsidRDefault="00341F8F" w:rsidP="00EC748B">
      <w:pPr>
        <w:jc w:val="both"/>
        <w:rPr>
          <w:rFonts w:ascii="Arial" w:hAnsi="Arial" w:cs="Arial"/>
          <w:strike/>
          <w:sz w:val="24"/>
          <w:szCs w:val="24"/>
        </w:rPr>
      </w:pPr>
      <w:r>
        <w:rPr>
          <w:rFonts w:ascii="Arial" w:hAnsi="Arial"/>
          <w:sz w:val="24"/>
        </w:rPr>
        <w:t xml:space="preserve">4. If the request does not meet the requirements set out in the preceding paragraphs, or if it requires clarification or additional documentation, the authorities shall ask the stakeholder to correct the discrepancy within 10 working days by providing the missing information or documents, as per Article 68 of Law 39/2015 of 1 October 2015, with an indication that if that does not occur, the application shall be considered withdrawn, after a decision issued under the conditions set out in Article 21 in conjunction with Article 68 of Law 39/2015 of 1 October 2015. </w:t>
      </w:r>
    </w:p>
    <w:p w14:paraId="57F511E0" w14:textId="77777777" w:rsidR="00341F8F" w:rsidRPr="001E7C87" w:rsidRDefault="00341F8F" w:rsidP="00EC748B">
      <w:pPr>
        <w:jc w:val="both"/>
        <w:rPr>
          <w:rFonts w:ascii="Arial" w:hAnsi="Arial" w:cs="Arial"/>
          <w:sz w:val="24"/>
          <w:szCs w:val="24"/>
        </w:rPr>
      </w:pPr>
    </w:p>
    <w:p w14:paraId="0B1BC409" w14:textId="54E192D8" w:rsidR="00341F8F" w:rsidRPr="00076972" w:rsidRDefault="00341F8F" w:rsidP="00EC748B">
      <w:pPr>
        <w:jc w:val="both"/>
        <w:rPr>
          <w:rFonts w:ascii="Arial" w:hAnsi="Arial" w:cs="Arial"/>
          <w:sz w:val="24"/>
          <w:szCs w:val="24"/>
        </w:rPr>
      </w:pPr>
      <w:r>
        <w:rPr>
          <w:rFonts w:ascii="Arial" w:hAnsi="Arial"/>
          <w:sz w:val="24"/>
        </w:rPr>
        <w:t>5. For its decision, the General Secretariat for Fisheries may request the advice it deems necessary from the relevant scientific bodies, from the entities representing the fisheries and aquaculture sector and any other entity it deems appropriate, which shall therefore electronically submit a report in accordance with the requirements</w:t>
      </w:r>
      <w:r>
        <w:rPr>
          <w:rFonts w:ascii="Arial Unicode MS"/>
          <w:sz w:val="24"/>
        </w:rPr>
        <w:t xml:space="preserve"> </w:t>
      </w:r>
      <w:r>
        <w:rPr>
          <w:rFonts w:ascii="Arial" w:hAnsi="Arial"/>
          <w:sz w:val="24"/>
        </w:rPr>
        <w:t>and objectives</w:t>
      </w:r>
      <w:r>
        <w:rPr>
          <w:rFonts w:ascii="Arial Unicode MS"/>
          <w:sz w:val="24"/>
        </w:rPr>
        <w:t xml:space="preserve"> </w:t>
      </w:r>
      <w:r>
        <w:rPr>
          <w:rFonts w:ascii="Arial" w:hAnsi="Arial"/>
          <w:sz w:val="24"/>
        </w:rPr>
        <w:t>set out in Article 80 of Law 39/2015 of 1 October 2015, within 10 working days. If the report is not submitted within that time frame, the General Secretariat for Fisheries may continue the procedure and take any other relevant actions.</w:t>
      </w:r>
    </w:p>
    <w:p w14:paraId="433C4025" w14:textId="77777777" w:rsidR="00341F8F" w:rsidRPr="001E7C87" w:rsidRDefault="00341F8F" w:rsidP="00EC748B">
      <w:pPr>
        <w:jc w:val="both"/>
        <w:rPr>
          <w:rFonts w:ascii="Arial" w:hAnsi="Arial" w:cs="Arial"/>
          <w:sz w:val="24"/>
          <w:szCs w:val="24"/>
        </w:rPr>
      </w:pPr>
      <w:r>
        <w:rPr>
          <w:rFonts w:ascii="Arial" w:hAnsi="Arial"/>
          <w:sz w:val="24"/>
        </w:rPr>
        <w:lastRenderedPageBreak/>
        <w:t xml:space="preserve">6. The General Secretariat for Fisheries shall take and publish its decision within no more than 3 months from the date on which the application is entered in the registry of the Ministry of Agriculture, Fisheries and Food. </w:t>
      </w:r>
    </w:p>
    <w:p w14:paraId="7975B217" w14:textId="77777777" w:rsidR="00341F8F" w:rsidRPr="001E7C87" w:rsidRDefault="00341F8F" w:rsidP="00EC748B">
      <w:pPr>
        <w:jc w:val="both"/>
        <w:rPr>
          <w:rFonts w:ascii="Arial" w:hAnsi="Arial" w:cs="Arial"/>
          <w:sz w:val="24"/>
          <w:szCs w:val="24"/>
        </w:rPr>
      </w:pPr>
    </w:p>
    <w:p w14:paraId="333E16B7" w14:textId="77777777" w:rsidR="00341F8F" w:rsidRPr="001E7C87" w:rsidRDefault="00341F8F" w:rsidP="00EC748B">
      <w:pPr>
        <w:jc w:val="both"/>
        <w:rPr>
          <w:rFonts w:ascii="Arial" w:hAnsi="Arial" w:cs="Arial"/>
          <w:sz w:val="24"/>
          <w:szCs w:val="24"/>
        </w:rPr>
      </w:pPr>
      <w:r>
        <w:rPr>
          <w:rFonts w:ascii="Arial" w:hAnsi="Arial"/>
          <w:sz w:val="24"/>
        </w:rPr>
        <w:t xml:space="preserve">If this deadline passes without publication of the decision in the manner specified above, the stakeholders may interpret this as a tacit rejection by the authorities, as per Article 24(1) of Law 39/2015 of 1 October 2015 and the sixth additional provision of Law 3/2001 of 26 March 2001 on National Marine Fisheries.  </w:t>
      </w:r>
    </w:p>
    <w:p w14:paraId="6FFA35C8" w14:textId="77777777" w:rsidR="00341F8F" w:rsidRPr="001E7C87" w:rsidRDefault="00341F8F" w:rsidP="00EC748B">
      <w:pPr>
        <w:jc w:val="both"/>
        <w:rPr>
          <w:rFonts w:ascii="Arial" w:hAnsi="Arial" w:cs="Arial"/>
          <w:sz w:val="24"/>
          <w:szCs w:val="24"/>
        </w:rPr>
      </w:pPr>
    </w:p>
    <w:p w14:paraId="6CEE288C" w14:textId="77777777" w:rsidR="00341F8F" w:rsidRPr="001E7C87" w:rsidRDefault="00341F8F" w:rsidP="00EC748B">
      <w:pPr>
        <w:jc w:val="both"/>
        <w:rPr>
          <w:rFonts w:ascii="Arial" w:hAnsi="Arial" w:cs="Arial"/>
          <w:sz w:val="24"/>
          <w:szCs w:val="24"/>
        </w:rPr>
      </w:pPr>
      <w:r>
        <w:rPr>
          <w:rFonts w:ascii="Arial" w:hAnsi="Arial"/>
          <w:sz w:val="24"/>
        </w:rPr>
        <w:t>7. The website of the Ministry shall publish each individual decision in accordance with Article 45(1) of Law 39/2015 of 1 October 2015, and make it available to both the stakeholders and the competent authorities.</w:t>
      </w:r>
    </w:p>
    <w:p w14:paraId="07967C79" w14:textId="77777777" w:rsidR="00341F8F" w:rsidRPr="001E7C87" w:rsidRDefault="00341F8F" w:rsidP="00EC748B">
      <w:pPr>
        <w:jc w:val="both"/>
        <w:rPr>
          <w:rFonts w:ascii="Arial" w:hAnsi="Arial" w:cs="Arial"/>
          <w:sz w:val="24"/>
          <w:szCs w:val="24"/>
        </w:rPr>
      </w:pPr>
    </w:p>
    <w:p w14:paraId="3331D9F1" w14:textId="0FD6C610" w:rsidR="00341F8F" w:rsidRPr="001E7C87" w:rsidRDefault="00341F8F" w:rsidP="00EC748B">
      <w:pPr>
        <w:jc w:val="both"/>
        <w:rPr>
          <w:rFonts w:ascii="Arial" w:hAnsi="Arial" w:cs="Arial"/>
          <w:sz w:val="24"/>
          <w:szCs w:val="24"/>
        </w:rPr>
      </w:pPr>
      <w:r>
        <w:rPr>
          <w:rFonts w:ascii="Arial" w:hAnsi="Arial"/>
          <w:sz w:val="24"/>
        </w:rPr>
        <w:t xml:space="preserve">The amendments introduced by these decisions shall be understood to refer to the order mentioned in the preceding article, which gives the final list compiling the various individual updates over the past year. </w:t>
      </w:r>
    </w:p>
    <w:p w14:paraId="1A82BDEE" w14:textId="77777777" w:rsidR="00341F8F" w:rsidRPr="001E7C87" w:rsidRDefault="00341F8F" w:rsidP="00EC748B">
      <w:pPr>
        <w:jc w:val="both"/>
        <w:rPr>
          <w:rFonts w:ascii="Arial" w:hAnsi="Arial" w:cs="Arial"/>
          <w:sz w:val="24"/>
          <w:szCs w:val="24"/>
        </w:rPr>
      </w:pPr>
    </w:p>
    <w:p w14:paraId="24BD22F6" w14:textId="66070F6E" w:rsidR="00341F8F" w:rsidRPr="001E7C87" w:rsidRDefault="00341F8F" w:rsidP="00EC748B">
      <w:pPr>
        <w:jc w:val="both"/>
        <w:rPr>
          <w:rFonts w:ascii="Arial" w:hAnsi="Arial" w:cs="Arial"/>
          <w:sz w:val="24"/>
          <w:szCs w:val="24"/>
        </w:rPr>
      </w:pPr>
      <w:r>
        <w:rPr>
          <w:rFonts w:ascii="Arial" w:hAnsi="Arial"/>
          <w:sz w:val="24"/>
        </w:rPr>
        <w:t xml:space="preserve">8. If the aforementioned procedure results in rejection of a listing, amendment or delisting request for a national commercial designation or a designation of a preserved or prepared food accepted in Spain, the decision published on the website of the Ministry of Agriculture, Fisheries and Food shall detail the reasons for rejection. </w:t>
      </w:r>
    </w:p>
    <w:p w14:paraId="06F3067F" w14:textId="77777777" w:rsidR="00341F8F" w:rsidRPr="001E7C87" w:rsidRDefault="00341F8F" w:rsidP="00EC748B">
      <w:pPr>
        <w:jc w:val="both"/>
        <w:rPr>
          <w:rFonts w:ascii="Arial" w:hAnsi="Arial" w:cs="Arial"/>
          <w:sz w:val="24"/>
          <w:szCs w:val="24"/>
        </w:rPr>
      </w:pPr>
    </w:p>
    <w:p w14:paraId="344CE26C" w14:textId="77777777" w:rsidR="00341F8F" w:rsidRPr="001E7C87" w:rsidRDefault="00341F8F" w:rsidP="00EC748B">
      <w:pPr>
        <w:jc w:val="both"/>
        <w:rPr>
          <w:rFonts w:ascii="Arial" w:hAnsi="Arial" w:cs="Arial"/>
          <w:sz w:val="24"/>
          <w:szCs w:val="24"/>
        </w:rPr>
      </w:pPr>
      <w:r>
        <w:rPr>
          <w:rFonts w:ascii="Arial" w:hAnsi="Arial"/>
          <w:sz w:val="24"/>
        </w:rPr>
        <w:t>9. It shall be possible to appeal non-final decisions to end the individual request procedure to the Minister for Agriculture, Fisheries and Food, according to the conditions and time frames set out in Articles 121 and 122 in conjunction with 112(1) of Law 39/2015 of 1 October 2015 on Common Administrative Procedures in Public Administration.</w:t>
      </w:r>
    </w:p>
    <w:p w14:paraId="316C2CA4" w14:textId="77777777" w:rsidR="00341F8F" w:rsidRPr="001E7C87" w:rsidRDefault="00341F8F" w:rsidP="00EC748B">
      <w:pPr>
        <w:jc w:val="both"/>
        <w:rPr>
          <w:rFonts w:ascii="Arial" w:hAnsi="Arial" w:cs="Arial"/>
          <w:sz w:val="24"/>
          <w:szCs w:val="24"/>
        </w:rPr>
      </w:pPr>
    </w:p>
    <w:p w14:paraId="1DF96034" w14:textId="77777777" w:rsidR="00341F8F" w:rsidRPr="00076972" w:rsidRDefault="00341F8F" w:rsidP="00EC748B">
      <w:pPr>
        <w:jc w:val="both"/>
        <w:rPr>
          <w:rFonts w:ascii="Arial" w:hAnsi="Arial" w:cs="Arial"/>
          <w:b/>
          <w:i/>
          <w:sz w:val="24"/>
          <w:szCs w:val="24"/>
        </w:rPr>
      </w:pPr>
      <w:r>
        <w:rPr>
          <w:rFonts w:ascii="Arial" w:hAnsi="Arial"/>
          <w:b/>
          <w:sz w:val="24"/>
        </w:rPr>
        <w:t xml:space="preserve">Article 6. </w:t>
      </w:r>
      <w:r>
        <w:rPr>
          <w:rFonts w:ascii="Arial" w:hAnsi="Arial"/>
          <w:b/>
          <w:i/>
          <w:sz w:val="24"/>
        </w:rPr>
        <w:t>Administrative cooperation</w:t>
      </w:r>
    </w:p>
    <w:p w14:paraId="02EC6F74" w14:textId="77777777" w:rsidR="00341F8F" w:rsidRPr="001E7C87" w:rsidRDefault="00341F8F" w:rsidP="00EC748B">
      <w:pPr>
        <w:jc w:val="both"/>
        <w:rPr>
          <w:rFonts w:ascii="Arial" w:hAnsi="Arial" w:cs="Arial"/>
          <w:sz w:val="24"/>
          <w:szCs w:val="24"/>
        </w:rPr>
      </w:pPr>
    </w:p>
    <w:p w14:paraId="437C7056" w14:textId="77777777" w:rsidR="00341F8F" w:rsidRPr="00E6403A" w:rsidRDefault="00341F8F" w:rsidP="00EC748B">
      <w:pPr>
        <w:jc w:val="both"/>
        <w:rPr>
          <w:rFonts w:ascii="Arial" w:hAnsi="Arial" w:cs="Arial"/>
          <w:sz w:val="24"/>
          <w:szCs w:val="24"/>
        </w:rPr>
      </w:pPr>
      <w:r>
        <w:rPr>
          <w:rFonts w:ascii="Arial" w:hAnsi="Arial"/>
          <w:sz w:val="24"/>
        </w:rPr>
        <w:t>1. The competent bodies of the Autonomous Communities may authorise the use of commercial designations accepted in their respective territories, as a supplement to the national ones. They shall publish their updated lists for these at least once a year in their Official Gazettes.</w:t>
      </w:r>
    </w:p>
    <w:p w14:paraId="17EE59C1" w14:textId="77777777" w:rsidR="00341F8F" w:rsidRPr="00E6403A" w:rsidRDefault="00341F8F" w:rsidP="00EC748B">
      <w:pPr>
        <w:jc w:val="both"/>
        <w:rPr>
          <w:rFonts w:ascii="Arial" w:hAnsi="Arial" w:cs="Arial"/>
          <w:sz w:val="24"/>
          <w:szCs w:val="24"/>
        </w:rPr>
      </w:pPr>
    </w:p>
    <w:p w14:paraId="52B773DE" w14:textId="6CCB4EE5" w:rsidR="00DA28D7" w:rsidRPr="001E7C87" w:rsidRDefault="00341F8F" w:rsidP="00EC748B">
      <w:pPr>
        <w:jc w:val="both"/>
        <w:rPr>
          <w:rFonts w:ascii="Arial" w:hAnsi="Arial" w:cs="Arial"/>
          <w:sz w:val="24"/>
          <w:szCs w:val="24"/>
        </w:rPr>
      </w:pPr>
      <w:r>
        <w:rPr>
          <w:rFonts w:ascii="Arial" w:hAnsi="Arial"/>
          <w:sz w:val="24"/>
        </w:rPr>
        <w:t>2. Commercial designations recognised by an Autonomous Community shall supplement but never replace those adopted at the national level, and the authorities must guarantee at all times that the information provided to consumers always reflects that accepted at the national level.</w:t>
      </w:r>
    </w:p>
    <w:p w14:paraId="62E4ED21" w14:textId="223809E0" w:rsidR="00DA28D7" w:rsidRPr="002E5171" w:rsidRDefault="00DA28D7" w:rsidP="00DA28D7">
      <w:pPr>
        <w:jc w:val="both"/>
        <w:rPr>
          <w:rFonts w:ascii="Arial" w:hAnsi="Arial" w:cs="Arial"/>
          <w:sz w:val="24"/>
          <w:szCs w:val="24"/>
        </w:rPr>
      </w:pPr>
      <w:r>
        <w:rPr>
          <w:rFonts w:ascii="Arial" w:hAnsi="Arial"/>
          <w:sz w:val="24"/>
        </w:rPr>
        <w:t>3. In addition, to avoid confusion amongst consumers, the Autonomous Communities shall ensure that commercial designations recognised by an Autonomous Community for a particular species do not conflict with any commercial designations adopted at national level for a different species.</w:t>
      </w:r>
    </w:p>
    <w:p w14:paraId="0369F0E5" w14:textId="77777777" w:rsidR="00341F8F" w:rsidRPr="002E5171" w:rsidRDefault="00341F8F" w:rsidP="00EC748B">
      <w:pPr>
        <w:jc w:val="both"/>
        <w:rPr>
          <w:rFonts w:ascii="Arial" w:hAnsi="Arial" w:cs="Arial"/>
          <w:sz w:val="24"/>
          <w:szCs w:val="24"/>
        </w:rPr>
      </w:pPr>
    </w:p>
    <w:p w14:paraId="124B35DE" w14:textId="0BA91497" w:rsidR="00341F8F" w:rsidRPr="002E5171" w:rsidRDefault="00DA28D7" w:rsidP="00EC748B">
      <w:pPr>
        <w:jc w:val="both"/>
        <w:rPr>
          <w:rFonts w:ascii="Arial" w:hAnsi="Arial" w:cs="Arial"/>
          <w:sz w:val="24"/>
          <w:szCs w:val="24"/>
        </w:rPr>
      </w:pPr>
      <w:r>
        <w:rPr>
          <w:rFonts w:ascii="Arial" w:hAnsi="Arial"/>
          <w:sz w:val="24"/>
        </w:rPr>
        <w:lastRenderedPageBreak/>
        <w:t>4. Within 10 working days after official recognition, the Autonomous Communities shall notify the General Secretariat for Fisheries of the Ministry of Agriculture, Fisheries and Food of the individual decisions taken to authorise the use of commercial designations accepted in their territories, as a supplement to the national ones.</w:t>
      </w:r>
    </w:p>
    <w:p w14:paraId="6A5E53B9" w14:textId="77777777" w:rsidR="00341F8F" w:rsidRPr="002E5171" w:rsidRDefault="00341F8F" w:rsidP="00EC748B">
      <w:pPr>
        <w:jc w:val="both"/>
        <w:rPr>
          <w:rFonts w:ascii="Arial" w:hAnsi="Arial" w:cs="Arial"/>
          <w:sz w:val="24"/>
          <w:szCs w:val="24"/>
        </w:rPr>
      </w:pPr>
    </w:p>
    <w:p w14:paraId="3FBEC463" w14:textId="77777777" w:rsidR="00341F8F" w:rsidRPr="002E5171" w:rsidRDefault="00DA28D7" w:rsidP="00EC748B">
      <w:pPr>
        <w:jc w:val="both"/>
        <w:rPr>
          <w:rFonts w:ascii="Arial" w:hAnsi="Arial" w:cs="Arial"/>
          <w:sz w:val="24"/>
          <w:szCs w:val="24"/>
        </w:rPr>
      </w:pPr>
      <w:r>
        <w:rPr>
          <w:rFonts w:ascii="Arial" w:hAnsi="Arial"/>
          <w:sz w:val="24"/>
        </w:rPr>
        <w:t>5. In January of each year, the competent bodies of the Autonomous Communities shall notify the General Secretariat for Fisheries of their decisions adopting the lists of designations accepted in their territories, as a supplement to the national ones, for compilation and publication in the annual order as per Article 4.</w:t>
      </w:r>
    </w:p>
    <w:p w14:paraId="1480DE30" w14:textId="77777777" w:rsidR="00341F8F" w:rsidRPr="002E5171" w:rsidRDefault="00341F8F" w:rsidP="00EC748B">
      <w:pPr>
        <w:jc w:val="both"/>
        <w:rPr>
          <w:rFonts w:ascii="Arial" w:hAnsi="Arial" w:cs="Arial"/>
          <w:sz w:val="24"/>
          <w:szCs w:val="24"/>
        </w:rPr>
      </w:pPr>
    </w:p>
    <w:p w14:paraId="454779D1" w14:textId="2BC5E72F" w:rsidR="00341F8F" w:rsidRPr="001E7C87" w:rsidRDefault="00DA28D7" w:rsidP="00D70B79">
      <w:pPr>
        <w:jc w:val="both"/>
        <w:rPr>
          <w:rFonts w:ascii="Arial" w:hAnsi="Arial" w:cs="Arial"/>
          <w:sz w:val="24"/>
          <w:szCs w:val="24"/>
        </w:rPr>
      </w:pPr>
      <w:r>
        <w:rPr>
          <w:rFonts w:ascii="Arial" w:hAnsi="Arial"/>
          <w:sz w:val="24"/>
        </w:rPr>
        <w:t>6.</w:t>
      </w:r>
      <w:r>
        <w:rPr>
          <w:rFonts w:ascii="Arial" w:hAnsi="Arial"/>
          <w:b/>
          <w:sz w:val="24"/>
        </w:rPr>
        <w:t xml:space="preserve"> </w:t>
      </w:r>
      <w:r>
        <w:rPr>
          <w:rFonts w:ascii="Arial" w:hAnsi="Arial"/>
          <w:sz w:val="24"/>
        </w:rPr>
        <w:t>In accordance with Article 1(2), in their lists of supplementary designations, the Autonomous Communities shall not use any national designations for species other than those assigned at the national level.</w:t>
      </w:r>
    </w:p>
    <w:p w14:paraId="62191F6A" w14:textId="77777777" w:rsidR="00341F8F" w:rsidRPr="001E7C87" w:rsidRDefault="00341F8F" w:rsidP="00EC748B">
      <w:pPr>
        <w:jc w:val="both"/>
        <w:rPr>
          <w:rFonts w:ascii="Arial" w:hAnsi="Arial" w:cs="Arial"/>
          <w:b/>
          <w:sz w:val="24"/>
          <w:szCs w:val="24"/>
        </w:rPr>
      </w:pPr>
    </w:p>
    <w:p w14:paraId="78D71333" w14:textId="77777777" w:rsidR="00341F8F" w:rsidRPr="00076972" w:rsidRDefault="00341F8F" w:rsidP="00EC748B">
      <w:pPr>
        <w:jc w:val="both"/>
        <w:rPr>
          <w:rFonts w:ascii="Arial" w:hAnsi="Arial" w:cs="Arial"/>
          <w:b/>
          <w:sz w:val="24"/>
          <w:szCs w:val="24"/>
        </w:rPr>
      </w:pPr>
      <w:r>
        <w:rPr>
          <w:rFonts w:ascii="Arial" w:hAnsi="Arial"/>
          <w:b/>
          <w:sz w:val="24"/>
        </w:rPr>
        <w:t xml:space="preserve">Article 7. </w:t>
      </w:r>
      <w:r>
        <w:rPr>
          <w:rFonts w:ascii="Arial" w:hAnsi="Arial"/>
          <w:b/>
          <w:i/>
          <w:sz w:val="24"/>
        </w:rPr>
        <w:t>Penalties</w:t>
      </w:r>
    </w:p>
    <w:p w14:paraId="6E0888BB" w14:textId="77777777" w:rsidR="00341F8F" w:rsidRPr="001E7C87" w:rsidRDefault="00341F8F" w:rsidP="00EC748B">
      <w:pPr>
        <w:jc w:val="both"/>
        <w:rPr>
          <w:rFonts w:ascii="Arial" w:hAnsi="Arial" w:cs="Arial"/>
          <w:sz w:val="24"/>
          <w:szCs w:val="24"/>
        </w:rPr>
      </w:pPr>
    </w:p>
    <w:p w14:paraId="58725BDA" w14:textId="77777777" w:rsidR="00341F8F" w:rsidRPr="001E7C87" w:rsidRDefault="00341F8F" w:rsidP="00EC748B">
      <w:pPr>
        <w:jc w:val="both"/>
        <w:rPr>
          <w:rFonts w:ascii="Arial" w:hAnsi="Arial" w:cs="Arial"/>
          <w:sz w:val="24"/>
          <w:szCs w:val="24"/>
        </w:rPr>
      </w:pPr>
      <w:r>
        <w:rPr>
          <w:rFonts w:ascii="Arial" w:hAnsi="Arial"/>
          <w:sz w:val="24"/>
        </w:rPr>
        <w:t>Failure to meet the provisions of this Royal Decree shall be subject to the penalties set out in Title V of Law 3/2001 of 26 March 2011, Title IV of the recast text of the General Law on consumer and user protection [General para la Defensa de los Consumidores y Usuarios] and other complementary laws, adopted by Royal Legislative Decree 1/2007 of 16 November 2007, in Law 12/2013 of 2 August 2013 on measures to improve the functioning of the food chain, as well as in other complementary laws, without prejudice to the powers conferred to the Autonomous Communities.</w:t>
      </w:r>
    </w:p>
    <w:p w14:paraId="363AA605" w14:textId="77777777" w:rsidR="00341F8F" w:rsidRPr="00DE1B43" w:rsidRDefault="00341F8F" w:rsidP="00EC748B">
      <w:pPr>
        <w:jc w:val="both"/>
        <w:rPr>
          <w:rFonts w:ascii="Arial" w:hAnsi="Arial" w:cs="Arial"/>
          <w:sz w:val="24"/>
          <w:szCs w:val="24"/>
          <w:lang w:val="en-US"/>
        </w:rPr>
      </w:pPr>
    </w:p>
    <w:p w14:paraId="02FFCFE8" w14:textId="77777777" w:rsidR="00341F8F" w:rsidRPr="00076972" w:rsidRDefault="00341F8F" w:rsidP="00EC748B">
      <w:pPr>
        <w:jc w:val="both"/>
        <w:rPr>
          <w:rFonts w:ascii="Arial" w:hAnsi="Arial" w:cs="Arial"/>
          <w:b/>
          <w:i/>
          <w:sz w:val="24"/>
          <w:szCs w:val="24"/>
        </w:rPr>
      </w:pPr>
      <w:r>
        <w:rPr>
          <w:rFonts w:ascii="Arial" w:hAnsi="Arial"/>
          <w:b/>
          <w:sz w:val="24"/>
        </w:rPr>
        <w:t xml:space="preserve">First additional provision. </w:t>
      </w:r>
      <w:r>
        <w:rPr>
          <w:rFonts w:ascii="Arial" w:hAnsi="Arial"/>
          <w:b/>
          <w:i/>
          <w:sz w:val="24"/>
        </w:rPr>
        <w:t>Single market clause</w:t>
      </w:r>
    </w:p>
    <w:p w14:paraId="2AD7B2B3" w14:textId="77777777" w:rsidR="00341F8F" w:rsidRPr="00DE1B43" w:rsidRDefault="00341F8F" w:rsidP="00EC748B">
      <w:pPr>
        <w:jc w:val="both"/>
        <w:rPr>
          <w:rFonts w:ascii="Arial" w:hAnsi="Arial" w:cs="Arial"/>
          <w:b/>
          <w:sz w:val="24"/>
          <w:szCs w:val="24"/>
          <w:lang w:val="en-US"/>
        </w:rPr>
      </w:pPr>
    </w:p>
    <w:p w14:paraId="2FEF5872" w14:textId="6C222740" w:rsidR="00341F8F" w:rsidRPr="001E7C87" w:rsidRDefault="00341F8F" w:rsidP="00EC748B">
      <w:pPr>
        <w:jc w:val="both"/>
        <w:rPr>
          <w:rFonts w:ascii="Arial" w:hAnsi="Arial" w:cs="Arial"/>
          <w:sz w:val="24"/>
          <w:szCs w:val="24"/>
        </w:rPr>
      </w:pPr>
      <w:r>
        <w:rPr>
          <w:rFonts w:ascii="Arial" w:hAnsi="Arial"/>
          <w:sz w:val="24"/>
        </w:rPr>
        <w:t>Preserved or prepared fishery and aquaculture food products, appearing in points h and i of Annex I to Regulation (EU) No 1379/2013 of the European Parliament and of the Council of 11 December 2013, lawfully placed on the market in another European Union Member State or Turkey, or originating from a State in the European Free Trade Association that is party to the Agreement on the European Economic Area, shall be deemed to meet these regulations. Application of these regulations is subject to Regulation (EC) No 764/2008 of the European Parliament and of the Council of 9 July 2008 laying down procedures relating to the application of certain national technical rules to products lawfully marketed in another Member State and repealing Decision No 3052/95/EC until 18 April 2020, and shall be subject to Regulation (EU) 2019/515 of 19 March 2019 on the mutual recognition of goods lawfully marketed in another Member State from 19 April 2020.</w:t>
      </w:r>
    </w:p>
    <w:p w14:paraId="0C20C89C" w14:textId="77777777" w:rsidR="00341F8F" w:rsidRPr="001E7C87" w:rsidRDefault="00341F8F" w:rsidP="00EC748B">
      <w:pPr>
        <w:jc w:val="both"/>
        <w:rPr>
          <w:rFonts w:ascii="Arial" w:hAnsi="Arial" w:cs="Arial"/>
          <w:sz w:val="24"/>
          <w:szCs w:val="24"/>
        </w:rPr>
      </w:pPr>
    </w:p>
    <w:p w14:paraId="60BCCF2D" w14:textId="77777777" w:rsidR="00341F8F" w:rsidRPr="00C25511" w:rsidRDefault="00341F8F" w:rsidP="008C2D9D">
      <w:pPr>
        <w:keepNext/>
        <w:jc w:val="both"/>
        <w:rPr>
          <w:rFonts w:ascii="Arial" w:hAnsi="Arial" w:cs="Arial"/>
          <w:b/>
          <w:i/>
          <w:sz w:val="24"/>
          <w:szCs w:val="24"/>
        </w:rPr>
      </w:pPr>
      <w:r>
        <w:rPr>
          <w:rFonts w:ascii="Arial" w:hAnsi="Arial"/>
          <w:b/>
          <w:sz w:val="24"/>
        </w:rPr>
        <w:lastRenderedPageBreak/>
        <w:t xml:space="preserve">Second additional provision. </w:t>
      </w:r>
      <w:r>
        <w:rPr>
          <w:rFonts w:ascii="Arial" w:hAnsi="Arial"/>
          <w:b/>
          <w:i/>
          <w:sz w:val="24"/>
        </w:rPr>
        <w:t>Use of alternative designations for Sardina pilchardus, Trachurus spp., Auxis rochei, Auxis thazard, Merluccius spp. and Macruronus spp.</w:t>
      </w:r>
    </w:p>
    <w:p w14:paraId="4664EEA1" w14:textId="77777777" w:rsidR="00341F8F" w:rsidRPr="001E7C87" w:rsidRDefault="00341F8F" w:rsidP="008C2D9D">
      <w:pPr>
        <w:keepNext/>
        <w:jc w:val="both"/>
        <w:rPr>
          <w:rFonts w:ascii="Arial" w:hAnsi="Arial" w:cs="Arial"/>
          <w:b/>
          <w:sz w:val="24"/>
          <w:szCs w:val="24"/>
        </w:rPr>
      </w:pPr>
    </w:p>
    <w:p w14:paraId="292364F1" w14:textId="5EB5750F" w:rsidR="00341F8F" w:rsidRPr="001E7C87" w:rsidRDefault="00341F8F" w:rsidP="0002569E">
      <w:pPr>
        <w:autoSpaceDE w:val="0"/>
        <w:autoSpaceDN w:val="0"/>
        <w:jc w:val="both"/>
        <w:rPr>
          <w:rFonts w:ascii="Arial" w:hAnsi="Arial" w:cs="Arial"/>
          <w:sz w:val="24"/>
          <w:szCs w:val="24"/>
          <w:shd w:val="clear" w:color="auto" w:fill="FFFFFF"/>
        </w:rPr>
      </w:pPr>
      <w:r>
        <w:rPr>
          <w:rFonts w:ascii="Arial" w:hAnsi="Arial"/>
          <w:sz w:val="24"/>
          <w:shd w:val="clear" w:color="auto" w:fill="FFFFFF"/>
        </w:rPr>
        <w:t xml:space="preserve">Preserved and prepared products made from </w:t>
      </w:r>
      <w:r>
        <w:rPr>
          <w:rFonts w:ascii="Arial" w:hAnsi="Arial"/>
          <w:i/>
          <w:iCs/>
          <w:sz w:val="24"/>
          <w:shd w:val="clear" w:color="auto" w:fill="FFFFFF"/>
        </w:rPr>
        <w:t>Sardina pilchardus</w:t>
      </w:r>
      <w:r>
        <w:rPr>
          <w:rFonts w:ascii="Arial" w:hAnsi="Arial"/>
          <w:sz w:val="24"/>
          <w:shd w:val="clear" w:color="auto" w:fill="FFFFFF"/>
        </w:rPr>
        <w:t xml:space="preserve"> and </w:t>
      </w:r>
      <w:r>
        <w:rPr>
          <w:rFonts w:ascii="Arial" w:hAnsi="Arial"/>
          <w:i/>
          <w:iCs/>
          <w:sz w:val="24"/>
          <w:shd w:val="clear" w:color="auto" w:fill="FFFFFF"/>
        </w:rPr>
        <w:t>Trachurus spp.</w:t>
      </w:r>
      <w:r>
        <w:rPr>
          <w:rFonts w:ascii="Arial" w:hAnsi="Arial"/>
          <w:sz w:val="24"/>
          <w:shd w:val="clear" w:color="auto" w:fill="FFFFFF"/>
        </w:rPr>
        <w:t xml:space="preserve"> may use the alternative preserved food designation ‘</w:t>
      </w:r>
      <w:r>
        <w:rPr>
          <w:rFonts w:ascii="Arial" w:hAnsi="Arial"/>
          <w:i/>
          <w:iCs/>
          <w:sz w:val="24"/>
          <w:shd w:val="clear" w:color="auto" w:fill="FFFFFF"/>
        </w:rPr>
        <w:t>sardinilla</w:t>
      </w:r>
      <w:r>
        <w:rPr>
          <w:rFonts w:ascii="Arial" w:hAnsi="Arial"/>
          <w:sz w:val="24"/>
          <w:shd w:val="clear" w:color="auto" w:fill="FFFFFF"/>
        </w:rPr>
        <w:t>’ (European pilchard) and ‘</w:t>
      </w:r>
      <w:r>
        <w:rPr>
          <w:rFonts w:ascii="Arial" w:hAnsi="Arial"/>
          <w:i/>
          <w:iCs/>
          <w:sz w:val="24"/>
          <w:shd w:val="clear" w:color="auto" w:fill="FFFFFF"/>
        </w:rPr>
        <w:t>chicharrillo</w:t>
      </w:r>
      <w:r>
        <w:rPr>
          <w:rFonts w:ascii="Arial" w:hAnsi="Arial"/>
          <w:sz w:val="24"/>
          <w:shd w:val="clear" w:color="auto" w:fill="FFFFFF"/>
        </w:rPr>
        <w:t>’ (jack mackerel), respectively, as set out in the Annex to this Royal Decree, in accordance with EU and national regulations on technical measures, and specifically the following size and weight limits:</w:t>
      </w:r>
    </w:p>
    <w:p w14:paraId="4DE42BD8" w14:textId="77777777" w:rsidR="00341F8F" w:rsidRPr="001E7C87" w:rsidRDefault="00341F8F" w:rsidP="0002569E">
      <w:pPr>
        <w:autoSpaceDE w:val="0"/>
        <w:autoSpaceDN w:val="0"/>
        <w:jc w:val="both"/>
        <w:rPr>
          <w:rFonts w:ascii="Arial" w:hAnsi="Arial" w:cs="Arial"/>
          <w:sz w:val="24"/>
          <w:szCs w:val="24"/>
          <w:shd w:val="clear" w:color="auto" w:fill="FFFFFF"/>
        </w:rPr>
      </w:pPr>
    </w:p>
    <w:p w14:paraId="4572E372" w14:textId="77777777" w:rsidR="00341F8F" w:rsidRPr="001E7C87" w:rsidRDefault="00341F8F" w:rsidP="00253F7B">
      <w:pPr>
        <w:pStyle w:val="ListParagraph"/>
        <w:numPr>
          <w:ilvl w:val="0"/>
          <w:numId w:val="6"/>
        </w:numPr>
        <w:autoSpaceDE w:val="0"/>
        <w:autoSpaceDN w:val="0"/>
        <w:jc w:val="both"/>
        <w:rPr>
          <w:rFonts w:ascii="Arial" w:hAnsi="Arial" w:cs="Arial"/>
          <w:sz w:val="24"/>
          <w:szCs w:val="24"/>
        </w:rPr>
      </w:pPr>
      <w:r>
        <w:rPr>
          <w:rFonts w:ascii="Arial" w:hAnsi="Arial"/>
          <w:sz w:val="24"/>
          <w:shd w:val="clear" w:color="auto" w:fill="FFFFFF"/>
        </w:rPr>
        <w:t xml:space="preserve">for </w:t>
      </w:r>
      <w:r>
        <w:rPr>
          <w:rFonts w:ascii="Arial" w:hAnsi="Arial"/>
          <w:i/>
          <w:iCs/>
          <w:sz w:val="24"/>
          <w:shd w:val="clear" w:color="auto" w:fill="FFFFFF"/>
        </w:rPr>
        <w:t>Sardina pilchardus</w:t>
      </w:r>
      <w:r>
        <w:rPr>
          <w:rFonts w:ascii="Arial" w:hAnsi="Arial"/>
          <w:sz w:val="24"/>
          <w:shd w:val="clear" w:color="auto" w:fill="FFFFFF"/>
        </w:rPr>
        <w:t>, specimens used as raw materials in the industry:</w:t>
      </w:r>
    </w:p>
    <w:p w14:paraId="638C6E6B" w14:textId="77777777" w:rsidR="00341F8F" w:rsidRPr="001E7C87" w:rsidRDefault="00341F8F" w:rsidP="00255A67">
      <w:pPr>
        <w:pStyle w:val="ListParagraph"/>
        <w:autoSpaceDE w:val="0"/>
        <w:autoSpaceDN w:val="0"/>
        <w:jc w:val="both"/>
        <w:rPr>
          <w:rFonts w:ascii="Arial" w:hAnsi="Arial" w:cs="Arial"/>
          <w:sz w:val="24"/>
          <w:szCs w:val="24"/>
          <w:shd w:val="clear" w:color="auto" w:fill="FFFFFF"/>
        </w:rPr>
      </w:pPr>
    </w:p>
    <w:p w14:paraId="1D74EF31" w14:textId="77777777" w:rsidR="00341F8F" w:rsidRPr="001E7C87" w:rsidRDefault="00341F8F" w:rsidP="00253F7B">
      <w:pPr>
        <w:pStyle w:val="ListParagraph"/>
        <w:numPr>
          <w:ilvl w:val="0"/>
          <w:numId w:val="7"/>
        </w:numPr>
        <w:autoSpaceDE w:val="0"/>
        <w:autoSpaceDN w:val="0"/>
        <w:jc w:val="both"/>
        <w:rPr>
          <w:rFonts w:ascii="Arial" w:hAnsi="Arial" w:cs="Arial"/>
          <w:sz w:val="24"/>
          <w:szCs w:val="24"/>
        </w:rPr>
      </w:pPr>
      <w:r>
        <w:rPr>
          <w:rFonts w:ascii="Arial" w:hAnsi="Arial"/>
          <w:sz w:val="24"/>
          <w:shd w:val="clear" w:color="auto" w:fill="FFFFFF"/>
        </w:rPr>
        <w:t>if from the Mediterranean, shall measure between 11 cm and 15 cm, with an average weight of between 10.7 g and 25 g;</w:t>
      </w:r>
    </w:p>
    <w:p w14:paraId="2A08E8FE" w14:textId="77777777" w:rsidR="00341F8F" w:rsidRPr="001E7C87" w:rsidRDefault="00341F8F" w:rsidP="00255A67">
      <w:pPr>
        <w:pStyle w:val="ListParagraph"/>
        <w:autoSpaceDE w:val="0"/>
        <w:autoSpaceDN w:val="0"/>
        <w:ind w:left="1080"/>
        <w:jc w:val="both"/>
        <w:rPr>
          <w:rFonts w:ascii="Arial" w:hAnsi="Arial" w:cs="Arial"/>
          <w:sz w:val="24"/>
          <w:szCs w:val="24"/>
        </w:rPr>
      </w:pPr>
    </w:p>
    <w:p w14:paraId="32DF28F9" w14:textId="77777777" w:rsidR="00341F8F" w:rsidRPr="001E7C87" w:rsidRDefault="00341F8F" w:rsidP="00253F7B">
      <w:pPr>
        <w:pStyle w:val="ListParagraph"/>
        <w:numPr>
          <w:ilvl w:val="0"/>
          <w:numId w:val="7"/>
        </w:numPr>
        <w:autoSpaceDE w:val="0"/>
        <w:autoSpaceDN w:val="0"/>
        <w:jc w:val="both"/>
        <w:rPr>
          <w:rFonts w:ascii="Arial" w:hAnsi="Arial" w:cs="Arial"/>
          <w:sz w:val="24"/>
          <w:szCs w:val="24"/>
        </w:rPr>
      </w:pPr>
      <w:r>
        <w:rPr>
          <w:rFonts w:ascii="Arial" w:hAnsi="Arial"/>
          <w:sz w:val="24"/>
          <w:shd w:val="clear" w:color="auto" w:fill="FFFFFF"/>
        </w:rPr>
        <w:t>if from any other fishing grounds, shall measure between 11 cm and 13.7 cm, with an average weight of between 12.5 g and 25 g.</w:t>
      </w:r>
    </w:p>
    <w:p w14:paraId="3633A3FC" w14:textId="77777777" w:rsidR="00341F8F" w:rsidRPr="001E7C87" w:rsidRDefault="00341F8F" w:rsidP="00255A67">
      <w:pPr>
        <w:autoSpaceDE w:val="0"/>
        <w:autoSpaceDN w:val="0"/>
        <w:jc w:val="both"/>
        <w:rPr>
          <w:rFonts w:ascii="Arial" w:hAnsi="Arial" w:cs="Arial"/>
          <w:sz w:val="24"/>
          <w:szCs w:val="24"/>
        </w:rPr>
      </w:pPr>
    </w:p>
    <w:p w14:paraId="7626D7FB" w14:textId="77777777" w:rsidR="00341F8F" w:rsidRPr="001E7C87" w:rsidRDefault="00341F8F" w:rsidP="00253F7B">
      <w:pPr>
        <w:pStyle w:val="ListParagraph"/>
        <w:numPr>
          <w:ilvl w:val="0"/>
          <w:numId w:val="6"/>
        </w:numPr>
        <w:autoSpaceDE w:val="0"/>
        <w:autoSpaceDN w:val="0"/>
        <w:jc w:val="both"/>
        <w:rPr>
          <w:rFonts w:ascii="Arial" w:hAnsi="Arial" w:cs="Arial"/>
          <w:sz w:val="24"/>
          <w:szCs w:val="24"/>
        </w:rPr>
      </w:pPr>
      <w:r>
        <w:rPr>
          <w:rFonts w:ascii="Arial" w:hAnsi="Arial"/>
          <w:sz w:val="24"/>
        </w:rPr>
        <w:t xml:space="preserve">for </w:t>
      </w:r>
      <w:r>
        <w:rPr>
          <w:rFonts w:ascii="Arial" w:hAnsi="Arial"/>
          <w:i/>
          <w:iCs/>
          <w:sz w:val="24"/>
        </w:rPr>
        <w:t>Trachurus spp.</w:t>
      </w:r>
      <w:r>
        <w:rPr>
          <w:rFonts w:ascii="Arial" w:hAnsi="Arial"/>
          <w:sz w:val="24"/>
        </w:rPr>
        <w:t>, specimens used as raw materials in the industry:</w:t>
      </w:r>
    </w:p>
    <w:p w14:paraId="4B38A56E" w14:textId="77777777" w:rsidR="00341F8F" w:rsidRPr="001E7C87" w:rsidRDefault="00341F8F" w:rsidP="00255A67">
      <w:pPr>
        <w:pStyle w:val="ListParagraph"/>
        <w:autoSpaceDE w:val="0"/>
        <w:autoSpaceDN w:val="0"/>
        <w:jc w:val="both"/>
        <w:rPr>
          <w:rFonts w:ascii="Arial" w:hAnsi="Arial" w:cs="Arial"/>
          <w:sz w:val="24"/>
          <w:szCs w:val="24"/>
        </w:rPr>
      </w:pPr>
    </w:p>
    <w:p w14:paraId="572F4081" w14:textId="00700A87" w:rsidR="00341F8F" w:rsidRPr="00644631" w:rsidRDefault="00341F8F" w:rsidP="00644631">
      <w:pPr>
        <w:pStyle w:val="ListParagraph"/>
        <w:numPr>
          <w:ilvl w:val="0"/>
          <w:numId w:val="10"/>
        </w:numPr>
        <w:autoSpaceDE w:val="0"/>
        <w:autoSpaceDN w:val="0"/>
        <w:jc w:val="both"/>
        <w:rPr>
          <w:rFonts w:ascii="Arial" w:hAnsi="Arial" w:cs="Arial"/>
          <w:sz w:val="24"/>
          <w:szCs w:val="24"/>
        </w:rPr>
      </w:pPr>
      <w:r>
        <w:rPr>
          <w:rFonts w:ascii="Arial" w:hAnsi="Arial"/>
          <w:sz w:val="24"/>
          <w:shd w:val="clear" w:color="auto" w:fill="FFFFFF"/>
        </w:rPr>
        <w:t>if from the Mediterranean, shall measure between 15 cm and 20.2 cm, with an average weight of between 29 g and 67 g;</w:t>
      </w:r>
    </w:p>
    <w:p w14:paraId="4ACA8302" w14:textId="77777777" w:rsidR="00341F8F" w:rsidRPr="001E7C87" w:rsidRDefault="00341F8F" w:rsidP="00255A67">
      <w:pPr>
        <w:pStyle w:val="ListParagraph"/>
        <w:autoSpaceDE w:val="0"/>
        <w:autoSpaceDN w:val="0"/>
        <w:ind w:left="1080"/>
        <w:jc w:val="both"/>
        <w:rPr>
          <w:rFonts w:ascii="Arial" w:hAnsi="Arial" w:cs="Arial"/>
          <w:sz w:val="24"/>
          <w:szCs w:val="24"/>
        </w:rPr>
      </w:pPr>
    </w:p>
    <w:p w14:paraId="5610BE04" w14:textId="77777777" w:rsidR="00341F8F" w:rsidRPr="001E7C87" w:rsidRDefault="00341F8F" w:rsidP="00644631">
      <w:pPr>
        <w:pStyle w:val="ListParagraph"/>
        <w:numPr>
          <w:ilvl w:val="0"/>
          <w:numId w:val="10"/>
        </w:numPr>
        <w:autoSpaceDE w:val="0"/>
        <w:autoSpaceDN w:val="0"/>
        <w:jc w:val="both"/>
        <w:rPr>
          <w:rFonts w:ascii="Arial" w:hAnsi="Arial" w:cs="Arial"/>
          <w:sz w:val="24"/>
          <w:szCs w:val="24"/>
        </w:rPr>
      </w:pPr>
      <w:r>
        <w:rPr>
          <w:rFonts w:ascii="Arial" w:hAnsi="Arial"/>
          <w:sz w:val="24"/>
          <w:shd w:val="clear" w:color="auto" w:fill="FFFFFF"/>
        </w:rPr>
        <w:t>if from any other fishing grounds, shall measure between 15 cm and 18.82 cm, with an average weight of between 34.1 g and 67 g.</w:t>
      </w:r>
      <w:r>
        <w:rPr>
          <w:rFonts w:ascii="Arial" w:hAnsi="Arial"/>
          <w:sz w:val="24"/>
        </w:rPr>
        <w:t xml:space="preserve"> </w:t>
      </w:r>
    </w:p>
    <w:p w14:paraId="5B567492" w14:textId="77777777" w:rsidR="00341F8F" w:rsidRPr="001E7C87" w:rsidRDefault="00341F8F" w:rsidP="0002569E">
      <w:pPr>
        <w:pStyle w:val="ListParagraph"/>
        <w:rPr>
          <w:rFonts w:ascii="Arial" w:hAnsi="Arial" w:cs="Arial"/>
          <w:sz w:val="24"/>
          <w:szCs w:val="24"/>
        </w:rPr>
      </w:pPr>
    </w:p>
    <w:p w14:paraId="1EC2EC11" w14:textId="77777777" w:rsidR="00341F8F" w:rsidRPr="001E7C87" w:rsidRDefault="00341F8F" w:rsidP="0002569E">
      <w:pPr>
        <w:autoSpaceDE w:val="0"/>
        <w:autoSpaceDN w:val="0"/>
        <w:jc w:val="both"/>
        <w:rPr>
          <w:rFonts w:ascii="Arial" w:hAnsi="Arial" w:cs="Arial"/>
          <w:sz w:val="24"/>
          <w:szCs w:val="24"/>
          <w:shd w:val="clear" w:color="auto" w:fill="FFFFFF"/>
        </w:rPr>
      </w:pPr>
      <w:r>
        <w:rPr>
          <w:rFonts w:ascii="Arial" w:hAnsi="Arial"/>
          <w:sz w:val="24"/>
          <w:shd w:val="clear" w:color="auto" w:fill="FFFFFF"/>
        </w:rPr>
        <w:t xml:space="preserve">Preserved and prepared products made from </w:t>
      </w:r>
      <w:r>
        <w:rPr>
          <w:rFonts w:ascii="Arial" w:hAnsi="Arial"/>
          <w:i/>
          <w:iCs/>
          <w:sz w:val="24"/>
          <w:shd w:val="clear" w:color="auto" w:fill="FFFFFF"/>
        </w:rPr>
        <w:t>Auxis rochei</w:t>
      </w:r>
      <w:r>
        <w:rPr>
          <w:rFonts w:ascii="Arial" w:hAnsi="Arial"/>
          <w:sz w:val="24"/>
          <w:shd w:val="clear" w:color="auto" w:fill="FFFFFF"/>
        </w:rPr>
        <w:t xml:space="preserve"> and </w:t>
      </w:r>
      <w:r>
        <w:rPr>
          <w:rFonts w:ascii="Arial" w:hAnsi="Arial"/>
          <w:i/>
          <w:iCs/>
          <w:sz w:val="24"/>
          <w:shd w:val="clear" w:color="auto" w:fill="FFFFFF"/>
        </w:rPr>
        <w:t>Auxis thazard</w:t>
      </w:r>
      <w:r>
        <w:rPr>
          <w:rFonts w:ascii="Arial" w:hAnsi="Arial"/>
          <w:sz w:val="24"/>
          <w:shd w:val="clear" w:color="auto" w:fill="FFFFFF"/>
        </w:rPr>
        <w:t xml:space="preserve"> may use the alternative preserved food designation ‘</w:t>
      </w:r>
      <w:r>
        <w:rPr>
          <w:rFonts w:ascii="Arial" w:hAnsi="Arial"/>
          <w:i/>
          <w:iCs/>
          <w:sz w:val="24"/>
          <w:shd w:val="clear" w:color="auto" w:fill="FFFFFF"/>
        </w:rPr>
        <w:t>melva canutera</w:t>
      </w:r>
      <w:r>
        <w:rPr>
          <w:rFonts w:ascii="Arial" w:hAnsi="Arial"/>
          <w:sz w:val="24"/>
          <w:shd w:val="clear" w:color="auto" w:fill="FFFFFF"/>
        </w:rPr>
        <w:t>’ (bullet tuna or frigate tuna), as set out in the Annex to this Royal Decree, in accordance with EU and national regulations on technical measures, and provided that the specimens weigh less than 600 g.</w:t>
      </w:r>
    </w:p>
    <w:p w14:paraId="36E718A6" w14:textId="77777777" w:rsidR="00341F8F" w:rsidRPr="001E7C87" w:rsidRDefault="00341F8F" w:rsidP="0002569E">
      <w:pPr>
        <w:autoSpaceDE w:val="0"/>
        <w:autoSpaceDN w:val="0"/>
        <w:jc w:val="both"/>
        <w:rPr>
          <w:rFonts w:ascii="Arial" w:hAnsi="Arial" w:cs="Arial"/>
          <w:sz w:val="24"/>
          <w:szCs w:val="24"/>
          <w:shd w:val="clear" w:color="auto" w:fill="FFFFFF"/>
        </w:rPr>
      </w:pPr>
    </w:p>
    <w:p w14:paraId="5AA9754A" w14:textId="77777777" w:rsidR="00341F8F" w:rsidRPr="001E7C87" w:rsidRDefault="00341F8F" w:rsidP="0002569E">
      <w:pPr>
        <w:autoSpaceDE w:val="0"/>
        <w:autoSpaceDN w:val="0"/>
        <w:jc w:val="both"/>
        <w:rPr>
          <w:rFonts w:ascii="Arial" w:hAnsi="Arial" w:cs="Arial"/>
          <w:sz w:val="24"/>
          <w:szCs w:val="24"/>
        </w:rPr>
      </w:pPr>
      <w:r>
        <w:rPr>
          <w:rFonts w:ascii="Arial" w:hAnsi="Arial"/>
          <w:sz w:val="24"/>
          <w:shd w:val="clear" w:color="auto" w:fill="FFFFFF"/>
        </w:rPr>
        <w:t xml:space="preserve">In the case of </w:t>
      </w:r>
      <w:r>
        <w:rPr>
          <w:rFonts w:ascii="Arial" w:hAnsi="Arial"/>
          <w:i/>
          <w:iCs/>
          <w:sz w:val="24"/>
          <w:shd w:val="clear" w:color="auto" w:fill="FFFFFF"/>
        </w:rPr>
        <w:t>Merluccius spp.</w:t>
      </w:r>
      <w:r>
        <w:rPr>
          <w:rFonts w:ascii="Arial" w:hAnsi="Arial"/>
          <w:sz w:val="24"/>
          <w:shd w:val="clear" w:color="auto" w:fill="FFFFFF"/>
        </w:rPr>
        <w:t xml:space="preserve"> and </w:t>
      </w:r>
      <w:r>
        <w:rPr>
          <w:rFonts w:ascii="Arial" w:hAnsi="Arial"/>
          <w:i/>
          <w:iCs/>
          <w:sz w:val="24"/>
          <w:shd w:val="clear" w:color="auto" w:fill="FFFFFF"/>
        </w:rPr>
        <w:t>Macruronus spp</w:t>
      </w:r>
      <w:r>
        <w:rPr>
          <w:rFonts w:ascii="Arial" w:hAnsi="Arial"/>
          <w:sz w:val="24"/>
          <w:shd w:val="clear" w:color="auto" w:fill="FFFFFF"/>
        </w:rPr>
        <w:t>, it shall be permitted to use the alternative commercial designation or preserved or prepared food designation of ‘</w:t>
      </w:r>
      <w:r>
        <w:rPr>
          <w:rFonts w:ascii="Arial" w:hAnsi="Arial"/>
          <w:i/>
          <w:iCs/>
          <w:sz w:val="24"/>
          <w:shd w:val="clear" w:color="auto" w:fill="FFFFFF"/>
        </w:rPr>
        <w:t>pescadilla</w:t>
      </w:r>
      <w:r>
        <w:rPr>
          <w:rFonts w:ascii="Arial" w:hAnsi="Arial"/>
          <w:sz w:val="24"/>
          <w:shd w:val="clear" w:color="auto" w:fill="FFFFFF"/>
        </w:rPr>
        <w:t>’ (whiting), along with the species name, as per the Annex to this Royal Decree, provided that the specimen weight does not exceed 1.5 kg.</w:t>
      </w:r>
    </w:p>
    <w:p w14:paraId="320581AF" w14:textId="77777777" w:rsidR="00341F8F" w:rsidRPr="001E7C87" w:rsidRDefault="00341F8F" w:rsidP="00EC748B">
      <w:pPr>
        <w:jc w:val="both"/>
        <w:rPr>
          <w:rFonts w:ascii="Arial" w:hAnsi="Arial" w:cs="Arial"/>
          <w:b/>
          <w:sz w:val="24"/>
          <w:szCs w:val="24"/>
        </w:rPr>
      </w:pPr>
    </w:p>
    <w:p w14:paraId="184CDC56" w14:textId="77777777" w:rsidR="00341F8F" w:rsidRPr="009D5D83" w:rsidRDefault="00341F8F" w:rsidP="00EC748B">
      <w:pPr>
        <w:jc w:val="both"/>
        <w:rPr>
          <w:rFonts w:ascii="Arial" w:hAnsi="Arial" w:cs="Arial"/>
          <w:b/>
          <w:sz w:val="24"/>
          <w:szCs w:val="24"/>
        </w:rPr>
      </w:pPr>
      <w:r>
        <w:rPr>
          <w:rFonts w:ascii="Arial" w:hAnsi="Arial"/>
          <w:b/>
          <w:sz w:val="24"/>
        </w:rPr>
        <w:t>Sole transitional provision.</w:t>
      </w:r>
      <w:r>
        <w:rPr>
          <w:rFonts w:ascii="Arial" w:hAnsi="Arial"/>
          <w:i/>
        </w:rPr>
        <w:t xml:space="preserve"> </w:t>
      </w:r>
      <w:r>
        <w:rPr>
          <w:rFonts w:ascii="Arial" w:hAnsi="Arial"/>
          <w:b/>
          <w:i/>
          <w:sz w:val="24"/>
        </w:rPr>
        <w:t>Marketing of stocks of preserved or prepared products</w:t>
      </w:r>
      <w:r>
        <w:rPr>
          <w:rFonts w:ascii="Arial" w:hAnsi="Arial"/>
          <w:b/>
          <w:sz w:val="24"/>
        </w:rPr>
        <w:t xml:space="preserve"> </w:t>
      </w:r>
      <w:r>
        <w:rPr>
          <w:rFonts w:ascii="Arial" w:hAnsi="Arial"/>
          <w:b/>
          <w:i/>
          <w:sz w:val="24"/>
        </w:rPr>
        <w:t>and labelled packaging</w:t>
      </w:r>
    </w:p>
    <w:p w14:paraId="57AD86D6" w14:textId="77777777" w:rsidR="00341F8F" w:rsidRPr="001E7C87" w:rsidRDefault="00341F8F" w:rsidP="00EC748B">
      <w:pPr>
        <w:jc w:val="both"/>
        <w:rPr>
          <w:rFonts w:ascii="Arial" w:hAnsi="Arial" w:cs="Arial"/>
          <w:sz w:val="24"/>
          <w:szCs w:val="24"/>
        </w:rPr>
      </w:pPr>
    </w:p>
    <w:p w14:paraId="371AB767" w14:textId="77777777" w:rsidR="00341F8F" w:rsidRPr="001E7C87" w:rsidRDefault="00341F8F" w:rsidP="00EC748B">
      <w:pPr>
        <w:jc w:val="both"/>
        <w:rPr>
          <w:rFonts w:ascii="Arial" w:hAnsi="Arial" w:cs="Arial"/>
          <w:sz w:val="24"/>
          <w:szCs w:val="24"/>
        </w:rPr>
      </w:pPr>
      <w:r>
        <w:rPr>
          <w:rFonts w:ascii="Arial" w:hAnsi="Arial"/>
          <w:sz w:val="24"/>
        </w:rPr>
        <w:t xml:space="preserve">Operators may market their labelled packaging that was purchased and their preserved or prepared products that were manufactured before entry into force of this Royal Decree if they meet the provisions applicable at that time, until all product stocks are exhausted. </w:t>
      </w:r>
    </w:p>
    <w:p w14:paraId="16FAC755" w14:textId="77777777" w:rsidR="008F6EEE" w:rsidRPr="001E7C87" w:rsidRDefault="008F6EEE" w:rsidP="00EC748B">
      <w:pPr>
        <w:jc w:val="both"/>
        <w:rPr>
          <w:rFonts w:ascii="Arial" w:hAnsi="Arial" w:cs="Arial"/>
          <w:sz w:val="24"/>
          <w:szCs w:val="24"/>
        </w:rPr>
      </w:pPr>
    </w:p>
    <w:p w14:paraId="2DBDC459" w14:textId="77777777" w:rsidR="00B12306" w:rsidRPr="002E5171" w:rsidRDefault="00B12306" w:rsidP="00EC748B">
      <w:pPr>
        <w:jc w:val="both"/>
        <w:rPr>
          <w:rFonts w:ascii="Arial" w:hAnsi="Arial" w:cs="Arial"/>
          <w:sz w:val="24"/>
          <w:szCs w:val="24"/>
        </w:rPr>
      </w:pPr>
      <w:r>
        <w:rPr>
          <w:rFonts w:ascii="Arial" w:hAnsi="Arial"/>
          <w:sz w:val="24"/>
        </w:rPr>
        <w:lastRenderedPageBreak/>
        <w:t xml:space="preserve">Operators shall meet this Royal Decree within 1 year of its entry into force. </w:t>
      </w:r>
    </w:p>
    <w:p w14:paraId="64225436" w14:textId="77777777" w:rsidR="00B12306" w:rsidRPr="002E5171" w:rsidRDefault="00B12306" w:rsidP="00EC748B">
      <w:pPr>
        <w:jc w:val="both"/>
        <w:rPr>
          <w:rFonts w:ascii="Arial" w:hAnsi="Arial" w:cs="Arial"/>
          <w:sz w:val="24"/>
          <w:szCs w:val="24"/>
        </w:rPr>
      </w:pPr>
    </w:p>
    <w:p w14:paraId="14057935" w14:textId="77777777" w:rsidR="00341F8F" w:rsidRPr="00B26495" w:rsidRDefault="00B12306" w:rsidP="00EC748B">
      <w:pPr>
        <w:jc w:val="both"/>
        <w:rPr>
          <w:rFonts w:ascii="Arial" w:hAnsi="Arial" w:cs="Arial"/>
          <w:strike/>
          <w:sz w:val="24"/>
          <w:szCs w:val="24"/>
        </w:rPr>
      </w:pPr>
      <w:r>
        <w:rPr>
          <w:rFonts w:ascii="Arial" w:hAnsi="Arial"/>
          <w:sz w:val="24"/>
        </w:rPr>
        <w:t>Moreover, on publication of a decision affecting a designation for preserved or prepare food appearing in the Annex to this Royal Decree, operators shall also have a period of 6 months to adapt to this change.</w:t>
      </w:r>
    </w:p>
    <w:p w14:paraId="310794B6" w14:textId="77777777" w:rsidR="00341F8F" w:rsidRPr="001E7C87" w:rsidRDefault="00341F8F" w:rsidP="00EC748B">
      <w:pPr>
        <w:jc w:val="both"/>
        <w:rPr>
          <w:rFonts w:ascii="Arial" w:hAnsi="Arial" w:cs="Arial"/>
          <w:sz w:val="24"/>
          <w:szCs w:val="24"/>
        </w:rPr>
      </w:pPr>
    </w:p>
    <w:p w14:paraId="0AE0D546" w14:textId="77777777" w:rsidR="00341F8F" w:rsidRPr="009D5D83" w:rsidRDefault="00341F8F" w:rsidP="00EC748B">
      <w:pPr>
        <w:jc w:val="both"/>
        <w:rPr>
          <w:rFonts w:ascii="Arial" w:hAnsi="Arial" w:cs="Arial"/>
          <w:b/>
          <w:sz w:val="24"/>
          <w:szCs w:val="24"/>
        </w:rPr>
      </w:pPr>
      <w:r>
        <w:rPr>
          <w:rFonts w:ascii="Arial" w:hAnsi="Arial"/>
          <w:b/>
          <w:sz w:val="24"/>
        </w:rPr>
        <w:t>Sole repealing provision</w:t>
      </w:r>
      <w:r>
        <w:rPr>
          <w:rFonts w:ascii="Arial" w:hAnsi="Arial"/>
          <w:i/>
          <w:sz w:val="24"/>
        </w:rPr>
        <w:t xml:space="preserve">. </w:t>
      </w:r>
      <w:r>
        <w:rPr>
          <w:rFonts w:ascii="Arial" w:hAnsi="Arial"/>
          <w:b/>
          <w:i/>
          <w:sz w:val="24"/>
        </w:rPr>
        <w:t>Repeal of regulations</w:t>
      </w:r>
      <w:r>
        <w:rPr>
          <w:rFonts w:ascii="Arial" w:hAnsi="Arial"/>
          <w:b/>
          <w:sz w:val="24"/>
        </w:rPr>
        <w:t xml:space="preserve"> </w:t>
      </w:r>
    </w:p>
    <w:p w14:paraId="6E629905" w14:textId="77777777" w:rsidR="00341F8F" w:rsidRPr="001E7C87" w:rsidRDefault="00341F8F" w:rsidP="00EC748B">
      <w:pPr>
        <w:jc w:val="both"/>
        <w:rPr>
          <w:rFonts w:ascii="Arial" w:hAnsi="Arial" w:cs="Arial"/>
          <w:sz w:val="24"/>
          <w:szCs w:val="24"/>
        </w:rPr>
      </w:pPr>
    </w:p>
    <w:p w14:paraId="579556AB" w14:textId="77777777" w:rsidR="00341F8F" w:rsidRPr="001E7C87" w:rsidRDefault="00341F8F" w:rsidP="00EC748B">
      <w:pPr>
        <w:jc w:val="both"/>
        <w:rPr>
          <w:rFonts w:ascii="Arial" w:hAnsi="Arial" w:cs="Arial"/>
          <w:sz w:val="24"/>
          <w:szCs w:val="24"/>
        </w:rPr>
      </w:pPr>
      <w:r>
        <w:rPr>
          <w:rFonts w:ascii="Arial" w:hAnsi="Arial"/>
          <w:sz w:val="24"/>
        </w:rPr>
        <w:t xml:space="preserve">1. Annex IV to Royal Decree 1521/1984 of 1 August 1984 adopting the technical health regulations on fishery and aquaculture establishments and fishery and aquaculture products intended for human consumption is hereby repealed. </w:t>
      </w:r>
    </w:p>
    <w:p w14:paraId="172AAFB9" w14:textId="77777777" w:rsidR="00341F8F" w:rsidRPr="001E7C87" w:rsidRDefault="00341F8F" w:rsidP="00EC748B">
      <w:pPr>
        <w:pStyle w:val="ListParagraph"/>
        <w:jc w:val="both"/>
        <w:rPr>
          <w:rFonts w:ascii="Arial" w:hAnsi="Arial" w:cs="Arial"/>
          <w:sz w:val="24"/>
          <w:szCs w:val="24"/>
        </w:rPr>
      </w:pPr>
    </w:p>
    <w:p w14:paraId="5BA3F843" w14:textId="77777777" w:rsidR="00341F8F" w:rsidRPr="001E7C87" w:rsidRDefault="00341F8F" w:rsidP="00EC748B">
      <w:pPr>
        <w:jc w:val="both"/>
        <w:rPr>
          <w:rFonts w:ascii="Arial" w:hAnsi="Arial" w:cs="Arial"/>
          <w:sz w:val="24"/>
          <w:szCs w:val="24"/>
        </w:rPr>
      </w:pPr>
      <w:r>
        <w:rPr>
          <w:rFonts w:ascii="Arial" w:hAnsi="Arial"/>
          <w:sz w:val="24"/>
        </w:rPr>
        <w:t>2. Article 2 of the Order of 15 October 1985 adopting the Quality Standard for preserved mussels, clams and cockles is hereby repealed.</w:t>
      </w:r>
    </w:p>
    <w:p w14:paraId="3C781B0D" w14:textId="77777777" w:rsidR="00341F8F" w:rsidRPr="001E7C87" w:rsidRDefault="00341F8F" w:rsidP="00EC748B">
      <w:pPr>
        <w:jc w:val="both"/>
        <w:rPr>
          <w:rFonts w:ascii="Arial" w:hAnsi="Arial" w:cs="Arial"/>
          <w:sz w:val="24"/>
          <w:szCs w:val="24"/>
        </w:rPr>
      </w:pPr>
    </w:p>
    <w:p w14:paraId="66B28D19" w14:textId="77777777" w:rsidR="00341F8F" w:rsidRPr="001E7C87" w:rsidRDefault="00341F8F" w:rsidP="00EC748B">
      <w:pPr>
        <w:jc w:val="both"/>
        <w:rPr>
          <w:rFonts w:ascii="Arial" w:hAnsi="Arial" w:cs="Arial"/>
          <w:sz w:val="24"/>
          <w:szCs w:val="24"/>
        </w:rPr>
      </w:pPr>
      <w:r>
        <w:rPr>
          <w:rFonts w:ascii="Arial" w:hAnsi="Arial"/>
          <w:sz w:val="24"/>
        </w:rPr>
        <w:t>3. Article 2 of the Order of 15 October 1985 adopting the Quality Standard for cooked and frozen mussels is hereby repealed.</w:t>
      </w:r>
    </w:p>
    <w:p w14:paraId="6ADBEDF1" w14:textId="77777777" w:rsidR="00341F8F" w:rsidRPr="001E7C87" w:rsidRDefault="00341F8F" w:rsidP="00EC748B">
      <w:pPr>
        <w:jc w:val="both"/>
        <w:rPr>
          <w:rFonts w:ascii="Arial" w:hAnsi="Arial" w:cs="Arial"/>
          <w:sz w:val="24"/>
          <w:szCs w:val="24"/>
        </w:rPr>
      </w:pPr>
    </w:p>
    <w:p w14:paraId="12442C0B" w14:textId="77777777" w:rsidR="00341F8F" w:rsidRPr="001E7C87" w:rsidRDefault="00341F8F" w:rsidP="00EC748B">
      <w:pPr>
        <w:jc w:val="both"/>
        <w:rPr>
          <w:rFonts w:ascii="Arial" w:hAnsi="Arial" w:cs="Arial"/>
          <w:sz w:val="24"/>
          <w:szCs w:val="24"/>
        </w:rPr>
      </w:pPr>
      <w:r>
        <w:rPr>
          <w:rFonts w:ascii="Arial" w:hAnsi="Arial"/>
          <w:sz w:val="24"/>
        </w:rPr>
        <w:t>4. The Decision of the General Secretariat for Fisheries of 24 May 2019 publishing the list of commercial designations for fishery and aquaculture species accepted in Spain is hereby repealed.</w:t>
      </w:r>
    </w:p>
    <w:p w14:paraId="50EF5A56" w14:textId="77777777" w:rsidR="00C25511" w:rsidRDefault="00C25511" w:rsidP="00542746">
      <w:pPr>
        <w:jc w:val="both"/>
        <w:rPr>
          <w:rFonts w:ascii="Arial" w:hAnsi="Arial" w:cs="Arial"/>
          <w:b/>
          <w:sz w:val="24"/>
          <w:szCs w:val="24"/>
        </w:rPr>
      </w:pPr>
    </w:p>
    <w:p w14:paraId="09696A97" w14:textId="77777777" w:rsidR="00C25511" w:rsidRDefault="00C25511" w:rsidP="00542746">
      <w:pPr>
        <w:jc w:val="both"/>
        <w:rPr>
          <w:rFonts w:ascii="Arial" w:hAnsi="Arial" w:cs="Arial"/>
          <w:b/>
          <w:sz w:val="24"/>
          <w:szCs w:val="24"/>
        </w:rPr>
      </w:pPr>
    </w:p>
    <w:p w14:paraId="0F79E10C" w14:textId="77777777" w:rsidR="00341F8F" w:rsidRPr="009D5D83" w:rsidRDefault="00341F8F" w:rsidP="00542746">
      <w:pPr>
        <w:jc w:val="both"/>
        <w:rPr>
          <w:rFonts w:ascii="Arial" w:hAnsi="Arial" w:cs="Arial"/>
          <w:b/>
          <w:i/>
          <w:sz w:val="24"/>
          <w:szCs w:val="24"/>
        </w:rPr>
      </w:pPr>
      <w:r>
        <w:rPr>
          <w:rFonts w:ascii="Arial" w:hAnsi="Arial"/>
          <w:b/>
          <w:sz w:val="24"/>
        </w:rPr>
        <w:t xml:space="preserve">First final provision. </w:t>
      </w:r>
      <w:r>
        <w:rPr>
          <w:rFonts w:ascii="Arial" w:hAnsi="Arial"/>
          <w:b/>
          <w:i/>
          <w:sz w:val="24"/>
        </w:rPr>
        <w:t xml:space="preserve">Amendment to Royal Decree 1521/1984 of 1 August 1984 adopting the technical health regulations on fishery and aquaculture establishments and fishery and aquaculture products intended for human consumption </w:t>
      </w:r>
    </w:p>
    <w:p w14:paraId="51BB4860" w14:textId="77777777" w:rsidR="00341F8F" w:rsidRPr="001E7C87" w:rsidRDefault="00341F8F" w:rsidP="00542746">
      <w:pPr>
        <w:autoSpaceDE w:val="0"/>
        <w:autoSpaceDN w:val="0"/>
        <w:adjustRightInd w:val="0"/>
        <w:rPr>
          <w:rFonts w:ascii="Arial" w:hAnsi="Arial" w:cs="Arial"/>
          <w:sz w:val="24"/>
          <w:szCs w:val="24"/>
          <w:lang w:eastAsia="es-ES_tradnl"/>
        </w:rPr>
      </w:pPr>
    </w:p>
    <w:p w14:paraId="18D45B80" w14:textId="77777777" w:rsidR="00341F8F" w:rsidRPr="001E7C87" w:rsidRDefault="00341F8F" w:rsidP="00542746">
      <w:pPr>
        <w:jc w:val="both"/>
        <w:rPr>
          <w:rFonts w:ascii="Arial" w:hAnsi="Arial" w:cs="Arial"/>
          <w:bCs/>
          <w:sz w:val="24"/>
          <w:szCs w:val="24"/>
        </w:rPr>
      </w:pPr>
      <w:r>
        <w:rPr>
          <w:rFonts w:ascii="Arial" w:hAnsi="Arial"/>
          <w:sz w:val="24"/>
        </w:rPr>
        <w:t>One. Article 3 now reads:</w:t>
      </w:r>
    </w:p>
    <w:p w14:paraId="25C70210" w14:textId="77777777" w:rsidR="00341F8F" w:rsidRPr="001E7C87" w:rsidRDefault="00341F8F" w:rsidP="00542746">
      <w:pPr>
        <w:jc w:val="both"/>
        <w:rPr>
          <w:rFonts w:ascii="Arial" w:hAnsi="Arial" w:cs="Arial"/>
          <w:bCs/>
          <w:sz w:val="24"/>
          <w:szCs w:val="24"/>
          <w:lang w:eastAsia="es-ES_tradnl"/>
        </w:rPr>
      </w:pPr>
    </w:p>
    <w:p w14:paraId="5EA6DB01" w14:textId="77777777" w:rsidR="00341F8F" w:rsidRPr="001E7C87" w:rsidRDefault="00341F8F" w:rsidP="00542746">
      <w:pPr>
        <w:jc w:val="both"/>
        <w:rPr>
          <w:rFonts w:ascii="Arial" w:hAnsi="Arial" w:cs="Arial"/>
          <w:b/>
          <w:sz w:val="24"/>
          <w:szCs w:val="24"/>
        </w:rPr>
      </w:pPr>
      <w:r>
        <w:rPr>
          <w:rFonts w:ascii="Arial" w:hAnsi="Arial"/>
          <w:sz w:val="24"/>
        </w:rPr>
        <w:t xml:space="preserve">‘Article 3. </w:t>
      </w:r>
      <w:r>
        <w:rPr>
          <w:rFonts w:ascii="Arial" w:hAnsi="Arial"/>
          <w:i/>
          <w:sz w:val="24"/>
        </w:rPr>
        <w:t>Forms of presentation, preservation and marketing of fishery and aquaculture products</w:t>
      </w:r>
    </w:p>
    <w:p w14:paraId="422CA23C" w14:textId="77777777" w:rsidR="00341F8F" w:rsidRPr="001E7C87" w:rsidRDefault="00341F8F" w:rsidP="00EC748B">
      <w:pPr>
        <w:jc w:val="both"/>
        <w:rPr>
          <w:rFonts w:ascii="Arial" w:hAnsi="Arial" w:cs="Arial"/>
          <w:b/>
          <w:sz w:val="24"/>
          <w:szCs w:val="24"/>
        </w:rPr>
      </w:pPr>
    </w:p>
    <w:p w14:paraId="4558AEB7" w14:textId="77777777" w:rsidR="00341F8F" w:rsidRPr="001E7C87" w:rsidRDefault="00341F8F" w:rsidP="007571F0">
      <w:pPr>
        <w:pStyle w:val="ListParagraph"/>
        <w:ind w:left="0"/>
        <w:jc w:val="both"/>
        <w:rPr>
          <w:rFonts w:ascii="Arial" w:hAnsi="Arial" w:cs="Arial"/>
          <w:sz w:val="24"/>
          <w:szCs w:val="24"/>
        </w:rPr>
      </w:pPr>
      <w:r>
        <w:rPr>
          <w:rFonts w:ascii="Arial" w:hAnsi="Arial"/>
          <w:sz w:val="24"/>
        </w:rPr>
        <w:t>1. It shall be permitted to use the following terms, as set out below, in relation to the characteristics, presentation, preservation and preparation of fishery and aquaculture products, along with the commercial designation or designation of preserved or prepared food on its marking or labelling in accordance with European and national regulations on fisheries, food information and food safety:</w:t>
      </w:r>
    </w:p>
    <w:p w14:paraId="763370ED" w14:textId="77777777" w:rsidR="00341F8F" w:rsidRPr="001E7C87" w:rsidRDefault="00341F8F" w:rsidP="007571F0">
      <w:pPr>
        <w:pStyle w:val="ListParagraph"/>
        <w:ind w:left="0"/>
        <w:jc w:val="both"/>
        <w:rPr>
          <w:rFonts w:ascii="Arial" w:hAnsi="Arial" w:cs="Arial"/>
          <w:sz w:val="24"/>
          <w:szCs w:val="24"/>
        </w:rPr>
      </w:pPr>
    </w:p>
    <w:p w14:paraId="2E803B1F" w14:textId="77777777" w:rsidR="00FD1296" w:rsidRPr="001E7C87" w:rsidRDefault="00FD1296" w:rsidP="00253F7B">
      <w:pPr>
        <w:pStyle w:val="ListParagraph"/>
        <w:numPr>
          <w:ilvl w:val="0"/>
          <w:numId w:val="5"/>
        </w:numPr>
        <w:jc w:val="both"/>
        <w:rPr>
          <w:rFonts w:ascii="Arial" w:hAnsi="Arial" w:cs="Arial"/>
          <w:sz w:val="24"/>
          <w:szCs w:val="24"/>
        </w:rPr>
      </w:pPr>
      <w:r>
        <w:rPr>
          <w:rFonts w:ascii="Arial" w:hAnsi="Arial"/>
          <w:sz w:val="24"/>
        </w:rPr>
        <w:t>“whole”: a product marketed without undergoing preparation of any kind;</w:t>
      </w:r>
    </w:p>
    <w:p w14:paraId="0868D408" w14:textId="77777777" w:rsidR="00FD1296" w:rsidRPr="001E7C87" w:rsidRDefault="00FD1296" w:rsidP="00253F7B">
      <w:pPr>
        <w:pStyle w:val="ListParagraph"/>
        <w:numPr>
          <w:ilvl w:val="0"/>
          <w:numId w:val="5"/>
        </w:numPr>
        <w:jc w:val="both"/>
        <w:rPr>
          <w:rFonts w:ascii="Arial" w:hAnsi="Arial" w:cs="Arial"/>
          <w:sz w:val="24"/>
          <w:szCs w:val="24"/>
        </w:rPr>
      </w:pPr>
      <w:r>
        <w:rPr>
          <w:rFonts w:ascii="Arial" w:hAnsi="Arial"/>
          <w:sz w:val="24"/>
        </w:rPr>
        <w:t>“gutted”: a product marketed without viscera;</w:t>
      </w:r>
    </w:p>
    <w:p w14:paraId="389ADA20" w14:textId="77777777" w:rsidR="00FD1296" w:rsidRPr="001E7C87" w:rsidRDefault="00FD1296" w:rsidP="00253F7B">
      <w:pPr>
        <w:pStyle w:val="ListParagraph"/>
        <w:numPr>
          <w:ilvl w:val="0"/>
          <w:numId w:val="5"/>
        </w:numPr>
        <w:jc w:val="both"/>
        <w:rPr>
          <w:rFonts w:ascii="Arial" w:hAnsi="Arial" w:cs="Arial"/>
          <w:sz w:val="24"/>
          <w:szCs w:val="24"/>
        </w:rPr>
      </w:pPr>
      <w:r>
        <w:rPr>
          <w:rFonts w:ascii="Arial" w:hAnsi="Arial"/>
          <w:sz w:val="24"/>
        </w:rPr>
        <w:t>“without head”: a product marketed without the head;</w:t>
      </w:r>
    </w:p>
    <w:p w14:paraId="27AEBF57" w14:textId="77777777" w:rsidR="00FD1296" w:rsidRPr="001E7C87" w:rsidRDefault="00FD1296" w:rsidP="00253F7B">
      <w:pPr>
        <w:pStyle w:val="ListParagraph"/>
        <w:numPr>
          <w:ilvl w:val="0"/>
          <w:numId w:val="5"/>
        </w:numPr>
        <w:jc w:val="both"/>
        <w:rPr>
          <w:rFonts w:ascii="Arial" w:hAnsi="Arial" w:cs="Arial"/>
          <w:sz w:val="24"/>
          <w:szCs w:val="24"/>
        </w:rPr>
      </w:pPr>
      <w:r>
        <w:rPr>
          <w:rFonts w:ascii="Arial" w:hAnsi="Arial"/>
          <w:sz w:val="24"/>
        </w:rPr>
        <w:t>“skinned”: a product marketed without skin;</w:t>
      </w:r>
    </w:p>
    <w:p w14:paraId="75EF2B8B" w14:textId="77777777" w:rsidR="00FD1296" w:rsidRPr="001E7C87" w:rsidRDefault="00FD1296" w:rsidP="00253F7B">
      <w:pPr>
        <w:pStyle w:val="ListParagraph"/>
        <w:numPr>
          <w:ilvl w:val="0"/>
          <w:numId w:val="5"/>
        </w:numPr>
        <w:jc w:val="both"/>
        <w:rPr>
          <w:rFonts w:ascii="Arial" w:hAnsi="Arial" w:cs="Arial"/>
          <w:sz w:val="24"/>
          <w:szCs w:val="24"/>
        </w:rPr>
      </w:pPr>
      <w:r>
        <w:rPr>
          <w:rFonts w:ascii="Arial" w:hAnsi="Arial"/>
          <w:sz w:val="24"/>
        </w:rPr>
        <w:t>“dressed”: a product marketed gutted, without head and washed, with or without skin or bones;</w:t>
      </w:r>
    </w:p>
    <w:p w14:paraId="73666383" w14:textId="77777777" w:rsidR="00FD1296" w:rsidRPr="001E7C87" w:rsidRDefault="00FD1296" w:rsidP="00253F7B">
      <w:pPr>
        <w:pStyle w:val="ListParagraph"/>
        <w:numPr>
          <w:ilvl w:val="0"/>
          <w:numId w:val="5"/>
        </w:numPr>
        <w:jc w:val="both"/>
        <w:rPr>
          <w:rFonts w:ascii="Arial" w:hAnsi="Arial" w:cs="Arial"/>
          <w:sz w:val="24"/>
          <w:szCs w:val="24"/>
        </w:rPr>
      </w:pPr>
      <w:r>
        <w:rPr>
          <w:rFonts w:ascii="Arial" w:hAnsi="Arial"/>
          <w:sz w:val="24"/>
        </w:rPr>
        <w:lastRenderedPageBreak/>
        <w:t xml:space="preserve"> “chopped”: a product marketed in pieces;</w:t>
      </w:r>
    </w:p>
    <w:p w14:paraId="3A0487B6" w14:textId="77777777" w:rsidR="00FD1296" w:rsidRPr="001E7C87" w:rsidRDefault="00FD1296" w:rsidP="00253F7B">
      <w:pPr>
        <w:pStyle w:val="ListParagraph"/>
        <w:numPr>
          <w:ilvl w:val="0"/>
          <w:numId w:val="5"/>
        </w:numPr>
        <w:jc w:val="both"/>
        <w:rPr>
          <w:rFonts w:ascii="Arial" w:hAnsi="Arial" w:cs="Arial"/>
          <w:sz w:val="24"/>
          <w:szCs w:val="24"/>
        </w:rPr>
      </w:pPr>
      <w:r>
        <w:rPr>
          <w:rFonts w:ascii="Arial" w:hAnsi="Arial"/>
          <w:sz w:val="24"/>
        </w:rPr>
        <w:t>“flaked”: a product marketed in flakes;</w:t>
      </w:r>
    </w:p>
    <w:p w14:paraId="5AD712FA" w14:textId="77777777" w:rsidR="00FD1296" w:rsidRPr="001E7C87" w:rsidRDefault="00FD1296" w:rsidP="00253F7B">
      <w:pPr>
        <w:pStyle w:val="ListParagraph"/>
        <w:numPr>
          <w:ilvl w:val="0"/>
          <w:numId w:val="5"/>
        </w:numPr>
        <w:jc w:val="both"/>
        <w:rPr>
          <w:rFonts w:ascii="Arial" w:hAnsi="Arial" w:cs="Arial"/>
          <w:sz w:val="24"/>
          <w:szCs w:val="24"/>
        </w:rPr>
      </w:pPr>
      <w:r>
        <w:rPr>
          <w:rFonts w:ascii="Arial" w:hAnsi="Arial"/>
          <w:sz w:val="24"/>
        </w:rPr>
        <w:t>“minced’: a product obtained by finely chopping the muscles of the fish, without skin or bones, preserving the structure of the muscle tissue or the edible parts of molluscs and crustaceans;</w:t>
      </w:r>
    </w:p>
    <w:p w14:paraId="07FFF410" w14:textId="77777777" w:rsidR="00FD1296" w:rsidRPr="001E7C87" w:rsidRDefault="00FD1296" w:rsidP="00253F7B">
      <w:pPr>
        <w:pStyle w:val="ListParagraph"/>
        <w:numPr>
          <w:ilvl w:val="0"/>
          <w:numId w:val="5"/>
        </w:numPr>
        <w:jc w:val="both"/>
        <w:rPr>
          <w:rFonts w:ascii="Arial" w:hAnsi="Arial" w:cs="Arial"/>
          <w:sz w:val="24"/>
          <w:szCs w:val="24"/>
        </w:rPr>
      </w:pPr>
      <w:r>
        <w:rPr>
          <w:rFonts w:ascii="Arial" w:hAnsi="Arial"/>
          <w:sz w:val="24"/>
        </w:rPr>
        <w:t>“pieces”, “chunks”, “bits”, “bites”, “strips” or similar terms: varying-sized portions of fish muscle, with or without skin or bones, retaining the structure of the muscle tissue or the edible parts of molluscs and crustaceans;</w:t>
      </w:r>
    </w:p>
    <w:p w14:paraId="0142CB3B" w14:textId="77777777" w:rsidR="00253F7B" w:rsidRPr="001E7C87" w:rsidRDefault="00253F7B" w:rsidP="00253F7B">
      <w:pPr>
        <w:pStyle w:val="ListParagraph"/>
        <w:numPr>
          <w:ilvl w:val="0"/>
          <w:numId w:val="5"/>
        </w:numPr>
        <w:jc w:val="both"/>
        <w:rPr>
          <w:rFonts w:ascii="Arial" w:hAnsi="Arial" w:cs="Arial"/>
          <w:sz w:val="24"/>
          <w:szCs w:val="24"/>
        </w:rPr>
      </w:pPr>
      <w:r>
        <w:rPr>
          <w:rFonts w:ascii="Arial" w:hAnsi="Arial"/>
          <w:sz w:val="24"/>
        </w:rPr>
        <w:t>“rings” or “crowns”: characteristic round portions obtained by cutting perpendicular to the longitudinal axis of the mantles of cephalopods;</w:t>
      </w:r>
    </w:p>
    <w:p w14:paraId="7A7B397F" w14:textId="77777777" w:rsidR="00253F7B" w:rsidRPr="001E7C87" w:rsidRDefault="00253F7B" w:rsidP="00253F7B">
      <w:pPr>
        <w:pStyle w:val="ListParagraph"/>
        <w:numPr>
          <w:ilvl w:val="0"/>
          <w:numId w:val="5"/>
        </w:numPr>
        <w:jc w:val="both"/>
        <w:rPr>
          <w:rFonts w:ascii="Arial" w:hAnsi="Arial" w:cs="Arial"/>
          <w:sz w:val="24"/>
          <w:szCs w:val="24"/>
        </w:rPr>
      </w:pPr>
      <w:r>
        <w:rPr>
          <w:rFonts w:ascii="Arial" w:hAnsi="Arial"/>
          <w:sz w:val="24"/>
        </w:rPr>
        <w:t xml:space="preserve"> “fillets”: in fish, the portions of the muscle mass obtained by cutting parallel to the spine, with or without skin or bones. In cephalopods, these are portions of the mantle, which vary in size;</w:t>
      </w:r>
    </w:p>
    <w:p w14:paraId="6459BDA3" w14:textId="77777777" w:rsidR="00253F7B" w:rsidRPr="001E7C87" w:rsidRDefault="00253F7B" w:rsidP="00253F7B">
      <w:pPr>
        <w:pStyle w:val="ListParagraph"/>
        <w:numPr>
          <w:ilvl w:val="0"/>
          <w:numId w:val="5"/>
        </w:numPr>
        <w:jc w:val="both"/>
        <w:rPr>
          <w:rFonts w:ascii="Arial" w:hAnsi="Arial" w:cs="Arial"/>
          <w:sz w:val="24"/>
          <w:szCs w:val="24"/>
        </w:rPr>
      </w:pPr>
      <w:r>
        <w:rPr>
          <w:rFonts w:ascii="Arial" w:hAnsi="Arial"/>
          <w:sz w:val="24"/>
        </w:rPr>
        <w:t>“slices”: in fish, the portions of varying thicknesses obtained by cutting perpendicular to the longitudinal axis of the body and that generally come with the corresponding section of spine, with or without skin or bones. In cephalopods, these are portions of varying thicknesses obtained by cutting perpendicular to the longitudinal axis of the limbs;</w:t>
      </w:r>
    </w:p>
    <w:p w14:paraId="61CD0F5F" w14:textId="77777777" w:rsidR="00253F7B" w:rsidRPr="001E7C87" w:rsidRDefault="00253F7B" w:rsidP="00253F7B">
      <w:pPr>
        <w:pStyle w:val="ListParagraph"/>
        <w:numPr>
          <w:ilvl w:val="0"/>
          <w:numId w:val="5"/>
        </w:numPr>
        <w:jc w:val="both"/>
        <w:rPr>
          <w:rFonts w:ascii="Arial" w:hAnsi="Arial" w:cs="Arial"/>
          <w:sz w:val="24"/>
          <w:szCs w:val="24"/>
        </w:rPr>
      </w:pPr>
      <w:r>
        <w:rPr>
          <w:rFonts w:ascii="Arial" w:hAnsi="Arial"/>
          <w:sz w:val="24"/>
        </w:rPr>
        <w:t xml:space="preserve"> “medallions”: portions shaped from the edible parts of fishery and aquaculture products, without skin or bones, which are given a specific shape;</w:t>
      </w:r>
    </w:p>
    <w:p w14:paraId="12D3A4B4" w14:textId="77777777" w:rsidR="00253F7B" w:rsidRPr="001E7C87" w:rsidRDefault="00253F7B" w:rsidP="00253F7B">
      <w:pPr>
        <w:pStyle w:val="ListParagraph"/>
        <w:numPr>
          <w:ilvl w:val="0"/>
          <w:numId w:val="5"/>
        </w:numPr>
        <w:jc w:val="both"/>
        <w:rPr>
          <w:rFonts w:ascii="Arial" w:hAnsi="Arial" w:cs="Arial"/>
          <w:sz w:val="24"/>
          <w:szCs w:val="24"/>
        </w:rPr>
      </w:pPr>
      <w:r>
        <w:rPr>
          <w:rFonts w:ascii="Arial" w:hAnsi="Arial"/>
          <w:sz w:val="24"/>
        </w:rPr>
        <w:t>“fillet hearts”: portions made from fillets, without skin or bones, which are given a specific shape.</w:t>
      </w:r>
    </w:p>
    <w:p w14:paraId="5C624429" w14:textId="77777777" w:rsidR="00FD1296" w:rsidRPr="001E7C87" w:rsidRDefault="00FD1296" w:rsidP="00253F7B">
      <w:pPr>
        <w:pStyle w:val="ListParagraph"/>
        <w:numPr>
          <w:ilvl w:val="0"/>
          <w:numId w:val="5"/>
        </w:numPr>
        <w:jc w:val="both"/>
        <w:rPr>
          <w:rFonts w:ascii="Arial" w:hAnsi="Arial" w:cs="Arial"/>
          <w:sz w:val="24"/>
          <w:szCs w:val="24"/>
        </w:rPr>
      </w:pPr>
      <w:r>
        <w:rPr>
          <w:rFonts w:ascii="Arial" w:hAnsi="Arial"/>
          <w:sz w:val="24"/>
        </w:rPr>
        <w:t>“scraps”: small bits of the edible parts of fishery and aquaculture products, not in paste form, obtained during cutting and processing;</w:t>
      </w:r>
    </w:p>
    <w:p w14:paraId="40DDD0A1" w14:textId="77777777" w:rsidR="00FD1296" w:rsidRPr="001E7C87" w:rsidRDefault="00FD1296" w:rsidP="00253F7B">
      <w:pPr>
        <w:pStyle w:val="ListParagraph"/>
        <w:numPr>
          <w:ilvl w:val="0"/>
          <w:numId w:val="5"/>
        </w:numPr>
        <w:jc w:val="both"/>
        <w:rPr>
          <w:rFonts w:ascii="Arial" w:hAnsi="Arial" w:cs="Arial"/>
          <w:sz w:val="24"/>
          <w:szCs w:val="24"/>
        </w:rPr>
      </w:pPr>
      <w:r>
        <w:rPr>
          <w:rFonts w:ascii="Arial" w:hAnsi="Arial"/>
          <w:sz w:val="24"/>
        </w:rPr>
        <w:t>“salt-cured”: a product after extended exposure to common salt, in solid form or brine containing between 12% and 18% salt.</w:t>
      </w:r>
    </w:p>
    <w:p w14:paraId="1899945F" w14:textId="77777777" w:rsidR="00FD1296" w:rsidRPr="001E7C87" w:rsidRDefault="00FD1296" w:rsidP="00253F7B">
      <w:pPr>
        <w:pStyle w:val="ListParagraph"/>
        <w:numPr>
          <w:ilvl w:val="0"/>
          <w:numId w:val="5"/>
        </w:numPr>
        <w:jc w:val="both"/>
        <w:rPr>
          <w:rFonts w:ascii="Arial" w:hAnsi="Arial" w:cs="Arial"/>
          <w:strike/>
          <w:sz w:val="24"/>
          <w:szCs w:val="24"/>
        </w:rPr>
      </w:pPr>
      <w:r>
        <w:rPr>
          <w:rFonts w:ascii="Arial" w:hAnsi="Arial"/>
          <w:sz w:val="24"/>
        </w:rPr>
        <w:t>“</w:t>
      </w:r>
      <w:r>
        <w:rPr>
          <w:rFonts w:ascii="Arial" w:hAnsi="Arial"/>
          <w:i/>
          <w:iCs/>
          <w:sz w:val="24"/>
        </w:rPr>
        <w:t>salpresado</w:t>
      </w:r>
      <w:r>
        <w:rPr>
          <w:rFonts w:ascii="Arial" w:hAnsi="Arial"/>
          <w:sz w:val="24"/>
        </w:rPr>
        <w:t>” or “</w:t>
      </w:r>
      <w:r>
        <w:rPr>
          <w:rFonts w:ascii="Arial" w:hAnsi="Arial"/>
          <w:i/>
          <w:iCs/>
          <w:sz w:val="24"/>
        </w:rPr>
        <w:t>salpreso</w:t>
      </w:r>
      <w:r>
        <w:rPr>
          <w:rFonts w:ascii="Arial" w:hAnsi="Arial"/>
          <w:sz w:val="24"/>
        </w:rPr>
        <w:t>” (salt-pressed): a product exposed to both common salt and pressure;</w:t>
      </w:r>
    </w:p>
    <w:p w14:paraId="56DDB8DB" w14:textId="77777777" w:rsidR="00FD1296" w:rsidRPr="001E7C87" w:rsidRDefault="00FD1296" w:rsidP="00253F7B">
      <w:pPr>
        <w:pStyle w:val="ListParagraph"/>
        <w:numPr>
          <w:ilvl w:val="0"/>
          <w:numId w:val="5"/>
        </w:numPr>
        <w:jc w:val="both"/>
        <w:rPr>
          <w:rFonts w:ascii="Arial" w:hAnsi="Arial" w:cs="Arial"/>
          <w:sz w:val="24"/>
          <w:szCs w:val="24"/>
        </w:rPr>
      </w:pPr>
      <w:r>
        <w:rPr>
          <w:rFonts w:ascii="Arial" w:hAnsi="Arial"/>
          <w:sz w:val="24"/>
        </w:rPr>
        <w:t>“salted”: a product exposed to common salt, in solid form or in brine, possibly accompanied by other seasonings or spices;</w:t>
      </w:r>
    </w:p>
    <w:p w14:paraId="13099A2E" w14:textId="77777777" w:rsidR="00FD1296" w:rsidRPr="001E7C87" w:rsidRDefault="00FD1296" w:rsidP="00253F7B">
      <w:pPr>
        <w:pStyle w:val="ListParagraph"/>
        <w:numPr>
          <w:ilvl w:val="0"/>
          <w:numId w:val="5"/>
        </w:numPr>
        <w:jc w:val="both"/>
        <w:rPr>
          <w:rFonts w:ascii="Arial" w:hAnsi="Arial" w:cs="Arial"/>
          <w:sz w:val="24"/>
          <w:szCs w:val="24"/>
        </w:rPr>
      </w:pPr>
      <w:r>
        <w:rPr>
          <w:rFonts w:ascii="Arial" w:hAnsi="Arial"/>
          <w:sz w:val="24"/>
        </w:rPr>
        <w:t xml:space="preserve">“dry-salted’: a product exposed to common salt and dry air until it reaches a moisture content of between 30% and 50%; </w:t>
      </w:r>
    </w:p>
    <w:p w14:paraId="726C8A69" w14:textId="77777777" w:rsidR="00FD1296" w:rsidRPr="001E7C87" w:rsidRDefault="00FD1296" w:rsidP="00253F7B">
      <w:pPr>
        <w:pStyle w:val="ListParagraph"/>
        <w:numPr>
          <w:ilvl w:val="0"/>
          <w:numId w:val="5"/>
        </w:numPr>
        <w:jc w:val="both"/>
        <w:rPr>
          <w:rFonts w:ascii="Arial" w:hAnsi="Arial" w:cs="Arial"/>
          <w:sz w:val="24"/>
          <w:szCs w:val="24"/>
        </w:rPr>
      </w:pPr>
      <w:r>
        <w:rPr>
          <w:rFonts w:ascii="Arial" w:hAnsi="Arial"/>
          <w:sz w:val="24"/>
        </w:rPr>
        <w:t>“desalted”: a product obtained from a salted or salt-cured product whose salt content has been partly removed by means of water and that must be kept refrigerated or frozen;</w:t>
      </w:r>
    </w:p>
    <w:p w14:paraId="4906C4B9" w14:textId="77777777" w:rsidR="00FD1296" w:rsidRPr="001E7C87" w:rsidRDefault="00FD1296" w:rsidP="00253F7B">
      <w:pPr>
        <w:pStyle w:val="ListParagraph"/>
        <w:numPr>
          <w:ilvl w:val="0"/>
          <w:numId w:val="5"/>
        </w:numPr>
        <w:jc w:val="both"/>
        <w:rPr>
          <w:rFonts w:ascii="Arial" w:hAnsi="Arial" w:cs="Arial"/>
          <w:sz w:val="24"/>
          <w:szCs w:val="24"/>
        </w:rPr>
      </w:pPr>
      <w:r>
        <w:rPr>
          <w:rFonts w:ascii="Arial" w:hAnsi="Arial"/>
          <w:sz w:val="24"/>
        </w:rPr>
        <w:t>“lightly salted”: a product obtained from a fresh or defrosted product to which brine has been added, either by injection or immersion, and which must be kept refrigerated or frozen;</w:t>
      </w:r>
    </w:p>
    <w:p w14:paraId="0DB93F05" w14:textId="7EE0C595" w:rsidR="00682213" w:rsidRPr="002E5171" w:rsidRDefault="00FD1296" w:rsidP="002E5171">
      <w:pPr>
        <w:pStyle w:val="ListParagraph"/>
        <w:numPr>
          <w:ilvl w:val="0"/>
          <w:numId w:val="5"/>
        </w:numPr>
        <w:jc w:val="both"/>
        <w:rPr>
          <w:rFonts w:ascii="Arial" w:hAnsi="Arial" w:cs="Arial"/>
          <w:sz w:val="24"/>
          <w:szCs w:val="24"/>
        </w:rPr>
      </w:pPr>
      <w:r>
        <w:rPr>
          <w:rFonts w:ascii="Arial" w:hAnsi="Arial"/>
          <w:sz w:val="24"/>
        </w:rPr>
        <w:t>“brine”: drinking water with edible salt dissolved in it, possibly with other seasonings, spices and other approved substances;</w:t>
      </w:r>
    </w:p>
    <w:p w14:paraId="16B35FE3" w14:textId="77777777" w:rsidR="00FD1296" w:rsidRPr="001E7C87" w:rsidRDefault="00FD1296" w:rsidP="00253F7B">
      <w:pPr>
        <w:pStyle w:val="ListParagraph"/>
        <w:numPr>
          <w:ilvl w:val="0"/>
          <w:numId w:val="5"/>
        </w:numPr>
        <w:jc w:val="both"/>
        <w:rPr>
          <w:rFonts w:ascii="Arial" w:hAnsi="Arial" w:cs="Arial"/>
          <w:sz w:val="24"/>
          <w:szCs w:val="24"/>
        </w:rPr>
      </w:pPr>
      <w:r>
        <w:rPr>
          <w:rFonts w:ascii="Arial" w:hAnsi="Arial"/>
          <w:sz w:val="24"/>
        </w:rPr>
        <w:t>“dried”: a product exposed to dry air or that has undergone any other approved process until reaching a moisture content of less than 15%.</w:t>
      </w:r>
    </w:p>
    <w:p w14:paraId="7A723C5C" w14:textId="77777777" w:rsidR="00FD1296" w:rsidRPr="001E7C87" w:rsidRDefault="00FD1296" w:rsidP="00253F7B">
      <w:pPr>
        <w:pStyle w:val="ListParagraph"/>
        <w:numPr>
          <w:ilvl w:val="0"/>
          <w:numId w:val="5"/>
        </w:numPr>
        <w:jc w:val="both"/>
        <w:rPr>
          <w:rFonts w:ascii="Arial" w:hAnsi="Arial" w:cs="Arial"/>
          <w:sz w:val="24"/>
          <w:szCs w:val="24"/>
        </w:rPr>
      </w:pPr>
      <w:r>
        <w:rPr>
          <w:rFonts w:ascii="Arial" w:hAnsi="Arial"/>
          <w:sz w:val="24"/>
        </w:rPr>
        <w:t xml:space="preserve"> “dehydrated” or “freeze-dried”: a whole or portion of a product whose water content has been reduced to a maximum of 5% by approved methods, and which must be packed in a vacuum or inert gas;</w:t>
      </w:r>
    </w:p>
    <w:p w14:paraId="0B829EC5" w14:textId="77777777" w:rsidR="00FD1296" w:rsidRPr="001E7C87" w:rsidRDefault="00FD1296" w:rsidP="00253F7B">
      <w:pPr>
        <w:pStyle w:val="ListParagraph"/>
        <w:numPr>
          <w:ilvl w:val="0"/>
          <w:numId w:val="5"/>
        </w:numPr>
        <w:jc w:val="both"/>
        <w:rPr>
          <w:rFonts w:ascii="Arial" w:hAnsi="Arial" w:cs="Arial"/>
          <w:sz w:val="24"/>
          <w:szCs w:val="24"/>
        </w:rPr>
      </w:pPr>
      <w:r>
        <w:rPr>
          <w:rFonts w:ascii="Arial" w:hAnsi="Arial"/>
          <w:sz w:val="24"/>
        </w:rPr>
        <w:lastRenderedPageBreak/>
        <w:t>“smoked”: a product exposed to smoke from wood or other approved processes;</w:t>
      </w:r>
    </w:p>
    <w:p w14:paraId="2D119D18" w14:textId="77777777" w:rsidR="00FD1296" w:rsidRPr="001E7C87" w:rsidRDefault="00FD1296" w:rsidP="00253F7B">
      <w:pPr>
        <w:pStyle w:val="ListParagraph"/>
        <w:numPr>
          <w:ilvl w:val="0"/>
          <w:numId w:val="5"/>
        </w:numPr>
        <w:jc w:val="both"/>
        <w:rPr>
          <w:rFonts w:ascii="Arial" w:hAnsi="Arial" w:cs="Arial"/>
          <w:sz w:val="24"/>
          <w:szCs w:val="24"/>
        </w:rPr>
      </w:pPr>
      <w:r>
        <w:rPr>
          <w:rFonts w:ascii="Arial" w:hAnsi="Arial"/>
          <w:sz w:val="24"/>
        </w:rPr>
        <w:t xml:space="preserve"> “cooked”: a product exposed to steam, boiling water or any other approved heat treatment;</w:t>
      </w:r>
    </w:p>
    <w:p w14:paraId="17C47E08" w14:textId="77777777" w:rsidR="00FD1296" w:rsidRPr="001E7C87" w:rsidRDefault="00FD1296" w:rsidP="00253F7B">
      <w:pPr>
        <w:pStyle w:val="ListParagraph"/>
        <w:numPr>
          <w:ilvl w:val="0"/>
          <w:numId w:val="5"/>
        </w:numPr>
        <w:jc w:val="both"/>
        <w:rPr>
          <w:rFonts w:ascii="Arial" w:hAnsi="Arial" w:cs="Arial"/>
          <w:sz w:val="24"/>
          <w:szCs w:val="24"/>
        </w:rPr>
      </w:pPr>
      <w:r>
        <w:rPr>
          <w:rFonts w:ascii="Arial" w:hAnsi="Arial"/>
          <w:sz w:val="24"/>
        </w:rPr>
        <w:t>“cooked in its own juice”: a product cooked in the juices released during the cooking process;</w:t>
      </w:r>
    </w:p>
    <w:p w14:paraId="6823CA5A" w14:textId="77777777" w:rsidR="00FD1296" w:rsidRPr="001E7C87" w:rsidRDefault="00FD1296" w:rsidP="00253F7B">
      <w:pPr>
        <w:pStyle w:val="ListParagraph"/>
        <w:numPr>
          <w:ilvl w:val="0"/>
          <w:numId w:val="5"/>
        </w:numPr>
        <w:jc w:val="both"/>
        <w:rPr>
          <w:rFonts w:ascii="Arial" w:hAnsi="Arial" w:cs="Arial"/>
          <w:sz w:val="24"/>
          <w:szCs w:val="24"/>
        </w:rPr>
      </w:pPr>
      <w:r>
        <w:rPr>
          <w:rFonts w:ascii="Arial" w:hAnsi="Arial"/>
          <w:sz w:val="24"/>
        </w:rPr>
        <w:t>“cooked in brine”: a product cooked in water to which salt has been added, possibly with other approved additives;</w:t>
      </w:r>
    </w:p>
    <w:p w14:paraId="4016C98B" w14:textId="77777777" w:rsidR="00FD1296" w:rsidRPr="001E7C87" w:rsidRDefault="00FD1296" w:rsidP="00253F7B">
      <w:pPr>
        <w:pStyle w:val="ListParagraph"/>
        <w:numPr>
          <w:ilvl w:val="0"/>
          <w:numId w:val="5"/>
        </w:numPr>
        <w:jc w:val="both"/>
        <w:rPr>
          <w:rFonts w:ascii="Arial" w:hAnsi="Arial" w:cs="Arial"/>
          <w:sz w:val="24"/>
          <w:szCs w:val="24"/>
        </w:rPr>
      </w:pPr>
      <w:r>
        <w:rPr>
          <w:rFonts w:ascii="Arial" w:hAnsi="Arial"/>
          <w:sz w:val="24"/>
        </w:rPr>
        <w:t>“raw”: a product marketed without processing;</w:t>
      </w:r>
    </w:p>
    <w:p w14:paraId="453EB416" w14:textId="77777777" w:rsidR="00FD1296" w:rsidRPr="001E7C87" w:rsidRDefault="00FD1296" w:rsidP="00253F7B">
      <w:pPr>
        <w:pStyle w:val="ListParagraph"/>
        <w:numPr>
          <w:ilvl w:val="0"/>
          <w:numId w:val="5"/>
        </w:numPr>
        <w:jc w:val="both"/>
        <w:rPr>
          <w:rFonts w:ascii="Arial" w:hAnsi="Arial" w:cs="Arial"/>
          <w:sz w:val="24"/>
          <w:szCs w:val="24"/>
        </w:rPr>
      </w:pPr>
      <w:r>
        <w:rPr>
          <w:rFonts w:ascii="Arial" w:hAnsi="Arial"/>
          <w:sz w:val="24"/>
        </w:rPr>
        <w:t>“chilled”: a product that has undergone refrigeration;</w:t>
      </w:r>
    </w:p>
    <w:p w14:paraId="118F7AA0" w14:textId="77777777" w:rsidR="00FD1296" w:rsidRPr="001E7C87" w:rsidRDefault="00FD1296" w:rsidP="00253F7B">
      <w:pPr>
        <w:pStyle w:val="ListParagraph"/>
        <w:numPr>
          <w:ilvl w:val="0"/>
          <w:numId w:val="5"/>
        </w:numPr>
        <w:jc w:val="both"/>
        <w:rPr>
          <w:rFonts w:ascii="Arial" w:hAnsi="Arial" w:cs="Arial"/>
          <w:sz w:val="24"/>
          <w:szCs w:val="24"/>
        </w:rPr>
      </w:pPr>
      <w:r>
        <w:rPr>
          <w:rFonts w:ascii="Arial" w:hAnsi="Arial"/>
          <w:sz w:val="24"/>
        </w:rPr>
        <w:t>“refrigeration”: cold preservation process that stores and keeps fishery and aquaculture products at a temperature approaching that of melting ice;</w:t>
      </w:r>
    </w:p>
    <w:p w14:paraId="485FFC4E" w14:textId="77777777" w:rsidR="00FD1296" w:rsidRPr="001E7C87" w:rsidRDefault="00FD1296" w:rsidP="00253F7B">
      <w:pPr>
        <w:pStyle w:val="ListParagraph"/>
        <w:numPr>
          <w:ilvl w:val="0"/>
          <w:numId w:val="5"/>
        </w:numPr>
        <w:jc w:val="both"/>
        <w:rPr>
          <w:rFonts w:ascii="Arial" w:hAnsi="Arial" w:cs="Arial"/>
          <w:sz w:val="24"/>
          <w:szCs w:val="24"/>
        </w:rPr>
      </w:pPr>
      <w:r>
        <w:rPr>
          <w:rFonts w:ascii="Arial" w:hAnsi="Arial"/>
          <w:sz w:val="24"/>
        </w:rPr>
        <w:t>“frozen”: a product that has undergone freezing;</w:t>
      </w:r>
    </w:p>
    <w:p w14:paraId="255F0E4F" w14:textId="77777777" w:rsidR="00FD1296" w:rsidRPr="001E7C87" w:rsidRDefault="00FD1296" w:rsidP="00253F7B">
      <w:pPr>
        <w:pStyle w:val="ListParagraph"/>
        <w:numPr>
          <w:ilvl w:val="0"/>
          <w:numId w:val="5"/>
        </w:numPr>
        <w:jc w:val="both"/>
        <w:rPr>
          <w:rFonts w:ascii="Arial" w:hAnsi="Arial" w:cs="Arial"/>
          <w:sz w:val="24"/>
          <w:szCs w:val="24"/>
        </w:rPr>
      </w:pPr>
      <w:r>
        <w:rPr>
          <w:rFonts w:ascii="Arial" w:hAnsi="Arial"/>
          <w:sz w:val="24"/>
        </w:rPr>
        <w:t>“freezing”: a cold preservation process that stores and keeps fishery and aquaculture products at a core temperature not exceeding -18 ºC;</w:t>
      </w:r>
    </w:p>
    <w:p w14:paraId="4AB4BB99" w14:textId="77777777" w:rsidR="00FD1296" w:rsidRPr="001E7C87" w:rsidRDefault="00FD1296" w:rsidP="00253F7B">
      <w:pPr>
        <w:pStyle w:val="ListParagraph"/>
        <w:numPr>
          <w:ilvl w:val="0"/>
          <w:numId w:val="5"/>
        </w:numPr>
        <w:jc w:val="both"/>
        <w:rPr>
          <w:rFonts w:ascii="Arial" w:hAnsi="Arial" w:cs="Arial"/>
          <w:sz w:val="24"/>
          <w:szCs w:val="24"/>
        </w:rPr>
      </w:pPr>
      <w:r>
        <w:rPr>
          <w:rFonts w:ascii="Arial" w:hAnsi="Arial"/>
          <w:sz w:val="24"/>
        </w:rPr>
        <w:t>“deep-frozen”: a product that had undergone deep-freezing or quick-freezing;</w:t>
      </w:r>
    </w:p>
    <w:p w14:paraId="128DC0B0" w14:textId="77777777" w:rsidR="00FD1296" w:rsidRPr="001E7C87" w:rsidRDefault="00FD1296" w:rsidP="00253F7B">
      <w:pPr>
        <w:pStyle w:val="ListParagraph"/>
        <w:numPr>
          <w:ilvl w:val="0"/>
          <w:numId w:val="5"/>
        </w:numPr>
        <w:jc w:val="both"/>
        <w:rPr>
          <w:rFonts w:ascii="Arial" w:hAnsi="Arial" w:cs="Arial"/>
          <w:sz w:val="24"/>
          <w:szCs w:val="24"/>
        </w:rPr>
      </w:pPr>
      <w:r>
        <w:rPr>
          <w:rFonts w:ascii="Arial" w:hAnsi="Arial"/>
          <w:sz w:val="24"/>
        </w:rPr>
        <w:t>“deep-freezing” or “quick-freezing”:</w:t>
      </w:r>
      <w:r>
        <w:t xml:space="preserve"> </w:t>
      </w:r>
      <w:r>
        <w:rPr>
          <w:rFonts w:ascii="Arial" w:hAnsi="Arial"/>
          <w:sz w:val="24"/>
        </w:rPr>
        <w:t>type of freezing that allows rapid passage through the maximum crystallisation range, ensuring that after thermal stabilisation, all parts of the product maintain a temperature not exceeding -18 °C without interruption. These products shall be marketed in a way that indicates that they possess this characteristic.</w:t>
      </w:r>
    </w:p>
    <w:p w14:paraId="6325ED30" w14:textId="77777777" w:rsidR="00FD1296" w:rsidRPr="001E7C87" w:rsidRDefault="00FD1296" w:rsidP="00253F7B">
      <w:pPr>
        <w:pStyle w:val="ListParagraph"/>
        <w:numPr>
          <w:ilvl w:val="0"/>
          <w:numId w:val="5"/>
        </w:numPr>
        <w:jc w:val="both"/>
        <w:rPr>
          <w:rFonts w:ascii="Arial" w:hAnsi="Arial" w:cs="Arial"/>
          <w:sz w:val="24"/>
          <w:szCs w:val="24"/>
        </w:rPr>
      </w:pPr>
      <w:r>
        <w:rPr>
          <w:rFonts w:ascii="Arial" w:hAnsi="Arial"/>
          <w:sz w:val="24"/>
        </w:rPr>
        <w:t>“defrosted”: a product that has undergone defrosting and is marketed in refrigerated conditions.</w:t>
      </w:r>
    </w:p>
    <w:p w14:paraId="41092EB1" w14:textId="77777777" w:rsidR="00FD1296" w:rsidRPr="001E7C87" w:rsidRDefault="00FD1296" w:rsidP="00253F7B">
      <w:pPr>
        <w:pStyle w:val="ListParagraph"/>
        <w:numPr>
          <w:ilvl w:val="0"/>
          <w:numId w:val="5"/>
        </w:numPr>
        <w:jc w:val="both"/>
        <w:rPr>
          <w:rFonts w:ascii="Arial" w:hAnsi="Arial" w:cs="Arial"/>
          <w:sz w:val="24"/>
          <w:szCs w:val="24"/>
        </w:rPr>
      </w:pPr>
      <w:r>
        <w:rPr>
          <w:rFonts w:ascii="Arial" w:hAnsi="Arial"/>
          <w:sz w:val="24"/>
        </w:rPr>
        <w:t>“pasteurised”: a product that has undergone a pasteurisation process;</w:t>
      </w:r>
    </w:p>
    <w:p w14:paraId="1851177E" w14:textId="77777777" w:rsidR="00FD1296" w:rsidRPr="001E7C87" w:rsidRDefault="00FD1296" w:rsidP="00253F7B">
      <w:pPr>
        <w:pStyle w:val="ListParagraph"/>
        <w:numPr>
          <w:ilvl w:val="0"/>
          <w:numId w:val="5"/>
        </w:numPr>
        <w:jc w:val="both"/>
        <w:rPr>
          <w:rFonts w:ascii="Arial" w:hAnsi="Arial" w:cs="Arial"/>
          <w:sz w:val="24"/>
          <w:szCs w:val="24"/>
        </w:rPr>
      </w:pPr>
      <w:r>
        <w:rPr>
          <w:rFonts w:ascii="Arial" w:hAnsi="Arial"/>
          <w:sz w:val="24"/>
        </w:rPr>
        <w:t>“pasteurisation”: a process that destroys the vegetative forms of pathogenic micro-organisms in foods, and destroys or deactivates almost all of the benign flora, by subjecting foods to variable temperatures, based on treatment time, so they do not undergo substantive changes to their composition, and ensuring their preservation at a suitable temperature for a period of no less than 48 hours;</w:t>
      </w:r>
    </w:p>
    <w:p w14:paraId="79FEF26B" w14:textId="77777777" w:rsidR="00FD1296" w:rsidRPr="001E7C87" w:rsidRDefault="00FD1296" w:rsidP="00253F7B">
      <w:pPr>
        <w:pStyle w:val="ListParagraph"/>
        <w:numPr>
          <w:ilvl w:val="0"/>
          <w:numId w:val="5"/>
        </w:numPr>
        <w:jc w:val="both"/>
        <w:rPr>
          <w:rFonts w:ascii="Arial" w:hAnsi="Arial" w:cs="Arial"/>
          <w:sz w:val="24"/>
          <w:szCs w:val="24"/>
        </w:rPr>
      </w:pPr>
      <w:r>
        <w:rPr>
          <w:rFonts w:ascii="Arial" w:hAnsi="Arial"/>
          <w:sz w:val="24"/>
        </w:rPr>
        <w:t>“sterilised”: a product that has undergone a sterilisation process;</w:t>
      </w:r>
    </w:p>
    <w:p w14:paraId="44A6F52C" w14:textId="77777777" w:rsidR="00FD1296" w:rsidRPr="001E7C87" w:rsidRDefault="00FD1296" w:rsidP="00253F7B">
      <w:pPr>
        <w:pStyle w:val="ListParagraph"/>
        <w:numPr>
          <w:ilvl w:val="0"/>
          <w:numId w:val="5"/>
        </w:numPr>
        <w:jc w:val="both"/>
        <w:rPr>
          <w:rFonts w:ascii="Arial" w:hAnsi="Arial" w:cs="Arial"/>
          <w:sz w:val="24"/>
          <w:szCs w:val="24"/>
        </w:rPr>
      </w:pPr>
      <w:r>
        <w:rPr>
          <w:rFonts w:ascii="Arial" w:hAnsi="Arial"/>
          <w:sz w:val="24"/>
        </w:rPr>
        <w:t>“sterilisation”: a process that destroys all pathogenic or non-pathogenic micro-organisms, at suitable temperatures, applied once or by Tyndallisation. In the food industry, sterilisation also refers to the process that destroys or deactivates micro-organisms capable altering food under normal storage conditions, for a defined period of time;</w:t>
      </w:r>
    </w:p>
    <w:p w14:paraId="54186E07" w14:textId="77777777" w:rsidR="00FD1296" w:rsidRPr="00682213" w:rsidRDefault="00FD1296" w:rsidP="00253F7B">
      <w:pPr>
        <w:pStyle w:val="ListParagraph"/>
        <w:numPr>
          <w:ilvl w:val="0"/>
          <w:numId w:val="5"/>
        </w:numPr>
        <w:jc w:val="both"/>
        <w:rPr>
          <w:rFonts w:ascii="Arial" w:hAnsi="Arial" w:cs="Arial"/>
          <w:sz w:val="24"/>
          <w:szCs w:val="24"/>
        </w:rPr>
      </w:pPr>
      <w:r>
        <w:rPr>
          <w:rFonts w:ascii="Arial" w:hAnsi="Arial"/>
          <w:sz w:val="24"/>
        </w:rPr>
        <w:t>“semi-preserved”: a product that has not undergone sufficient processing to ensure its sterility at the time of sale and that must therefore be refrigerated;</w:t>
      </w:r>
    </w:p>
    <w:p w14:paraId="4841E29A" w14:textId="77777777" w:rsidR="00FD1296" w:rsidRPr="00682213" w:rsidRDefault="00FD1296" w:rsidP="00253F7B">
      <w:pPr>
        <w:pStyle w:val="ListParagraph"/>
        <w:numPr>
          <w:ilvl w:val="0"/>
          <w:numId w:val="5"/>
        </w:numPr>
        <w:jc w:val="both"/>
        <w:rPr>
          <w:rFonts w:ascii="Arial" w:hAnsi="Arial" w:cs="Arial"/>
          <w:sz w:val="24"/>
          <w:szCs w:val="24"/>
        </w:rPr>
      </w:pPr>
      <w:r>
        <w:rPr>
          <w:rFonts w:ascii="Arial" w:hAnsi="Arial"/>
          <w:sz w:val="24"/>
        </w:rPr>
        <w:t>“preserved”: a product that has undergone sufficient thermal treatment to ensure its sterility for an extended period of time without refrigeration;</w:t>
      </w:r>
    </w:p>
    <w:p w14:paraId="229F028B" w14:textId="1F53EC63" w:rsidR="00FD1296" w:rsidRPr="00682213" w:rsidRDefault="00FD1296" w:rsidP="00253F7B">
      <w:pPr>
        <w:pStyle w:val="ListParagraph"/>
        <w:numPr>
          <w:ilvl w:val="0"/>
          <w:numId w:val="5"/>
        </w:numPr>
        <w:jc w:val="both"/>
        <w:rPr>
          <w:rFonts w:ascii="Arial" w:hAnsi="Arial" w:cs="Arial"/>
          <w:strike/>
          <w:color w:val="FF0000"/>
          <w:sz w:val="24"/>
          <w:szCs w:val="24"/>
        </w:rPr>
      </w:pPr>
      <w:r>
        <w:rPr>
          <w:rFonts w:ascii="Arial" w:hAnsi="Arial"/>
          <w:sz w:val="24"/>
        </w:rPr>
        <w:t>“unseasoned”: a product whose covering liquid is made up of the natural juices resulting from its cooking, along with water and salt;</w:t>
      </w:r>
    </w:p>
    <w:p w14:paraId="493144BE" w14:textId="77777777" w:rsidR="00FD1296" w:rsidRPr="001E7C87" w:rsidRDefault="00FD1296" w:rsidP="00253F7B">
      <w:pPr>
        <w:pStyle w:val="ListParagraph"/>
        <w:numPr>
          <w:ilvl w:val="0"/>
          <w:numId w:val="5"/>
        </w:numPr>
        <w:jc w:val="both"/>
        <w:rPr>
          <w:rFonts w:ascii="Arial" w:hAnsi="Arial" w:cs="Arial"/>
          <w:sz w:val="24"/>
          <w:szCs w:val="24"/>
        </w:rPr>
      </w:pPr>
      <w:r>
        <w:rPr>
          <w:rFonts w:ascii="Arial" w:hAnsi="Arial"/>
          <w:sz w:val="24"/>
        </w:rPr>
        <w:t>“in olive oil”: a product covered solely with olive oil, without other types of oil mixed in;</w:t>
      </w:r>
    </w:p>
    <w:p w14:paraId="02271A59" w14:textId="77777777" w:rsidR="00FD1296" w:rsidRPr="001E7C87" w:rsidRDefault="00FD1296" w:rsidP="00253F7B">
      <w:pPr>
        <w:pStyle w:val="ListParagraph"/>
        <w:numPr>
          <w:ilvl w:val="0"/>
          <w:numId w:val="5"/>
        </w:numPr>
        <w:jc w:val="both"/>
        <w:rPr>
          <w:rFonts w:ascii="Arial" w:hAnsi="Arial" w:cs="Arial"/>
          <w:sz w:val="24"/>
          <w:szCs w:val="24"/>
        </w:rPr>
      </w:pPr>
      <w:r>
        <w:rPr>
          <w:rFonts w:ascii="Arial" w:hAnsi="Arial"/>
          <w:sz w:val="24"/>
        </w:rPr>
        <w:t>“in vegetable oil”: a product covered in a food-grade vegetable oil;</w:t>
      </w:r>
    </w:p>
    <w:p w14:paraId="312A7C55" w14:textId="76A5B016" w:rsidR="00FD1296" w:rsidRPr="001E7C87" w:rsidRDefault="00FD1296" w:rsidP="00253F7B">
      <w:pPr>
        <w:pStyle w:val="ListParagraph"/>
        <w:numPr>
          <w:ilvl w:val="0"/>
          <w:numId w:val="5"/>
        </w:numPr>
        <w:jc w:val="both"/>
        <w:rPr>
          <w:rFonts w:ascii="Arial" w:hAnsi="Arial" w:cs="Arial"/>
          <w:sz w:val="24"/>
          <w:szCs w:val="24"/>
        </w:rPr>
      </w:pPr>
      <w:r>
        <w:rPr>
          <w:rFonts w:ascii="Arial" w:hAnsi="Arial"/>
          <w:sz w:val="24"/>
        </w:rPr>
        <w:lastRenderedPageBreak/>
        <w:t xml:space="preserve">“marinated” or “dressed”: a product that has been softened in a mixture of seasonings, spices, vinegar, oil or other liquids applied to the surface or by immersion; </w:t>
      </w:r>
    </w:p>
    <w:p w14:paraId="45F0A4F8" w14:textId="77777777" w:rsidR="00FD1296" w:rsidRPr="001E7C87" w:rsidRDefault="00FD1296" w:rsidP="00253F7B">
      <w:pPr>
        <w:pStyle w:val="ListParagraph"/>
        <w:numPr>
          <w:ilvl w:val="0"/>
          <w:numId w:val="5"/>
        </w:numPr>
        <w:jc w:val="both"/>
        <w:rPr>
          <w:rFonts w:ascii="Arial" w:hAnsi="Arial" w:cs="Arial"/>
          <w:sz w:val="24"/>
          <w:szCs w:val="24"/>
        </w:rPr>
      </w:pPr>
      <w:r>
        <w:rPr>
          <w:rFonts w:ascii="Arial" w:hAnsi="Arial"/>
          <w:sz w:val="24"/>
        </w:rPr>
        <w:t>“pickled” or “in pickling brine”: a product with added seasonings, spices, vinegar, oil or other liquids that are characteristic of the culinary preparation in question, and that has undergone a thermal treatment;</w:t>
      </w:r>
    </w:p>
    <w:p w14:paraId="3BF591A4" w14:textId="77777777" w:rsidR="00FD1296" w:rsidRPr="001E7C87" w:rsidRDefault="00FD1296" w:rsidP="00253F7B">
      <w:pPr>
        <w:pStyle w:val="ListParagraph"/>
        <w:numPr>
          <w:ilvl w:val="0"/>
          <w:numId w:val="5"/>
        </w:numPr>
        <w:jc w:val="both"/>
        <w:rPr>
          <w:rFonts w:ascii="Arial" w:hAnsi="Arial" w:cs="Arial"/>
          <w:sz w:val="24"/>
          <w:szCs w:val="24"/>
        </w:rPr>
      </w:pPr>
      <w:r>
        <w:rPr>
          <w:rFonts w:ascii="Arial" w:hAnsi="Arial"/>
          <w:sz w:val="24"/>
        </w:rPr>
        <w:t xml:space="preserve">“in tomato sauce”, “in </w:t>
      </w:r>
      <w:r>
        <w:rPr>
          <w:rFonts w:ascii="Arial" w:hAnsi="Arial"/>
          <w:i/>
          <w:iCs/>
          <w:sz w:val="24"/>
        </w:rPr>
        <w:t>salsa americana</w:t>
      </w:r>
      <w:r>
        <w:rPr>
          <w:rFonts w:ascii="Arial" w:hAnsi="Arial"/>
          <w:sz w:val="24"/>
        </w:rPr>
        <w:t>”, “in hot sauce”, “in ink” or similar terms: a product whose covering liquid is made up of the ingredients proper to the culinary preparation in question;</w:t>
      </w:r>
    </w:p>
    <w:p w14:paraId="120A8BB7" w14:textId="63A606E3" w:rsidR="00682213" w:rsidRPr="002E5171" w:rsidRDefault="00FD1296" w:rsidP="002E5171">
      <w:pPr>
        <w:pStyle w:val="ListParagraph"/>
        <w:numPr>
          <w:ilvl w:val="0"/>
          <w:numId w:val="5"/>
        </w:numPr>
        <w:jc w:val="both"/>
        <w:rPr>
          <w:rFonts w:ascii="Arial" w:hAnsi="Arial" w:cs="Arial"/>
          <w:sz w:val="24"/>
          <w:szCs w:val="24"/>
        </w:rPr>
      </w:pPr>
      <w:r>
        <w:rPr>
          <w:rFonts w:ascii="Arial" w:hAnsi="Arial"/>
          <w:sz w:val="24"/>
        </w:rPr>
        <w:t>“paste”: a product that has been ground and homogenised, with the addition of other approved ingredients and substances;</w:t>
      </w:r>
    </w:p>
    <w:p w14:paraId="399E9A3D" w14:textId="77777777" w:rsidR="00FD1296" w:rsidRPr="001E7C87" w:rsidRDefault="00FD1296" w:rsidP="00253F7B">
      <w:pPr>
        <w:pStyle w:val="ListParagraph"/>
        <w:numPr>
          <w:ilvl w:val="0"/>
          <w:numId w:val="5"/>
        </w:numPr>
        <w:jc w:val="both"/>
        <w:rPr>
          <w:rFonts w:ascii="Arial" w:hAnsi="Arial" w:cs="Arial"/>
          <w:sz w:val="24"/>
          <w:szCs w:val="24"/>
        </w:rPr>
      </w:pPr>
      <w:r>
        <w:rPr>
          <w:rFonts w:ascii="Arial" w:hAnsi="Arial"/>
          <w:sz w:val="24"/>
        </w:rPr>
        <w:t xml:space="preserve"> “preparations of fishery and aquaculture products”: products made from the edible parts of fishery or aquaculture products, possibly with other approved ingredients, seasonings and additives, and possibly with subsequent processing. This type of product may use the descriptive name;</w:t>
      </w:r>
    </w:p>
    <w:p w14:paraId="148FD6D4" w14:textId="77777777" w:rsidR="00FD1296" w:rsidRPr="001E7C87" w:rsidRDefault="00FA42F5" w:rsidP="00253F7B">
      <w:pPr>
        <w:pStyle w:val="ListParagraph"/>
        <w:numPr>
          <w:ilvl w:val="0"/>
          <w:numId w:val="5"/>
        </w:numPr>
        <w:jc w:val="both"/>
        <w:rPr>
          <w:rStyle w:val="Emphasis"/>
          <w:rFonts w:ascii="Arial" w:hAnsi="Arial" w:cs="Arial"/>
          <w:i w:val="0"/>
          <w:iCs w:val="0"/>
          <w:sz w:val="24"/>
          <w:szCs w:val="24"/>
        </w:rPr>
      </w:pPr>
      <w:r>
        <w:rPr>
          <w:rFonts w:ascii="Arial" w:hAnsi="Arial"/>
          <w:sz w:val="24"/>
        </w:rPr>
        <w:t xml:space="preserve"> “sausage made from fishery and aquaculture products”: a product made from the edible parts of fishery and aquaculture products, without skin or bones, possibly with other approved ingredients, seasonings and additives, stuffed into a natural or artificial casing</w:t>
      </w:r>
      <w:r>
        <w:t xml:space="preserve">, </w:t>
      </w:r>
      <w:r>
        <w:rPr>
          <w:rFonts w:ascii="Arial" w:hAnsi="Arial"/>
          <w:sz w:val="24"/>
        </w:rPr>
        <w:t>and possibly with subsequent processing;</w:t>
      </w:r>
    </w:p>
    <w:p w14:paraId="6D312D1F" w14:textId="77777777" w:rsidR="00FD1296" w:rsidRPr="001E7C87" w:rsidRDefault="00FD1296" w:rsidP="00253F7B">
      <w:pPr>
        <w:pStyle w:val="ListParagraph"/>
        <w:numPr>
          <w:ilvl w:val="0"/>
          <w:numId w:val="5"/>
        </w:numPr>
        <w:jc w:val="both"/>
        <w:rPr>
          <w:rFonts w:ascii="Arial" w:hAnsi="Arial" w:cs="Arial"/>
          <w:sz w:val="24"/>
          <w:szCs w:val="24"/>
        </w:rPr>
      </w:pPr>
      <w:r>
        <w:rPr>
          <w:rFonts w:ascii="Arial" w:hAnsi="Arial"/>
          <w:sz w:val="24"/>
        </w:rPr>
        <w:t>“patés, creams, foams and mousses”: products made from fishery and aquaculture products with other approved ingredients, seasonings and additives, that have undergone mincing to achieve a typical texture and designated as “patés, creams, foams or mousses” based on consistency, whether of greater or lesser density;</w:t>
      </w:r>
    </w:p>
    <w:p w14:paraId="37223A2D" w14:textId="09DC4F12" w:rsidR="00C25511" w:rsidRPr="00A977D2" w:rsidRDefault="00FD1296" w:rsidP="00EC748B">
      <w:pPr>
        <w:pStyle w:val="ListParagraph"/>
        <w:numPr>
          <w:ilvl w:val="0"/>
          <w:numId w:val="5"/>
        </w:numPr>
        <w:jc w:val="both"/>
        <w:rPr>
          <w:rFonts w:ascii="Arial" w:hAnsi="Arial" w:cs="Arial"/>
          <w:sz w:val="24"/>
          <w:szCs w:val="24"/>
        </w:rPr>
      </w:pPr>
      <w:r>
        <w:rPr>
          <w:rFonts w:ascii="Arial" w:hAnsi="Arial"/>
          <w:sz w:val="24"/>
        </w:rPr>
        <w:t xml:space="preserve">“block made from pieces of fishery and aquaculture products”: a product made from fishery and aquaculture products, with or without skin, that is pressed to eliminate all cracks or interstitial gaps to leave smooth, even surfaces and well-defined edges. If the percentage of minced meat from fishery and aquaculture products contained in the block is greater than 10%, this percentage shall be indicated; if it is greater than 90%, the product shall be called “block made from pieces of minced fishery and aquaculture products”.’ </w:t>
      </w:r>
    </w:p>
    <w:p w14:paraId="371EAB03" w14:textId="77777777" w:rsidR="00C25511" w:rsidRDefault="00C25511" w:rsidP="00EC748B">
      <w:pPr>
        <w:jc w:val="both"/>
        <w:rPr>
          <w:rFonts w:ascii="Arial" w:hAnsi="Arial" w:cs="Arial"/>
          <w:sz w:val="24"/>
          <w:szCs w:val="24"/>
        </w:rPr>
      </w:pPr>
    </w:p>
    <w:p w14:paraId="204F7297" w14:textId="77777777" w:rsidR="00341F8F" w:rsidRPr="001E7C87" w:rsidRDefault="00341F8F" w:rsidP="00EC748B">
      <w:pPr>
        <w:jc w:val="both"/>
        <w:rPr>
          <w:rFonts w:ascii="Arial" w:hAnsi="Arial" w:cs="Arial"/>
          <w:sz w:val="24"/>
          <w:szCs w:val="24"/>
        </w:rPr>
      </w:pPr>
      <w:r>
        <w:rPr>
          <w:rFonts w:ascii="Arial" w:hAnsi="Arial"/>
          <w:sz w:val="24"/>
        </w:rPr>
        <w:t>Two. Article 4 now reads:</w:t>
      </w:r>
    </w:p>
    <w:p w14:paraId="22EBBE55" w14:textId="77777777" w:rsidR="00341F8F" w:rsidRPr="001E7C87" w:rsidRDefault="00341F8F" w:rsidP="00EC748B">
      <w:pPr>
        <w:jc w:val="both"/>
        <w:rPr>
          <w:rFonts w:ascii="Arial" w:hAnsi="Arial" w:cs="Arial"/>
          <w:b/>
          <w:sz w:val="24"/>
          <w:szCs w:val="24"/>
        </w:rPr>
      </w:pPr>
    </w:p>
    <w:p w14:paraId="48F1948D" w14:textId="77777777" w:rsidR="00341F8F" w:rsidRPr="001E7C87" w:rsidRDefault="00341F8F" w:rsidP="007571F0">
      <w:pPr>
        <w:pStyle w:val="Default"/>
        <w:rPr>
          <w:rFonts w:ascii="Arial" w:hAnsi="Arial" w:cs="Arial"/>
          <w:color w:val="auto"/>
        </w:rPr>
      </w:pPr>
      <w:r>
        <w:rPr>
          <w:rFonts w:ascii="Arial" w:hAnsi="Arial"/>
          <w:color w:val="auto"/>
        </w:rPr>
        <w:t>‘Article 4. Parts of fishery products</w:t>
      </w:r>
    </w:p>
    <w:p w14:paraId="76DCBE9C" w14:textId="77777777" w:rsidR="00341F8F" w:rsidRPr="001E7C87" w:rsidRDefault="00341F8F" w:rsidP="007571F0">
      <w:pPr>
        <w:pStyle w:val="Default"/>
        <w:rPr>
          <w:rFonts w:ascii="Arial" w:hAnsi="Arial" w:cs="Arial"/>
          <w:color w:val="auto"/>
          <w:lang w:eastAsia="es-ES_tradnl"/>
        </w:rPr>
      </w:pPr>
    </w:p>
    <w:p w14:paraId="0D895B44" w14:textId="77777777" w:rsidR="005916CF" w:rsidRPr="001E7C87" w:rsidRDefault="005916CF" w:rsidP="00253F7B">
      <w:pPr>
        <w:pStyle w:val="ListParagraph"/>
        <w:numPr>
          <w:ilvl w:val="0"/>
          <w:numId w:val="8"/>
        </w:numPr>
        <w:jc w:val="both"/>
        <w:rPr>
          <w:rFonts w:ascii="Arial" w:hAnsi="Arial" w:cs="Arial"/>
          <w:sz w:val="24"/>
          <w:szCs w:val="24"/>
        </w:rPr>
      </w:pPr>
      <w:r>
        <w:rPr>
          <w:rFonts w:ascii="Arial" w:hAnsi="Arial"/>
          <w:sz w:val="24"/>
        </w:rPr>
        <w:t>“Fins” or “wings”: flat, fleshy limbs of certain fish and cephalopods.</w:t>
      </w:r>
    </w:p>
    <w:p w14:paraId="697EE517" w14:textId="77777777" w:rsidR="005916CF" w:rsidRPr="001E7C87" w:rsidRDefault="005916CF" w:rsidP="00253F7B">
      <w:pPr>
        <w:pStyle w:val="ListParagraph"/>
        <w:numPr>
          <w:ilvl w:val="0"/>
          <w:numId w:val="8"/>
        </w:numPr>
        <w:jc w:val="both"/>
        <w:rPr>
          <w:rFonts w:ascii="Arial" w:hAnsi="Arial" w:cs="Arial"/>
          <w:sz w:val="24"/>
          <w:szCs w:val="24"/>
        </w:rPr>
      </w:pPr>
      <w:r>
        <w:rPr>
          <w:rFonts w:ascii="Arial" w:hAnsi="Arial"/>
          <w:sz w:val="24"/>
        </w:rPr>
        <w:t>“Mouths” or “legs”: locomotive appendages, pincers or claws of crustaceans.</w:t>
      </w:r>
    </w:p>
    <w:p w14:paraId="442795B2" w14:textId="77777777" w:rsidR="005916CF" w:rsidRPr="001E7C87" w:rsidRDefault="005916CF" w:rsidP="00253F7B">
      <w:pPr>
        <w:pStyle w:val="ListParagraph"/>
        <w:numPr>
          <w:ilvl w:val="0"/>
          <w:numId w:val="8"/>
        </w:numPr>
        <w:jc w:val="both"/>
        <w:rPr>
          <w:rFonts w:ascii="Arial" w:hAnsi="Arial" w:cs="Arial"/>
          <w:sz w:val="24"/>
          <w:szCs w:val="24"/>
        </w:rPr>
      </w:pPr>
      <w:r>
        <w:rPr>
          <w:rFonts w:ascii="Arial" w:hAnsi="Arial"/>
          <w:sz w:val="24"/>
        </w:rPr>
        <w:t>“Arms” or “tentacles”: limbs of cephalopods.</w:t>
      </w:r>
    </w:p>
    <w:p w14:paraId="3DA6AE8C" w14:textId="77777777" w:rsidR="005916CF" w:rsidRPr="001E7C87" w:rsidRDefault="005916CF" w:rsidP="00253F7B">
      <w:pPr>
        <w:pStyle w:val="ListParagraph"/>
        <w:numPr>
          <w:ilvl w:val="0"/>
          <w:numId w:val="8"/>
        </w:numPr>
        <w:jc w:val="both"/>
        <w:rPr>
          <w:rFonts w:ascii="Arial" w:hAnsi="Arial" w:cs="Arial"/>
          <w:sz w:val="24"/>
          <w:szCs w:val="24"/>
        </w:rPr>
      </w:pPr>
      <w:r>
        <w:rPr>
          <w:rFonts w:ascii="Arial" w:hAnsi="Arial"/>
          <w:sz w:val="24"/>
        </w:rPr>
        <w:t>“Head”: in fish, the anterior part of the body, obtained by cutting perpendicular to the longitudinal axis of the body at the level of the gill covers. In cephalopods, this is the anterior part of the body, without the limbs. In certain crustaceans, this is the anterior part of the body, without of the abdomen or pleon.</w:t>
      </w:r>
    </w:p>
    <w:p w14:paraId="3E830561" w14:textId="77777777" w:rsidR="005916CF" w:rsidRPr="001E7C87" w:rsidRDefault="005916CF" w:rsidP="00253F7B">
      <w:pPr>
        <w:pStyle w:val="ListParagraph"/>
        <w:numPr>
          <w:ilvl w:val="0"/>
          <w:numId w:val="8"/>
        </w:numPr>
        <w:jc w:val="both"/>
        <w:rPr>
          <w:rFonts w:ascii="Arial" w:hAnsi="Arial" w:cs="Arial"/>
          <w:sz w:val="24"/>
          <w:szCs w:val="24"/>
        </w:rPr>
      </w:pPr>
      <w:r>
        <w:rPr>
          <w:rFonts w:ascii="Arial" w:hAnsi="Arial"/>
          <w:sz w:val="24"/>
        </w:rPr>
        <w:lastRenderedPageBreak/>
        <w:t>“Meat” or “flesh”: edible soft parts of molluscs and crustaceans.</w:t>
      </w:r>
    </w:p>
    <w:p w14:paraId="43722FE2" w14:textId="77777777" w:rsidR="005916CF" w:rsidRPr="001E7C87" w:rsidRDefault="00253F7B" w:rsidP="00253F7B">
      <w:pPr>
        <w:pStyle w:val="ListParagraph"/>
        <w:numPr>
          <w:ilvl w:val="0"/>
          <w:numId w:val="8"/>
        </w:numPr>
        <w:jc w:val="both"/>
        <w:rPr>
          <w:rFonts w:ascii="Arial" w:hAnsi="Arial" w:cs="Arial"/>
          <w:sz w:val="24"/>
          <w:szCs w:val="24"/>
        </w:rPr>
      </w:pPr>
      <w:r>
        <w:rPr>
          <w:rFonts w:ascii="Arial" w:hAnsi="Arial"/>
          <w:sz w:val="24"/>
        </w:rPr>
        <w:t xml:space="preserve"> “Roe”: the ovarian masses of female fish, covered with coelom, with oviducts and part of the uterus.</w:t>
      </w:r>
    </w:p>
    <w:p w14:paraId="0EA3BC2F" w14:textId="77777777" w:rsidR="005916CF" w:rsidRPr="001E7C87" w:rsidRDefault="005916CF" w:rsidP="00253F7B">
      <w:pPr>
        <w:pStyle w:val="ListParagraph"/>
        <w:numPr>
          <w:ilvl w:val="0"/>
          <w:numId w:val="8"/>
        </w:numPr>
        <w:jc w:val="both"/>
        <w:rPr>
          <w:rFonts w:ascii="Arial" w:hAnsi="Arial" w:cs="Arial"/>
          <w:sz w:val="24"/>
          <w:szCs w:val="24"/>
        </w:rPr>
      </w:pPr>
      <w:r>
        <w:rPr>
          <w:rFonts w:ascii="Arial" w:hAnsi="Arial"/>
          <w:sz w:val="24"/>
        </w:rPr>
        <w:t>“Eggs”: unfertilised gametes obtained from female fish and crustaceans.</w:t>
      </w:r>
    </w:p>
    <w:p w14:paraId="3A770AB3" w14:textId="77777777" w:rsidR="005916CF" w:rsidRPr="001E7C87" w:rsidRDefault="005916CF" w:rsidP="00253F7B">
      <w:pPr>
        <w:pStyle w:val="ListParagraph"/>
        <w:numPr>
          <w:ilvl w:val="0"/>
          <w:numId w:val="8"/>
        </w:numPr>
        <w:jc w:val="both"/>
        <w:rPr>
          <w:rFonts w:ascii="Arial" w:hAnsi="Arial" w:cs="Arial"/>
          <w:sz w:val="24"/>
          <w:szCs w:val="24"/>
        </w:rPr>
      </w:pPr>
      <w:r>
        <w:rPr>
          <w:rFonts w:ascii="Arial" w:hAnsi="Arial"/>
          <w:sz w:val="24"/>
        </w:rPr>
        <w:t>“Loins”: thick portions taken from the dorsal muscles of fish, with or without skin or bones.</w:t>
      </w:r>
    </w:p>
    <w:p w14:paraId="03E254A4" w14:textId="77777777" w:rsidR="005916CF" w:rsidRPr="001E7C87" w:rsidRDefault="005916CF" w:rsidP="00253F7B">
      <w:pPr>
        <w:pStyle w:val="ListParagraph"/>
        <w:numPr>
          <w:ilvl w:val="0"/>
          <w:numId w:val="8"/>
        </w:numPr>
        <w:jc w:val="both"/>
        <w:rPr>
          <w:rFonts w:ascii="Arial" w:hAnsi="Arial" w:cs="Arial"/>
          <w:sz w:val="24"/>
          <w:szCs w:val="24"/>
        </w:rPr>
      </w:pPr>
      <w:r>
        <w:rPr>
          <w:rFonts w:ascii="Arial" w:hAnsi="Arial"/>
          <w:sz w:val="24"/>
        </w:rPr>
        <w:t>“Belly” or “ventresca”: portion of muscle mass that surrounds the abdominal cavity of fish, with or without skin or bones.</w:t>
      </w:r>
    </w:p>
    <w:p w14:paraId="1CD5C25D" w14:textId="77777777" w:rsidR="005916CF" w:rsidRPr="001E7C87" w:rsidRDefault="005916CF" w:rsidP="00253F7B">
      <w:pPr>
        <w:pStyle w:val="ListParagraph"/>
        <w:numPr>
          <w:ilvl w:val="0"/>
          <w:numId w:val="8"/>
        </w:numPr>
        <w:jc w:val="both"/>
        <w:rPr>
          <w:rFonts w:ascii="Arial" w:hAnsi="Arial" w:cs="Arial"/>
          <w:sz w:val="24"/>
          <w:szCs w:val="24"/>
        </w:rPr>
      </w:pPr>
      <w:r>
        <w:rPr>
          <w:rFonts w:ascii="Arial" w:hAnsi="Arial"/>
          <w:sz w:val="24"/>
        </w:rPr>
        <w:t>“Collar”: portion of muscle mass that surrounds the abdominal cavity of the fish, presented with the corresponding part of the back, with or without skin or bones.</w:t>
      </w:r>
    </w:p>
    <w:p w14:paraId="4F8E38C2" w14:textId="77777777" w:rsidR="005916CF" w:rsidRPr="001E7C87" w:rsidRDefault="005916CF" w:rsidP="00253F7B">
      <w:pPr>
        <w:pStyle w:val="ListParagraph"/>
        <w:numPr>
          <w:ilvl w:val="0"/>
          <w:numId w:val="8"/>
        </w:numPr>
        <w:jc w:val="both"/>
        <w:rPr>
          <w:rFonts w:ascii="Arial" w:hAnsi="Arial" w:cs="Arial"/>
          <w:sz w:val="24"/>
          <w:szCs w:val="24"/>
        </w:rPr>
      </w:pPr>
      <w:r>
        <w:rPr>
          <w:rFonts w:ascii="Arial" w:hAnsi="Arial"/>
          <w:sz w:val="24"/>
        </w:rPr>
        <w:t xml:space="preserve"> “Steaks”: portions of the central muscle mass immediately posterior to the abdominal cavity of the body of the fish, obtained by cutting parallel to the spine, with or without skin or bones.</w:t>
      </w:r>
    </w:p>
    <w:p w14:paraId="1E24558D" w14:textId="77777777" w:rsidR="005916CF" w:rsidRPr="001E7C87" w:rsidRDefault="005916CF" w:rsidP="00253F7B">
      <w:pPr>
        <w:pStyle w:val="ListParagraph"/>
        <w:numPr>
          <w:ilvl w:val="0"/>
          <w:numId w:val="8"/>
        </w:numPr>
        <w:jc w:val="both"/>
        <w:rPr>
          <w:rFonts w:ascii="Arial" w:hAnsi="Arial" w:cs="Arial"/>
          <w:sz w:val="24"/>
          <w:szCs w:val="24"/>
        </w:rPr>
      </w:pPr>
      <w:r>
        <w:rPr>
          <w:rFonts w:ascii="Arial" w:hAnsi="Arial"/>
          <w:sz w:val="24"/>
        </w:rPr>
        <w:t>“Tails”: in fish, the caudal part of the body immediately posterior to the abdominal cavity, obtained by cutting perpendicular to the longitudinal axis of the body and generally presented with the corresponding section of spine, with or without skin or bones. In crustaceans, this refers to the caudal part of the body, corresponding to the abdomen or pleon, possibly shelled.</w:t>
      </w:r>
    </w:p>
    <w:p w14:paraId="72F2CB5A" w14:textId="77777777" w:rsidR="005916CF" w:rsidRPr="001E7C87" w:rsidRDefault="00253F7B" w:rsidP="00253F7B">
      <w:pPr>
        <w:pStyle w:val="ListParagraph"/>
        <w:numPr>
          <w:ilvl w:val="0"/>
          <w:numId w:val="8"/>
        </w:numPr>
        <w:jc w:val="both"/>
        <w:rPr>
          <w:rFonts w:ascii="Arial" w:hAnsi="Arial" w:cs="Arial"/>
          <w:sz w:val="24"/>
          <w:szCs w:val="24"/>
        </w:rPr>
      </w:pPr>
      <w:r>
        <w:rPr>
          <w:rFonts w:ascii="Arial" w:hAnsi="Arial"/>
          <w:sz w:val="24"/>
        </w:rPr>
        <w:t xml:space="preserve"> “Cheeks”: portions of muscle mass between the two branches of the lower jaw of fish, with or without skin or bones.</w:t>
      </w:r>
    </w:p>
    <w:p w14:paraId="67702052" w14:textId="77777777" w:rsidR="005916CF" w:rsidRPr="001E7C87" w:rsidRDefault="00253F7B" w:rsidP="00253F7B">
      <w:pPr>
        <w:pStyle w:val="ListParagraph"/>
        <w:numPr>
          <w:ilvl w:val="0"/>
          <w:numId w:val="8"/>
        </w:numPr>
        <w:jc w:val="both"/>
        <w:rPr>
          <w:rFonts w:ascii="Arial" w:hAnsi="Arial" w:cs="Arial"/>
          <w:sz w:val="24"/>
          <w:szCs w:val="24"/>
        </w:rPr>
      </w:pPr>
      <w:r>
        <w:rPr>
          <w:rFonts w:ascii="Arial" w:hAnsi="Arial"/>
          <w:sz w:val="24"/>
        </w:rPr>
        <w:t xml:space="preserve"> “Tubes” or “pods”: mantles of cephalopods, without viscera, with or without skin and fins, but retaining its characteristic anatomical shape.</w:t>
      </w:r>
    </w:p>
    <w:p w14:paraId="614F365D" w14:textId="77777777" w:rsidR="004D0C59" w:rsidRPr="001E7C87" w:rsidRDefault="004D0C59" w:rsidP="00EC748B">
      <w:pPr>
        <w:jc w:val="both"/>
        <w:rPr>
          <w:rFonts w:ascii="Arial" w:hAnsi="Arial" w:cs="Arial"/>
          <w:b/>
          <w:sz w:val="24"/>
          <w:szCs w:val="24"/>
        </w:rPr>
      </w:pPr>
    </w:p>
    <w:p w14:paraId="36E577E2" w14:textId="77777777" w:rsidR="00341F8F" w:rsidRPr="001E7C87" w:rsidRDefault="00341F8F" w:rsidP="00EC748B">
      <w:pPr>
        <w:jc w:val="both"/>
        <w:rPr>
          <w:rFonts w:ascii="Arial" w:hAnsi="Arial" w:cs="Arial"/>
          <w:i/>
          <w:sz w:val="24"/>
          <w:szCs w:val="24"/>
        </w:rPr>
      </w:pPr>
      <w:r>
        <w:rPr>
          <w:rFonts w:ascii="Arial" w:hAnsi="Arial"/>
          <w:b/>
          <w:sz w:val="24"/>
        </w:rPr>
        <w:t xml:space="preserve">Second final provision. </w:t>
      </w:r>
      <w:r>
        <w:rPr>
          <w:rFonts w:ascii="Arial" w:hAnsi="Arial"/>
          <w:b/>
          <w:i/>
          <w:sz w:val="24"/>
        </w:rPr>
        <w:t>Attribution of powers</w:t>
      </w:r>
      <w:r>
        <w:rPr>
          <w:rFonts w:ascii="Arial" w:hAnsi="Arial"/>
          <w:i/>
          <w:sz w:val="24"/>
        </w:rPr>
        <w:t xml:space="preserve"> </w:t>
      </w:r>
    </w:p>
    <w:p w14:paraId="1C34FABC" w14:textId="77777777" w:rsidR="00341F8F" w:rsidRPr="001E7C87" w:rsidRDefault="00341F8F" w:rsidP="00EC748B">
      <w:pPr>
        <w:jc w:val="both"/>
        <w:rPr>
          <w:rFonts w:ascii="Arial" w:hAnsi="Arial" w:cs="Arial"/>
          <w:sz w:val="24"/>
          <w:szCs w:val="24"/>
        </w:rPr>
      </w:pPr>
    </w:p>
    <w:p w14:paraId="3783CBC6" w14:textId="77777777" w:rsidR="00341F8F" w:rsidRPr="001E7C87" w:rsidRDefault="00341F8F" w:rsidP="00EC748B">
      <w:pPr>
        <w:jc w:val="both"/>
        <w:rPr>
          <w:rFonts w:ascii="Arial" w:hAnsi="Arial" w:cs="Arial"/>
          <w:sz w:val="24"/>
          <w:szCs w:val="24"/>
        </w:rPr>
      </w:pPr>
      <w:r>
        <w:rPr>
          <w:rFonts w:ascii="Arial" w:hAnsi="Arial"/>
          <w:sz w:val="24"/>
        </w:rPr>
        <w:t xml:space="preserve">This Royal Decree is a basic regulation adopted pursuant to Article 149(1)(13) of the Constitution, granting the State exclusive powers over the basic rules and coordination of the general economic planning. Similarly, its adoption is in accordance with the exclusive powers of the State in matters of foreign trade for relationships of this kind pursuant to Article 149(1)(10). </w:t>
      </w:r>
    </w:p>
    <w:p w14:paraId="73632614" w14:textId="77777777" w:rsidR="002E5171" w:rsidRDefault="002E5171" w:rsidP="00EC748B">
      <w:pPr>
        <w:jc w:val="both"/>
        <w:rPr>
          <w:rFonts w:ascii="Arial" w:hAnsi="Arial" w:cs="Arial"/>
          <w:b/>
          <w:sz w:val="24"/>
          <w:szCs w:val="24"/>
        </w:rPr>
      </w:pPr>
    </w:p>
    <w:p w14:paraId="20A5D766" w14:textId="77777777" w:rsidR="00341F8F" w:rsidRPr="001E7C87" w:rsidRDefault="00341F8F" w:rsidP="00EC748B">
      <w:pPr>
        <w:jc w:val="both"/>
        <w:rPr>
          <w:rFonts w:ascii="Arial" w:hAnsi="Arial" w:cs="Arial"/>
          <w:i/>
          <w:sz w:val="24"/>
          <w:szCs w:val="24"/>
        </w:rPr>
      </w:pPr>
      <w:r>
        <w:rPr>
          <w:rFonts w:ascii="Arial" w:hAnsi="Arial"/>
          <w:b/>
          <w:sz w:val="24"/>
        </w:rPr>
        <w:t xml:space="preserve">Third final provision. </w:t>
      </w:r>
      <w:r>
        <w:rPr>
          <w:rFonts w:ascii="Arial" w:hAnsi="Arial"/>
          <w:i/>
          <w:sz w:val="24"/>
        </w:rPr>
        <w:t>Implementation authority</w:t>
      </w:r>
    </w:p>
    <w:p w14:paraId="15451AD5" w14:textId="77777777" w:rsidR="00341F8F" w:rsidRPr="001E7C87" w:rsidRDefault="00341F8F" w:rsidP="00EC748B">
      <w:pPr>
        <w:jc w:val="both"/>
        <w:rPr>
          <w:rFonts w:ascii="Arial" w:hAnsi="Arial" w:cs="Arial"/>
          <w:sz w:val="24"/>
          <w:szCs w:val="24"/>
        </w:rPr>
      </w:pPr>
    </w:p>
    <w:p w14:paraId="17230864" w14:textId="77777777" w:rsidR="00341F8F" w:rsidRPr="001E7C87" w:rsidRDefault="00341F8F" w:rsidP="00EC748B">
      <w:pPr>
        <w:jc w:val="both"/>
        <w:rPr>
          <w:rFonts w:ascii="Arial" w:hAnsi="Arial" w:cs="Arial"/>
          <w:sz w:val="24"/>
          <w:szCs w:val="24"/>
        </w:rPr>
      </w:pPr>
      <w:r>
        <w:rPr>
          <w:rFonts w:ascii="Arial" w:hAnsi="Arial"/>
          <w:sz w:val="24"/>
        </w:rPr>
        <w:t xml:space="preserve">Within the scope of its powers, the Ministry of Agriculture, Fisheries and Food may enact the measures necessary to implement and enforce the provisions of this Royal Decree and update the content of its Annex. </w:t>
      </w:r>
    </w:p>
    <w:p w14:paraId="3605A1D8" w14:textId="77777777" w:rsidR="00341F8F" w:rsidRPr="001E7C87" w:rsidRDefault="00341F8F" w:rsidP="00EC748B">
      <w:pPr>
        <w:jc w:val="both"/>
        <w:rPr>
          <w:rFonts w:ascii="Arial" w:hAnsi="Arial" w:cs="Arial"/>
          <w:sz w:val="24"/>
          <w:szCs w:val="24"/>
        </w:rPr>
      </w:pPr>
    </w:p>
    <w:p w14:paraId="111EBA2E" w14:textId="77777777" w:rsidR="00341F8F" w:rsidRPr="001E7C87" w:rsidRDefault="00341F8F" w:rsidP="00EC748B">
      <w:pPr>
        <w:jc w:val="both"/>
        <w:rPr>
          <w:rFonts w:ascii="Arial" w:hAnsi="Arial" w:cs="Arial"/>
          <w:i/>
          <w:sz w:val="24"/>
          <w:szCs w:val="24"/>
        </w:rPr>
      </w:pPr>
      <w:r>
        <w:rPr>
          <w:rFonts w:ascii="Arial" w:hAnsi="Arial"/>
          <w:b/>
          <w:sz w:val="24"/>
        </w:rPr>
        <w:t xml:space="preserve">Fourth final provision. </w:t>
      </w:r>
      <w:r>
        <w:rPr>
          <w:rFonts w:ascii="Arial" w:hAnsi="Arial"/>
          <w:i/>
          <w:sz w:val="24"/>
        </w:rPr>
        <w:t>Entry into force</w:t>
      </w:r>
    </w:p>
    <w:p w14:paraId="62D940F7" w14:textId="77777777" w:rsidR="00341F8F" w:rsidRPr="001E7C87" w:rsidRDefault="00341F8F" w:rsidP="00EC748B">
      <w:pPr>
        <w:jc w:val="both"/>
        <w:rPr>
          <w:rFonts w:ascii="Arial" w:hAnsi="Arial" w:cs="Arial"/>
          <w:sz w:val="24"/>
          <w:szCs w:val="24"/>
        </w:rPr>
      </w:pPr>
    </w:p>
    <w:p w14:paraId="439E1DCB" w14:textId="7B57854F" w:rsidR="00341F8F" w:rsidRPr="001E7C87" w:rsidRDefault="00341F8F" w:rsidP="00EC748B">
      <w:pPr>
        <w:jc w:val="both"/>
        <w:rPr>
          <w:rFonts w:ascii="Arial" w:hAnsi="Arial" w:cs="Arial"/>
          <w:sz w:val="24"/>
          <w:szCs w:val="24"/>
        </w:rPr>
      </w:pPr>
      <w:r>
        <w:rPr>
          <w:rFonts w:ascii="Arial" w:hAnsi="Arial"/>
          <w:sz w:val="24"/>
        </w:rPr>
        <w:t>This Royal Decree shall come into force on xx xxxxx 2022.</w:t>
      </w:r>
    </w:p>
    <w:p w14:paraId="23E9DB53" w14:textId="77777777" w:rsidR="00341F8F" w:rsidRPr="001E7C87" w:rsidRDefault="00341F8F" w:rsidP="00EC748B">
      <w:pPr>
        <w:jc w:val="both"/>
        <w:rPr>
          <w:rFonts w:ascii="Arial" w:hAnsi="Arial" w:cs="Arial"/>
          <w:sz w:val="24"/>
          <w:szCs w:val="24"/>
        </w:rPr>
      </w:pPr>
    </w:p>
    <w:p w14:paraId="5D8FCC2D" w14:textId="77777777" w:rsidR="00341F8F" w:rsidRPr="001E7C87" w:rsidRDefault="00341F8F" w:rsidP="00EC748B">
      <w:pPr>
        <w:jc w:val="center"/>
        <w:rPr>
          <w:rFonts w:ascii="Arial" w:hAnsi="Arial" w:cs="Arial"/>
          <w:sz w:val="24"/>
          <w:szCs w:val="24"/>
        </w:rPr>
      </w:pPr>
      <w:r>
        <w:rPr>
          <w:rFonts w:ascii="Arial" w:hAnsi="Arial"/>
          <w:sz w:val="24"/>
        </w:rPr>
        <w:t>TO BE SUBMITTED TO THE COUNCIL OF MINISTERS</w:t>
      </w:r>
    </w:p>
    <w:p w14:paraId="7098D00F" w14:textId="77777777" w:rsidR="00341F8F" w:rsidRPr="001E7C87" w:rsidRDefault="00070E79" w:rsidP="00EC748B">
      <w:pPr>
        <w:jc w:val="center"/>
        <w:rPr>
          <w:rFonts w:ascii="Arial" w:hAnsi="Arial" w:cs="Arial"/>
          <w:sz w:val="24"/>
          <w:szCs w:val="24"/>
        </w:rPr>
      </w:pPr>
      <w:r>
        <w:rPr>
          <w:rFonts w:ascii="Arial" w:hAnsi="Arial"/>
          <w:sz w:val="24"/>
        </w:rPr>
        <w:t>Madrid, xx xxxx xxxx</w:t>
      </w:r>
    </w:p>
    <w:p w14:paraId="3172B700" w14:textId="77777777" w:rsidR="00341F8F" w:rsidRPr="001E7C87" w:rsidRDefault="00341F8F" w:rsidP="00EC748B">
      <w:pPr>
        <w:jc w:val="center"/>
        <w:rPr>
          <w:rFonts w:ascii="Arial" w:hAnsi="Arial" w:cs="Arial"/>
          <w:sz w:val="24"/>
          <w:szCs w:val="24"/>
        </w:rPr>
      </w:pPr>
    </w:p>
    <w:p w14:paraId="18E3560A" w14:textId="77777777" w:rsidR="00341F8F" w:rsidRPr="001E7C87" w:rsidRDefault="00341F8F" w:rsidP="00EC748B">
      <w:pPr>
        <w:jc w:val="center"/>
        <w:rPr>
          <w:rFonts w:ascii="Arial" w:hAnsi="Arial" w:cs="Arial"/>
          <w:sz w:val="24"/>
          <w:szCs w:val="24"/>
        </w:rPr>
      </w:pPr>
      <w:r>
        <w:rPr>
          <w:rFonts w:ascii="Arial" w:hAnsi="Arial"/>
          <w:sz w:val="24"/>
        </w:rPr>
        <w:lastRenderedPageBreak/>
        <w:t>MINISTER FOR AGRICULTURE, FISHERIES AND FOOD</w:t>
      </w:r>
    </w:p>
    <w:p w14:paraId="64688BB5" w14:textId="77777777" w:rsidR="00341F8F" w:rsidRPr="001E7C87" w:rsidRDefault="00341F8F" w:rsidP="00EC748B">
      <w:pPr>
        <w:jc w:val="center"/>
        <w:rPr>
          <w:rFonts w:ascii="Arial" w:hAnsi="Arial" w:cs="Arial"/>
          <w:sz w:val="24"/>
          <w:szCs w:val="24"/>
        </w:rPr>
      </w:pPr>
    </w:p>
    <w:p w14:paraId="19C482F0" w14:textId="77777777" w:rsidR="00341F8F" w:rsidRPr="001E7C87" w:rsidRDefault="00341F8F" w:rsidP="00EC748B">
      <w:pPr>
        <w:jc w:val="center"/>
        <w:rPr>
          <w:rFonts w:ascii="Arial" w:hAnsi="Arial" w:cs="Arial"/>
          <w:sz w:val="24"/>
          <w:szCs w:val="24"/>
        </w:rPr>
      </w:pPr>
      <w:r>
        <w:rPr>
          <w:rFonts w:ascii="Arial" w:hAnsi="Arial"/>
          <w:sz w:val="24"/>
        </w:rPr>
        <w:t>Luis Planas Puchades</w:t>
      </w:r>
    </w:p>
    <w:p w14:paraId="22DFDF0C" w14:textId="77777777" w:rsidR="00341F8F" w:rsidRPr="001E7C87" w:rsidRDefault="00341F8F" w:rsidP="00EC748B">
      <w:pPr>
        <w:jc w:val="center"/>
        <w:rPr>
          <w:rFonts w:ascii="Arial" w:hAnsi="Arial" w:cs="Arial"/>
          <w:sz w:val="24"/>
          <w:szCs w:val="24"/>
        </w:rPr>
      </w:pPr>
    </w:p>
    <w:p w14:paraId="017C8922" w14:textId="77777777" w:rsidR="00341F8F" w:rsidRPr="001E7C87" w:rsidRDefault="00341F8F" w:rsidP="00EC748B">
      <w:pPr>
        <w:jc w:val="center"/>
        <w:rPr>
          <w:rFonts w:ascii="Arial" w:hAnsi="Arial" w:cs="Arial"/>
          <w:sz w:val="24"/>
          <w:szCs w:val="24"/>
        </w:rPr>
      </w:pPr>
    </w:p>
    <w:p w14:paraId="21A5928E" w14:textId="77777777" w:rsidR="00341F8F" w:rsidRPr="001E7C87" w:rsidRDefault="00341F8F" w:rsidP="00EC748B">
      <w:pPr>
        <w:jc w:val="center"/>
        <w:rPr>
          <w:rFonts w:ascii="Arial" w:hAnsi="Arial" w:cs="Arial"/>
          <w:sz w:val="24"/>
          <w:szCs w:val="24"/>
        </w:rPr>
      </w:pPr>
    </w:p>
    <w:p w14:paraId="67F403B6" w14:textId="77777777" w:rsidR="00341F8F" w:rsidRPr="001E7C87" w:rsidRDefault="00341F8F" w:rsidP="00EC748B">
      <w:pPr>
        <w:jc w:val="center"/>
        <w:rPr>
          <w:rFonts w:ascii="Arial" w:hAnsi="Arial" w:cs="Arial"/>
          <w:sz w:val="24"/>
          <w:szCs w:val="24"/>
        </w:rPr>
      </w:pPr>
    </w:p>
    <w:p w14:paraId="173F5651" w14:textId="77777777" w:rsidR="00341F8F" w:rsidRPr="001E7C87" w:rsidRDefault="00341F8F" w:rsidP="00EC748B">
      <w:pPr>
        <w:jc w:val="center"/>
        <w:rPr>
          <w:rFonts w:ascii="Arial" w:hAnsi="Arial" w:cs="Arial"/>
          <w:sz w:val="24"/>
          <w:szCs w:val="24"/>
        </w:rPr>
      </w:pPr>
    </w:p>
    <w:p w14:paraId="73DF2083" w14:textId="77777777" w:rsidR="00341F8F" w:rsidRPr="001E7C87" w:rsidRDefault="00341F8F" w:rsidP="00EC748B">
      <w:pPr>
        <w:jc w:val="center"/>
        <w:rPr>
          <w:rFonts w:ascii="Arial" w:hAnsi="Arial" w:cs="Arial"/>
          <w:sz w:val="24"/>
          <w:szCs w:val="24"/>
        </w:rPr>
      </w:pPr>
    </w:p>
    <w:p w14:paraId="51EF3F8B" w14:textId="77777777" w:rsidR="00341F8F" w:rsidRPr="001E7C87" w:rsidRDefault="00341F8F" w:rsidP="00EC748B">
      <w:pPr>
        <w:jc w:val="center"/>
        <w:rPr>
          <w:rFonts w:ascii="Arial" w:hAnsi="Arial" w:cs="Arial"/>
          <w:sz w:val="24"/>
          <w:szCs w:val="24"/>
        </w:rPr>
      </w:pPr>
    </w:p>
    <w:p w14:paraId="62659E5F" w14:textId="77777777" w:rsidR="00341F8F" w:rsidRPr="001E7C87" w:rsidRDefault="00341F8F" w:rsidP="00EC748B">
      <w:pPr>
        <w:jc w:val="center"/>
        <w:rPr>
          <w:rFonts w:ascii="Arial" w:hAnsi="Arial" w:cs="Arial"/>
          <w:sz w:val="24"/>
          <w:szCs w:val="24"/>
        </w:rPr>
      </w:pPr>
    </w:p>
    <w:p w14:paraId="6F798B69" w14:textId="77777777" w:rsidR="00341F8F" w:rsidRPr="001E7C87" w:rsidRDefault="00341F8F" w:rsidP="00EC748B">
      <w:pPr>
        <w:jc w:val="center"/>
        <w:rPr>
          <w:rFonts w:ascii="Arial" w:hAnsi="Arial" w:cs="Arial"/>
          <w:sz w:val="24"/>
          <w:szCs w:val="24"/>
        </w:rPr>
      </w:pPr>
    </w:p>
    <w:p w14:paraId="24E62060" w14:textId="77777777" w:rsidR="00341F8F" w:rsidRPr="001E7C87" w:rsidRDefault="00341F8F" w:rsidP="00EC748B">
      <w:pPr>
        <w:jc w:val="center"/>
        <w:rPr>
          <w:rFonts w:ascii="Arial" w:hAnsi="Arial" w:cs="Arial"/>
          <w:sz w:val="24"/>
          <w:szCs w:val="24"/>
        </w:rPr>
      </w:pPr>
    </w:p>
    <w:p w14:paraId="2B74C5A3" w14:textId="77777777" w:rsidR="00341F8F" w:rsidRPr="001E7C87" w:rsidRDefault="00341F8F" w:rsidP="00EC748B">
      <w:pPr>
        <w:jc w:val="center"/>
        <w:rPr>
          <w:rFonts w:ascii="Arial" w:hAnsi="Arial" w:cs="Arial"/>
          <w:sz w:val="24"/>
          <w:szCs w:val="24"/>
        </w:rPr>
      </w:pPr>
    </w:p>
    <w:p w14:paraId="39CED1FC" w14:textId="77777777" w:rsidR="00341F8F" w:rsidRPr="001E7C87" w:rsidRDefault="00341F8F" w:rsidP="00EC748B">
      <w:pPr>
        <w:jc w:val="center"/>
        <w:rPr>
          <w:rFonts w:ascii="Arial" w:hAnsi="Arial" w:cs="Arial"/>
          <w:sz w:val="24"/>
          <w:szCs w:val="24"/>
        </w:rPr>
      </w:pPr>
      <w:r>
        <w:rPr>
          <w:rFonts w:ascii="Arial" w:hAnsi="Arial"/>
          <w:sz w:val="24"/>
        </w:rPr>
        <w:t xml:space="preserve">ANNEX </w:t>
      </w:r>
    </w:p>
    <w:p w14:paraId="4E5A8D3C" w14:textId="77777777" w:rsidR="00341F8F" w:rsidRPr="001E7C87" w:rsidRDefault="00341F8F" w:rsidP="00EC748B">
      <w:pPr>
        <w:jc w:val="center"/>
        <w:rPr>
          <w:rFonts w:ascii="Arial" w:hAnsi="Arial" w:cs="Arial"/>
          <w:sz w:val="24"/>
          <w:szCs w:val="24"/>
        </w:rPr>
      </w:pPr>
    </w:p>
    <w:p w14:paraId="02E904BA" w14:textId="7618E74A" w:rsidR="00341F8F" w:rsidRPr="001E7C87" w:rsidRDefault="00341F8F" w:rsidP="00EC748B">
      <w:pPr>
        <w:jc w:val="center"/>
        <w:rPr>
          <w:rFonts w:ascii="Arial" w:hAnsi="Arial" w:cs="Arial"/>
          <w:sz w:val="24"/>
          <w:szCs w:val="24"/>
        </w:rPr>
      </w:pPr>
      <w:r>
        <w:rPr>
          <w:rFonts w:ascii="Arial" w:hAnsi="Arial"/>
          <w:sz w:val="24"/>
        </w:rPr>
        <w:t>INSERT LIST</w:t>
      </w:r>
    </w:p>
    <w:p w14:paraId="40670373" w14:textId="77777777" w:rsidR="00341F8F" w:rsidRPr="001E7C87" w:rsidRDefault="00341F8F" w:rsidP="00EC748B">
      <w:pPr>
        <w:jc w:val="center"/>
        <w:rPr>
          <w:rFonts w:ascii="Arial" w:hAnsi="Arial" w:cs="Arial"/>
          <w:sz w:val="24"/>
          <w:szCs w:val="24"/>
        </w:rPr>
      </w:pPr>
    </w:p>
    <w:p w14:paraId="4AFC2F3E" w14:textId="77777777" w:rsidR="00341F8F" w:rsidRPr="001E7C87" w:rsidRDefault="00341F8F" w:rsidP="00EC748B">
      <w:pPr>
        <w:jc w:val="center"/>
        <w:rPr>
          <w:rFonts w:ascii="Arial" w:hAnsi="Arial" w:cs="Arial"/>
          <w:sz w:val="24"/>
          <w:szCs w:val="24"/>
        </w:rPr>
      </w:pPr>
    </w:p>
    <w:p w14:paraId="47AD2D8C" w14:textId="77777777" w:rsidR="00341F8F" w:rsidRPr="001E7C87" w:rsidRDefault="00341F8F" w:rsidP="00EC748B">
      <w:pPr>
        <w:jc w:val="center"/>
        <w:rPr>
          <w:rFonts w:ascii="Arial" w:hAnsi="Arial" w:cs="Arial"/>
          <w:sz w:val="24"/>
          <w:szCs w:val="24"/>
        </w:rPr>
      </w:pPr>
    </w:p>
    <w:sectPr w:rsidR="00341F8F" w:rsidRPr="001E7C87" w:rsidSect="00F674AE">
      <w:headerReference w:type="default" r:id="rId9"/>
      <w:footerReference w:type="even" r:id="rId10"/>
      <w:footerReference w:type="default" r:id="rId11"/>
      <w:pgSz w:w="11906" w:h="16838"/>
      <w:pgMar w:top="2693" w:right="992" w:bottom="1701" w:left="1985" w:header="1134" w:footer="56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B4373C" w14:textId="77777777" w:rsidR="00994BDE" w:rsidRDefault="00994BDE">
      <w:r>
        <w:separator/>
      </w:r>
    </w:p>
  </w:endnote>
  <w:endnote w:type="continuationSeparator" w:id="0">
    <w:p w14:paraId="5BF8EA4F" w14:textId="77777777" w:rsidR="00994BDE" w:rsidRDefault="00994B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EUAlbertina">
    <w:altName w:val="EU Albertina"/>
    <w:panose1 w:val="00000000000000000000"/>
    <w:charset w:val="00"/>
    <w:family w:val="roman"/>
    <w:notTrueType/>
    <w:pitch w:val="default"/>
    <w:sig w:usb0="00000003" w:usb1="00000000" w:usb2="00000000" w:usb3="00000000" w:csb0="00000001" w:csb1="00000000"/>
  </w:font>
  <w:font w:name="Arial Unicode MS">
    <w:altName w:val="Yu Gothic"/>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E35345" w14:textId="77777777" w:rsidR="00341F8F" w:rsidRDefault="00816E10" w:rsidP="00B33D32">
    <w:pPr>
      <w:pStyle w:val="Footer"/>
      <w:framePr w:wrap="around" w:vAnchor="text" w:hAnchor="margin" w:xAlign="center" w:y="1"/>
      <w:rPr>
        <w:rStyle w:val="PageNumber"/>
      </w:rPr>
    </w:pPr>
    <w:r>
      <w:rPr>
        <w:rStyle w:val="PageNumber"/>
      </w:rPr>
      <w:fldChar w:fldCharType="begin"/>
    </w:r>
    <w:r w:rsidR="00341F8F">
      <w:rPr>
        <w:rStyle w:val="PageNumber"/>
      </w:rPr>
      <w:instrText xml:space="preserve">PAGE  </w:instrText>
    </w:r>
    <w:r>
      <w:rPr>
        <w:rStyle w:val="PageNumber"/>
      </w:rPr>
      <w:fldChar w:fldCharType="end"/>
    </w:r>
  </w:p>
  <w:p w14:paraId="0EFE5789" w14:textId="77777777" w:rsidR="00341F8F" w:rsidRDefault="00341F8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25C893" w14:textId="77777777" w:rsidR="00341F8F" w:rsidRDefault="00816E10">
    <w:pPr>
      <w:pStyle w:val="Footer"/>
      <w:jc w:val="right"/>
    </w:pPr>
    <w:r>
      <w:fldChar w:fldCharType="begin"/>
    </w:r>
    <w:r w:rsidR="00341F8F">
      <w:instrText>PAGE   \* MERGEFORMAT</w:instrText>
    </w:r>
    <w:r>
      <w:fldChar w:fldCharType="separate"/>
    </w:r>
    <w:r w:rsidR="004808F6">
      <w:t>8</w:t>
    </w:r>
    <w:r>
      <w:fldChar w:fldCharType="end"/>
    </w:r>
  </w:p>
  <w:p w14:paraId="198CA21F" w14:textId="77777777" w:rsidR="00341F8F" w:rsidRDefault="00341F8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E1FBD1" w14:textId="77777777" w:rsidR="00994BDE" w:rsidRDefault="00994BDE">
      <w:r>
        <w:separator/>
      </w:r>
    </w:p>
  </w:footnote>
  <w:footnote w:type="continuationSeparator" w:id="0">
    <w:p w14:paraId="371BE7FE" w14:textId="77777777" w:rsidR="00994BDE" w:rsidRDefault="00994BD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77C505" w14:textId="77777777" w:rsidR="00341F8F" w:rsidRDefault="00142C13">
    <w:pPr>
      <w:pStyle w:val="Header"/>
      <w:tabs>
        <w:tab w:val="clear" w:pos="8504"/>
      </w:tabs>
    </w:pPr>
    <w:r>
      <w:rPr>
        <w:noProof/>
      </w:rPr>
      <mc:AlternateContent>
        <mc:Choice Requires="wps">
          <w:drawing>
            <wp:anchor distT="0" distB="0" distL="114300" distR="114300" simplePos="0" relativeHeight="251657216" behindDoc="0" locked="0" layoutInCell="0" allowOverlap="1" wp14:anchorId="6E365D21" wp14:editId="37A5C2BD">
              <wp:simplePos x="0" y="0"/>
              <wp:positionH relativeFrom="column">
                <wp:posOffset>3624792</wp:posOffset>
              </wp:positionH>
              <wp:positionV relativeFrom="paragraph">
                <wp:posOffset>-262890</wp:posOffset>
              </wp:positionV>
              <wp:extent cx="2125133" cy="457200"/>
              <wp:effectExtent l="0" t="0" r="27940" b="19050"/>
              <wp:wrapNone/>
              <wp:docPr id="2"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25133" cy="4572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C0C0C0"/>
                            </a:solidFill>
                          </a14:hiddenFill>
                        </a:ext>
                      </a:extLst>
                    </wps:spPr>
                    <wps:txbx>
                      <w:txbxContent>
                        <w:p w14:paraId="61EF98CC" w14:textId="77777777" w:rsidR="00341F8F" w:rsidRPr="0050239C" w:rsidRDefault="00341F8F">
                          <w:pPr>
                            <w:spacing w:line="216" w:lineRule="auto"/>
                            <w:rPr>
                              <w:rFonts w:ascii="Arial" w:hAnsi="Arial"/>
                              <w:sz w:val="14"/>
                              <w:szCs w:val="14"/>
                            </w:rPr>
                          </w:pPr>
                        </w:p>
                        <w:p w14:paraId="3FC5BA81" w14:textId="77777777" w:rsidR="00341F8F" w:rsidRPr="0050239C" w:rsidRDefault="00341F8F" w:rsidP="0050239C">
                          <w:pPr>
                            <w:spacing w:line="216" w:lineRule="auto"/>
                            <w:ind w:right="-186"/>
                            <w:rPr>
                              <w:rFonts w:ascii="Arial" w:hAnsi="Arial"/>
                              <w:sz w:val="14"/>
                            </w:rPr>
                          </w:pPr>
                          <w:r>
                            <w:rPr>
                              <w:rFonts w:ascii="Arial" w:hAnsi="Arial"/>
                              <w:sz w:val="14"/>
                            </w:rPr>
                            <w:t>GENERAL SECRETARIAT FOR FISHERIES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E365D21" id="Rectangle 4" o:spid="_x0000_s1026" style="position:absolute;margin-left:285.4pt;margin-top:-20.7pt;width:167.35pt;height:36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" o:allowincell="f" filled="f" fillcolor="silver">
              <v:textbox>
                <w:txbxContent>
                  <w:p w14:paraId="61EF98CC" w14:textId="77777777" w:rsidR="00341F8F" w:rsidRPr="0050239C" w:rsidRDefault="00341F8F">
                    <w:pPr>
                      <w:spacing w:line="216" w:lineRule="auto"/>
                      <w:rPr>
                        <w:rFonts w:ascii="Arial" w:hAnsi="Arial"/>
                        <w:sz w:val="14"/>
                        <w:szCs w:val="14"/>
                      </w:rPr>
                    </w:pPr>
                  </w:p>
                  <w:p w14:paraId="3FC5BA81" w14:textId="77777777" w:rsidR="00341F8F" w:rsidRPr="0050239C" w:rsidRDefault="00341F8F" w:rsidP="0050239C">
                    <w:pPr>
                      <w:spacing w:line="216" w:lineRule="auto"/>
                      <w:ind w:right="-186"/>
                      <w:rPr>
                        <w:rFonts w:ascii="Arial" w:hAnsi="Arial"/>
                        <w:sz w:val="14"/>
                      </w:rPr>
                    </w:pPr>
                    <w:r>
                      <w:rPr>
                        <w:rFonts w:ascii="Arial" w:hAnsi="Arial"/>
                        <w:sz w:val="14"/>
                      </w:rPr>
                      <w:t>GENERAL SECRETARIAT FOR FISHERIES</w:t>
                    </w:r>
                  </w:p>
                </w:txbxContent>
              </v:textbox>
            </v:rect>
          </w:pict>
        </mc:Fallback>
      </mc:AlternateContent>
    </w:r>
    <w:r>
      <w:rPr>
        <w:noProof/>
      </w:rPr>
      <mc:AlternateContent>
        <mc:Choice Requires="wps">
          <w:drawing>
            <wp:anchor distT="0" distB="0" distL="114300" distR="114300" simplePos="0" relativeHeight="251658240" behindDoc="0" locked="0" layoutInCell="1" allowOverlap="1" wp14:anchorId="2403506B" wp14:editId="2E30E274">
              <wp:simplePos x="0" y="0"/>
              <wp:positionH relativeFrom="column">
                <wp:posOffset>16510</wp:posOffset>
              </wp:positionH>
              <wp:positionV relativeFrom="paragraph">
                <wp:posOffset>11430</wp:posOffset>
              </wp:positionV>
              <wp:extent cx="2179955" cy="548640"/>
              <wp:effectExtent l="0" t="0" r="0" b="3810"/>
              <wp:wrapSquare wrapText="bothSides"/>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9955" cy="5486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0A32727" w14:textId="017B4CF5" w:rsidR="00341F8F" w:rsidRDefault="00341F8F" w:rsidP="00501482">
                          <w:pPr>
                            <w:ind w:right="-380"/>
                            <w:rPr>
                              <w:rFonts w:ascii="Arial" w:hAnsi="Arial"/>
                              <w:sz w:val="18"/>
                            </w:rPr>
                          </w:pPr>
                          <w:r>
                            <w:rPr>
                              <w:rFonts w:ascii="Arial" w:hAnsi="Arial"/>
                              <w:sz w:val="18"/>
                            </w:rPr>
                            <w:t>MINISTRY</w:t>
                          </w:r>
                          <w:r>
                            <w:rPr>
                              <w:rFonts w:ascii="Arial" w:hAnsi="Arial"/>
                              <w:sz w:val="18"/>
                            </w:rPr>
                            <w:br/>
                            <w:t>OF AGRICULTURE, FISHERIES</w:t>
                          </w:r>
                          <w:r>
                            <w:rPr>
                              <w:rFonts w:ascii="Arial" w:hAnsi="Arial"/>
                              <w:sz w:val="18"/>
                            </w:rPr>
                            <w:br/>
                            <w:t>AND FOOD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403506B" id="_x0000_t202" coordsize="21600,21600" o:spt="202" path="m,l,21600r21600,l21600,xe">
              <v:stroke joinstyle="miter"/>
              <v:path gradientshapeok="t" o:connecttype="rect"/>
            </v:shapetype>
            <v:shape id="Text Box 1" o:spid="_x0000_s1027" type="#_x0000_t202" style="position:absolute;margin-left:1.3pt;margin-top:.9pt;width:171.65pt;height:43.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" stroked="f">
              <v:textbox>
                <w:txbxContent>
                  <w:p w14:paraId="40A32727" w14:textId="017B4CF5" w:rsidR="00341F8F" w:rsidRDefault="00341F8F" w:rsidP="00501482">
                    <w:pPr>
                      <w:ind w:right="-380"/>
                      <w:rPr>
                        <w:rFonts w:ascii="Arial" w:hAnsi="Arial"/>
                        <w:sz w:val="18"/>
                      </w:rPr>
                    </w:pPr>
                    <w:r>
                      <w:rPr>
                        <w:rFonts w:ascii="Arial" w:hAnsi="Arial"/>
                        <w:sz w:val="18"/>
                      </w:rPr>
                      <w:t>MINISTRY</w:t>
                    </w:r>
                    <w:r>
                      <w:rPr>
                        <w:rFonts w:ascii="Arial" w:hAnsi="Arial"/>
                        <w:sz w:val="18"/>
                      </w:rPr>
                      <w:br/>
                      <w:t>OF AGRICULTURE, FISHERIES</w:t>
                    </w:r>
                    <w:r>
                      <w:rPr>
                        <w:rFonts w:ascii="Arial" w:hAnsi="Arial"/>
                        <w:sz w:val="18"/>
                      </w:rPr>
                      <w:br/>
                      <w:t>AND FOOD</w:t>
                    </w:r>
                  </w:p>
                </w:txbxContent>
              </v:textbox>
              <w10:wrap type="square"/>
            </v:shape>
          </w:pict>
        </mc:Fallback>
      </mc:AlternateContent>
    </w:r>
    <w:r>
      <w:rPr>
        <w:noProof/>
      </w:rPr>
      <w:drawing>
        <wp:anchor distT="0" distB="0" distL="114300" distR="114300" simplePos="0" relativeHeight="251659264" behindDoc="0" locked="0" layoutInCell="1" allowOverlap="1" wp14:anchorId="246C3DDB" wp14:editId="678DB97F">
          <wp:simplePos x="0" y="0"/>
          <wp:positionH relativeFrom="column">
            <wp:posOffset>-805815</wp:posOffset>
          </wp:positionH>
          <wp:positionV relativeFrom="paragraph">
            <wp:posOffset>-262890</wp:posOffset>
          </wp:positionV>
          <wp:extent cx="829310" cy="838200"/>
          <wp:effectExtent l="0" t="0" r="0" b="0"/>
          <wp:wrapSquare wrapText="bothSides"/>
          <wp:docPr id="1" name="Imagen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9310" cy="838200"/>
                  </a:xfrm>
                  <a:prstGeom prst="rect">
                    <a:avLst/>
                  </a:prstGeom>
                  <a:noFill/>
                </pic:spPr>
              </pic:pic>
            </a:graphicData>
          </a:graphic>
        </wp:anchor>
      </w:drawing>
    </w:r>
    <w:r>
      <w:rPr>
        <w:noProof/>
      </w:rPr>
      <mc:AlternateContent>
        <mc:Choice Requires="wps">
          <w:drawing>
            <wp:anchor distT="0" distB="0" distL="114300" distR="114300" simplePos="0" relativeHeight="251656192" behindDoc="0" locked="0" layoutInCell="1" allowOverlap="1" wp14:anchorId="43122D28" wp14:editId="2B5B2037">
              <wp:simplePos x="0" y="0"/>
              <wp:positionH relativeFrom="column">
                <wp:posOffset>4277360</wp:posOffset>
              </wp:positionH>
              <wp:positionV relativeFrom="paragraph">
                <wp:posOffset>196850</wp:posOffset>
              </wp:positionV>
              <wp:extent cx="1828800" cy="685800"/>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8800" cy="6858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3FA6979" w14:textId="77777777" w:rsidR="00341F8F" w:rsidRPr="00FE6B31" w:rsidRDefault="00341F8F">
                          <w:pPr>
                            <w:spacing w:line="216" w:lineRule="auto"/>
                            <w:rPr>
                              <w:rFonts w:ascii="Arial" w:hAnsi="Arial"/>
                              <w:sz w:val="13"/>
                              <w:szCs w:val="13"/>
                            </w:rPr>
                          </w:pPr>
                        </w:p>
                        <w:p w14:paraId="38ACEF32" w14:textId="77777777" w:rsidR="00341F8F" w:rsidRDefault="00341F8F">
                          <w:pPr>
                            <w:spacing w:line="216" w:lineRule="auto"/>
                            <w:rPr>
                              <w:rFonts w:ascii="Arial" w:hAnsi="Arial"/>
                              <w:sz w:val="14"/>
                            </w:rPr>
                          </w:pPr>
                        </w:p>
                        <w:p w14:paraId="5D611965" w14:textId="77777777" w:rsidR="00341F8F" w:rsidRDefault="00341F8F">
                          <w:pPr>
                            <w:spacing w:line="216" w:lineRule="auto"/>
                            <w:rPr>
                              <w:rFonts w:ascii="Arial" w:hAnsi="Arial"/>
                              <w:sz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3122D28" id="Text Box 3" o:spid="_x0000_s1028" type="#_x0000_t202" style="position:absolute;margin-left:336.8pt;margin-top:15.5pt;width:2in;height:54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" stroked="f">
              <v:textbox>
                <w:txbxContent>
                  <w:p w14:paraId="03FA6979" w14:textId="77777777" w:rsidR="00341F8F" w:rsidRPr="00FE6B31" w:rsidRDefault="00341F8F">
                    <w:pPr>
                      <w:spacing w:line="216" w:lineRule="auto"/>
                      <w:rPr>
                        <w:rFonts w:ascii="Arial" w:hAnsi="Arial"/>
                        <w:sz w:val="13"/>
                        <w:szCs w:val="13"/>
                      </w:rPr>
                    </w:pPr>
                  </w:p>
                  <w:p w14:paraId="38ACEF32" w14:textId="77777777" w:rsidR="00341F8F" w:rsidRDefault="00341F8F">
                    <w:pPr>
                      <w:spacing w:line="216" w:lineRule="auto"/>
                      <w:rPr>
                        <w:rFonts w:ascii="Arial" w:hAnsi="Arial"/>
                        <w:sz w:val="14"/>
                      </w:rPr>
                    </w:pPr>
                  </w:p>
                  <w:p w14:paraId="5D611965" w14:textId="77777777" w:rsidR="00341F8F" w:rsidRDefault="00341F8F">
                    <w:pPr>
                      <w:spacing w:line="216" w:lineRule="auto"/>
                      <w:rPr>
                        <w:rFonts w:ascii="Arial" w:hAnsi="Arial"/>
                        <w:sz w:val="16"/>
                      </w:rPr>
                    </w:pP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AF508E"/>
    <w:multiLevelType w:val="hybridMultilevel"/>
    <w:tmpl w:val="5B22A852"/>
    <w:lvl w:ilvl="0" w:tplc="EF10B814">
      <w:start w:val="1"/>
      <w:numFmt w:val="decimal"/>
      <w:lvlText w:val="%1."/>
      <w:lvlJc w:val="left"/>
      <w:pPr>
        <w:ind w:left="643" w:hanging="360"/>
      </w:pPr>
      <w:rPr>
        <w:rFonts w:cs="Times New Roman" w:hint="default"/>
        <w:color w:val="000000"/>
      </w:rPr>
    </w:lvl>
    <w:lvl w:ilvl="1" w:tplc="0C0A0019" w:tentative="1">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1" w15:restartNumberingAfterBreak="0">
    <w:nsid w:val="21B66C65"/>
    <w:multiLevelType w:val="hybridMultilevel"/>
    <w:tmpl w:val="7D0238B6"/>
    <w:lvl w:ilvl="0" w:tplc="64C43A9C">
      <w:start w:val="1"/>
      <w:numFmt w:val="lowerLetter"/>
      <w:lvlText w:val="%1)"/>
      <w:lvlJc w:val="left"/>
      <w:pPr>
        <w:ind w:left="1080" w:hanging="360"/>
      </w:pPr>
      <w:rPr>
        <w:rFonts w:cs="Times New Roman"/>
      </w:rPr>
    </w:lvl>
    <w:lvl w:ilvl="1" w:tplc="0C0A0019">
      <w:start w:val="1"/>
      <w:numFmt w:val="lowerLetter"/>
      <w:lvlText w:val="%2."/>
      <w:lvlJc w:val="left"/>
      <w:pPr>
        <w:ind w:left="1800" w:hanging="360"/>
      </w:pPr>
      <w:rPr>
        <w:rFonts w:cs="Times New Roman"/>
      </w:rPr>
    </w:lvl>
    <w:lvl w:ilvl="2" w:tplc="0C0A001B">
      <w:start w:val="1"/>
      <w:numFmt w:val="lowerRoman"/>
      <w:lvlText w:val="%3."/>
      <w:lvlJc w:val="right"/>
      <w:pPr>
        <w:ind w:left="2520" w:hanging="180"/>
      </w:pPr>
      <w:rPr>
        <w:rFonts w:cs="Times New Roman"/>
      </w:rPr>
    </w:lvl>
    <w:lvl w:ilvl="3" w:tplc="0C0A000F">
      <w:start w:val="1"/>
      <w:numFmt w:val="decimal"/>
      <w:lvlText w:val="%4."/>
      <w:lvlJc w:val="left"/>
      <w:pPr>
        <w:ind w:left="3240" w:hanging="360"/>
      </w:pPr>
      <w:rPr>
        <w:rFonts w:cs="Times New Roman"/>
      </w:rPr>
    </w:lvl>
    <w:lvl w:ilvl="4" w:tplc="0C0A0019">
      <w:start w:val="1"/>
      <w:numFmt w:val="lowerLetter"/>
      <w:lvlText w:val="%5."/>
      <w:lvlJc w:val="left"/>
      <w:pPr>
        <w:ind w:left="3960" w:hanging="360"/>
      </w:pPr>
      <w:rPr>
        <w:rFonts w:cs="Times New Roman"/>
      </w:rPr>
    </w:lvl>
    <w:lvl w:ilvl="5" w:tplc="0C0A001B">
      <w:start w:val="1"/>
      <w:numFmt w:val="lowerRoman"/>
      <w:lvlText w:val="%6."/>
      <w:lvlJc w:val="right"/>
      <w:pPr>
        <w:ind w:left="4680" w:hanging="180"/>
      </w:pPr>
      <w:rPr>
        <w:rFonts w:cs="Times New Roman"/>
      </w:rPr>
    </w:lvl>
    <w:lvl w:ilvl="6" w:tplc="0C0A000F">
      <w:start w:val="1"/>
      <w:numFmt w:val="decimal"/>
      <w:lvlText w:val="%7."/>
      <w:lvlJc w:val="left"/>
      <w:pPr>
        <w:ind w:left="5400" w:hanging="360"/>
      </w:pPr>
      <w:rPr>
        <w:rFonts w:cs="Times New Roman"/>
      </w:rPr>
    </w:lvl>
    <w:lvl w:ilvl="7" w:tplc="0C0A0019">
      <w:start w:val="1"/>
      <w:numFmt w:val="lowerLetter"/>
      <w:lvlText w:val="%8."/>
      <w:lvlJc w:val="left"/>
      <w:pPr>
        <w:ind w:left="6120" w:hanging="360"/>
      </w:pPr>
      <w:rPr>
        <w:rFonts w:cs="Times New Roman"/>
      </w:rPr>
    </w:lvl>
    <w:lvl w:ilvl="8" w:tplc="0C0A001B">
      <w:start w:val="1"/>
      <w:numFmt w:val="lowerRoman"/>
      <w:lvlText w:val="%9."/>
      <w:lvlJc w:val="right"/>
      <w:pPr>
        <w:ind w:left="6840" w:hanging="180"/>
      </w:pPr>
      <w:rPr>
        <w:rFonts w:cs="Times New Roman"/>
      </w:rPr>
    </w:lvl>
  </w:abstractNum>
  <w:abstractNum w:abstractNumId="2" w15:restartNumberingAfterBreak="0">
    <w:nsid w:val="25CE04AE"/>
    <w:multiLevelType w:val="hybridMultilevel"/>
    <w:tmpl w:val="E610B26A"/>
    <w:lvl w:ilvl="0" w:tplc="0C0A0017">
      <w:start w:val="1"/>
      <w:numFmt w:val="lowerLetter"/>
      <w:lvlText w:val="%1)"/>
      <w:lvlJc w:val="left"/>
      <w:pPr>
        <w:ind w:left="720" w:hanging="360"/>
      </w:pPr>
      <w:rPr>
        <w:rFonts w:cs="Times New Roman"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27C20A71"/>
    <w:multiLevelType w:val="hybridMultilevel"/>
    <w:tmpl w:val="B838B24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42CB2868"/>
    <w:multiLevelType w:val="hybridMultilevel"/>
    <w:tmpl w:val="609237D6"/>
    <w:lvl w:ilvl="0" w:tplc="0A720202">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517115B8"/>
    <w:multiLevelType w:val="hybridMultilevel"/>
    <w:tmpl w:val="86EEEF74"/>
    <w:lvl w:ilvl="0" w:tplc="0C0A000F">
      <w:start w:val="1"/>
      <w:numFmt w:val="decimal"/>
      <w:lvlText w:val="%1."/>
      <w:lvlJc w:val="left"/>
      <w:pPr>
        <w:ind w:left="720" w:hanging="360"/>
      </w:pPr>
      <w:rPr>
        <w:rFonts w:cs="Times New Roman"/>
      </w:rPr>
    </w:lvl>
    <w:lvl w:ilvl="1" w:tplc="0C0A0019">
      <w:start w:val="1"/>
      <w:numFmt w:val="lowerLetter"/>
      <w:lvlText w:val="%2."/>
      <w:lvlJc w:val="left"/>
      <w:pPr>
        <w:ind w:left="1440" w:hanging="360"/>
      </w:pPr>
      <w:rPr>
        <w:rFonts w:cs="Times New Roman"/>
      </w:rPr>
    </w:lvl>
    <w:lvl w:ilvl="2" w:tplc="0C0A001B">
      <w:start w:val="1"/>
      <w:numFmt w:val="lowerRoman"/>
      <w:lvlText w:val="%3."/>
      <w:lvlJc w:val="right"/>
      <w:pPr>
        <w:ind w:left="2160" w:hanging="180"/>
      </w:pPr>
      <w:rPr>
        <w:rFonts w:cs="Times New Roman"/>
      </w:rPr>
    </w:lvl>
    <w:lvl w:ilvl="3" w:tplc="0C0A000F">
      <w:start w:val="1"/>
      <w:numFmt w:val="decimal"/>
      <w:lvlText w:val="%4."/>
      <w:lvlJc w:val="left"/>
      <w:pPr>
        <w:ind w:left="2880" w:hanging="360"/>
      </w:pPr>
      <w:rPr>
        <w:rFonts w:cs="Times New Roman"/>
      </w:rPr>
    </w:lvl>
    <w:lvl w:ilvl="4" w:tplc="0C0A0019">
      <w:start w:val="1"/>
      <w:numFmt w:val="lowerLetter"/>
      <w:lvlText w:val="%5."/>
      <w:lvlJc w:val="left"/>
      <w:pPr>
        <w:ind w:left="3600" w:hanging="360"/>
      </w:pPr>
      <w:rPr>
        <w:rFonts w:cs="Times New Roman"/>
      </w:rPr>
    </w:lvl>
    <w:lvl w:ilvl="5" w:tplc="0C0A001B">
      <w:start w:val="1"/>
      <w:numFmt w:val="lowerRoman"/>
      <w:lvlText w:val="%6."/>
      <w:lvlJc w:val="right"/>
      <w:pPr>
        <w:ind w:left="4320" w:hanging="180"/>
      </w:pPr>
      <w:rPr>
        <w:rFonts w:cs="Times New Roman"/>
      </w:rPr>
    </w:lvl>
    <w:lvl w:ilvl="6" w:tplc="0C0A000F">
      <w:start w:val="1"/>
      <w:numFmt w:val="decimal"/>
      <w:lvlText w:val="%7."/>
      <w:lvlJc w:val="left"/>
      <w:pPr>
        <w:ind w:left="5040" w:hanging="360"/>
      </w:pPr>
      <w:rPr>
        <w:rFonts w:cs="Times New Roman"/>
      </w:rPr>
    </w:lvl>
    <w:lvl w:ilvl="7" w:tplc="0C0A0019">
      <w:start w:val="1"/>
      <w:numFmt w:val="lowerLetter"/>
      <w:lvlText w:val="%8."/>
      <w:lvlJc w:val="left"/>
      <w:pPr>
        <w:ind w:left="5760" w:hanging="360"/>
      </w:pPr>
      <w:rPr>
        <w:rFonts w:cs="Times New Roman"/>
      </w:rPr>
    </w:lvl>
    <w:lvl w:ilvl="8" w:tplc="0C0A001B">
      <w:start w:val="1"/>
      <w:numFmt w:val="lowerRoman"/>
      <w:lvlText w:val="%9."/>
      <w:lvlJc w:val="right"/>
      <w:pPr>
        <w:ind w:left="6480" w:hanging="180"/>
      </w:pPr>
      <w:rPr>
        <w:rFonts w:cs="Times New Roman"/>
      </w:rPr>
    </w:lvl>
  </w:abstractNum>
  <w:abstractNum w:abstractNumId="6" w15:restartNumberingAfterBreak="0">
    <w:nsid w:val="6CF66AF3"/>
    <w:multiLevelType w:val="hybridMultilevel"/>
    <w:tmpl w:val="F8E88A98"/>
    <w:lvl w:ilvl="0" w:tplc="0C0A000F">
      <w:start w:val="1"/>
      <w:numFmt w:val="decimal"/>
      <w:lvlText w:val="%1."/>
      <w:lvlJc w:val="left"/>
      <w:pPr>
        <w:ind w:left="360" w:hanging="360"/>
      </w:pPr>
      <w:rPr>
        <w:rFonts w:cs="Times New Roman" w:hint="default"/>
      </w:rPr>
    </w:lvl>
    <w:lvl w:ilvl="1" w:tplc="0C0A0019" w:tentative="1">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7" w15:restartNumberingAfterBreak="0">
    <w:nsid w:val="7404092C"/>
    <w:multiLevelType w:val="hybridMultilevel"/>
    <w:tmpl w:val="193C78EE"/>
    <w:lvl w:ilvl="0" w:tplc="C262D54C">
      <w:start w:val="1"/>
      <w:numFmt w:val="lowerLetter"/>
      <w:lvlText w:val="%1)"/>
      <w:lvlJc w:val="left"/>
      <w:pPr>
        <w:ind w:left="720" w:hanging="360"/>
      </w:pPr>
      <w:rPr>
        <w:rFonts w:cs="Times New Roman" w:hint="default"/>
        <w:strike w:val="0"/>
        <w:color w:val="000000" w:themeColor="text1"/>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8" w15:restartNumberingAfterBreak="0">
    <w:nsid w:val="757E2D6D"/>
    <w:multiLevelType w:val="hybridMultilevel"/>
    <w:tmpl w:val="D556D2BA"/>
    <w:lvl w:ilvl="0" w:tplc="B9269CA2">
      <w:start w:val="1"/>
      <w:numFmt w:val="lowerLetter"/>
      <w:lvlText w:val="%1)"/>
      <w:lvlJc w:val="left"/>
      <w:pPr>
        <w:ind w:left="720" w:hanging="360"/>
      </w:pPr>
      <w:rPr>
        <w:rFonts w:cs="Times New Roman" w:hint="default"/>
        <w:color w:val="000000" w:themeColor="text1"/>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9" w15:restartNumberingAfterBreak="0">
    <w:nsid w:val="773C152F"/>
    <w:multiLevelType w:val="hybridMultilevel"/>
    <w:tmpl w:val="D5E8BB8A"/>
    <w:lvl w:ilvl="0" w:tplc="0C0A0017">
      <w:start w:val="1"/>
      <w:numFmt w:val="lowerLetter"/>
      <w:lvlText w:val="%1)"/>
      <w:lvlJc w:val="left"/>
      <w:pPr>
        <w:ind w:left="720" w:hanging="360"/>
      </w:pPr>
      <w:rPr>
        <w:rFonts w:cs="Times New Roman" w:hint="default"/>
      </w:rPr>
    </w:lvl>
    <w:lvl w:ilvl="1" w:tplc="040A0019" w:tentative="1">
      <w:start w:val="1"/>
      <w:numFmt w:val="lowerLetter"/>
      <w:lvlText w:val="%2."/>
      <w:lvlJc w:val="left"/>
      <w:pPr>
        <w:tabs>
          <w:tab w:val="num" w:pos="1440"/>
        </w:tabs>
        <w:ind w:left="1440" w:hanging="360"/>
      </w:pPr>
      <w:rPr>
        <w:rFonts w:cs="Times New Roman"/>
      </w:rPr>
    </w:lvl>
    <w:lvl w:ilvl="2" w:tplc="040A001B" w:tentative="1">
      <w:start w:val="1"/>
      <w:numFmt w:val="lowerRoman"/>
      <w:lvlText w:val="%3."/>
      <w:lvlJc w:val="right"/>
      <w:pPr>
        <w:tabs>
          <w:tab w:val="num" w:pos="2160"/>
        </w:tabs>
        <w:ind w:left="2160" w:hanging="180"/>
      </w:pPr>
      <w:rPr>
        <w:rFonts w:cs="Times New Roman"/>
      </w:rPr>
    </w:lvl>
    <w:lvl w:ilvl="3" w:tplc="040A000F" w:tentative="1">
      <w:start w:val="1"/>
      <w:numFmt w:val="decimal"/>
      <w:lvlText w:val="%4."/>
      <w:lvlJc w:val="left"/>
      <w:pPr>
        <w:tabs>
          <w:tab w:val="num" w:pos="2880"/>
        </w:tabs>
        <w:ind w:left="2880" w:hanging="360"/>
      </w:pPr>
      <w:rPr>
        <w:rFonts w:cs="Times New Roman"/>
      </w:rPr>
    </w:lvl>
    <w:lvl w:ilvl="4" w:tplc="040A0019" w:tentative="1">
      <w:start w:val="1"/>
      <w:numFmt w:val="lowerLetter"/>
      <w:lvlText w:val="%5."/>
      <w:lvlJc w:val="left"/>
      <w:pPr>
        <w:tabs>
          <w:tab w:val="num" w:pos="3600"/>
        </w:tabs>
        <w:ind w:left="3600" w:hanging="360"/>
      </w:pPr>
      <w:rPr>
        <w:rFonts w:cs="Times New Roman"/>
      </w:rPr>
    </w:lvl>
    <w:lvl w:ilvl="5" w:tplc="040A001B" w:tentative="1">
      <w:start w:val="1"/>
      <w:numFmt w:val="lowerRoman"/>
      <w:lvlText w:val="%6."/>
      <w:lvlJc w:val="right"/>
      <w:pPr>
        <w:tabs>
          <w:tab w:val="num" w:pos="4320"/>
        </w:tabs>
        <w:ind w:left="4320" w:hanging="180"/>
      </w:pPr>
      <w:rPr>
        <w:rFonts w:cs="Times New Roman"/>
      </w:rPr>
    </w:lvl>
    <w:lvl w:ilvl="6" w:tplc="040A000F" w:tentative="1">
      <w:start w:val="1"/>
      <w:numFmt w:val="decimal"/>
      <w:lvlText w:val="%7."/>
      <w:lvlJc w:val="left"/>
      <w:pPr>
        <w:tabs>
          <w:tab w:val="num" w:pos="5040"/>
        </w:tabs>
        <w:ind w:left="5040" w:hanging="360"/>
      </w:pPr>
      <w:rPr>
        <w:rFonts w:cs="Times New Roman"/>
      </w:rPr>
    </w:lvl>
    <w:lvl w:ilvl="7" w:tplc="040A0019" w:tentative="1">
      <w:start w:val="1"/>
      <w:numFmt w:val="lowerLetter"/>
      <w:lvlText w:val="%8."/>
      <w:lvlJc w:val="left"/>
      <w:pPr>
        <w:tabs>
          <w:tab w:val="num" w:pos="5760"/>
        </w:tabs>
        <w:ind w:left="5760" w:hanging="360"/>
      </w:pPr>
      <w:rPr>
        <w:rFonts w:cs="Times New Roman"/>
      </w:rPr>
    </w:lvl>
    <w:lvl w:ilvl="8" w:tplc="040A001B" w:tentative="1">
      <w:start w:val="1"/>
      <w:numFmt w:val="lowerRoman"/>
      <w:lvlText w:val="%9."/>
      <w:lvlJc w:val="right"/>
      <w:pPr>
        <w:tabs>
          <w:tab w:val="num" w:pos="6480"/>
        </w:tabs>
        <w:ind w:left="6480" w:hanging="180"/>
      </w:pPr>
      <w:rPr>
        <w:rFonts w:cs="Times New Roman"/>
      </w:rPr>
    </w:lvl>
  </w:abstractNum>
  <w:num w:numId="1" w16cid:durableId="922955495">
    <w:abstractNumId w:val="6"/>
  </w:num>
  <w:num w:numId="2" w16cid:durableId="1568103553">
    <w:abstractNumId w:val="0"/>
  </w:num>
  <w:num w:numId="3" w16cid:durableId="1194807296">
    <w:abstractNumId w:val="8"/>
  </w:num>
  <w:num w:numId="4" w16cid:durableId="1256093908">
    <w:abstractNumId w:val="2"/>
  </w:num>
  <w:num w:numId="5" w16cid:durableId="776872936">
    <w:abstractNumId w:val="7"/>
  </w:num>
  <w:num w:numId="6" w16cid:durableId="111190133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50301470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044742724">
    <w:abstractNumId w:val="9"/>
  </w:num>
  <w:num w:numId="9" w16cid:durableId="560487127">
    <w:abstractNumId w:val="3"/>
  </w:num>
  <w:num w:numId="10" w16cid:durableId="34931121">
    <w:abstractNumId w:val="4"/>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4674"/>
    <w:rsid w:val="000011A3"/>
    <w:rsid w:val="000037FA"/>
    <w:rsid w:val="0000631C"/>
    <w:rsid w:val="000069C6"/>
    <w:rsid w:val="00010CFC"/>
    <w:rsid w:val="00011E55"/>
    <w:rsid w:val="00012ADD"/>
    <w:rsid w:val="00013492"/>
    <w:rsid w:val="00014DBD"/>
    <w:rsid w:val="00015FE2"/>
    <w:rsid w:val="00016ACA"/>
    <w:rsid w:val="000172F1"/>
    <w:rsid w:val="0001774E"/>
    <w:rsid w:val="00020655"/>
    <w:rsid w:val="00021837"/>
    <w:rsid w:val="00022AB5"/>
    <w:rsid w:val="00022F2B"/>
    <w:rsid w:val="000230AB"/>
    <w:rsid w:val="00025089"/>
    <w:rsid w:val="0002550D"/>
    <w:rsid w:val="0002569E"/>
    <w:rsid w:val="00027FF6"/>
    <w:rsid w:val="00031538"/>
    <w:rsid w:val="00033C94"/>
    <w:rsid w:val="00033C96"/>
    <w:rsid w:val="000355D4"/>
    <w:rsid w:val="00035BDC"/>
    <w:rsid w:val="00035E16"/>
    <w:rsid w:val="000363D4"/>
    <w:rsid w:val="000371E2"/>
    <w:rsid w:val="000411BA"/>
    <w:rsid w:val="00042434"/>
    <w:rsid w:val="00044711"/>
    <w:rsid w:val="00045536"/>
    <w:rsid w:val="00045FD3"/>
    <w:rsid w:val="00045FF5"/>
    <w:rsid w:val="00046397"/>
    <w:rsid w:val="0004774F"/>
    <w:rsid w:val="00051083"/>
    <w:rsid w:val="000510A0"/>
    <w:rsid w:val="00051B10"/>
    <w:rsid w:val="000529DE"/>
    <w:rsid w:val="00052D86"/>
    <w:rsid w:val="00054467"/>
    <w:rsid w:val="00054DBD"/>
    <w:rsid w:val="00055B17"/>
    <w:rsid w:val="000573DD"/>
    <w:rsid w:val="00057823"/>
    <w:rsid w:val="00057FC9"/>
    <w:rsid w:val="00061283"/>
    <w:rsid w:val="0006193A"/>
    <w:rsid w:val="000620CB"/>
    <w:rsid w:val="00062833"/>
    <w:rsid w:val="00063880"/>
    <w:rsid w:val="00064FDC"/>
    <w:rsid w:val="0006534C"/>
    <w:rsid w:val="00070CD7"/>
    <w:rsid w:val="00070E79"/>
    <w:rsid w:val="00071FA5"/>
    <w:rsid w:val="000726F6"/>
    <w:rsid w:val="0007291D"/>
    <w:rsid w:val="00072BFD"/>
    <w:rsid w:val="000746EC"/>
    <w:rsid w:val="00074C25"/>
    <w:rsid w:val="00075FD0"/>
    <w:rsid w:val="000763EE"/>
    <w:rsid w:val="00076972"/>
    <w:rsid w:val="00076ACB"/>
    <w:rsid w:val="0007747D"/>
    <w:rsid w:val="00077EC9"/>
    <w:rsid w:val="000807FD"/>
    <w:rsid w:val="0008154F"/>
    <w:rsid w:val="00084D59"/>
    <w:rsid w:val="00085168"/>
    <w:rsid w:val="000854B8"/>
    <w:rsid w:val="00086269"/>
    <w:rsid w:val="000869C7"/>
    <w:rsid w:val="00087067"/>
    <w:rsid w:val="000878A4"/>
    <w:rsid w:val="00091613"/>
    <w:rsid w:val="0009218C"/>
    <w:rsid w:val="00094BC7"/>
    <w:rsid w:val="000952E0"/>
    <w:rsid w:val="00096309"/>
    <w:rsid w:val="00096B83"/>
    <w:rsid w:val="000A03DC"/>
    <w:rsid w:val="000A0567"/>
    <w:rsid w:val="000A0958"/>
    <w:rsid w:val="000A13B5"/>
    <w:rsid w:val="000A168B"/>
    <w:rsid w:val="000A2EBA"/>
    <w:rsid w:val="000A3440"/>
    <w:rsid w:val="000A35A5"/>
    <w:rsid w:val="000A3D2E"/>
    <w:rsid w:val="000A4B0B"/>
    <w:rsid w:val="000A5645"/>
    <w:rsid w:val="000A6C39"/>
    <w:rsid w:val="000A6F57"/>
    <w:rsid w:val="000A75A9"/>
    <w:rsid w:val="000A7B9B"/>
    <w:rsid w:val="000B0284"/>
    <w:rsid w:val="000B1651"/>
    <w:rsid w:val="000B273F"/>
    <w:rsid w:val="000B3433"/>
    <w:rsid w:val="000B46E7"/>
    <w:rsid w:val="000B52D6"/>
    <w:rsid w:val="000B5874"/>
    <w:rsid w:val="000B5935"/>
    <w:rsid w:val="000B6B3E"/>
    <w:rsid w:val="000B7294"/>
    <w:rsid w:val="000C14B7"/>
    <w:rsid w:val="000C189B"/>
    <w:rsid w:val="000C18D3"/>
    <w:rsid w:val="000C19FF"/>
    <w:rsid w:val="000C20D0"/>
    <w:rsid w:val="000C3930"/>
    <w:rsid w:val="000C5705"/>
    <w:rsid w:val="000C597D"/>
    <w:rsid w:val="000C5FFC"/>
    <w:rsid w:val="000D0488"/>
    <w:rsid w:val="000D0A0D"/>
    <w:rsid w:val="000D1300"/>
    <w:rsid w:val="000D1DCD"/>
    <w:rsid w:val="000D1E13"/>
    <w:rsid w:val="000D2747"/>
    <w:rsid w:val="000D3BD7"/>
    <w:rsid w:val="000D4022"/>
    <w:rsid w:val="000D4115"/>
    <w:rsid w:val="000D5CDB"/>
    <w:rsid w:val="000D6832"/>
    <w:rsid w:val="000D6E7C"/>
    <w:rsid w:val="000D787B"/>
    <w:rsid w:val="000E0894"/>
    <w:rsid w:val="000E133C"/>
    <w:rsid w:val="000E1BA4"/>
    <w:rsid w:val="000E4147"/>
    <w:rsid w:val="000E4E93"/>
    <w:rsid w:val="000E5449"/>
    <w:rsid w:val="000E5BBE"/>
    <w:rsid w:val="000E69D8"/>
    <w:rsid w:val="000E6C00"/>
    <w:rsid w:val="000F0011"/>
    <w:rsid w:val="000F059C"/>
    <w:rsid w:val="000F0733"/>
    <w:rsid w:val="000F27FE"/>
    <w:rsid w:val="000F40DB"/>
    <w:rsid w:val="000F475D"/>
    <w:rsid w:val="000F6A4D"/>
    <w:rsid w:val="000F73C9"/>
    <w:rsid w:val="000F79A1"/>
    <w:rsid w:val="001001C4"/>
    <w:rsid w:val="00100683"/>
    <w:rsid w:val="00100CD9"/>
    <w:rsid w:val="00102CC2"/>
    <w:rsid w:val="00103241"/>
    <w:rsid w:val="00103694"/>
    <w:rsid w:val="00103FF2"/>
    <w:rsid w:val="001047CF"/>
    <w:rsid w:val="00105054"/>
    <w:rsid w:val="001070B4"/>
    <w:rsid w:val="00107681"/>
    <w:rsid w:val="00107DB1"/>
    <w:rsid w:val="001133E6"/>
    <w:rsid w:val="001134F2"/>
    <w:rsid w:val="00115DEE"/>
    <w:rsid w:val="00117163"/>
    <w:rsid w:val="00117FEF"/>
    <w:rsid w:val="00120FD8"/>
    <w:rsid w:val="001211EC"/>
    <w:rsid w:val="00121AF9"/>
    <w:rsid w:val="001243FC"/>
    <w:rsid w:val="00125320"/>
    <w:rsid w:val="00125B4E"/>
    <w:rsid w:val="00126FF1"/>
    <w:rsid w:val="001274B1"/>
    <w:rsid w:val="00127875"/>
    <w:rsid w:val="00127EC0"/>
    <w:rsid w:val="00130B97"/>
    <w:rsid w:val="001311D4"/>
    <w:rsid w:val="00131894"/>
    <w:rsid w:val="00132940"/>
    <w:rsid w:val="001352BC"/>
    <w:rsid w:val="001364A3"/>
    <w:rsid w:val="00137017"/>
    <w:rsid w:val="00137B4E"/>
    <w:rsid w:val="001401E1"/>
    <w:rsid w:val="001405DD"/>
    <w:rsid w:val="00140ADF"/>
    <w:rsid w:val="00142529"/>
    <w:rsid w:val="00142C13"/>
    <w:rsid w:val="00145AA0"/>
    <w:rsid w:val="00145FE8"/>
    <w:rsid w:val="00146AF0"/>
    <w:rsid w:val="00146C24"/>
    <w:rsid w:val="00146CD2"/>
    <w:rsid w:val="00150E60"/>
    <w:rsid w:val="00151509"/>
    <w:rsid w:val="00152968"/>
    <w:rsid w:val="00152C57"/>
    <w:rsid w:val="00152EE6"/>
    <w:rsid w:val="0015317E"/>
    <w:rsid w:val="00153FA9"/>
    <w:rsid w:val="00154CE2"/>
    <w:rsid w:val="00155AFA"/>
    <w:rsid w:val="00156467"/>
    <w:rsid w:val="00156C46"/>
    <w:rsid w:val="00157D11"/>
    <w:rsid w:val="0016173D"/>
    <w:rsid w:val="00161DD0"/>
    <w:rsid w:val="00161F41"/>
    <w:rsid w:val="0016217B"/>
    <w:rsid w:val="00162B82"/>
    <w:rsid w:val="001657C7"/>
    <w:rsid w:val="00165A27"/>
    <w:rsid w:val="001678CB"/>
    <w:rsid w:val="00167AA8"/>
    <w:rsid w:val="0017137B"/>
    <w:rsid w:val="00172736"/>
    <w:rsid w:val="001740E1"/>
    <w:rsid w:val="001744A4"/>
    <w:rsid w:val="0017601E"/>
    <w:rsid w:val="00176909"/>
    <w:rsid w:val="001811C0"/>
    <w:rsid w:val="00181531"/>
    <w:rsid w:val="001823BD"/>
    <w:rsid w:val="00182633"/>
    <w:rsid w:val="001828B4"/>
    <w:rsid w:val="001858C7"/>
    <w:rsid w:val="001862B9"/>
    <w:rsid w:val="00186FFA"/>
    <w:rsid w:val="0018773E"/>
    <w:rsid w:val="00187EC3"/>
    <w:rsid w:val="00190001"/>
    <w:rsid w:val="0019004D"/>
    <w:rsid w:val="001904A5"/>
    <w:rsid w:val="00190EC2"/>
    <w:rsid w:val="00194676"/>
    <w:rsid w:val="001947CB"/>
    <w:rsid w:val="00195ECD"/>
    <w:rsid w:val="0019656A"/>
    <w:rsid w:val="00196B2D"/>
    <w:rsid w:val="00196EC1"/>
    <w:rsid w:val="001A079C"/>
    <w:rsid w:val="001A13F0"/>
    <w:rsid w:val="001A187D"/>
    <w:rsid w:val="001A1EB7"/>
    <w:rsid w:val="001A31E7"/>
    <w:rsid w:val="001A3C01"/>
    <w:rsid w:val="001A4119"/>
    <w:rsid w:val="001A49A7"/>
    <w:rsid w:val="001A56C1"/>
    <w:rsid w:val="001A6AB1"/>
    <w:rsid w:val="001A7CA6"/>
    <w:rsid w:val="001B16EC"/>
    <w:rsid w:val="001B1B4C"/>
    <w:rsid w:val="001B2531"/>
    <w:rsid w:val="001B275E"/>
    <w:rsid w:val="001B363B"/>
    <w:rsid w:val="001B404B"/>
    <w:rsid w:val="001B4C20"/>
    <w:rsid w:val="001B7514"/>
    <w:rsid w:val="001C1AAE"/>
    <w:rsid w:val="001C331C"/>
    <w:rsid w:val="001C37B6"/>
    <w:rsid w:val="001C4001"/>
    <w:rsid w:val="001C4465"/>
    <w:rsid w:val="001C4EF7"/>
    <w:rsid w:val="001C59C4"/>
    <w:rsid w:val="001C5DA1"/>
    <w:rsid w:val="001C5E77"/>
    <w:rsid w:val="001C702C"/>
    <w:rsid w:val="001C70A1"/>
    <w:rsid w:val="001C7122"/>
    <w:rsid w:val="001C747F"/>
    <w:rsid w:val="001C7F8A"/>
    <w:rsid w:val="001D385F"/>
    <w:rsid w:val="001D4498"/>
    <w:rsid w:val="001D6392"/>
    <w:rsid w:val="001D6BFD"/>
    <w:rsid w:val="001D6D4D"/>
    <w:rsid w:val="001E0FAA"/>
    <w:rsid w:val="001E3039"/>
    <w:rsid w:val="001E33F9"/>
    <w:rsid w:val="001E3AE7"/>
    <w:rsid w:val="001E4AF7"/>
    <w:rsid w:val="001E6551"/>
    <w:rsid w:val="001E66EB"/>
    <w:rsid w:val="001E76E2"/>
    <w:rsid w:val="001E7B64"/>
    <w:rsid w:val="001E7C87"/>
    <w:rsid w:val="001F02DB"/>
    <w:rsid w:val="001F0BC7"/>
    <w:rsid w:val="001F16C3"/>
    <w:rsid w:val="001F1EE6"/>
    <w:rsid w:val="001F37CB"/>
    <w:rsid w:val="001F4285"/>
    <w:rsid w:val="001F4610"/>
    <w:rsid w:val="001F4789"/>
    <w:rsid w:val="001F7CD7"/>
    <w:rsid w:val="002029E0"/>
    <w:rsid w:val="0020373D"/>
    <w:rsid w:val="00203BE3"/>
    <w:rsid w:val="002058FA"/>
    <w:rsid w:val="00205DCE"/>
    <w:rsid w:val="0020780C"/>
    <w:rsid w:val="00210FD8"/>
    <w:rsid w:val="00211C07"/>
    <w:rsid w:val="00212BBA"/>
    <w:rsid w:val="00212C0F"/>
    <w:rsid w:val="00214333"/>
    <w:rsid w:val="00215BFA"/>
    <w:rsid w:val="002166E5"/>
    <w:rsid w:val="002170C8"/>
    <w:rsid w:val="00217F39"/>
    <w:rsid w:val="002200EC"/>
    <w:rsid w:val="00220750"/>
    <w:rsid w:val="0022351E"/>
    <w:rsid w:val="002248FB"/>
    <w:rsid w:val="00225632"/>
    <w:rsid w:val="00227995"/>
    <w:rsid w:val="002301AE"/>
    <w:rsid w:val="00231225"/>
    <w:rsid w:val="002314F3"/>
    <w:rsid w:val="002324B5"/>
    <w:rsid w:val="0023266F"/>
    <w:rsid w:val="00234EBA"/>
    <w:rsid w:val="00235841"/>
    <w:rsid w:val="00235A25"/>
    <w:rsid w:val="00236D19"/>
    <w:rsid w:val="00237DF9"/>
    <w:rsid w:val="002404BE"/>
    <w:rsid w:val="00241012"/>
    <w:rsid w:val="00242724"/>
    <w:rsid w:val="00242DFD"/>
    <w:rsid w:val="00244689"/>
    <w:rsid w:val="002448C4"/>
    <w:rsid w:val="00244962"/>
    <w:rsid w:val="00245519"/>
    <w:rsid w:val="00245700"/>
    <w:rsid w:val="00245A3D"/>
    <w:rsid w:val="00251D5F"/>
    <w:rsid w:val="00251DFE"/>
    <w:rsid w:val="00252212"/>
    <w:rsid w:val="002534AF"/>
    <w:rsid w:val="00253EB7"/>
    <w:rsid w:val="00253F7B"/>
    <w:rsid w:val="00254E42"/>
    <w:rsid w:val="00255A67"/>
    <w:rsid w:val="00256D35"/>
    <w:rsid w:val="00260010"/>
    <w:rsid w:val="0026012A"/>
    <w:rsid w:val="00260225"/>
    <w:rsid w:val="0026060A"/>
    <w:rsid w:val="00261F8C"/>
    <w:rsid w:val="002630A1"/>
    <w:rsid w:val="00263EE1"/>
    <w:rsid w:val="002640FB"/>
    <w:rsid w:val="00265414"/>
    <w:rsid w:val="002667EF"/>
    <w:rsid w:val="0026698F"/>
    <w:rsid w:val="00266B6F"/>
    <w:rsid w:val="00266E57"/>
    <w:rsid w:val="002670A0"/>
    <w:rsid w:val="00270A5D"/>
    <w:rsid w:val="00271789"/>
    <w:rsid w:val="00272DB0"/>
    <w:rsid w:val="00274053"/>
    <w:rsid w:val="00274AE4"/>
    <w:rsid w:val="00275849"/>
    <w:rsid w:val="00277EF0"/>
    <w:rsid w:val="0028114C"/>
    <w:rsid w:val="002831A9"/>
    <w:rsid w:val="0028350E"/>
    <w:rsid w:val="00283B26"/>
    <w:rsid w:val="002840EB"/>
    <w:rsid w:val="0028522E"/>
    <w:rsid w:val="00285F0F"/>
    <w:rsid w:val="002863E7"/>
    <w:rsid w:val="002875E7"/>
    <w:rsid w:val="0028798E"/>
    <w:rsid w:val="00287C1A"/>
    <w:rsid w:val="00290D9F"/>
    <w:rsid w:val="00291CE9"/>
    <w:rsid w:val="002924F6"/>
    <w:rsid w:val="00292D50"/>
    <w:rsid w:val="00294F4C"/>
    <w:rsid w:val="00295E14"/>
    <w:rsid w:val="0029617F"/>
    <w:rsid w:val="00296F9D"/>
    <w:rsid w:val="002970A4"/>
    <w:rsid w:val="0029763A"/>
    <w:rsid w:val="002A0A17"/>
    <w:rsid w:val="002A0A94"/>
    <w:rsid w:val="002A2977"/>
    <w:rsid w:val="002A35B2"/>
    <w:rsid w:val="002A37D7"/>
    <w:rsid w:val="002A4D16"/>
    <w:rsid w:val="002A4DAF"/>
    <w:rsid w:val="002A5258"/>
    <w:rsid w:val="002A5503"/>
    <w:rsid w:val="002A7233"/>
    <w:rsid w:val="002A7853"/>
    <w:rsid w:val="002B0E7B"/>
    <w:rsid w:val="002B1274"/>
    <w:rsid w:val="002B1C97"/>
    <w:rsid w:val="002B1FFA"/>
    <w:rsid w:val="002B2DBB"/>
    <w:rsid w:val="002B2FEF"/>
    <w:rsid w:val="002B30FF"/>
    <w:rsid w:val="002B4B3B"/>
    <w:rsid w:val="002B4C5F"/>
    <w:rsid w:val="002B4D03"/>
    <w:rsid w:val="002B5027"/>
    <w:rsid w:val="002B6E50"/>
    <w:rsid w:val="002B74F0"/>
    <w:rsid w:val="002B7D33"/>
    <w:rsid w:val="002C16D4"/>
    <w:rsid w:val="002C1D26"/>
    <w:rsid w:val="002C4C9F"/>
    <w:rsid w:val="002C590B"/>
    <w:rsid w:val="002C596A"/>
    <w:rsid w:val="002D014F"/>
    <w:rsid w:val="002D2324"/>
    <w:rsid w:val="002D2944"/>
    <w:rsid w:val="002D398D"/>
    <w:rsid w:val="002D3FBA"/>
    <w:rsid w:val="002D5F6E"/>
    <w:rsid w:val="002D60A2"/>
    <w:rsid w:val="002D70FE"/>
    <w:rsid w:val="002D7A55"/>
    <w:rsid w:val="002D7D31"/>
    <w:rsid w:val="002E0725"/>
    <w:rsid w:val="002E07C0"/>
    <w:rsid w:val="002E115C"/>
    <w:rsid w:val="002E18D9"/>
    <w:rsid w:val="002E199A"/>
    <w:rsid w:val="002E1F7D"/>
    <w:rsid w:val="002E2956"/>
    <w:rsid w:val="002E2B30"/>
    <w:rsid w:val="002E2D67"/>
    <w:rsid w:val="002E465C"/>
    <w:rsid w:val="002E46B2"/>
    <w:rsid w:val="002E4AE7"/>
    <w:rsid w:val="002E5171"/>
    <w:rsid w:val="002E564E"/>
    <w:rsid w:val="002E57A5"/>
    <w:rsid w:val="002E64B2"/>
    <w:rsid w:val="002F2C19"/>
    <w:rsid w:val="002F2E30"/>
    <w:rsid w:val="002F4111"/>
    <w:rsid w:val="002F548E"/>
    <w:rsid w:val="002F67B5"/>
    <w:rsid w:val="002F7EFF"/>
    <w:rsid w:val="0030025A"/>
    <w:rsid w:val="00301187"/>
    <w:rsid w:val="003012CE"/>
    <w:rsid w:val="0030142A"/>
    <w:rsid w:val="003033F0"/>
    <w:rsid w:val="0030359B"/>
    <w:rsid w:val="00303D46"/>
    <w:rsid w:val="00304150"/>
    <w:rsid w:val="00304D69"/>
    <w:rsid w:val="00304DE8"/>
    <w:rsid w:val="00305307"/>
    <w:rsid w:val="003057DB"/>
    <w:rsid w:val="00305C99"/>
    <w:rsid w:val="0030777A"/>
    <w:rsid w:val="003101FA"/>
    <w:rsid w:val="003105AE"/>
    <w:rsid w:val="0031330B"/>
    <w:rsid w:val="00313618"/>
    <w:rsid w:val="00313ED4"/>
    <w:rsid w:val="00314160"/>
    <w:rsid w:val="0031424A"/>
    <w:rsid w:val="00316093"/>
    <w:rsid w:val="003173B5"/>
    <w:rsid w:val="003231F8"/>
    <w:rsid w:val="00323A83"/>
    <w:rsid w:val="003240CD"/>
    <w:rsid w:val="00324ED3"/>
    <w:rsid w:val="00327317"/>
    <w:rsid w:val="0033038A"/>
    <w:rsid w:val="003320E7"/>
    <w:rsid w:val="003322D3"/>
    <w:rsid w:val="0033379D"/>
    <w:rsid w:val="00333C6E"/>
    <w:rsid w:val="003344ED"/>
    <w:rsid w:val="00334ED9"/>
    <w:rsid w:val="00335BB3"/>
    <w:rsid w:val="0033610F"/>
    <w:rsid w:val="003364ED"/>
    <w:rsid w:val="00336690"/>
    <w:rsid w:val="00340778"/>
    <w:rsid w:val="00341D71"/>
    <w:rsid w:val="00341F8F"/>
    <w:rsid w:val="00342052"/>
    <w:rsid w:val="0034409B"/>
    <w:rsid w:val="003456A1"/>
    <w:rsid w:val="00346640"/>
    <w:rsid w:val="0034693B"/>
    <w:rsid w:val="0035040C"/>
    <w:rsid w:val="00350462"/>
    <w:rsid w:val="0035052D"/>
    <w:rsid w:val="00350942"/>
    <w:rsid w:val="00350A59"/>
    <w:rsid w:val="00350B03"/>
    <w:rsid w:val="00350DE4"/>
    <w:rsid w:val="003512CE"/>
    <w:rsid w:val="00351962"/>
    <w:rsid w:val="003558C2"/>
    <w:rsid w:val="00356321"/>
    <w:rsid w:val="00357135"/>
    <w:rsid w:val="003572EE"/>
    <w:rsid w:val="00361859"/>
    <w:rsid w:val="003637F3"/>
    <w:rsid w:val="00366888"/>
    <w:rsid w:val="00372611"/>
    <w:rsid w:val="003727A9"/>
    <w:rsid w:val="00372CA5"/>
    <w:rsid w:val="00372CE8"/>
    <w:rsid w:val="00372CFA"/>
    <w:rsid w:val="00373E5F"/>
    <w:rsid w:val="00374F05"/>
    <w:rsid w:val="003750F9"/>
    <w:rsid w:val="00375164"/>
    <w:rsid w:val="003754C8"/>
    <w:rsid w:val="00375E13"/>
    <w:rsid w:val="00376006"/>
    <w:rsid w:val="00376191"/>
    <w:rsid w:val="00376B4D"/>
    <w:rsid w:val="00380DA7"/>
    <w:rsid w:val="00382241"/>
    <w:rsid w:val="003830E4"/>
    <w:rsid w:val="00384B12"/>
    <w:rsid w:val="00385CEF"/>
    <w:rsid w:val="0038700E"/>
    <w:rsid w:val="00387164"/>
    <w:rsid w:val="00387366"/>
    <w:rsid w:val="00387F84"/>
    <w:rsid w:val="00390821"/>
    <w:rsid w:val="00391C55"/>
    <w:rsid w:val="003920D2"/>
    <w:rsid w:val="00396A3D"/>
    <w:rsid w:val="003975EC"/>
    <w:rsid w:val="003977B8"/>
    <w:rsid w:val="00397F92"/>
    <w:rsid w:val="003A043B"/>
    <w:rsid w:val="003A073C"/>
    <w:rsid w:val="003A146C"/>
    <w:rsid w:val="003A258F"/>
    <w:rsid w:val="003A2E2B"/>
    <w:rsid w:val="003A30DC"/>
    <w:rsid w:val="003A3204"/>
    <w:rsid w:val="003A4E0B"/>
    <w:rsid w:val="003A6786"/>
    <w:rsid w:val="003A6B89"/>
    <w:rsid w:val="003A70CB"/>
    <w:rsid w:val="003B01E8"/>
    <w:rsid w:val="003B02C7"/>
    <w:rsid w:val="003B0938"/>
    <w:rsid w:val="003B1482"/>
    <w:rsid w:val="003B3257"/>
    <w:rsid w:val="003B50D2"/>
    <w:rsid w:val="003B5727"/>
    <w:rsid w:val="003B68D7"/>
    <w:rsid w:val="003C024C"/>
    <w:rsid w:val="003C146D"/>
    <w:rsid w:val="003C2716"/>
    <w:rsid w:val="003C2D77"/>
    <w:rsid w:val="003C43FE"/>
    <w:rsid w:val="003C5031"/>
    <w:rsid w:val="003C5753"/>
    <w:rsid w:val="003C583D"/>
    <w:rsid w:val="003C5E04"/>
    <w:rsid w:val="003C624F"/>
    <w:rsid w:val="003C690E"/>
    <w:rsid w:val="003C73DD"/>
    <w:rsid w:val="003C76D0"/>
    <w:rsid w:val="003D089E"/>
    <w:rsid w:val="003D0D2C"/>
    <w:rsid w:val="003D244A"/>
    <w:rsid w:val="003D32B2"/>
    <w:rsid w:val="003D32E2"/>
    <w:rsid w:val="003D3640"/>
    <w:rsid w:val="003D5187"/>
    <w:rsid w:val="003D52B2"/>
    <w:rsid w:val="003D63A9"/>
    <w:rsid w:val="003D6946"/>
    <w:rsid w:val="003D7F18"/>
    <w:rsid w:val="003E0460"/>
    <w:rsid w:val="003E059A"/>
    <w:rsid w:val="003E0607"/>
    <w:rsid w:val="003E2585"/>
    <w:rsid w:val="003E40A9"/>
    <w:rsid w:val="003E446F"/>
    <w:rsid w:val="003E45C4"/>
    <w:rsid w:val="003E51F4"/>
    <w:rsid w:val="003F188D"/>
    <w:rsid w:val="003F2724"/>
    <w:rsid w:val="003F3644"/>
    <w:rsid w:val="003F3B06"/>
    <w:rsid w:val="003F3E99"/>
    <w:rsid w:val="003F518E"/>
    <w:rsid w:val="003F532F"/>
    <w:rsid w:val="003F543E"/>
    <w:rsid w:val="003F57A5"/>
    <w:rsid w:val="003F6B9A"/>
    <w:rsid w:val="003F6B9B"/>
    <w:rsid w:val="003F72F4"/>
    <w:rsid w:val="004001B7"/>
    <w:rsid w:val="0040076B"/>
    <w:rsid w:val="00401D06"/>
    <w:rsid w:val="00402E57"/>
    <w:rsid w:val="00403B51"/>
    <w:rsid w:val="0040541C"/>
    <w:rsid w:val="00406F55"/>
    <w:rsid w:val="004070B2"/>
    <w:rsid w:val="004113B1"/>
    <w:rsid w:val="00411980"/>
    <w:rsid w:val="00414297"/>
    <w:rsid w:val="00414757"/>
    <w:rsid w:val="00414DCC"/>
    <w:rsid w:val="00415842"/>
    <w:rsid w:val="00416151"/>
    <w:rsid w:val="00416830"/>
    <w:rsid w:val="0041697C"/>
    <w:rsid w:val="0041707C"/>
    <w:rsid w:val="00417173"/>
    <w:rsid w:val="00420277"/>
    <w:rsid w:val="004206D6"/>
    <w:rsid w:val="004211D2"/>
    <w:rsid w:val="00421390"/>
    <w:rsid w:val="004221C8"/>
    <w:rsid w:val="00423485"/>
    <w:rsid w:val="004239C1"/>
    <w:rsid w:val="00424EEA"/>
    <w:rsid w:val="004254D6"/>
    <w:rsid w:val="0042582D"/>
    <w:rsid w:val="004308C9"/>
    <w:rsid w:val="00432088"/>
    <w:rsid w:val="00432293"/>
    <w:rsid w:val="0043235B"/>
    <w:rsid w:val="00433B32"/>
    <w:rsid w:val="00435D02"/>
    <w:rsid w:val="00437A35"/>
    <w:rsid w:val="00437E3D"/>
    <w:rsid w:val="004401CF"/>
    <w:rsid w:val="00440B1F"/>
    <w:rsid w:val="00441553"/>
    <w:rsid w:val="00442473"/>
    <w:rsid w:val="00442D36"/>
    <w:rsid w:val="00444BBC"/>
    <w:rsid w:val="0044642D"/>
    <w:rsid w:val="004466B1"/>
    <w:rsid w:val="00450181"/>
    <w:rsid w:val="0045088E"/>
    <w:rsid w:val="0045099C"/>
    <w:rsid w:val="00451786"/>
    <w:rsid w:val="00452C41"/>
    <w:rsid w:val="004553E3"/>
    <w:rsid w:val="0045572F"/>
    <w:rsid w:val="00455F24"/>
    <w:rsid w:val="0046059C"/>
    <w:rsid w:val="00460ACC"/>
    <w:rsid w:val="00461DD5"/>
    <w:rsid w:val="00462D09"/>
    <w:rsid w:val="00462F17"/>
    <w:rsid w:val="00463892"/>
    <w:rsid w:val="00464440"/>
    <w:rsid w:val="00464E78"/>
    <w:rsid w:val="004656C8"/>
    <w:rsid w:val="00466C5C"/>
    <w:rsid w:val="00467698"/>
    <w:rsid w:val="0046797D"/>
    <w:rsid w:val="00467C8C"/>
    <w:rsid w:val="00470B34"/>
    <w:rsid w:val="00470C9E"/>
    <w:rsid w:val="0047139D"/>
    <w:rsid w:val="0047156B"/>
    <w:rsid w:val="00471A84"/>
    <w:rsid w:val="00472084"/>
    <w:rsid w:val="00472FB3"/>
    <w:rsid w:val="004766DA"/>
    <w:rsid w:val="004808F6"/>
    <w:rsid w:val="0048129B"/>
    <w:rsid w:val="0048373F"/>
    <w:rsid w:val="00484510"/>
    <w:rsid w:val="00484884"/>
    <w:rsid w:val="004853E7"/>
    <w:rsid w:val="00485E62"/>
    <w:rsid w:val="00485EE8"/>
    <w:rsid w:val="00485FAB"/>
    <w:rsid w:val="00486467"/>
    <w:rsid w:val="0049022A"/>
    <w:rsid w:val="00490DE8"/>
    <w:rsid w:val="00491EA2"/>
    <w:rsid w:val="004929C9"/>
    <w:rsid w:val="0049307D"/>
    <w:rsid w:val="00494C43"/>
    <w:rsid w:val="004966C1"/>
    <w:rsid w:val="004A0E0D"/>
    <w:rsid w:val="004A108A"/>
    <w:rsid w:val="004A130C"/>
    <w:rsid w:val="004A1FB1"/>
    <w:rsid w:val="004A28DF"/>
    <w:rsid w:val="004A2986"/>
    <w:rsid w:val="004A3548"/>
    <w:rsid w:val="004A3AB9"/>
    <w:rsid w:val="004A4705"/>
    <w:rsid w:val="004A6D9C"/>
    <w:rsid w:val="004A7597"/>
    <w:rsid w:val="004B0042"/>
    <w:rsid w:val="004B136F"/>
    <w:rsid w:val="004B15D3"/>
    <w:rsid w:val="004B192D"/>
    <w:rsid w:val="004B1B3A"/>
    <w:rsid w:val="004B2DB1"/>
    <w:rsid w:val="004B3C29"/>
    <w:rsid w:val="004B422D"/>
    <w:rsid w:val="004B44D6"/>
    <w:rsid w:val="004B46E7"/>
    <w:rsid w:val="004B75AC"/>
    <w:rsid w:val="004C0F3E"/>
    <w:rsid w:val="004C20AF"/>
    <w:rsid w:val="004C2B76"/>
    <w:rsid w:val="004C2F9D"/>
    <w:rsid w:val="004C4793"/>
    <w:rsid w:val="004C4D64"/>
    <w:rsid w:val="004C61F9"/>
    <w:rsid w:val="004C621A"/>
    <w:rsid w:val="004C710C"/>
    <w:rsid w:val="004D0C59"/>
    <w:rsid w:val="004D1E9C"/>
    <w:rsid w:val="004D39D6"/>
    <w:rsid w:val="004D51A1"/>
    <w:rsid w:val="004D6118"/>
    <w:rsid w:val="004D653A"/>
    <w:rsid w:val="004D6A5C"/>
    <w:rsid w:val="004D6FE9"/>
    <w:rsid w:val="004D7324"/>
    <w:rsid w:val="004E0370"/>
    <w:rsid w:val="004E0407"/>
    <w:rsid w:val="004E06E4"/>
    <w:rsid w:val="004E0AF2"/>
    <w:rsid w:val="004E0DAC"/>
    <w:rsid w:val="004E305C"/>
    <w:rsid w:val="004E3649"/>
    <w:rsid w:val="004E5510"/>
    <w:rsid w:val="004E624C"/>
    <w:rsid w:val="004E6DE9"/>
    <w:rsid w:val="004F08A2"/>
    <w:rsid w:val="004F0B74"/>
    <w:rsid w:val="004F0E04"/>
    <w:rsid w:val="004F1B9B"/>
    <w:rsid w:val="004F39BC"/>
    <w:rsid w:val="004F424A"/>
    <w:rsid w:val="004F4374"/>
    <w:rsid w:val="004F5A4A"/>
    <w:rsid w:val="004F5D4B"/>
    <w:rsid w:val="004F7811"/>
    <w:rsid w:val="00500755"/>
    <w:rsid w:val="00501482"/>
    <w:rsid w:val="005017D8"/>
    <w:rsid w:val="0050239C"/>
    <w:rsid w:val="00503FAD"/>
    <w:rsid w:val="00506621"/>
    <w:rsid w:val="005077C0"/>
    <w:rsid w:val="005116E7"/>
    <w:rsid w:val="00511E8E"/>
    <w:rsid w:val="005122FB"/>
    <w:rsid w:val="00512962"/>
    <w:rsid w:val="005133F3"/>
    <w:rsid w:val="00513822"/>
    <w:rsid w:val="005139D3"/>
    <w:rsid w:val="00513A11"/>
    <w:rsid w:val="00513E1B"/>
    <w:rsid w:val="00514436"/>
    <w:rsid w:val="0051481C"/>
    <w:rsid w:val="00514CEC"/>
    <w:rsid w:val="005151A1"/>
    <w:rsid w:val="0051693C"/>
    <w:rsid w:val="00516A0B"/>
    <w:rsid w:val="00517B03"/>
    <w:rsid w:val="005211E4"/>
    <w:rsid w:val="00521334"/>
    <w:rsid w:val="00521892"/>
    <w:rsid w:val="00521EC5"/>
    <w:rsid w:val="0052204C"/>
    <w:rsid w:val="00522358"/>
    <w:rsid w:val="0052309B"/>
    <w:rsid w:val="0052494E"/>
    <w:rsid w:val="005255D7"/>
    <w:rsid w:val="00526611"/>
    <w:rsid w:val="00527123"/>
    <w:rsid w:val="0052732F"/>
    <w:rsid w:val="0053024B"/>
    <w:rsid w:val="005303D5"/>
    <w:rsid w:val="00530A49"/>
    <w:rsid w:val="00530D59"/>
    <w:rsid w:val="005328C3"/>
    <w:rsid w:val="0053396F"/>
    <w:rsid w:val="00534281"/>
    <w:rsid w:val="005346A2"/>
    <w:rsid w:val="005350AB"/>
    <w:rsid w:val="00535772"/>
    <w:rsid w:val="00536436"/>
    <w:rsid w:val="00536519"/>
    <w:rsid w:val="0053729C"/>
    <w:rsid w:val="00537849"/>
    <w:rsid w:val="00537A09"/>
    <w:rsid w:val="00537C8E"/>
    <w:rsid w:val="005415A9"/>
    <w:rsid w:val="00542746"/>
    <w:rsid w:val="00542E98"/>
    <w:rsid w:val="00547B25"/>
    <w:rsid w:val="005504CD"/>
    <w:rsid w:val="00550969"/>
    <w:rsid w:val="0055122D"/>
    <w:rsid w:val="00552127"/>
    <w:rsid w:val="00552C02"/>
    <w:rsid w:val="0055317C"/>
    <w:rsid w:val="00553201"/>
    <w:rsid w:val="00553E34"/>
    <w:rsid w:val="005540E2"/>
    <w:rsid w:val="0055418D"/>
    <w:rsid w:val="00554561"/>
    <w:rsid w:val="0055502A"/>
    <w:rsid w:val="00555313"/>
    <w:rsid w:val="00555CDD"/>
    <w:rsid w:val="005560C1"/>
    <w:rsid w:val="00561ADF"/>
    <w:rsid w:val="005621C1"/>
    <w:rsid w:val="00562B51"/>
    <w:rsid w:val="00564C82"/>
    <w:rsid w:val="005650F4"/>
    <w:rsid w:val="00566E26"/>
    <w:rsid w:val="00567369"/>
    <w:rsid w:val="00570098"/>
    <w:rsid w:val="005709D4"/>
    <w:rsid w:val="00571E31"/>
    <w:rsid w:val="00573F84"/>
    <w:rsid w:val="005741BF"/>
    <w:rsid w:val="00575400"/>
    <w:rsid w:val="00580DAF"/>
    <w:rsid w:val="005811C0"/>
    <w:rsid w:val="0058126C"/>
    <w:rsid w:val="00581557"/>
    <w:rsid w:val="00584373"/>
    <w:rsid w:val="00584784"/>
    <w:rsid w:val="00584B40"/>
    <w:rsid w:val="005858BC"/>
    <w:rsid w:val="0058795B"/>
    <w:rsid w:val="00590492"/>
    <w:rsid w:val="00590CBA"/>
    <w:rsid w:val="005916CF"/>
    <w:rsid w:val="00591E12"/>
    <w:rsid w:val="00594895"/>
    <w:rsid w:val="00594DF5"/>
    <w:rsid w:val="00596C5F"/>
    <w:rsid w:val="005971CA"/>
    <w:rsid w:val="005971E1"/>
    <w:rsid w:val="00597266"/>
    <w:rsid w:val="005A1EC5"/>
    <w:rsid w:val="005A2AF1"/>
    <w:rsid w:val="005A3EB3"/>
    <w:rsid w:val="005A546A"/>
    <w:rsid w:val="005A6C96"/>
    <w:rsid w:val="005A70D2"/>
    <w:rsid w:val="005A7294"/>
    <w:rsid w:val="005A7C27"/>
    <w:rsid w:val="005B1F7E"/>
    <w:rsid w:val="005B36E9"/>
    <w:rsid w:val="005B5230"/>
    <w:rsid w:val="005B6657"/>
    <w:rsid w:val="005B6680"/>
    <w:rsid w:val="005B67F1"/>
    <w:rsid w:val="005C2330"/>
    <w:rsid w:val="005C2838"/>
    <w:rsid w:val="005C3AF8"/>
    <w:rsid w:val="005C3F7B"/>
    <w:rsid w:val="005C4025"/>
    <w:rsid w:val="005C4605"/>
    <w:rsid w:val="005C49D2"/>
    <w:rsid w:val="005C5D5C"/>
    <w:rsid w:val="005C67CD"/>
    <w:rsid w:val="005C6F50"/>
    <w:rsid w:val="005C7009"/>
    <w:rsid w:val="005D032C"/>
    <w:rsid w:val="005D058B"/>
    <w:rsid w:val="005D0E81"/>
    <w:rsid w:val="005D1024"/>
    <w:rsid w:val="005D32EF"/>
    <w:rsid w:val="005D470F"/>
    <w:rsid w:val="005D4B34"/>
    <w:rsid w:val="005D5547"/>
    <w:rsid w:val="005D648C"/>
    <w:rsid w:val="005E01EB"/>
    <w:rsid w:val="005E0736"/>
    <w:rsid w:val="005E085E"/>
    <w:rsid w:val="005E25FD"/>
    <w:rsid w:val="005E310E"/>
    <w:rsid w:val="005E3268"/>
    <w:rsid w:val="005E3711"/>
    <w:rsid w:val="005E449F"/>
    <w:rsid w:val="005E4674"/>
    <w:rsid w:val="005E53B0"/>
    <w:rsid w:val="005E7DAA"/>
    <w:rsid w:val="005F0C8A"/>
    <w:rsid w:val="005F27CE"/>
    <w:rsid w:val="005F2EAC"/>
    <w:rsid w:val="005F36B4"/>
    <w:rsid w:val="005F51F2"/>
    <w:rsid w:val="005F5421"/>
    <w:rsid w:val="005F5C51"/>
    <w:rsid w:val="005F5D5A"/>
    <w:rsid w:val="006000B9"/>
    <w:rsid w:val="0060031D"/>
    <w:rsid w:val="00601424"/>
    <w:rsid w:val="00603012"/>
    <w:rsid w:val="006040A2"/>
    <w:rsid w:val="0060499B"/>
    <w:rsid w:val="006058B1"/>
    <w:rsid w:val="006060A3"/>
    <w:rsid w:val="006110E5"/>
    <w:rsid w:val="00613303"/>
    <w:rsid w:val="006133F6"/>
    <w:rsid w:val="00613AFD"/>
    <w:rsid w:val="006155EF"/>
    <w:rsid w:val="00615E04"/>
    <w:rsid w:val="00616690"/>
    <w:rsid w:val="0061713C"/>
    <w:rsid w:val="00620D99"/>
    <w:rsid w:val="006216DA"/>
    <w:rsid w:val="006229A9"/>
    <w:rsid w:val="00622A4D"/>
    <w:rsid w:val="0062337B"/>
    <w:rsid w:val="00625749"/>
    <w:rsid w:val="0062668F"/>
    <w:rsid w:val="00626CAA"/>
    <w:rsid w:val="006273BA"/>
    <w:rsid w:val="00627C55"/>
    <w:rsid w:val="00630750"/>
    <w:rsid w:val="0063095E"/>
    <w:rsid w:val="00631ABD"/>
    <w:rsid w:val="006321B6"/>
    <w:rsid w:val="006326BA"/>
    <w:rsid w:val="00634A2F"/>
    <w:rsid w:val="00634A6C"/>
    <w:rsid w:val="006362F5"/>
    <w:rsid w:val="006371A0"/>
    <w:rsid w:val="00640C13"/>
    <w:rsid w:val="00640D8D"/>
    <w:rsid w:val="00642389"/>
    <w:rsid w:val="006427E4"/>
    <w:rsid w:val="00644631"/>
    <w:rsid w:val="0065082D"/>
    <w:rsid w:val="006520A6"/>
    <w:rsid w:val="00652259"/>
    <w:rsid w:val="00652BE8"/>
    <w:rsid w:val="00653A0E"/>
    <w:rsid w:val="00653ADC"/>
    <w:rsid w:val="006543E8"/>
    <w:rsid w:val="0065506E"/>
    <w:rsid w:val="0065684D"/>
    <w:rsid w:val="00660255"/>
    <w:rsid w:val="00661DA8"/>
    <w:rsid w:val="0066236B"/>
    <w:rsid w:val="00662B10"/>
    <w:rsid w:val="006648EB"/>
    <w:rsid w:val="006653B9"/>
    <w:rsid w:val="00666ECC"/>
    <w:rsid w:val="00667406"/>
    <w:rsid w:val="00667558"/>
    <w:rsid w:val="00667AAE"/>
    <w:rsid w:val="006703A8"/>
    <w:rsid w:val="00671E1A"/>
    <w:rsid w:val="00672895"/>
    <w:rsid w:val="00672C16"/>
    <w:rsid w:val="0067331B"/>
    <w:rsid w:val="00674C29"/>
    <w:rsid w:val="00675060"/>
    <w:rsid w:val="00675E0D"/>
    <w:rsid w:val="0067691D"/>
    <w:rsid w:val="006779A4"/>
    <w:rsid w:val="006779BE"/>
    <w:rsid w:val="00680727"/>
    <w:rsid w:val="006814AE"/>
    <w:rsid w:val="0068155A"/>
    <w:rsid w:val="00682213"/>
    <w:rsid w:val="0068346A"/>
    <w:rsid w:val="006845E9"/>
    <w:rsid w:val="00684C2C"/>
    <w:rsid w:val="0068633E"/>
    <w:rsid w:val="006871CA"/>
    <w:rsid w:val="00690E18"/>
    <w:rsid w:val="00691957"/>
    <w:rsid w:val="006954BF"/>
    <w:rsid w:val="00695AA2"/>
    <w:rsid w:val="00696826"/>
    <w:rsid w:val="00696F2A"/>
    <w:rsid w:val="00697266"/>
    <w:rsid w:val="006A03E3"/>
    <w:rsid w:val="006A0710"/>
    <w:rsid w:val="006A0C5B"/>
    <w:rsid w:val="006A2539"/>
    <w:rsid w:val="006A3382"/>
    <w:rsid w:val="006A378B"/>
    <w:rsid w:val="006A46E8"/>
    <w:rsid w:val="006A5382"/>
    <w:rsid w:val="006A6ACD"/>
    <w:rsid w:val="006A6CCD"/>
    <w:rsid w:val="006A6D86"/>
    <w:rsid w:val="006A710C"/>
    <w:rsid w:val="006B05BB"/>
    <w:rsid w:val="006B066C"/>
    <w:rsid w:val="006B1011"/>
    <w:rsid w:val="006B2670"/>
    <w:rsid w:val="006B3B20"/>
    <w:rsid w:val="006B4814"/>
    <w:rsid w:val="006B4AC6"/>
    <w:rsid w:val="006B53D9"/>
    <w:rsid w:val="006B592E"/>
    <w:rsid w:val="006C088D"/>
    <w:rsid w:val="006C0906"/>
    <w:rsid w:val="006C2F0A"/>
    <w:rsid w:val="006C2FBE"/>
    <w:rsid w:val="006C3012"/>
    <w:rsid w:val="006C7522"/>
    <w:rsid w:val="006C7DEC"/>
    <w:rsid w:val="006C7E83"/>
    <w:rsid w:val="006D05B1"/>
    <w:rsid w:val="006D07A6"/>
    <w:rsid w:val="006D136E"/>
    <w:rsid w:val="006D38CE"/>
    <w:rsid w:val="006D3B09"/>
    <w:rsid w:val="006D4F43"/>
    <w:rsid w:val="006D7393"/>
    <w:rsid w:val="006E0CCC"/>
    <w:rsid w:val="006E15E3"/>
    <w:rsid w:val="006E17BA"/>
    <w:rsid w:val="006E266C"/>
    <w:rsid w:val="006E537C"/>
    <w:rsid w:val="006E5A86"/>
    <w:rsid w:val="006F1605"/>
    <w:rsid w:val="006F1DD6"/>
    <w:rsid w:val="006F23A0"/>
    <w:rsid w:val="006F2443"/>
    <w:rsid w:val="006F2771"/>
    <w:rsid w:val="006F28C0"/>
    <w:rsid w:val="006F47D4"/>
    <w:rsid w:val="006F4F32"/>
    <w:rsid w:val="006F567C"/>
    <w:rsid w:val="006F65BF"/>
    <w:rsid w:val="006F761D"/>
    <w:rsid w:val="00701C4D"/>
    <w:rsid w:val="00703707"/>
    <w:rsid w:val="00704701"/>
    <w:rsid w:val="00705AF9"/>
    <w:rsid w:val="007078E8"/>
    <w:rsid w:val="00710436"/>
    <w:rsid w:val="00711C13"/>
    <w:rsid w:val="00714E58"/>
    <w:rsid w:val="00717673"/>
    <w:rsid w:val="00717869"/>
    <w:rsid w:val="007204AA"/>
    <w:rsid w:val="007217B5"/>
    <w:rsid w:val="0072180C"/>
    <w:rsid w:val="00722D7F"/>
    <w:rsid w:val="0072328A"/>
    <w:rsid w:val="00723758"/>
    <w:rsid w:val="00724F75"/>
    <w:rsid w:val="007269FE"/>
    <w:rsid w:val="00726F7C"/>
    <w:rsid w:val="0072733E"/>
    <w:rsid w:val="007273CB"/>
    <w:rsid w:val="00727702"/>
    <w:rsid w:val="00727754"/>
    <w:rsid w:val="00727958"/>
    <w:rsid w:val="00727F7E"/>
    <w:rsid w:val="00730790"/>
    <w:rsid w:val="007309BD"/>
    <w:rsid w:val="00732ACB"/>
    <w:rsid w:val="0073514E"/>
    <w:rsid w:val="0073613F"/>
    <w:rsid w:val="0074026E"/>
    <w:rsid w:val="007433DC"/>
    <w:rsid w:val="007440AE"/>
    <w:rsid w:val="007447C2"/>
    <w:rsid w:val="00744A56"/>
    <w:rsid w:val="00744FFE"/>
    <w:rsid w:val="00745E0C"/>
    <w:rsid w:val="007470D9"/>
    <w:rsid w:val="007479CE"/>
    <w:rsid w:val="00750C24"/>
    <w:rsid w:val="00751A92"/>
    <w:rsid w:val="007527EB"/>
    <w:rsid w:val="00752C5A"/>
    <w:rsid w:val="00752CEF"/>
    <w:rsid w:val="00753E0F"/>
    <w:rsid w:val="00754203"/>
    <w:rsid w:val="00754579"/>
    <w:rsid w:val="00755DA2"/>
    <w:rsid w:val="007571F0"/>
    <w:rsid w:val="00760DEA"/>
    <w:rsid w:val="00762A65"/>
    <w:rsid w:val="00762B77"/>
    <w:rsid w:val="00762FB7"/>
    <w:rsid w:val="007630C6"/>
    <w:rsid w:val="007638B8"/>
    <w:rsid w:val="007646CF"/>
    <w:rsid w:val="007649DE"/>
    <w:rsid w:val="00764A86"/>
    <w:rsid w:val="0076574D"/>
    <w:rsid w:val="00765FDF"/>
    <w:rsid w:val="00767BE3"/>
    <w:rsid w:val="00767F8C"/>
    <w:rsid w:val="00770B25"/>
    <w:rsid w:val="00770C97"/>
    <w:rsid w:val="007732F2"/>
    <w:rsid w:val="007744DD"/>
    <w:rsid w:val="007747F4"/>
    <w:rsid w:val="00774841"/>
    <w:rsid w:val="00774CD8"/>
    <w:rsid w:val="007766E1"/>
    <w:rsid w:val="00776CD9"/>
    <w:rsid w:val="007802D1"/>
    <w:rsid w:val="007810B9"/>
    <w:rsid w:val="00781305"/>
    <w:rsid w:val="007816FD"/>
    <w:rsid w:val="00782DA4"/>
    <w:rsid w:val="00782EE9"/>
    <w:rsid w:val="00783AF0"/>
    <w:rsid w:val="00783F66"/>
    <w:rsid w:val="007844D9"/>
    <w:rsid w:val="00784ECA"/>
    <w:rsid w:val="00785993"/>
    <w:rsid w:val="00786211"/>
    <w:rsid w:val="00786428"/>
    <w:rsid w:val="00786CDB"/>
    <w:rsid w:val="00786EEE"/>
    <w:rsid w:val="0079089C"/>
    <w:rsid w:val="00794235"/>
    <w:rsid w:val="00794936"/>
    <w:rsid w:val="007960A5"/>
    <w:rsid w:val="0079652F"/>
    <w:rsid w:val="00796F61"/>
    <w:rsid w:val="0079708B"/>
    <w:rsid w:val="007A01D6"/>
    <w:rsid w:val="007A1687"/>
    <w:rsid w:val="007A1F21"/>
    <w:rsid w:val="007A2AAE"/>
    <w:rsid w:val="007A2B77"/>
    <w:rsid w:val="007A4BF4"/>
    <w:rsid w:val="007A53F3"/>
    <w:rsid w:val="007A595C"/>
    <w:rsid w:val="007A66C3"/>
    <w:rsid w:val="007A67AE"/>
    <w:rsid w:val="007B0C9B"/>
    <w:rsid w:val="007B0F19"/>
    <w:rsid w:val="007B193D"/>
    <w:rsid w:val="007B1C56"/>
    <w:rsid w:val="007B4DFC"/>
    <w:rsid w:val="007B514A"/>
    <w:rsid w:val="007B5673"/>
    <w:rsid w:val="007B5A83"/>
    <w:rsid w:val="007B6E98"/>
    <w:rsid w:val="007B7F10"/>
    <w:rsid w:val="007C0467"/>
    <w:rsid w:val="007C2131"/>
    <w:rsid w:val="007C2616"/>
    <w:rsid w:val="007C2D0A"/>
    <w:rsid w:val="007C3963"/>
    <w:rsid w:val="007C428D"/>
    <w:rsid w:val="007C484F"/>
    <w:rsid w:val="007C48D5"/>
    <w:rsid w:val="007C4A7D"/>
    <w:rsid w:val="007C5814"/>
    <w:rsid w:val="007C5B92"/>
    <w:rsid w:val="007C6B02"/>
    <w:rsid w:val="007C7870"/>
    <w:rsid w:val="007D193A"/>
    <w:rsid w:val="007D3800"/>
    <w:rsid w:val="007D534A"/>
    <w:rsid w:val="007D665D"/>
    <w:rsid w:val="007D6DFF"/>
    <w:rsid w:val="007D762C"/>
    <w:rsid w:val="007D7EC7"/>
    <w:rsid w:val="007E0CA7"/>
    <w:rsid w:val="007E1272"/>
    <w:rsid w:val="007E1A9A"/>
    <w:rsid w:val="007E233E"/>
    <w:rsid w:val="007E2F43"/>
    <w:rsid w:val="007E4344"/>
    <w:rsid w:val="007E4F13"/>
    <w:rsid w:val="007E4F61"/>
    <w:rsid w:val="007E5B77"/>
    <w:rsid w:val="007E5E40"/>
    <w:rsid w:val="007E5F96"/>
    <w:rsid w:val="007E790E"/>
    <w:rsid w:val="007F0CF4"/>
    <w:rsid w:val="007F22C7"/>
    <w:rsid w:val="007F4116"/>
    <w:rsid w:val="007F5CE5"/>
    <w:rsid w:val="007F6097"/>
    <w:rsid w:val="007F76E3"/>
    <w:rsid w:val="007F7C05"/>
    <w:rsid w:val="00800495"/>
    <w:rsid w:val="00800604"/>
    <w:rsid w:val="00800E74"/>
    <w:rsid w:val="00801F4B"/>
    <w:rsid w:val="0080236E"/>
    <w:rsid w:val="008024B5"/>
    <w:rsid w:val="00802766"/>
    <w:rsid w:val="00802A64"/>
    <w:rsid w:val="0080326E"/>
    <w:rsid w:val="0080515A"/>
    <w:rsid w:val="00805945"/>
    <w:rsid w:val="00806460"/>
    <w:rsid w:val="0080779F"/>
    <w:rsid w:val="008106B6"/>
    <w:rsid w:val="00810E1C"/>
    <w:rsid w:val="00811C45"/>
    <w:rsid w:val="008136F8"/>
    <w:rsid w:val="00813F0B"/>
    <w:rsid w:val="008147DD"/>
    <w:rsid w:val="00814864"/>
    <w:rsid w:val="00814BBC"/>
    <w:rsid w:val="00814D34"/>
    <w:rsid w:val="00815250"/>
    <w:rsid w:val="0081564C"/>
    <w:rsid w:val="00816E10"/>
    <w:rsid w:val="0081734E"/>
    <w:rsid w:val="00820618"/>
    <w:rsid w:val="00820FE9"/>
    <w:rsid w:val="008212B3"/>
    <w:rsid w:val="008216FE"/>
    <w:rsid w:val="00822C4E"/>
    <w:rsid w:val="00822EA7"/>
    <w:rsid w:val="0082347B"/>
    <w:rsid w:val="00823A9C"/>
    <w:rsid w:val="008242F1"/>
    <w:rsid w:val="008246A2"/>
    <w:rsid w:val="00824861"/>
    <w:rsid w:val="00826362"/>
    <w:rsid w:val="008271F5"/>
    <w:rsid w:val="00830ADE"/>
    <w:rsid w:val="00830B5F"/>
    <w:rsid w:val="008310B4"/>
    <w:rsid w:val="00831E59"/>
    <w:rsid w:val="008321B7"/>
    <w:rsid w:val="008325F8"/>
    <w:rsid w:val="0083342B"/>
    <w:rsid w:val="00834EFD"/>
    <w:rsid w:val="00836433"/>
    <w:rsid w:val="00836DCB"/>
    <w:rsid w:val="00836FF5"/>
    <w:rsid w:val="00837655"/>
    <w:rsid w:val="00837E01"/>
    <w:rsid w:val="00840485"/>
    <w:rsid w:val="00840E82"/>
    <w:rsid w:val="008426AE"/>
    <w:rsid w:val="00845318"/>
    <w:rsid w:val="0084728F"/>
    <w:rsid w:val="00847C63"/>
    <w:rsid w:val="00851725"/>
    <w:rsid w:val="00852FC9"/>
    <w:rsid w:val="0085392F"/>
    <w:rsid w:val="0085458C"/>
    <w:rsid w:val="00854DF2"/>
    <w:rsid w:val="00854FD2"/>
    <w:rsid w:val="00855628"/>
    <w:rsid w:val="00857E08"/>
    <w:rsid w:val="008605BD"/>
    <w:rsid w:val="00860E10"/>
    <w:rsid w:val="00864D3A"/>
    <w:rsid w:val="00865853"/>
    <w:rsid w:val="00866873"/>
    <w:rsid w:val="00867053"/>
    <w:rsid w:val="00870E2A"/>
    <w:rsid w:val="0087165A"/>
    <w:rsid w:val="0087194C"/>
    <w:rsid w:val="00871B95"/>
    <w:rsid w:val="00874216"/>
    <w:rsid w:val="00874BE1"/>
    <w:rsid w:val="00874E94"/>
    <w:rsid w:val="008759F2"/>
    <w:rsid w:val="00875D58"/>
    <w:rsid w:val="00877837"/>
    <w:rsid w:val="00880E00"/>
    <w:rsid w:val="008817B8"/>
    <w:rsid w:val="008827B7"/>
    <w:rsid w:val="00882902"/>
    <w:rsid w:val="0088300A"/>
    <w:rsid w:val="00884ABF"/>
    <w:rsid w:val="00884C27"/>
    <w:rsid w:val="00885B0A"/>
    <w:rsid w:val="008868D5"/>
    <w:rsid w:val="0088764B"/>
    <w:rsid w:val="00892D42"/>
    <w:rsid w:val="00895DB5"/>
    <w:rsid w:val="0089742C"/>
    <w:rsid w:val="008A0E88"/>
    <w:rsid w:val="008A1251"/>
    <w:rsid w:val="008A2E65"/>
    <w:rsid w:val="008A3360"/>
    <w:rsid w:val="008A4026"/>
    <w:rsid w:val="008A58D6"/>
    <w:rsid w:val="008A593B"/>
    <w:rsid w:val="008A5C62"/>
    <w:rsid w:val="008A6AA1"/>
    <w:rsid w:val="008A6E4F"/>
    <w:rsid w:val="008A7176"/>
    <w:rsid w:val="008A7D83"/>
    <w:rsid w:val="008B12D3"/>
    <w:rsid w:val="008B1B73"/>
    <w:rsid w:val="008B2024"/>
    <w:rsid w:val="008B2A53"/>
    <w:rsid w:val="008B2A70"/>
    <w:rsid w:val="008B2CE1"/>
    <w:rsid w:val="008B2D58"/>
    <w:rsid w:val="008B33E4"/>
    <w:rsid w:val="008B3810"/>
    <w:rsid w:val="008B4124"/>
    <w:rsid w:val="008B4D4A"/>
    <w:rsid w:val="008B4EC1"/>
    <w:rsid w:val="008B543F"/>
    <w:rsid w:val="008B5F23"/>
    <w:rsid w:val="008B743C"/>
    <w:rsid w:val="008C0E6A"/>
    <w:rsid w:val="008C27F0"/>
    <w:rsid w:val="008C2D9D"/>
    <w:rsid w:val="008C30EB"/>
    <w:rsid w:val="008C33EA"/>
    <w:rsid w:val="008C35DF"/>
    <w:rsid w:val="008C4932"/>
    <w:rsid w:val="008D08D0"/>
    <w:rsid w:val="008D1B64"/>
    <w:rsid w:val="008D1E15"/>
    <w:rsid w:val="008D22FB"/>
    <w:rsid w:val="008D292A"/>
    <w:rsid w:val="008D32A4"/>
    <w:rsid w:val="008D3F3F"/>
    <w:rsid w:val="008D4F24"/>
    <w:rsid w:val="008D4F5E"/>
    <w:rsid w:val="008D4F8D"/>
    <w:rsid w:val="008D611D"/>
    <w:rsid w:val="008D66C5"/>
    <w:rsid w:val="008D6986"/>
    <w:rsid w:val="008D6C62"/>
    <w:rsid w:val="008D77BF"/>
    <w:rsid w:val="008D7933"/>
    <w:rsid w:val="008E04FA"/>
    <w:rsid w:val="008E07D1"/>
    <w:rsid w:val="008E18B2"/>
    <w:rsid w:val="008E2AC8"/>
    <w:rsid w:val="008E3E80"/>
    <w:rsid w:val="008E4A65"/>
    <w:rsid w:val="008E4AF2"/>
    <w:rsid w:val="008E5AB7"/>
    <w:rsid w:val="008E6E8C"/>
    <w:rsid w:val="008F0EC3"/>
    <w:rsid w:val="008F1442"/>
    <w:rsid w:val="008F191B"/>
    <w:rsid w:val="008F1F2A"/>
    <w:rsid w:val="008F21A6"/>
    <w:rsid w:val="008F29CC"/>
    <w:rsid w:val="008F2A8E"/>
    <w:rsid w:val="008F5C12"/>
    <w:rsid w:val="008F64A9"/>
    <w:rsid w:val="008F6EEE"/>
    <w:rsid w:val="008F7795"/>
    <w:rsid w:val="008F7B30"/>
    <w:rsid w:val="009025F3"/>
    <w:rsid w:val="009026E8"/>
    <w:rsid w:val="0090293F"/>
    <w:rsid w:val="0090638F"/>
    <w:rsid w:val="009078BF"/>
    <w:rsid w:val="00910631"/>
    <w:rsid w:val="00911372"/>
    <w:rsid w:val="00912993"/>
    <w:rsid w:val="00912D2D"/>
    <w:rsid w:val="0091390A"/>
    <w:rsid w:val="00913A36"/>
    <w:rsid w:val="009149AC"/>
    <w:rsid w:val="00914C0B"/>
    <w:rsid w:val="00915BA3"/>
    <w:rsid w:val="00916380"/>
    <w:rsid w:val="00917363"/>
    <w:rsid w:val="009213E8"/>
    <w:rsid w:val="00921F5F"/>
    <w:rsid w:val="00923042"/>
    <w:rsid w:val="009232AC"/>
    <w:rsid w:val="00923C2B"/>
    <w:rsid w:val="0092450D"/>
    <w:rsid w:val="0092566C"/>
    <w:rsid w:val="00926F53"/>
    <w:rsid w:val="0092743A"/>
    <w:rsid w:val="00927579"/>
    <w:rsid w:val="00930260"/>
    <w:rsid w:val="00930298"/>
    <w:rsid w:val="009306B5"/>
    <w:rsid w:val="00931B11"/>
    <w:rsid w:val="00934054"/>
    <w:rsid w:val="00935789"/>
    <w:rsid w:val="00936108"/>
    <w:rsid w:val="00936AD7"/>
    <w:rsid w:val="009401E5"/>
    <w:rsid w:val="0094078E"/>
    <w:rsid w:val="00940D5C"/>
    <w:rsid w:val="009414E4"/>
    <w:rsid w:val="0094156A"/>
    <w:rsid w:val="00941CB1"/>
    <w:rsid w:val="009438D9"/>
    <w:rsid w:val="0094638C"/>
    <w:rsid w:val="00947D26"/>
    <w:rsid w:val="00950473"/>
    <w:rsid w:val="009508A8"/>
    <w:rsid w:val="0095117D"/>
    <w:rsid w:val="00951634"/>
    <w:rsid w:val="00952873"/>
    <w:rsid w:val="00952D22"/>
    <w:rsid w:val="00952F55"/>
    <w:rsid w:val="0095305A"/>
    <w:rsid w:val="0095443F"/>
    <w:rsid w:val="009552DB"/>
    <w:rsid w:val="00956451"/>
    <w:rsid w:val="00957B91"/>
    <w:rsid w:val="00962E10"/>
    <w:rsid w:val="00962EBC"/>
    <w:rsid w:val="009641C8"/>
    <w:rsid w:val="00964882"/>
    <w:rsid w:val="00964A76"/>
    <w:rsid w:val="00964B6A"/>
    <w:rsid w:val="00965C9D"/>
    <w:rsid w:val="0096670F"/>
    <w:rsid w:val="00967CEC"/>
    <w:rsid w:val="00971DEC"/>
    <w:rsid w:val="00971FFB"/>
    <w:rsid w:val="0097291B"/>
    <w:rsid w:val="009729AB"/>
    <w:rsid w:val="00973D1B"/>
    <w:rsid w:val="00974235"/>
    <w:rsid w:val="009746E5"/>
    <w:rsid w:val="00974E02"/>
    <w:rsid w:val="00974F8A"/>
    <w:rsid w:val="0097673B"/>
    <w:rsid w:val="00977974"/>
    <w:rsid w:val="0098006F"/>
    <w:rsid w:val="009803AA"/>
    <w:rsid w:val="00980584"/>
    <w:rsid w:val="009806A7"/>
    <w:rsid w:val="00980717"/>
    <w:rsid w:val="00981A28"/>
    <w:rsid w:val="0098283F"/>
    <w:rsid w:val="00983C6D"/>
    <w:rsid w:val="00984001"/>
    <w:rsid w:val="009851DA"/>
    <w:rsid w:val="00986F38"/>
    <w:rsid w:val="009914D6"/>
    <w:rsid w:val="00993750"/>
    <w:rsid w:val="00993855"/>
    <w:rsid w:val="00993BBD"/>
    <w:rsid w:val="0099441E"/>
    <w:rsid w:val="00994612"/>
    <w:rsid w:val="00994BDE"/>
    <w:rsid w:val="009958EB"/>
    <w:rsid w:val="009960DF"/>
    <w:rsid w:val="00996149"/>
    <w:rsid w:val="00997E37"/>
    <w:rsid w:val="00997E76"/>
    <w:rsid w:val="009A06DE"/>
    <w:rsid w:val="009A3008"/>
    <w:rsid w:val="009A3C9C"/>
    <w:rsid w:val="009A3E9F"/>
    <w:rsid w:val="009A52D0"/>
    <w:rsid w:val="009A6E9F"/>
    <w:rsid w:val="009A7E3B"/>
    <w:rsid w:val="009B18AF"/>
    <w:rsid w:val="009B1C68"/>
    <w:rsid w:val="009B27A9"/>
    <w:rsid w:val="009B3694"/>
    <w:rsid w:val="009B7AA4"/>
    <w:rsid w:val="009B7CFC"/>
    <w:rsid w:val="009C07FC"/>
    <w:rsid w:val="009C0D97"/>
    <w:rsid w:val="009C1608"/>
    <w:rsid w:val="009C2207"/>
    <w:rsid w:val="009C325E"/>
    <w:rsid w:val="009C4494"/>
    <w:rsid w:val="009C54E3"/>
    <w:rsid w:val="009C5663"/>
    <w:rsid w:val="009C61AC"/>
    <w:rsid w:val="009C6937"/>
    <w:rsid w:val="009C7094"/>
    <w:rsid w:val="009C7B59"/>
    <w:rsid w:val="009D0E66"/>
    <w:rsid w:val="009D28E5"/>
    <w:rsid w:val="009D2F22"/>
    <w:rsid w:val="009D32E7"/>
    <w:rsid w:val="009D3F50"/>
    <w:rsid w:val="009D5751"/>
    <w:rsid w:val="009D5D83"/>
    <w:rsid w:val="009D7FBD"/>
    <w:rsid w:val="009E106F"/>
    <w:rsid w:val="009E4A54"/>
    <w:rsid w:val="009E54FC"/>
    <w:rsid w:val="009E6A24"/>
    <w:rsid w:val="009E6C5C"/>
    <w:rsid w:val="009E752E"/>
    <w:rsid w:val="009F026B"/>
    <w:rsid w:val="009F47D1"/>
    <w:rsid w:val="009F56F4"/>
    <w:rsid w:val="009F5C68"/>
    <w:rsid w:val="009F5FB3"/>
    <w:rsid w:val="009F6356"/>
    <w:rsid w:val="00A001BD"/>
    <w:rsid w:val="00A00ABB"/>
    <w:rsid w:val="00A0104C"/>
    <w:rsid w:val="00A01E9A"/>
    <w:rsid w:val="00A021C7"/>
    <w:rsid w:val="00A032BE"/>
    <w:rsid w:val="00A03B72"/>
    <w:rsid w:val="00A046CC"/>
    <w:rsid w:val="00A04FD4"/>
    <w:rsid w:val="00A054DA"/>
    <w:rsid w:val="00A058B2"/>
    <w:rsid w:val="00A06265"/>
    <w:rsid w:val="00A0626C"/>
    <w:rsid w:val="00A10156"/>
    <w:rsid w:val="00A11F4D"/>
    <w:rsid w:val="00A1212D"/>
    <w:rsid w:val="00A130A9"/>
    <w:rsid w:val="00A14555"/>
    <w:rsid w:val="00A15E38"/>
    <w:rsid w:val="00A21700"/>
    <w:rsid w:val="00A21FD1"/>
    <w:rsid w:val="00A22440"/>
    <w:rsid w:val="00A22840"/>
    <w:rsid w:val="00A23A2F"/>
    <w:rsid w:val="00A26D45"/>
    <w:rsid w:val="00A30D53"/>
    <w:rsid w:val="00A31A1F"/>
    <w:rsid w:val="00A327DA"/>
    <w:rsid w:val="00A32AD1"/>
    <w:rsid w:val="00A32EDD"/>
    <w:rsid w:val="00A34953"/>
    <w:rsid w:val="00A35EB0"/>
    <w:rsid w:val="00A36687"/>
    <w:rsid w:val="00A36F85"/>
    <w:rsid w:val="00A37582"/>
    <w:rsid w:val="00A40734"/>
    <w:rsid w:val="00A4073A"/>
    <w:rsid w:val="00A41FB6"/>
    <w:rsid w:val="00A4259E"/>
    <w:rsid w:val="00A437DB"/>
    <w:rsid w:val="00A43D2C"/>
    <w:rsid w:val="00A43FC4"/>
    <w:rsid w:val="00A446E0"/>
    <w:rsid w:val="00A456B5"/>
    <w:rsid w:val="00A459F2"/>
    <w:rsid w:val="00A46A54"/>
    <w:rsid w:val="00A47759"/>
    <w:rsid w:val="00A47AF4"/>
    <w:rsid w:val="00A50009"/>
    <w:rsid w:val="00A50D27"/>
    <w:rsid w:val="00A51A0A"/>
    <w:rsid w:val="00A5238F"/>
    <w:rsid w:val="00A52556"/>
    <w:rsid w:val="00A53C7E"/>
    <w:rsid w:val="00A548A0"/>
    <w:rsid w:val="00A55039"/>
    <w:rsid w:val="00A55A44"/>
    <w:rsid w:val="00A562AF"/>
    <w:rsid w:val="00A6039B"/>
    <w:rsid w:val="00A6379D"/>
    <w:rsid w:val="00A638A6"/>
    <w:rsid w:val="00A63B07"/>
    <w:rsid w:val="00A63EF1"/>
    <w:rsid w:val="00A64269"/>
    <w:rsid w:val="00A6484E"/>
    <w:rsid w:val="00A66CD4"/>
    <w:rsid w:val="00A671BA"/>
    <w:rsid w:val="00A6740F"/>
    <w:rsid w:val="00A70591"/>
    <w:rsid w:val="00A71C30"/>
    <w:rsid w:val="00A73EEC"/>
    <w:rsid w:val="00A75171"/>
    <w:rsid w:val="00A75F72"/>
    <w:rsid w:val="00A7600B"/>
    <w:rsid w:val="00A77C21"/>
    <w:rsid w:val="00A77DEC"/>
    <w:rsid w:val="00A77F2A"/>
    <w:rsid w:val="00A80C2D"/>
    <w:rsid w:val="00A812B7"/>
    <w:rsid w:val="00A8131E"/>
    <w:rsid w:val="00A827E6"/>
    <w:rsid w:val="00A874B9"/>
    <w:rsid w:val="00A874D4"/>
    <w:rsid w:val="00A902B7"/>
    <w:rsid w:val="00A9069A"/>
    <w:rsid w:val="00A90759"/>
    <w:rsid w:val="00A92156"/>
    <w:rsid w:val="00A9280A"/>
    <w:rsid w:val="00A92B2E"/>
    <w:rsid w:val="00A92BFC"/>
    <w:rsid w:val="00A94B91"/>
    <w:rsid w:val="00A953B9"/>
    <w:rsid w:val="00A959A6"/>
    <w:rsid w:val="00A95E89"/>
    <w:rsid w:val="00A962A7"/>
    <w:rsid w:val="00A964FE"/>
    <w:rsid w:val="00A97627"/>
    <w:rsid w:val="00A9764E"/>
    <w:rsid w:val="00A977D2"/>
    <w:rsid w:val="00AA0D78"/>
    <w:rsid w:val="00AA4712"/>
    <w:rsid w:val="00AA4C94"/>
    <w:rsid w:val="00AA54E2"/>
    <w:rsid w:val="00AA56BC"/>
    <w:rsid w:val="00AA5844"/>
    <w:rsid w:val="00AA73D7"/>
    <w:rsid w:val="00AB0618"/>
    <w:rsid w:val="00AB0F27"/>
    <w:rsid w:val="00AB217C"/>
    <w:rsid w:val="00AB28B7"/>
    <w:rsid w:val="00AB37EE"/>
    <w:rsid w:val="00AB41A5"/>
    <w:rsid w:val="00AB5DE6"/>
    <w:rsid w:val="00AB6EA1"/>
    <w:rsid w:val="00AB7D59"/>
    <w:rsid w:val="00AC10FA"/>
    <w:rsid w:val="00AC214F"/>
    <w:rsid w:val="00AC2AE9"/>
    <w:rsid w:val="00AC3FAA"/>
    <w:rsid w:val="00AC4416"/>
    <w:rsid w:val="00AC454E"/>
    <w:rsid w:val="00AC47D3"/>
    <w:rsid w:val="00AC559B"/>
    <w:rsid w:val="00AC62A2"/>
    <w:rsid w:val="00AC6C78"/>
    <w:rsid w:val="00AD14B3"/>
    <w:rsid w:val="00AD36B2"/>
    <w:rsid w:val="00AD4288"/>
    <w:rsid w:val="00AD465D"/>
    <w:rsid w:val="00AD4CB1"/>
    <w:rsid w:val="00AD5535"/>
    <w:rsid w:val="00AD64D1"/>
    <w:rsid w:val="00AE01DB"/>
    <w:rsid w:val="00AE04CA"/>
    <w:rsid w:val="00AE0C94"/>
    <w:rsid w:val="00AE0EFA"/>
    <w:rsid w:val="00AE4C70"/>
    <w:rsid w:val="00AE4F54"/>
    <w:rsid w:val="00AE6300"/>
    <w:rsid w:val="00AE6E0E"/>
    <w:rsid w:val="00AE7C77"/>
    <w:rsid w:val="00AF1787"/>
    <w:rsid w:val="00AF1CDE"/>
    <w:rsid w:val="00AF3217"/>
    <w:rsid w:val="00AF549E"/>
    <w:rsid w:val="00B00802"/>
    <w:rsid w:val="00B0092F"/>
    <w:rsid w:val="00B01820"/>
    <w:rsid w:val="00B02531"/>
    <w:rsid w:val="00B02FA1"/>
    <w:rsid w:val="00B03DDC"/>
    <w:rsid w:val="00B05700"/>
    <w:rsid w:val="00B06666"/>
    <w:rsid w:val="00B06E45"/>
    <w:rsid w:val="00B12306"/>
    <w:rsid w:val="00B12BF5"/>
    <w:rsid w:val="00B13CEC"/>
    <w:rsid w:val="00B14163"/>
    <w:rsid w:val="00B1507B"/>
    <w:rsid w:val="00B15B58"/>
    <w:rsid w:val="00B15EDE"/>
    <w:rsid w:val="00B15F23"/>
    <w:rsid w:val="00B16007"/>
    <w:rsid w:val="00B161B9"/>
    <w:rsid w:val="00B175B8"/>
    <w:rsid w:val="00B17F8E"/>
    <w:rsid w:val="00B21718"/>
    <w:rsid w:val="00B21994"/>
    <w:rsid w:val="00B23E45"/>
    <w:rsid w:val="00B24D38"/>
    <w:rsid w:val="00B24E10"/>
    <w:rsid w:val="00B24FB8"/>
    <w:rsid w:val="00B25F51"/>
    <w:rsid w:val="00B26232"/>
    <w:rsid w:val="00B262D0"/>
    <w:rsid w:val="00B26495"/>
    <w:rsid w:val="00B2656C"/>
    <w:rsid w:val="00B26D22"/>
    <w:rsid w:val="00B3019D"/>
    <w:rsid w:val="00B32E36"/>
    <w:rsid w:val="00B33D32"/>
    <w:rsid w:val="00B34BD0"/>
    <w:rsid w:val="00B35FBB"/>
    <w:rsid w:val="00B365F5"/>
    <w:rsid w:val="00B40006"/>
    <w:rsid w:val="00B40A4E"/>
    <w:rsid w:val="00B41372"/>
    <w:rsid w:val="00B416EE"/>
    <w:rsid w:val="00B44637"/>
    <w:rsid w:val="00B44EC1"/>
    <w:rsid w:val="00B45634"/>
    <w:rsid w:val="00B46341"/>
    <w:rsid w:val="00B5133B"/>
    <w:rsid w:val="00B516AC"/>
    <w:rsid w:val="00B51B46"/>
    <w:rsid w:val="00B52480"/>
    <w:rsid w:val="00B53DE3"/>
    <w:rsid w:val="00B554EC"/>
    <w:rsid w:val="00B5552B"/>
    <w:rsid w:val="00B55900"/>
    <w:rsid w:val="00B55C88"/>
    <w:rsid w:val="00B55F89"/>
    <w:rsid w:val="00B57633"/>
    <w:rsid w:val="00B57D8D"/>
    <w:rsid w:val="00B60384"/>
    <w:rsid w:val="00B6069F"/>
    <w:rsid w:val="00B60725"/>
    <w:rsid w:val="00B61161"/>
    <w:rsid w:val="00B626E0"/>
    <w:rsid w:val="00B65A2C"/>
    <w:rsid w:val="00B6601A"/>
    <w:rsid w:val="00B66535"/>
    <w:rsid w:val="00B6730D"/>
    <w:rsid w:val="00B70638"/>
    <w:rsid w:val="00B724B2"/>
    <w:rsid w:val="00B753A2"/>
    <w:rsid w:val="00B76CA9"/>
    <w:rsid w:val="00B814E1"/>
    <w:rsid w:val="00B81BBF"/>
    <w:rsid w:val="00B820FE"/>
    <w:rsid w:val="00B82BBB"/>
    <w:rsid w:val="00B83A0E"/>
    <w:rsid w:val="00B85864"/>
    <w:rsid w:val="00B85BA7"/>
    <w:rsid w:val="00B869C3"/>
    <w:rsid w:val="00B86E89"/>
    <w:rsid w:val="00B87820"/>
    <w:rsid w:val="00B87B40"/>
    <w:rsid w:val="00B905EE"/>
    <w:rsid w:val="00B913DD"/>
    <w:rsid w:val="00B91573"/>
    <w:rsid w:val="00B9183F"/>
    <w:rsid w:val="00B91F15"/>
    <w:rsid w:val="00B9256D"/>
    <w:rsid w:val="00B936C1"/>
    <w:rsid w:val="00B95530"/>
    <w:rsid w:val="00BA0C9A"/>
    <w:rsid w:val="00BA0CE2"/>
    <w:rsid w:val="00BA1128"/>
    <w:rsid w:val="00BA1C52"/>
    <w:rsid w:val="00BA2535"/>
    <w:rsid w:val="00BA30B4"/>
    <w:rsid w:val="00BA3B77"/>
    <w:rsid w:val="00BA3FEF"/>
    <w:rsid w:val="00BA45B4"/>
    <w:rsid w:val="00BA5BEE"/>
    <w:rsid w:val="00BA6225"/>
    <w:rsid w:val="00BA7759"/>
    <w:rsid w:val="00BB037A"/>
    <w:rsid w:val="00BB1CC3"/>
    <w:rsid w:val="00BB2B2F"/>
    <w:rsid w:val="00BB2F64"/>
    <w:rsid w:val="00BB310B"/>
    <w:rsid w:val="00BB58DF"/>
    <w:rsid w:val="00BB7D11"/>
    <w:rsid w:val="00BB7EAC"/>
    <w:rsid w:val="00BC0554"/>
    <w:rsid w:val="00BC21AA"/>
    <w:rsid w:val="00BC32A9"/>
    <w:rsid w:val="00BC4BAE"/>
    <w:rsid w:val="00BC5F63"/>
    <w:rsid w:val="00BC5FF5"/>
    <w:rsid w:val="00BC7161"/>
    <w:rsid w:val="00BD012B"/>
    <w:rsid w:val="00BD0258"/>
    <w:rsid w:val="00BD06D0"/>
    <w:rsid w:val="00BD0BCE"/>
    <w:rsid w:val="00BD178B"/>
    <w:rsid w:val="00BD1E47"/>
    <w:rsid w:val="00BD1F65"/>
    <w:rsid w:val="00BD2698"/>
    <w:rsid w:val="00BD2928"/>
    <w:rsid w:val="00BD492C"/>
    <w:rsid w:val="00BD5307"/>
    <w:rsid w:val="00BD548C"/>
    <w:rsid w:val="00BD6839"/>
    <w:rsid w:val="00BD70B3"/>
    <w:rsid w:val="00BD7A34"/>
    <w:rsid w:val="00BE178F"/>
    <w:rsid w:val="00BE1C8E"/>
    <w:rsid w:val="00BE237A"/>
    <w:rsid w:val="00BE256D"/>
    <w:rsid w:val="00BE2809"/>
    <w:rsid w:val="00BE49D0"/>
    <w:rsid w:val="00BE5CD4"/>
    <w:rsid w:val="00BE6479"/>
    <w:rsid w:val="00BE6B48"/>
    <w:rsid w:val="00BF12F8"/>
    <w:rsid w:val="00BF21DF"/>
    <w:rsid w:val="00BF29E8"/>
    <w:rsid w:val="00BF34C9"/>
    <w:rsid w:val="00BF3766"/>
    <w:rsid w:val="00BF3826"/>
    <w:rsid w:val="00BF4021"/>
    <w:rsid w:val="00BF4BE4"/>
    <w:rsid w:val="00BF524F"/>
    <w:rsid w:val="00BF7320"/>
    <w:rsid w:val="00BF787B"/>
    <w:rsid w:val="00BF7CB0"/>
    <w:rsid w:val="00C01167"/>
    <w:rsid w:val="00C0154C"/>
    <w:rsid w:val="00C02428"/>
    <w:rsid w:val="00C02DCE"/>
    <w:rsid w:val="00C0438D"/>
    <w:rsid w:val="00C04779"/>
    <w:rsid w:val="00C04DD9"/>
    <w:rsid w:val="00C0621D"/>
    <w:rsid w:val="00C0690E"/>
    <w:rsid w:val="00C075CB"/>
    <w:rsid w:val="00C07D8E"/>
    <w:rsid w:val="00C07F7B"/>
    <w:rsid w:val="00C10D2B"/>
    <w:rsid w:val="00C10D3F"/>
    <w:rsid w:val="00C10F60"/>
    <w:rsid w:val="00C114A3"/>
    <w:rsid w:val="00C140F8"/>
    <w:rsid w:val="00C14561"/>
    <w:rsid w:val="00C148FE"/>
    <w:rsid w:val="00C14BA4"/>
    <w:rsid w:val="00C152B2"/>
    <w:rsid w:val="00C1539A"/>
    <w:rsid w:val="00C16063"/>
    <w:rsid w:val="00C16460"/>
    <w:rsid w:val="00C20E1C"/>
    <w:rsid w:val="00C2158B"/>
    <w:rsid w:val="00C236E8"/>
    <w:rsid w:val="00C24CAA"/>
    <w:rsid w:val="00C25511"/>
    <w:rsid w:val="00C27BC6"/>
    <w:rsid w:val="00C27F69"/>
    <w:rsid w:val="00C3002B"/>
    <w:rsid w:val="00C3013A"/>
    <w:rsid w:val="00C307F3"/>
    <w:rsid w:val="00C32AD5"/>
    <w:rsid w:val="00C32DEC"/>
    <w:rsid w:val="00C333FE"/>
    <w:rsid w:val="00C33421"/>
    <w:rsid w:val="00C3347D"/>
    <w:rsid w:val="00C33695"/>
    <w:rsid w:val="00C34773"/>
    <w:rsid w:val="00C34868"/>
    <w:rsid w:val="00C34F09"/>
    <w:rsid w:val="00C35E2D"/>
    <w:rsid w:val="00C36327"/>
    <w:rsid w:val="00C36BF3"/>
    <w:rsid w:val="00C36E1E"/>
    <w:rsid w:val="00C374EE"/>
    <w:rsid w:val="00C379AE"/>
    <w:rsid w:val="00C40194"/>
    <w:rsid w:val="00C4067F"/>
    <w:rsid w:val="00C40AE4"/>
    <w:rsid w:val="00C40D0C"/>
    <w:rsid w:val="00C4106C"/>
    <w:rsid w:val="00C41F54"/>
    <w:rsid w:val="00C426B0"/>
    <w:rsid w:val="00C43826"/>
    <w:rsid w:val="00C44A2D"/>
    <w:rsid w:val="00C44CCE"/>
    <w:rsid w:val="00C45D2F"/>
    <w:rsid w:val="00C45F79"/>
    <w:rsid w:val="00C462AC"/>
    <w:rsid w:val="00C469FD"/>
    <w:rsid w:val="00C46CDD"/>
    <w:rsid w:val="00C47ED6"/>
    <w:rsid w:val="00C47FF7"/>
    <w:rsid w:val="00C51712"/>
    <w:rsid w:val="00C5224F"/>
    <w:rsid w:val="00C52867"/>
    <w:rsid w:val="00C52932"/>
    <w:rsid w:val="00C52C62"/>
    <w:rsid w:val="00C530F1"/>
    <w:rsid w:val="00C531F5"/>
    <w:rsid w:val="00C53375"/>
    <w:rsid w:val="00C53692"/>
    <w:rsid w:val="00C53C9B"/>
    <w:rsid w:val="00C54E19"/>
    <w:rsid w:val="00C551A7"/>
    <w:rsid w:val="00C560BE"/>
    <w:rsid w:val="00C5722D"/>
    <w:rsid w:val="00C57335"/>
    <w:rsid w:val="00C602A0"/>
    <w:rsid w:val="00C6102A"/>
    <w:rsid w:val="00C61375"/>
    <w:rsid w:val="00C61869"/>
    <w:rsid w:val="00C61C6D"/>
    <w:rsid w:val="00C639DE"/>
    <w:rsid w:val="00C63EA2"/>
    <w:rsid w:val="00C64433"/>
    <w:rsid w:val="00C67C37"/>
    <w:rsid w:val="00C70016"/>
    <w:rsid w:val="00C7091A"/>
    <w:rsid w:val="00C71091"/>
    <w:rsid w:val="00C72AB9"/>
    <w:rsid w:val="00C739BF"/>
    <w:rsid w:val="00C74586"/>
    <w:rsid w:val="00C74964"/>
    <w:rsid w:val="00C74F1A"/>
    <w:rsid w:val="00C759B5"/>
    <w:rsid w:val="00C76B94"/>
    <w:rsid w:val="00C815E8"/>
    <w:rsid w:val="00C81BA3"/>
    <w:rsid w:val="00C82A4C"/>
    <w:rsid w:val="00C83C77"/>
    <w:rsid w:val="00C84B96"/>
    <w:rsid w:val="00C84D59"/>
    <w:rsid w:val="00C85779"/>
    <w:rsid w:val="00C87556"/>
    <w:rsid w:val="00C90206"/>
    <w:rsid w:val="00C9081F"/>
    <w:rsid w:val="00C908E5"/>
    <w:rsid w:val="00C90A19"/>
    <w:rsid w:val="00C90F98"/>
    <w:rsid w:val="00C92E3B"/>
    <w:rsid w:val="00C94BAD"/>
    <w:rsid w:val="00C97305"/>
    <w:rsid w:val="00CA09A8"/>
    <w:rsid w:val="00CA0BB7"/>
    <w:rsid w:val="00CA1983"/>
    <w:rsid w:val="00CA1EF4"/>
    <w:rsid w:val="00CA24D3"/>
    <w:rsid w:val="00CA2721"/>
    <w:rsid w:val="00CA2811"/>
    <w:rsid w:val="00CA3338"/>
    <w:rsid w:val="00CA51AB"/>
    <w:rsid w:val="00CA638D"/>
    <w:rsid w:val="00CA655D"/>
    <w:rsid w:val="00CA72E4"/>
    <w:rsid w:val="00CA778D"/>
    <w:rsid w:val="00CB0FE7"/>
    <w:rsid w:val="00CB10D6"/>
    <w:rsid w:val="00CB231C"/>
    <w:rsid w:val="00CB49B5"/>
    <w:rsid w:val="00CB5779"/>
    <w:rsid w:val="00CB59AC"/>
    <w:rsid w:val="00CC0A46"/>
    <w:rsid w:val="00CC1415"/>
    <w:rsid w:val="00CC1A1F"/>
    <w:rsid w:val="00CC286B"/>
    <w:rsid w:val="00CC2ACF"/>
    <w:rsid w:val="00CC3C88"/>
    <w:rsid w:val="00CC47DF"/>
    <w:rsid w:val="00CC58CB"/>
    <w:rsid w:val="00CC5C6A"/>
    <w:rsid w:val="00CC61EC"/>
    <w:rsid w:val="00CC6358"/>
    <w:rsid w:val="00CC6362"/>
    <w:rsid w:val="00CC704B"/>
    <w:rsid w:val="00CC7568"/>
    <w:rsid w:val="00CC7BB0"/>
    <w:rsid w:val="00CD0B37"/>
    <w:rsid w:val="00CD26BA"/>
    <w:rsid w:val="00CD3D5A"/>
    <w:rsid w:val="00CD4BE8"/>
    <w:rsid w:val="00CD79D7"/>
    <w:rsid w:val="00CE067E"/>
    <w:rsid w:val="00CE38D5"/>
    <w:rsid w:val="00CE71A7"/>
    <w:rsid w:val="00CE71FC"/>
    <w:rsid w:val="00CE7FB9"/>
    <w:rsid w:val="00CF089B"/>
    <w:rsid w:val="00CF1DE1"/>
    <w:rsid w:val="00CF28D4"/>
    <w:rsid w:val="00CF2C4C"/>
    <w:rsid w:val="00CF440B"/>
    <w:rsid w:val="00CF4C70"/>
    <w:rsid w:val="00CF5AEF"/>
    <w:rsid w:val="00CF657A"/>
    <w:rsid w:val="00CF73FC"/>
    <w:rsid w:val="00D01594"/>
    <w:rsid w:val="00D017E7"/>
    <w:rsid w:val="00D029C4"/>
    <w:rsid w:val="00D03A48"/>
    <w:rsid w:val="00D04400"/>
    <w:rsid w:val="00D04DC1"/>
    <w:rsid w:val="00D05399"/>
    <w:rsid w:val="00D07E78"/>
    <w:rsid w:val="00D104FB"/>
    <w:rsid w:val="00D12C67"/>
    <w:rsid w:val="00D1322A"/>
    <w:rsid w:val="00D13702"/>
    <w:rsid w:val="00D1378A"/>
    <w:rsid w:val="00D15B8D"/>
    <w:rsid w:val="00D179F4"/>
    <w:rsid w:val="00D22B4A"/>
    <w:rsid w:val="00D22E39"/>
    <w:rsid w:val="00D23C5E"/>
    <w:rsid w:val="00D24B48"/>
    <w:rsid w:val="00D26E81"/>
    <w:rsid w:val="00D270EF"/>
    <w:rsid w:val="00D2741E"/>
    <w:rsid w:val="00D3160D"/>
    <w:rsid w:val="00D31E14"/>
    <w:rsid w:val="00D330A0"/>
    <w:rsid w:val="00D36C54"/>
    <w:rsid w:val="00D36E20"/>
    <w:rsid w:val="00D37D8B"/>
    <w:rsid w:val="00D40544"/>
    <w:rsid w:val="00D40A05"/>
    <w:rsid w:val="00D42066"/>
    <w:rsid w:val="00D4212C"/>
    <w:rsid w:val="00D42240"/>
    <w:rsid w:val="00D4261D"/>
    <w:rsid w:val="00D4284F"/>
    <w:rsid w:val="00D43EE7"/>
    <w:rsid w:val="00D443A8"/>
    <w:rsid w:val="00D452D6"/>
    <w:rsid w:val="00D46EB6"/>
    <w:rsid w:val="00D476B5"/>
    <w:rsid w:val="00D476B8"/>
    <w:rsid w:val="00D47C6D"/>
    <w:rsid w:val="00D50FBF"/>
    <w:rsid w:val="00D5156B"/>
    <w:rsid w:val="00D51934"/>
    <w:rsid w:val="00D51B76"/>
    <w:rsid w:val="00D53921"/>
    <w:rsid w:val="00D548BB"/>
    <w:rsid w:val="00D55009"/>
    <w:rsid w:val="00D5570E"/>
    <w:rsid w:val="00D55EA7"/>
    <w:rsid w:val="00D56B79"/>
    <w:rsid w:val="00D56E34"/>
    <w:rsid w:val="00D62BC9"/>
    <w:rsid w:val="00D6538D"/>
    <w:rsid w:val="00D6552F"/>
    <w:rsid w:val="00D65CBE"/>
    <w:rsid w:val="00D65DEB"/>
    <w:rsid w:val="00D668B0"/>
    <w:rsid w:val="00D66B7F"/>
    <w:rsid w:val="00D66FBC"/>
    <w:rsid w:val="00D70B79"/>
    <w:rsid w:val="00D71956"/>
    <w:rsid w:val="00D72131"/>
    <w:rsid w:val="00D73BF7"/>
    <w:rsid w:val="00D74103"/>
    <w:rsid w:val="00D744B3"/>
    <w:rsid w:val="00D7596E"/>
    <w:rsid w:val="00D76F4A"/>
    <w:rsid w:val="00D7798C"/>
    <w:rsid w:val="00D77AC6"/>
    <w:rsid w:val="00D80BA1"/>
    <w:rsid w:val="00D81A4C"/>
    <w:rsid w:val="00D81C70"/>
    <w:rsid w:val="00D82418"/>
    <w:rsid w:val="00D8630D"/>
    <w:rsid w:val="00D90B54"/>
    <w:rsid w:val="00D91D82"/>
    <w:rsid w:val="00D92CE6"/>
    <w:rsid w:val="00D93ABD"/>
    <w:rsid w:val="00D94B06"/>
    <w:rsid w:val="00D963FD"/>
    <w:rsid w:val="00D97476"/>
    <w:rsid w:val="00D979F3"/>
    <w:rsid w:val="00DA0074"/>
    <w:rsid w:val="00DA0230"/>
    <w:rsid w:val="00DA0E4D"/>
    <w:rsid w:val="00DA0E70"/>
    <w:rsid w:val="00DA1A6C"/>
    <w:rsid w:val="00DA28D7"/>
    <w:rsid w:val="00DA4785"/>
    <w:rsid w:val="00DA4C1A"/>
    <w:rsid w:val="00DA5B19"/>
    <w:rsid w:val="00DA6335"/>
    <w:rsid w:val="00DA6A19"/>
    <w:rsid w:val="00DA6DF4"/>
    <w:rsid w:val="00DA7AFC"/>
    <w:rsid w:val="00DB0A86"/>
    <w:rsid w:val="00DB1A36"/>
    <w:rsid w:val="00DB1A6C"/>
    <w:rsid w:val="00DB1B1D"/>
    <w:rsid w:val="00DB2C6B"/>
    <w:rsid w:val="00DB32E0"/>
    <w:rsid w:val="00DB3339"/>
    <w:rsid w:val="00DB3E6D"/>
    <w:rsid w:val="00DB488E"/>
    <w:rsid w:val="00DB5A10"/>
    <w:rsid w:val="00DB7108"/>
    <w:rsid w:val="00DB7338"/>
    <w:rsid w:val="00DC0A53"/>
    <w:rsid w:val="00DC0D9A"/>
    <w:rsid w:val="00DC2247"/>
    <w:rsid w:val="00DC5761"/>
    <w:rsid w:val="00DC5BDE"/>
    <w:rsid w:val="00DC60B4"/>
    <w:rsid w:val="00DC6CFA"/>
    <w:rsid w:val="00DC7904"/>
    <w:rsid w:val="00DD01BC"/>
    <w:rsid w:val="00DD32F3"/>
    <w:rsid w:val="00DD3A18"/>
    <w:rsid w:val="00DD3CE3"/>
    <w:rsid w:val="00DD3FC1"/>
    <w:rsid w:val="00DD4640"/>
    <w:rsid w:val="00DD52BD"/>
    <w:rsid w:val="00DD54FE"/>
    <w:rsid w:val="00DD55A8"/>
    <w:rsid w:val="00DD6D82"/>
    <w:rsid w:val="00DD71FB"/>
    <w:rsid w:val="00DE084C"/>
    <w:rsid w:val="00DE181E"/>
    <w:rsid w:val="00DE1B43"/>
    <w:rsid w:val="00DE28BB"/>
    <w:rsid w:val="00DE30E5"/>
    <w:rsid w:val="00DE3E7B"/>
    <w:rsid w:val="00DE4834"/>
    <w:rsid w:val="00DE65B6"/>
    <w:rsid w:val="00DE6904"/>
    <w:rsid w:val="00DE6B9D"/>
    <w:rsid w:val="00DE7337"/>
    <w:rsid w:val="00DF1C3D"/>
    <w:rsid w:val="00DF1E10"/>
    <w:rsid w:val="00DF2152"/>
    <w:rsid w:val="00DF23A5"/>
    <w:rsid w:val="00DF284E"/>
    <w:rsid w:val="00DF3113"/>
    <w:rsid w:val="00DF37E4"/>
    <w:rsid w:val="00DF44DE"/>
    <w:rsid w:val="00DF459E"/>
    <w:rsid w:val="00DF5504"/>
    <w:rsid w:val="00DF6E07"/>
    <w:rsid w:val="00E020DA"/>
    <w:rsid w:val="00E023B8"/>
    <w:rsid w:val="00E0412C"/>
    <w:rsid w:val="00E04AB1"/>
    <w:rsid w:val="00E05F92"/>
    <w:rsid w:val="00E1004A"/>
    <w:rsid w:val="00E10C13"/>
    <w:rsid w:val="00E130BB"/>
    <w:rsid w:val="00E1339B"/>
    <w:rsid w:val="00E133CB"/>
    <w:rsid w:val="00E1355B"/>
    <w:rsid w:val="00E1368A"/>
    <w:rsid w:val="00E137C4"/>
    <w:rsid w:val="00E1608F"/>
    <w:rsid w:val="00E20339"/>
    <w:rsid w:val="00E20B6A"/>
    <w:rsid w:val="00E2331D"/>
    <w:rsid w:val="00E2403F"/>
    <w:rsid w:val="00E24D51"/>
    <w:rsid w:val="00E25ABE"/>
    <w:rsid w:val="00E265D2"/>
    <w:rsid w:val="00E26F3A"/>
    <w:rsid w:val="00E27129"/>
    <w:rsid w:val="00E27CE1"/>
    <w:rsid w:val="00E309DC"/>
    <w:rsid w:val="00E3359B"/>
    <w:rsid w:val="00E34F73"/>
    <w:rsid w:val="00E35164"/>
    <w:rsid w:val="00E35A42"/>
    <w:rsid w:val="00E35D9F"/>
    <w:rsid w:val="00E40093"/>
    <w:rsid w:val="00E4054D"/>
    <w:rsid w:val="00E40B0F"/>
    <w:rsid w:val="00E40BAF"/>
    <w:rsid w:val="00E417E3"/>
    <w:rsid w:val="00E458FD"/>
    <w:rsid w:val="00E47803"/>
    <w:rsid w:val="00E47D39"/>
    <w:rsid w:val="00E47F58"/>
    <w:rsid w:val="00E507CB"/>
    <w:rsid w:val="00E5081D"/>
    <w:rsid w:val="00E51FD3"/>
    <w:rsid w:val="00E5358B"/>
    <w:rsid w:val="00E54170"/>
    <w:rsid w:val="00E559F2"/>
    <w:rsid w:val="00E5610C"/>
    <w:rsid w:val="00E6097A"/>
    <w:rsid w:val="00E61684"/>
    <w:rsid w:val="00E6189F"/>
    <w:rsid w:val="00E61B1F"/>
    <w:rsid w:val="00E61C3D"/>
    <w:rsid w:val="00E61D64"/>
    <w:rsid w:val="00E61F1C"/>
    <w:rsid w:val="00E62B63"/>
    <w:rsid w:val="00E6403A"/>
    <w:rsid w:val="00E65145"/>
    <w:rsid w:val="00E65BC0"/>
    <w:rsid w:val="00E65CAA"/>
    <w:rsid w:val="00E65E9A"/>
    <w:rsid w:val="00E66C4A"/>
    <w:rsid w:val="00E67835"/>
    <w:rsid w:val="00E71110"/>
    <w:rsid w:val="00E73E14"/>
    <w:rsid w:val="00E748AE"/>
    <w:rsid w:val="00E755EF"/>
    <w:rsid w:val="00E75FD6"/>
    <w:rsid w:val="00E7627F"/>
    <w:rsid w:val="00E76419"/>
    <w:rsid w:val="00E804AD"/>
    <w:rsid w:val="00E80820"/>
    <w:rsid w:val="00E825E3"/>
    <w:rsid w:val="00E82E47"/>
    <w:rsid w:val="00E845E4"/>
    <w:rsid w:val="00E8630A"/>
    <w:rsid w:val="00E90342"/>
    <w:rsid w:val="00E909DD"/>
    <w:rsid w:val="00E9106D"/>
    <w:rsid w:val="00E934ED"/>
    <w:rsid w:val="00E93619"/>
    <w:rsid w:val="00E937F5"/>
    <w:rsid w:val="00E940AD"/>
    <w:rsid w:val="00E95A48"/>
    <w:rsid w:val="00E97119"/>
    <w:rsid w:val="00E97135"/>
    <w:rsid w:val="00EA0421"/>
    <w:rsid w:val="00EA2185"/>
    <w:rsid w:val="00EA22F1"/>
    <w:rsid w:val="00EA2DB1"/>
    <w:rsid w:val="00EA54B3"/>
    <w:rsid w:val="00EA5836"/>
    <w:rsid w:val="00EA6142"/>
    <w:rsid w:val="00EA74D1"/>
    <w:rsid w:val="00EB12EC"/>
    <w:rsid w:val="00EB375C"/>
    <w:rsid w:val="00EB3E25"/>
    <w:rsid w:val="00EB4D7C"/>
    <w:rsid w:val="00EB4F84"/>
    <w:rsid w:val="00EB72A4"/>
    <w:rsid w:val="00EB7C0C"/>
    <w:rsid w:val="00EC108F"/>
    <w:rsid w:val="00EC111C"/>
    <w:rsid w:val="00EC52A6"/>
    <w:rsid w:val="00EC5555"/>
    <w:rsid w:val="00EC5EE6"/>
    <w:rsid w:val="00EC7286"/>
    <w:rsid w:val="00EC748B"/>
    <w:rsid w:val="00EC75DE"/>
    <w:rsid w:val="00ED0316"/>
    <w:rsid w:val="00ED3A7E"/>
    <w:rsid w:val="00ED4CD4"/>
    <w:rsid w:val="00ED5D99"/>
    <w:rsid w:val="00ED6114"/>
    <w:rsid w:val="00ED6838"/>
    <w:rsid w:val="00ED71D5"/>
    <w:rsid w:val="00EE1509"/>
    <w:rsid w:val="00EE33FC"/>
    <w:rsid w:val="00EE50EF"/>
    <w:rsid w:val="00EE5996"/>
    <w:rsid w:val="00EE62C9"/>
    <w:rsid w:val="00EE6DD4"/>
    <w:rsid w:val="00EE713C"/>
    <w:rsid w:val="00EE7F73"/>
    <w:rsid w:val="00EF105F"/>
    <w:rsid w:val="00EF1457"/>
    <w:rsid w:val="00EF29FD"/>
    <w:rsid w:val="00EF3316"/>
    <w:rsid w:val="00EF34E7"/>
    <w:rsid w:val="00EF381E"/>
    <w:rsid w:val="00EF3CE0"/>
    <w:rsid w:val="00EF4D35"/>
    <w:rsid w:val="00EF6121"/>
    <w:rsid w:val="00EF6540"/>
    <w:rsid w:val="00EF6F4F"/>
    <w:rsid w:val="00EF7483"/>
    <w:rsid w:val="00EF7F80"/>
    <w:rsid w:val="00F0031F"/>
    <w:rsid w:val="00F0226B"/>
    <w:rsid w:val="00F02758"/>
    <w:rsid w:val="00F03989"/>
    <w:rsid w:val="00F0496E"/>
    <w:rsid w:val="00F04E5E"/>
    <w:rsid w:val="00F057F8"/>
    <w:rsid w:val="00F05A8C"/>
    <w:rsid w:val="00F10842"/>
    <w:rsid w:val="00F10D9E"/>
    <w:rsid w:val="00F10DD6"/>
    <w:rsid w:val="00F11524"/>
    <w:rsid w:val="00F11C90"/>
    <w:rsid w:val="00F12160"/>
    <w:rsid w:val="00F14FD5"/>
    <w:rsid w:val="00F15F08"/>
    <w:rsid w:val="00F17E34"/>
    <w:rsid w:val="00F20026"/>
    <w:rsid w:val="00F2042D"/>
    <w:rsid w:val="00F20438"/>
    <w:rsid w:val="00F20C11"/>
    <w:rsid w:val="00F22241"/>
    <w:rsid w:val="00F22F65"/>
    <w:rsid w:val="00F232EC"/>
    <w:rsid w:val="00F23612"/>
    <w:rsid w:val="00F2395B"/>
    <w:rsid w:val="00F23C6F"/>
    <w:rsid w:val="00F25308"/>
    <w:rsid w:val="00F25349"/>
    <w:rsid w:val="00F25425"/>
    <w:rsid w:val="00F30E5E"/>
    <w:rsid w:val="00F30E7F"/>
    <w:rsid w:val="00F320B3"/>
    <w:rsid w:val="00F33E20"/>
    <w:rsid w:val="00F33E7E"/>
    <w:rsid w:val="00F34217"/>
    <w:rsid w:val="00F35806"/>
    <w:rsid w:val="00F37487"/>
    <w:rsid w:val="00F37655"/>
    <w:rsid w:val="00F4111D"/>
    <w:rsid w:val="00F415E5"/>
    <w:rsid w:val="00F41C38"/>
    <w:rsid w:val="00F43A67"/>
    <w:rsid w:val="00F43C1E"/>
    <w:rsid w:val="00F44F48"/>
    <w:rsid w:val="00F4507D"/>
    <w:rsid w:val="00F4620A"/>
    <w:rsid w:val="00F46F20"/>
    <w:rsid w:val="00F47A4D"/>
    <w:rsid w:val="00F47FD5"/>
    <w:rsid w:val="00F50EE3"/>
    <w:rsid w:val="00F5299F"/>
    <w:rsid w:val="00F52D0B"/>
    <w:rsid w:val="00F535AC"/>
    <w:rsid w:val="00F53E0D"/>
    <w:rsid w:val="00F55F89"/>
    <w:rsid w:val="00F56839"/>
    <w:rsid w:val="00F56DF4"/>
    <w:rsid w:val="00F578E4"/>
    <w:rsid w:val="00F57E7C"/>
    <w:rsid w:val="00F604D9"/>
    <w:rsid w:val="00F60CCE"/>
    <w:rsid w:val="00F60FCA"/>
    <w:rsid w:val="00F616DB"/>
    <w:rsid w:val="00F62311"/>
    <w:rsid w:val="00F626F8"/>
    <w:rsid w:val="00F629B1"/>
    <w:rsid w:val="00F62BB1"/>
    <w:rsid w:val="00F62DEB"/>
    <w:rsid w:val="00F6368A"/>
    <w:rsid w:val="00F65BCD"/>
    <w:rsid w:val="00F674AE"/>
    <w:rsid w:val="00F6783E"/>
    <w:rsid w:val="00F67D79"/>
    <w:rsid w:val="00F716B4"/>
    <w:rsid w:val="00F724C6"/>
    <w:rsid w:val="00F727EC"/>
    <w:rsid w:val="00F72FAE"/>
    <w:rsid w:val="00F732EC"/>
    <w:rsid w:val="00F7463A"/>
    <w:rsid w:val="00F75533"/>
    <w:rsid w:val="00F75DED"/>
    <w:rsid w:val="00F80D05"/>
    <w:rsid w:val="00F80F32"/>
    <w:rsid w:val="00F81D51"/>
    <w:rsid w:val="00F82DED"/>
    <w:rsid w:val="00F82EB6"/>
    <w:rsid w:val="00F8345B"/>
    <w:rsid w:val="00F844A4"/>
    <w:rsid w:val="00F86AEC"/>
    <w:rsid w:val="00F87E6F"/>
    <w:rsid w:val="00F90980"/>
    <w:rsid w:val="00F946DD"/>
    <w:rsid w:val="00F94FA7"/>
    <w:rsid w:val="00F952F0"/>
    <w:rsid w:val="00F952FE"/>
    <w:rsid w:val="00F95616"/>
    <w:rsid w:val="00F95C7B"/>
    <w:rsid w:val="00FA0BBA"/>
    <w:rsid w:val="00FA0FE4"/>
    <w:rsid w:val="00FA12DD"/>
    <w:rsid w:val="00FA245D"/>
    <w:rsid w:val="00FA25DC"/>
    <w:rsid w:val="00FA3BF0"/>
    <w:rsid w:val="00FA42F5"/>
    <w:rsid w:val="00FA489C"/>
    <w:rsid w:val="00FA57BF"/>
    <w:rsid w:val="00FA684E"/>
    <w:rsid w:val="00FA6870"/>
    <w:rsid w:val="00FA6CFD"/>
    <w:rsid w:val="00FA7946"/>
    <w:rsid w:val="00FA7D30"/>
    <w:rsid w:val="00FB05B5"/>
    <w:rsid w:val="00FB0708"/>
    <w:rsid w:val="00FB1CB1"/>
    <w:rsid w:val="00FB30F1"/>
    <w:rsid w:val="00FB48AF"/>
    <w:rsid w:val="00FB48B1"/>
    <w:rsid w:val="00FB4BE7"/>
    <w:rsid w:val="00FB4F31"/>
    <w:rsid w:val="00FB51E6"/>
    <w:rsid w:val="00FB5950"/>
    <w:rsid w:val="00FB5D63"/>
    <w:rsid w:val="00FB6089"/>
    <w:rsid w:val="00FB6D21"/>
    <w:rsid w:val="00FB7562"/>
    <w:rsid w:val="00FB769C"/>
    <w:rsid w:val="00FB78F0"/>
    <w:rsid w:val="00FC3B72"/>
    <w:rsid w:val="00FC3C2A"/>
    <w:rsid w:val="00FC42CC"/>
    <w:rsid w:val="00FC4FAC"/>
    <w:rsid w:val="00FC58D1"/>
    <w:rsid w:val="00FC5BB9"/>
    <w:rsid w:val="00FC6613"/>
    <w:rsid w:val="00FC67EB"/>
    <w:rsid w:val="00FD11C8"/>
    <w:rsid w:val="00FD1296"/>
    <w:rsid w:val="00FD16BA"/>
    <w:rsid w:val="00FD24D7"/>
    <w:rsid w:val="00FD294B"/>
    <w:rsid w:val="00FD32ED"/>
    <w:rsid w:val="00FD5D53"/>
    <w:rsid w:val="00FD6D4E"/>
    <w:rsid w:val="00FE309B"/>
    <w:rsid w:val="00FE325D"/>
    <w:rsid w:val="00FE3798"/>
    <w:rsid w:val="00FE42B1"/>
    <w:rsid w:val="00FE498D"/>
    <w:rsid w:val="00FE4C07"/>
    <w:rsid w:val="00FE4C72"/>
    <w:rsid w:val="00FE4F2D"/>
    <w:rsid w:val="00FE4F5C"/>
    <w:rsid w:val="00FE5149"/>
    <w:rsid w:val="00FE6B04"/>
    <w:rsid w:val="00FE6B31"/>
    <w:rsid w:val="00FF1770"/>
    <w:rsid w:val="00FF3DBA"/>
    <w:rsid w:val="00FF4EE3"/>
    <w:rsid w:val="00FF5567"/>
    <w:rsid w:val="00FF5804"/>
    <w:rsid w:val="00FF6D73"/>
    <w:rsid w:val="00FF786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7F5DD8A"/>
  <w15:docId w15:val="{23F10762-06F6-4549-AB4B-9FCD909459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en-GB" w:eastAsia="es-ES_tradnl"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semiHidden="1" w:uiPriority="0" w:unhideWhenUsed="1" w:qFormat="1"/>
    <w:lsdException w:name="heading 6" w:locked="1" w:semiHidden="1" w:uiPriority="0" w:unhideWhenUsed="1" w:qFormat="1"/>
    <w:lsdException w:name="heading 7" w:locked="1" w:uiPriority="0"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locked="1" w:uiPriority="0"/>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locked="1" w:uiPriority="0"/>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A0E70"/>
    <w:rPr>
      <w:sz w:val="20"/>
      <w:szCs w:val="20"/>
      <w:lang w:eastAsia="es-ES"/>
    </w:rPr>
  </w:style>
  <w:style w:type="paragraph" w:styleId="Heading1">
    <w:name w:val="heading 1"/>
    <w:basedOn w:val="Normal"/>
    <w:next w:val="Normal"/>
    <w:link w:val="Heading1Char"/>
    <w:uiPriority w:val="99"/>
    <w:qFormat/>
    <w:rsid w:val="004A7597"/>
    <w:pPr>
      <w:keepNext/>
      <w:outlineLvl w:val="0"/>
    </w:pPr>
    <w:rPr>
      <w:sz w:val="24"/>
    </w:rPr>
  </w:style>
  <w:style w:type="paragraph" w:styleId="Heading2">
    <w:name w:val="heading 2"/>
    <w:basedOn w:val="Normal"/>
    <w:next w:val="Normal"/>
    <w:link w:val="Heading2Char"/>
    <w:uiPriority w:val="99"/>
    <w:qFormat/>
    <w:rsid w:val="004A7597"/>
    <w:pPr>
      <w:keepNext/>
      <w:ind w:left="-709"/>
      <w:jc w:val="center"/>
      <w:outlineLvl w:val="1"/>
    </w:pPr>
    <w:rPr>
      <w:sz w:val="24"/>
    </w:rPr>
  </w:style>
  <w:style w:type="paragraph" w:styleId="Heading3">
    <w:name w:val="heading 3"/>
    <w:basedOn w:val="Normal"/>
    <w:next w:val="Normal"/>
    <w:link w:val="Heading3Char"/>
    <w:uiPriority w:val="99"/>
    <w:qFormat/>
    <w:locked/>
    <w:rsid w:val="007D762C"/>
    <w:pPr>
      <w:keepNext/>
      <w:keepLines/>
      <w:spacing w:before="40"/>
      <w:outlineLvl w:val="2"/>
    </w:pPr>
    <w:rPr>
      <w:rFonts w:ascii="Cambria" w:hAnsi="Cambria"/>
      <w:color w:val="243F60"/>
      <w:sz w:val="24"/>
      <w:szCs w:val="24"/>
    </w:rPr>
  </w:style>
  <w:style w:type="paragraph" w:styleId="Heading4">
    <w:name w:val="heading 4"/>
    <w:basedOn w:val="Normal"/>
    <w:next w:val="Normal"/>
    <w:link w:val="Heading4Char"/>
    <w:uiPriority w:val="99"/>
    <w:qFormat/>
    <w:rsid w:val="004A7597"/>
    <w:pPr>
      <w:keepNext/>
      <w:jc w:val="both"/>
      <w:outlineLvl w:val="3"/>
    </w:pPr>
    <w:rPr>
      <w:rFonts w:ascii="Arial" w:hAnsi="Arial"/>
      <w:b/>
      <w:sz w:val="24"/>
    </w:rPr>
  </w:style>
  <w:style w:type="paragraph" w:styleId="Heading7">
    <w:name w:val="heading 7"/>
    <w:basedOn w:val="Normal"/>
    <w:next w:val="Normal"/>
    <w:link w:val="Heading7Char"/>
    <w:uiPriority w:val="99"/>
    <w:qFormat/>
    <w:rsid w:val="00327317"/>
    <w:pPr>
      <w:spacing w:before="240" w:after="60"/>
      <w:outlineLvl w:val="6"/>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9025F3"/>
    <w:rPr>
      <w:rFonts w:ascii="Cambria" w:hAnsi="Cambria" w:cs="Times New Roman"/>
      <w:b/>
      <w:bCs/>
      <w:kern w:val="32"/>
      <w:sz w:val="32"/>
      <w:szCs w:val="32"/>
      <w:lang w:val="en-GB"/>
    </w:rPr>
  </w:style>
  <w:style w:type="character" w:customStyle="1" w:styleId="Heading2Char">
    <w:name w:val="Heading 2 Char"/>
    <w:basedOn w:val="DefaultParagraphFont"/>
    <w:link w:val="Heading2"/>
    <w:uiPriority w:val="99"/>
    <w:semiHidden/>
    <w:locked/>
    <w:rsid w:val="009025F3"/>
    <w:rPr>
      <w:rFonts w:ascii="Cambria" w:hAnsi="Cambria" w:cs="Times New Roman"/>
      <w:b/>
      <w:bCs/>
      <w:i/>
      <w:iCs/>
      <w:sz w:val="28"/>
      <w:szCs w:val="28"/>
      <w:lang w:val="en-GB"/>
    </w:rPr>
  </w:style>
  <w:style w:type="character" w:customStyle="1" w:styleId="Heading3Char">
    <w:name w:val="Heading 3 Char"/>
    <w:basedOn w:val="DefaultParagraphFont"/>
    <w:link w:val="Heading3"/>
    <w:uiPriority w:val="99"/>
    <w:semiHidden/>
    <w:locked/>
    <w:rsid w:val="007D762C"/>
    <w:rPr>
      <w:rFonts w:ascii="Cambria" w:hAnsi="Cambria" w:cs="Times New Roman"/>
      <w:color w:val="243F60"/>
      <w:sz w:val="24"/>
      <w:szCs w:val="24"/>
      <w:lang w:val="en-GB"/>
    </w:rPr>
  </w:style>
  <w:style w:type="character" w:customStyle="1" w:styleId="Heading4Char">
    <w:name w:val="Heading 4 Char"/>
    <w:basedOn w:val="DefaultParagraphFont"/>
    <w:link w:val="Heading4"/>
    <w:uiPriority w:val="99"/>
    <w:semiHidden/>
    <w:locked/>
    <w:rsid w:val="009025F3"/>
    <w:rPr>
      <w:rFonts w:ascii="Calibri" w:hAnsi="Calibri" w:cs="Times New Roman"/>
      <w:b/>
      <w:bCs/>
      <w:sz w:val="28"/>
      <w:szCs w:val="28"/>
      <w:lang w:val="en-GB"/>
    </w:rPr>
  </w:style>
  <w:style w:type="character" w:customStyle="1" w:styleId="Heading7Char">
    <w:name w:val="Heading 7 Char"/>
    <w:basedOn w:val="DefaultParagraphFont"/>
    <w:link w:val="Heading7"/>
    <w:uiPriority w:val="99"/>
    <w:semiHidden/>
    <w:locked/>
    <w:rsid w:val="009025F3"/>
    <w:rPr>
      <w:rFonts w:ascii="Calibri" w:hAnsi="Calibri" w:cs="Times New Roman"/>
      <w:sz w:val="24"/>
      <w:szCs w:val="24"/>
      <w:lang w:val="en-GB"/>
    </w:rPr>
  </w:style>
  <w:style w:type="paragraph" w:styleId="Header">
    <w:name w:val="header"/>
    <w:basedOn w:val="Normal"/>
    <w:link w:val="HeaderChar"/>
    <w:uiPriority w:val="99"/>
    <w:rsid w:val="004A7597"/>
    <w:pPr>
      <w:tabs>
        <w:tab w:val="center" w:pos="4252"/>
        <w:tab w:val="right" w:pos="8504"/>
      </w:tabs>
    </w:pPr>
  </w:style>
  <w:style w:type="character" w:customStyle="1" w:styleId="HeaderChar">
    <w:name w:val="Header Char"/>
    <w:basedOn w:val="DefaultParagraphFont"/>
    <w:link w:val="Header"/>
    <w:uiPriority w:val="99"/>
    <w:locked/>
    <w:rsid w:val="009025F3"/>
    <w:rPr>
      <w:rFonts w:cs="Times New Roman"/>
      <w:sz w:val="20"/>
      <w:szCs w:val="20"/>
      <w:lang w:val="en-GB"/>
    </w:rPr>
  </w:style>
  <w:style w:type="paragraph" w:styleId="Footer">
    <w:name w:val="footer"/>
    <w:basedOn w:val="Normal"/>
    <w:link w:val="FooterChar"/>
    <w:uiPriority w:val="99"/>
    <w:rsid w:val="004A7597"/>
    <w:pPr>
      <w:tabs>
        <w:tab w:val="center" w:pos="4252"/>
        <w:tab w:val="right" w:pos="8504"/>
      </w:tabs>
    </w:pPr>
  </w:style>
  <w:style w:type="character" w:customStyle="1" w:styleId="FooterChar">
    <w:name w:val="Footer Char"/>
    <w:basedOn w:val="DefaultParagraphFont"/>
    <w:link w:val="Footer"/>
    <w:uiPriority w:val="99"/>
    <w:locked/>
    <w:rsid w:val="009025F3"/>
    <w:rPr>
      <w:rFonts w:cs="Times New Roman"/>
      <w:sz w:val="20"/>
      <w:szCs w:val="20"/>
      <w:lang w:val="en-GB"/>
    </w:rPr>
  </w:style>
  <w:style w:type="paragraph" w:styleId="BodyText">
    <w:name w:val="Body Text"/>
    <w:basedOn w:val="Normal"/>
    <w:link w:val="BodyTextChar"/>
    <w:uiPriority w:val="99"/>
    <w:rsid w:val="004A7597"/>
    <w:pPr>
      <w:jc w:val="both"/>
    </w:pPr>
    <w:rPr>
      <w:rFonts w:ascii="Arial" w:hAnsi="Arial"/>
      <w:sz w:val="24"/>
    </w:rPr>
  </w:style>
  <w:style w:type="character" w:customStyle="1" w:styleId="BodyTextChar">
    <w:name w:val="Body Text Char"/>
    <w:basedOn w:val="DefaultParagraphFont"/>
    <w:link w:val="BodyText"/>
    <w:uiPriority w:val="99"/>
    <w:semiHidden/>
    <w:locked/>
    <w:rsid w:val="009025F3"/>
    <w:rPr>
      <w:rFonts w:cs="Times New Roman"/>
      <w:sz w:val="20"/>
      <w:szCs w:val="20"/>
      <w:lang w:val="en-GB"/>
    </w:rPr>
  </w:style>
  <w:style w:type="paragraph" w:styleId="BodyText2">
    <w:name w:val="Body Text 2"/>
    <w:basedOn w:val="Normal"/>
    <w:link w:val="BodyText2Char"/>
    <w:uiPriority w:val="99"/>
    <w:rsid w:val="004A7597"/>
    <w:pPr>
      <w:jc w:val="center"/>
    </w:pPr>
    <w:rPr>
      <w:rFonts w:ascii="Arial" w:hAnsi="Arial"/>
      <w:b/>
      <w:sz w:val="24"/>
    </w:rPr>
  </w:style>
  <w:style w:type="character" w:customStyle="1" w:styleId="BodyText2Char">
    <w:name w:val="Body Text 2 Char"/>
    <w:basedOn w:val="DefaultParagraphFont"/>
    <w:link w:val="BodyText2"/>
    <w:uiPriority w:val="99"/>
    <w:semiHidden/>
    <w:locked/>
    <w:rsid w:val="009025F3"/>
    <w:rPr>
      <w:rFonts w:cs="Times New Roman"/>
      <w:sz w:val="20"/>
      <w:szCs w:val="20"/>
      <w:lang w:val="en-GB"/>
    </w:rPr>
  </w:style>
  <w:style w:type="paragraph" w:styleId="BodyText3">
    <w:name w:val="Body Text 3"/>
    <w:basedOn w:val="Normal"/>
    <w:link w:val="BodyText3Char"/>
    <w:uiPriority w:val="99"/>
    <w:rsid w:val="004A7597"/>
    <w:pPr>
      <w:jc w:val="both"/>
    </w:pPr>
    <w:rPr>
      <w:rFonts w:ascii="Arial" w:hAnsi="Arial"/>
      <w:b/>
      <w:sz w:val="24"/>
      <w:u w:val="single"/>
    </w:rPr>
  </w:style>
  <w:style w:type="character" w:customStyle="1" w:styleId="BodyText3Char">
    <w:name w:val="Body Text 3 Char"/>
    <w:basedOn w:val="DefaultParagraphFont"/>
    <w:link w:val="BodyText3"/>
    <w:uiPriority w:val="99"/>
    <w:semiHidden/>
    <w:locked/>
    <w:rsid w:val="009025F3"/>
    <w:rPr>
      <w:rFonts w:cs="Times New Roman"/>
      <w:sz w:val="16"/>
      <w:szCs w:val="16"/>
      <w:lang w:val="en-GB"/>
    </w:rPr>
  </w:style>
  <w:style w:type="paragraph" w:styleId="Title">
    <w:name w:val="Title"/>
    <w:basedOn w:val="Normal"/>
    <w:link w:val="TitleChar"/>
    <w:uiPriority w:val="99"/>
    <w:qFormat/>
    <w:rsid w:val="004A7597"/>
    <w:pPr>
      <w:jc w:val="center"/>
    </w:pPr>
    <w:rPr>
      <w:rFonts w:ascii="Arial" w:hAnsi="Arial"/>
      <w:b/>
      <w:sz w:val="24"/>
    </w:rPr>
  </w:style>
  <w:style w:type="character" w:customStyle="1" w:styleId="TitleChar">
    <w:name w:val="Title Char"/>
    <w:basedOn w:val="DefaultParagraphFont"/>
    <w:link w:val="Title"/>
    <w:uiPriority w:val="99"/>
    <w:locked/>
    <w:rsid w:val="009025F3"/>
    <w:rPr>
      <w:rFonts w:ascii="Cambria" w:hAnsi="Cambria" w:cs="Times New Roman"/>
      <w:b/>
      <w:bCs/>
      <w:kern w:val="28"/>
      <w:sz w:val="32"/>
      <w:szCs w:val="32"/>
      <w:lang w:val="en-GB"/>
    </w:rPr>
  </w:style>
  <w:style w:type="paragraph" w:styleId="BodyTextIndent2">
    <w:name w:val="Body Text Indent 2"/>
    <w:basedOn w:val="Normal"/>
    <w:link w:val="BodyTextIndent2Char"/>
    <w:uiPriority w:val="99"/>
    <w:rsid w:val="004A7597"/>
    <w:pPr>
      <w:ind w:firstLine="705"/>
      <w:jc w:val="both"/>
    </w:pPr>
    <w:rPr>
      <w:rFonts w:ascii="Arial" w:hAnsi="Arial"/>
      <w:sz w:val="30"/>
    </w:rPr>
  </w:style>
  <w:style w:type="character" w:customStyle="1" w:styleId="BodyTextIndent2Char">
    <w:name w:val="Body Text Indent 2 Char"/>
    <w:basedOn w:val="DefaultParagraphFont"/>
    <w:link w:val="BodyTextIndent2"/>
    <w:uiPriority w:val="99"/>
    <w:semiHidden/>
    <w:locked/>
    <w:rsid w:val="009025F3"/>
    <w:rPr>
      <w:rFonts w:cs="Times New Roman"/>
      <w:sz w:val="20"/>
      <w:szCs w:val="20"/>
      <w:lang w:val="en-GB"/>
    </w:rPr>
  </w:style>
  <w:style w:type="paragraph" w:styleId="BodyTextIndent">
    <w:name w:val="Body Text Indent"/>
    <w:basedOn w:val="Normal"/>
    <w:link w:val="BodyTextIndentChar"/>
    <w:uiPriority w:val="99"/>
    <w:rsid w:val="004A7597"/>
    <w:pPr>
      <w:ind w:left="14" w:firstLine="691"/>
      <w:jc w:val="both"/>
    </w:pPr>
    <w:rPr>
      <w:rFonts w:ascii="Arial" w:hAnsi="Arial"/>
      <w:sz w:val="30"/>
    </w:rPr>
  </w:style>
  <w:style w:type="character" w:customStyle="1" w:styleId="BodyTextIndentChar">
    <w:name w:val="Body Text Indent Char"/>
    <w:basedOn w:val="DefaultParagraphFont"/>
    <w:link w:val="BodyTextIndent"/>
    <w:uiPriority w:val="99"/>
    <w:semiHidden/>
    <w:locked/>
    <w:rsid w:val="009025F3"/>
    <w:rPr>
      <w:rFonts w:cs="Times New Roman"/>
      <w:sz w:val="20"/>
      <w:szCs w:val="20"/>
      <w:lang w:val="en-GB"/>
    </w:rPr>
  </w:style>
  <w:style w:type="paragraph" w:styleId="ListBullet">
    <w:name w:val="List Bullet"/>
    <w:basedOn w:val="Normal"/>
    <w:autoRedefine/>
    <w:uiPriority w:val="99"/>
    <w:rsid w:val="004A7597"/>
    <w:pPr>
      <w:ind w:left="709" w:hanging="709"/>
    </w:pPr>
    <w:rPr>
      <w:rFonts w:ascii="Arial" w:hAnsi="Arial"/>
      <w:sz w:val="28"/>
    </w:rPr>
  </w:style>
  <w:style w:type="table" w:styleId="TableGrid">
    <w:name w:val="Table Grid"/>
    <w:basedOn w:val="TableNormal"/>
    <w:uiPriority w:val="99"/>
    <w:rsid w:val="006D7393"/>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uiPriority w:val="99"/>
    <w:rsid w:val="006D7393"/>
    <w:rPr>
      <w:rFonts w:cs="Times New Roman"/>
    </w:rPr>
  </w:style>
  <w:style w:type="paragraph" w:styleId="BalloonText">
    <w:name w:val="Balloon Text"/>
    <w:basedOn w:val="Normal"/>
    <w:link w:val="BalloonTextChar"/>
    <w:uiPriority w:val="99"/>
    <w:semiHidden/>
    <w:rsid w:val="005255D7"/>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9025F3"/>
    <w:rPr>
      <w:rFonts w:cs="Times New Roman"/>
      <w:sz w:val="2"/>
      <w:lang w:val="en-GB"/>
    </w:rPr>
  </w:style>
  <w:style w:type="paragraph" w:styleId="NormalWeb">
    <w:name w:val="Normal (Web)"/>
    <w:basedOn w:val="Normal"/>
    <w:uiPriority w:val="99"/>
    <w:rsid w:val="00A52556"/>
    <w:pPr>
      <w:spacing w:line="288" w:lineRule="auto"/>
    </w:pPr>
    <w:rPr>
      <w:rFonts w:ascii="Verdana" w:hAnsi="Verdana"/>
    </w:rPr>
  </w:style>
  <w:style w:type="paragraph" w:styleId="DocumentMap">
    <w:name w:val="Document Map"/>
    <w:basedOn w:val="Normal"/>
    <w:link w:val="DocumentMapChar"/>
    <w:uiPriority w:val="99"/>
    <w:semiHidden/>
    <w:rsid w:val="00154CE2"/>
    <w:pPr>
      <w:shd w:val="clear" w:color="auto" w:fill="000080"/>
    </w:pPr>
    <w:rPr>
      <w:rFonts w:ascii="Tahoma" w:hAnsi="Tahoma" w:cs="Tahoma"/>
    </w:rPr>
  </w:style>
  <w:style w:type="character" w:customStyle="1" w:styleId="DocumentMapChar">
    <w:name w:val="Document Map Char"/>
    <w:basedOn w:val="DefaultParagraphFont"/>
    <w:link w:val="DocumentMap"/>
    <w:uiPriority w:val="99"/>
    <w:semiHidden/>
    <w:locked/>
    <w:rsid w:val="009025F3"/>
    <w:rPr>
      <w:rFonts w:cs="Times New Roman"/>
      <w:sz w:val="2"/>
      <w:lang w:val="en-GB"/>
    </w:rPr>
  </w:style>
  <w:style w:type="character" w:styleId="Hyperlink">
    <w:name w:val="Hyperlink"/>
    <w:basedOn w:val="DefaultParagraphFont"/>
    <w:uiPriority w:val="99"/>
    <w:rsid w:val="001744A4"/>
    <w:rPr>
      <w:rFonts w:cs="Times New Roman"/>
      <w:color w:val="000000"/>
      <w:u w:val="none"/>
      <w:effect w:val="none"/>
    </w:rPr>
  </w:style>
  <w:style w:type="paragraph" w:customStyle="1" w:styleId="Car">
    <w:name w:val="Car"/>
    <w:basedOn w:val="Normal"/>
    <w:uiPriority w:val="99"/>
    <w:rsid w:val="00BB1CC3"/>
    <w:rPr>
      <w:sz w:val="24"/>
      <w:szCs w:val="24"/>
      <w:lang w:eastAsia="pl-PL"/>
    </w:rPr>
  </w:style>
  <w:style w:type="paragraph" w:customStyle="1" w:styleId="parrafo1">
    <w:name w:val="parrafo1"/>
    <w:basedOn w:val="Normal"/>
    <w:uiPriority w:val="99"/>
    <w:rsid w:val="00B87820"/>
    <w:pPr>
      <w:spacing w:before="180" w:after="180"/>
      <w:ind w:firstLine="360"/>
      <w:jc w:val="both"/>
    </w:pPr>
    <w:rPr>
      <w:sz w:val="24"/>
      <w:szCs w:val="24"/>
    </w:rPr>
  </w:style>
  <w:style w:type="character" w:styleId="CommentReference">
    <w:name w:val="annotation reference"/>
    <w:basedOn w:val="DefaultParagraphFont"/>
    <w:uiPriority w:val="99"/>
    <w:rsid w:val="004B75AC"/>
    <w:rPr>
      <w:rFonts w:cs="Times New Roman"/>
      <w:sz w:val="16"/>
      <w:szCs w:val="16"/>
    </w:rPr>
  </w:style>
  <w:style w:type="paragraph" w:styleId="CommentText">
    <w:name w:val="annotation text"/>
    <w:basedOn w:val="Normal"/>
    <w:link w:val="CommentTextChar"/>
    <w:uiPriority w:val="99"/>
    <w:rsid w:val="004B75AC"/>
  </w:style>
  <w:style w:type="character" w:customStyle="1" w:styleId="CommentTextChar">
    <w:name w:val="Comment Text Char"/>
    <w:basedOn w:val="DefaultParagraphFont"/>
    <w:link w:val="CommentText"/>
    <w:uiPriority w:val="99"/>
    <w:locked/>
    <w:rsid w:val="009025F3"/>
    <w:rPr>
      <w:rFonts w:cs="Times New Roman"/>
      <w:sz w:val="20"/>
      <w:szCs w:val="20"/>
      <w:lang w:val="en-GB"/>
    </w:rPr>
  </w:style>
  <w:style w:type="paragraph" w:styleId="CommentSubject">
    <w:name w:val="annotation subject"/>
    <w:basedOn w:val="CommentText"/>
    <w:next w:val="CommentText"/>
    <w:link w:val="CommentSubjectChar"/>
    <w:uiPriority w:val="99"/>
    <w:semiHidden/>
    <w:rsid w:val="004B75AC"/>
    <w:rPr>
      <w:b/>
      <w:bCs/>
    </w:rPr>
  </w:style>
  <w:style w:type="character" w:customStyle="1" w:styleId="CommentSubjectChar">
    <w:name w:val="Comment Subject Char"/>
    <w:basedOn w:val="CommentTextChar"/>
    <w:link w:val="CommentSubject"/>
    <w:uiPriority w:val="99"/>
    <w:semiHidden/>
    <w:locked/>
    <w:rsid w:val="009025F3"/>
    <w:rPr>
      <w:rFonts w:cs="Times New Roman"/>
      <w:b/>
      <w:bCs/>
      <w:sz w:val="20"/>
      <w:szCs w:val="20"/>
      <w:lang w:val="en-GB"/>
    </w:rPr>
  </w:style>
  <w:style w:type="character" w:customStyle="1" w:styleId="b1">
    <w:name w:val="b1"/>
    <w:basedOn w:val="DefaultParagraphFont"/>
    <w:uiPriority w:val="99"/>
    <w:rsid w:val="00805945"/>
    <w:rPr>
      <w:rFonts w:cs="Times New Roman"/>
      <w:color w:val="000000"/>
    </w:rPr>
  </w:style>
  <w:style w:type="paragraph" w:customStyle="1" w:styleId="Default">
    <w:name w:val="Default"/>
    <w:uiPriority w:val="99"/>
    <w:rsid w:val="005C2330"/>
    <w:pPr>
      <w:autoSpaceDE w:val="0"/>
      <w:autoSpaceDN w:val="0"/>
      <w:adjustRightInd w:val="0"/>
    </w:pPr>
    <w:rPr>
      <w:rFonts w:ascii="EUAlbertina" w:hAnsi="EUAlbertina" w:cs="EUAlbertina"/>
      <w:color w:val="000000"/>
      <w:sz w:val="24"/>
      <w:szCs w:val="24"/>
      <w:lang w:eastAsia="es-ES"/>
    </w:rPr>
  </w:style>
  <w:style w:type="paragraph" w:customStyle="1" w:styleId="Pa11">
    <w:name w:val="Pa11"/>
    <w:basedOn w:val="Default"/>
    <w:next w:val="Default"/>
    <w:uiPriority w:val="99"/>
    <w:rsid w:val="004766DA"/>
    <w:pPr>
      <w:spacing w:line="201" w:lineRule="atLeast"/>
    </w:pPr>
    <w:rPr>
      <w:rFonts w:ascii="Arial" w:hAnsi="Arial" w:cs="Times New Roman"/>
      <w:color w:val="auto"/>
    </w:rPr>
  </w:style>
  <w:style w:type="paragraph" w:customStyle="1" w:styleId="Pa6">
    <w:name w:val="Pa6"/>
    <w:basedOn w:val="Default"/>
    <w:next w:val="Default"/>
    <w:uiPriority w:val="99"/>
    <w:rsid w:val="004766DA"/>
    <w:pPr>
      <w:spacing w:line="201" w:lineRule="atLeast"/>
    </w:pPr>
    <w:rPr>
      <w:rFonts w:ascii="Arial" w:hAnsi="Arial" w:cs="Times New Roman"/>
      <w:color w:val="auto"/>
    </w:rPr>
  </w:style>
  <w:style w:type="paragraph" w:customStyle="1" w:styleId="CM1">
    <w:name w:val="CM1"/>
    <w:basedOn w:val="Default"/>
    <w:next w:val="Default"/>
    <w:uiPriority w:val="99"/>
    <w:rsid w:val="008212B3"/>
    <w:rPr>
      <w:rFonts w:cs="Times New Roman"/>
      <w:color w:val="auto"/>
    </w:rPr>
  </w:style>
  <w:style w:type="paragraph" w:customStyle="1" w:styleId="CM3">
    <w:name w:val="CM3"/>
    <w:basedOn w:val="Default"/>
    <w:next w:val="Default"/>
    <w:uiPriority w:val="99"/>
    <w:rsid w:val="008212B3"/>
    <w:rPr>
      <w:rFonts w:cs="Times New Roman"/>
      <w:color w:val="auto"/>
    </w:rPr>
  </w:style>
  <w:style w:type="paragraph" w:customStyle="1" w:styleId="CM4">
    <w:name w:val="CM4"/>
    <w:basedOn w:val="Default"/>
    <w:next w:val="Default"/>
    <w:uiPriority w:val="99"/>
    <w:rsid w:val="008212B3"/>
    <w:rPr>
      <w:rFonts w:cs="Times New Roman"/>
      <w:color w:val="auto"/>
    </w:rPr>
  </w:style>
  <w:style w:type="paragraph" w:styleId="ListParagraph">
    <w:name w:val="List Paragraph"/>
    <w:basedOn w:val="Normal"/>
    <w:uiPriority w:val="34"/>
    <w:qFormat/>
    <w:rsid w:val="00DB3339"/>
    <w:pPr>
      <w:ind w:left="720"/>
      <w:contextualSpacing/>
    </w:pPr>
  </w:style>
  <w:style w:type="paragraph" w:styleId="FootnoteText">
    <w:name w:val="footnote text"/>
    <w:basedOn w:val="Normal"/>
    <w:link w:val="FootnoteTextChar"/>
    <w:uiPriority w:val="99"/>
    <w:semiHidden/>
    <w:rsid w:val="00501482"/>
  </w:style>
  <w:style w:type="character" w:customStyle="1" w:styleId="FootnoteTextChar">
    <w:name w:val="Footnote Text Char"/>
    <w:basedOn w:val="DefaultParagraphFont"/>
    <w:link w:val="FootnoteText"/>
    <w:uiPriority w:val="99"/>
    <w:semiHidden/>
    <w:locked/>
    <w:rsid w:val="00501482"/>
    <w:rPr>
      <w:rFonts w:cs="Times New Roman"/>
      <w:sz w:val="20"/>
      <w:szCs w:val="20"/>
      <w:lang w:val="en-GB"/>
    </w:rPr>
  </w:style>
  <w:style w:type="character" w:styleId="FootnoteReference">
    <w:name w:val="footnote reference"/>
    <w:basedOn w:val="DefaultParagraphFont"/>
    <w:uiPriority w:val="99"/>
    <w:semiHidden/>
    <w:rsid w:val="00501482"/>
    <w:rPr>
      <w:rFonts w:cs="Times New Roman"/>
      <w:vertAlign w:val="superscript"/>
    </w:rPr>
  </w:style>
  <w:style w:type="character" w:customStyle="1" w:styleId="super">
    <w:name w:val="super"/>
    <w:basedOn w:val="DefaultParagraphFont"/>
    <w:uiPriority w:val="99"/>
    <w:rsid w:val="00501482"/>
    <w:rPr>
      <w:rFonts w:cs="Times New Roman"/>
    </w:rPr>
  </w:style>
  <w:style w:type="paragraph" w:styleId="Revision">
    <w:name w:val="Revision"/>
    <w:hidden/>
    <w:uiPriority w:val="99"/>
    <w:semiHidden/>
    <w:rsid w:val="00B02531"/>
    <w:rPr>
      <w:sz w:val="20"/>
      <w:szCs w:val="20"/>
      <w:lang w:eastAsia="es-ES"/>
    </w:rPr>
  </w:style>
  <w:style w:type="paragraph" w:customStyle="1" w:styleId="cabezatabla">
    <w:name w:val="cabeza_tabla"/>
    <w:basedOn w:val="Normal"/>
    <w:uiPriority w:val="99"/>
    <w:rsid w:val="005F0C8A"/>
    <w:pPr>
      <w:spacing w:before="100" w:beforeAutospacing="1" w:after="100" w:afterAutospacing="1"/>
    </w:pPr>
    <w:rPr>
      <w:sz w:val="24"/>
      <w:szCs w:val="24"/>
    </w:rPr>
  </w:style>
  <w:style w:type="paragraph" w:customStyle="1" w:styleId="cuerpotablaizq">
    <w:name w:val="cuerpo_tabla_izq"/>
    <w:basedOn w:val="Normal"/>
    <w:uiPriority w:val="99"/>
    <w:rsid w:val="005F0C8A"/>
    <w:pPr>
      <w:spacing w:before="100" w:beforeAutospacing="1" w:after="100" w:afterAutospacing="1"/>
    </w:pPr>
    <w:rPr>
      <w:sz w:val="24"/>
      <w:szCs w:val="24"/>
    </w:rPr>
  </w:style>
  <w:style w:type="paragraph" w:customStyle="1" w:styleId="cuerpotablader">
    <w:name w:val="cuerpo_tabla_der"/>
    <w:basedOn w:val="Normal"/>
    <w:uiPriority w:val="99"/>
    <w:rsid w:val="005F0C8A"/>
    <w:pPr>
      <w:spacing w:before="100" w:beforeAutospacing="1" w:after="100" w:afterAutospacing="1"/>
    </w:pPr>
    <w:rPr>
      <w:sz w:val="24"/>
      <w:szCs w:val="24"/>
    </w:rPr>
  </w:style>
  <w:style w:type="character" w:styleId="Emphasis">
    <w:name w:val="Emphasis"/>
    <w:uiPriority w:val="20"/>
    <w:qFormat/>
    <w:locked/>
    <w:rsid w:val="00FD129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39576731">
      <w:marLeft w:val="0"/>
      <w:marRight w:val="0"/>
      <w:marTop w:val="0"/>
      <w:marBottom w:val="0"/>
      <w:divBdr>
        <w:top w:val="none" w:sz="0" w:space="0" w:color="auto"/>
        <w:left w:val="none" w:sz="0" w:space="0" w:color="auto"/>
        <w:bottom w:val="none" w:sz="0" w:space="0" w:color="auto"/>
        <w:right w:val="none" w:sz="0" w:space="0" w:color="auto"/>
      </w:divBdr>
    </w:div>
    <w:div w:id="1339576732">
      <w:marLeft w:val="0"/>
      <w:marRight w:val="0"/>
      <w:marTop w:val="0"/>
      <w:marBottom w:val="0"/>
      <w:divBdr>
        <w:top w:val="none" w:sz="0" w:space="0" w:color="auto"/>
        <w:left w:val="none" w:sz="0" w:space="0" w:color="auto"/>
        <w:bottom w:val="none" w:sz="0" w:space="0" w:color="auto"/>
        <w:right w:val="none" w:sz="0" w:space="0" w:color="auto"/>
      </w:divBdr>
    </w:div>
    <w:div w:id="1339576733">
      <w:marLeft w:val="0"/>
      <w:marRight w:val="0"/>
      <w:marTop w:val="0"/>
      <w:marBottom w:val="0"/>
      <w:divBdr>
        <w:top w:val="none" w:sz="0" w:space="0" w:color="auto"/>
        <w:left w:val="none" w:sz="0" w:space="0" w:color="auto"/>
        <w:bottom w:val="none" w:sz="0" w:space="0" w:color="auto"/>
        <w:right w:val="none" w:sz="0" w:space="0" w:color="auto"/>
      </w:divBdr>
    </w:div>
    <w:div w:id="1339576734">
      <w:marLeft w:val="0"/>
      <w:marRight w:val="0"/>
      <w:marTop w:val="0"/>
      <w:marBottom w:val="0"/>
      <w:divBdr>
        <w:top w:val="none" w:sz="0" w:space="0" w:color="auto"/>
        <w:left w:val="none" w:sz="0" w:space="0" w:color="auto"/>
        <w:bottom w:val="none" w:sz="0" w:space="0" w:color="auto"/>
        <w:right w:val="none" w:sz="0" w:space="0" w:color="auto"/>
      </w:divBdr>
    </w:div>
    <w:div w:id="1339576735">
      <w:marLeft w:val="0"/>
      <w:marRight w:val="0"/>
      <w:marTop w:val="0"/>
      <w:marBottom w:val="0"/>
      <w:divBdr>
        <w:top w:val="none" w:sz="0" w:space="0" w:color="auto"/>
        <w:left w:val="none" w:sz="0" w:space="0" w:color="auto"/>
        <w:bottom w:val="none" w:sz="0" w:space="0" w:color="auto"/>
        <w:right w:val="none" w:sz="0" w:space="0" w:color="auto"/>
      </w:divBdr>
    </w:div>
    <w:div w:id="1339576736">
      <w:marLeft w:val="0"/>
      <w:marRight w:val="0"/>
      <w:marTop w:val="0"/>
      <w:marBottom w:val="0"/>
      <w:divBdr>
        <w:top w:val="none" w:sz="0" w:space="0" w:color="auto"/>
        <w:left w:val="none" w:sz="0" w:space="0" w:color="auto"/>
        <w:bottom w:val="none" w:sz="0" w:space="0" w:color="auto"/>
        <w:right w:val="none" w:sz="0" w:space="0" w:color="auto"/>
      </w:divBdr>
    </w:div>
    <w:div w:id="1339576737">
      <w:marLeft w:val="0"/>
      <w:marRight w:val="0"/>
      <w:marTop w:val="0"/>
      <w:marBottom w:val="0"/>
      <w:divBdr>
        <w:top w:val="none" w:sz="0" w:space="0" w:color="auto"/>
        <w:left w:val="none" w:sz="0" w:space="0" w:color="auto"/>
        <w:bottom w:val="none" w:sz="0" w:space="0" w:color="auto"/>
        <w:right w:val="none" w:sz="0" w:space="0" w:color="auto"/>
      </w:divBdr>
    </w:div>
    <w:div w:id="1339576738">
      <w:marLeft w:val="0"/>
      <w:marRight w:val="0"/>
      <w:marTop w:val="0"/>
      <w:marBottom w:val="0"/>
      <w:divBdr>
        <w:top w:val="none" w:sz="0" w:space="0" w:color="auto"/>
        <w:left w:val="none" w:sz="0" w:space="0" w:color="auto"/>
        <w:bottom w:val="none" w:sz="0" w:space="0" w:color="auto"/>
        <w:right w:val="none" w:sz="0" w:space="0" w:color="auto"/>
      </w:divBdr>
    </w:div>
    <w:div w:id="1339576739">
      <w:marLeft w:val="0"/>
      <w:marRight w:val="0"/>
      <w:marTop w:val="0"/>
      <w:marBottom w:val="0"/>
      <w:divBdr>
        <w:top w:val="none" w:sz="0" w:space="0" w:color="auto"/>
        <w:left w:val="none" w:sz="0" w:space="0" w:color="auto"/>
        <w:bottom w:val="none" w:sz="0" w:space="0" w:color="auto"/>
        <w:right w:val="none" w:sz="0" w:space="0" w:color="auto"/>
      </w:divBdr>
    </w:div>
    <w:div w:id="1339576741">
      <w:marLeft w:val="0"/>
      <w:marRight w:val="0"/>
      <w:marTop w:val="0"/>
      <w:marBottom w:val="0"/>
      <w:divBdr>
        <w:top w:val="none" w:sz="0" w:space="0" w:color="auto"/>
        <w:left w:val="none" w:sz="0" w:space="0" w:color="auto"/>
        <w:bottom w:val="none" w:sz="0" w:space="0" w:color="auto"/>
        <w:right w:val="none" w:sz="0" w:space="0" w:color="auto"/>
      </w:divBdr>
    </w:div>
    <w:div w:id="1339576742">
      <w:marLeft w:val="0"/>
      <w:marRight w:val="0"/>
      <w:marTop w:val="0"/>
      <w:marBottom w:val="0"/>
      <w:divBdr>
        <w:top w:val="none" w:sz="0" w:space="0" w:color="auto"/>
        <w:left w:val="none" w:sz="0" w:space="0" w:color="auto"/>
        <w:bottom w:val="none" w:sz="0" w:space="0" w:color="auto"/>
        <w:right w:val="none" w:sz="0" w:space="0" w:color="auto"/>
      </w:divBdr>
    </w:div>
    <w:div w:id="1339576746">
      <w:marLeft w:val="0"/>
      <w:marRight w:val="0"/>
      <w:marTop w:val="0"/>
      <w:marBottom w:val="0"/>
      <w:divBdr>
        <w:top w:val="none" w:sz="0" w:space="0" w:color="auto"/>
        <w:left w:val="none" w:sz="0" w:space="0" w:color="auto"/>
        <w:bottom w:val="none" w:sz="0" w:space="0" w:color="auto"/>
        <w:right w:val="none" w:sz="0" w:space="0" w:color="auto"/>
      </w:divBdr>
      <w:divsChild>
        <w:div w:id="1339576747">
          <w:marLeft w:val="0"/>
          <w:marRight w:val="0"/>
          <w:marTop w:val="0"/>
          <w:marBottom w:val="0"/>
          <w:divBdr>
            <w:top w:val="none" w:sz="0" w:space="0" w:color="auto"/>
            <w:left w:val="none" w:sz="0" w:space="0" w:color="auto"/>
            <w:bottom w:val="none" w:sz="0" w:space="0" w:color="auto"/>
            <w:right w:val="none" w:sz="0" w:space="0" w:color="auto"/>
          </w:divBdr>
          <w:divsChild>
            <w:div w:id="1339576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9576748">
      <w:marLeft w:val="0"/>
      <w:marRight w:val="0"/>
      <w:marTop w:val="0"/>
      <w:marBottom w:val="0"/>
      <w:divBdr>
        <w:top w:val="none" w:sz="0" w:space="0" w:color="auto"/>
        <w:left w:val="none" w:sz="0" w:space="0" w:color="auto"/>
        <w:bottom w:val="none" w:sz="0" w:space="0" w:color="auto"/>
        <w:right w:val="none" w:sz="0" w:space="0" w:color="auto"/>
      </w:divBdr>
    </w:div>
    <w:div w:id="1339576749">
      <w:marLeft w:val="0"/>
      <w:marRight w:val="0"/>
      <w:marTop w:val="0"/>
      <w:marBottom w:val="0"/>
      <w:divBdr>
        <w:top w:val="none" w:sz="0" w:space="0" w:color="auto"/>
        <w:left w:val="none" w:sz="0" w:space="0" w:color="auto"/>
        <w:bottom w:val="none" w:sz="0" w:space="0" w:color="auto"/>
        <w:right w:val="none" w:sz="0" w:space="0" w:color="auto"/>
      </w:divBdr>
    </w:div>
    <w:div w:id="1339576750">
      <w:marLeft w:val="0"/>
      <w:marRight w:val="0"/>
      <w:marTop w:val="0"/>
      <w:marBottom w:val="0"/>
      <w:divBdr>
        <w:top w:val="none" w:sz="0" w:space="0" w:color="auto"/>
        <w:left w:val="none" w:sz="0" w:space="0" w:color="auto"/>
        <w:bottom w:val="none" w:sz="0" w:space="0" w:color="auto"/>
        <w:right w:val="none" w:sz="0" w:space="0" w:color="auto"/>
      </w:divBdr>
      <w:divsChild>
        <w:div w:id="1339576743">
          <w:marLeft w:val="0"/>
          <w:marRight w:val="0"/>
          <w:marTop w:val="0"/>
          <w:marBottom w:val="0"/>
          <w:divBdr>
            <w:top w:val="none" w:sz="0" w:space="0" w:color="auto"/>
            <w:left w:val="none" w:sz="0" w:space="0" w:color="auto"/>
            <w:bottom w:val="none" w:sz="0" w:space="0" w:color="auto"/>
            <w:right w:val="none" w:sz="0" w:space="0" w:color="auto"/>
          </w:divBdr>
          <w:divsChild>
            <w:div w:id="1339576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9576751">
      <w:marLeft w:val="0"/>
      <w:marRight w:val="0"/>
      <w:marTop w:val="0"/>
      <w:marBottom w:val="0"/>
      <w:divBdr>
        <w:top w:val="none" w:sz="0" w:space="0" w:color="auto"/>
        <w:left w:val="none" w:sz="0" w:space="0" w:color="auto"/>
        <w:bottom w:val="none" w:sz="0" w:space="0" w:color="auto"/>
        <w:right w:val="none" w:sz="0" w:space="0" w:color="auto"/>
      </w:divBdr>
    </w:div>
    <w:div w:id="1339576752">
      <w:marLeft w:val="0"/>
      <w:marRight w:val="0"/>
      <w:marTop w:val="0"/>
      <w:marBottom w:val="0"/>
      <w:divBdr>
        <w:top w:val="none" w:sz="0" w:space="0" w:color="auto"/>
        <w:left w:val="none" w:sz="0" w:space="0" w:color="auto"/>
        <w:bottom w:val="none" w:sz="0" w:space="0" w:color="auto"/>
        <w:right w:val="none" w:sz="0" w:space="0" w:color="auto"/>
      </w:divBdr>
    </w:div>
    <w:div w:id="1339576754">
      <w:marLeft w:val="0"/>
      <w:marRight w:val="0"/>
      <w:marTop w:val="0"/>
      <w:marBottom w:val="0"/>
      <w:divBdr>
        <w:top w:val="none" w:sz="0" w:space="0" w:color="auto"/>
        <w:left w:val="none" w:sz="0" w:space="0" w:color="auto"/>
        <w:bottom w:val="none" w:sz="0" w:space="0" w:color="auto"/>
        <w:right w:val="none" w:sz="0" w:space="0" w:color="auto"/>
      </w:divBdr>
    </w:div>
    <w:div w:id="1339576756">
      <w:marLeft w:val="0"/>
      <w:marRight w:val="0"/>
      <w:marTop w:val="0"/>
      <w:marBottom w:val="0"/>
      <w:divBdr>
        <w:top w:val="none" w:sz="0" w:space="0" w:color="auto"/>
        <w:left w:val="none" w:sz="0" w:space="0" w:color="auto"/>
        <w:bottom w:val="none" w:sz="0" w:space="0" w:color="auto"/>
        <w:right w:val="none" w:sz="0" w:space="0" w:color="auto"/>
      </w:divBdr>
    </w:div>
    <w:div w:id="1339576757">
      <w:marLeft w:val="0"/>
      <w:marRight w:val="0"/>
      <w:marTop w:val="0"/>
      <w:marBottom w:val="0"/>
      <w:divBdr>
        <w:top w:val="none" w:sz="0" w:space="0" w:color="auto"/>
        <w:left w:val="none" w:sz="0" w:space="0" w:color="auto"/>
        <w:bottom w:val="none" w:sz="0" w:space="0" w:color="auto"/>
        <w:right w:val="none" w:sz="0" w:space="0" w:color="auto"/>
      </w:divBdr>
    </w:div>
    <w:div w:id="1339576758">
      <w:marLeft w:val="0"/>
      <w:marRight w:val="0"/>
      <w:marTop w:val="0"/>
      <w:marBottom w:val="0"/>
      <w:divBdr>
        <w:top w:val="none" w:sz="0" w:space="0" w:color="auto"/>
        <w:left w:val="none" w:sz="0" w:space="0" w:color="auto"/>
        <w:bottom w:val="none" w:sz="0" w:space="0" w:color="auto"/>
        <w:right w:val="none" w:sz="0" w:space="0" w:color="auto"/>
      </w:divBdr>
      <w:divsChild>
        <w:div w:id="1339576744">
          <w:marLeft w:val="0"/>
          <w:marRight w:val="0"/>
          <w:marTop w:val="720"/>
          <w:marBottom w:val="720"/>
          <w:divBdr>
            <w:top w:val="none" w:sz="0" w:space="0" w:color="auto"/>
            <w:left w:val="none" w:sz="0" w:space="0" w:color="auto"/>
            <w:bottom w:val="none" w:sz="0" w:space="0" w:color="auto"/>
            <w:right w:val="none" w:sz="0" w:space="0" w:color="auto"/>
          </w:divBdr>
          <w:divsChild>
            <w:div w:id="1339576740">
              <w:marLeft w:val="0"/>
              <w:marRight w:val="0"/>
              <w:marTop w:val="0"/>
              <w:marBottom w:val="0"/>
              <w:divBdr>
                <w:top w:val="none" w:sz="0" w:space="0" w:color="auto"/>
                <w:left w:val="none" w:sz="0" w:space="0" w:color="auto"/>
                <w:bottom w:val="none" w:sz="0" w:space="0" w:color="auto"/>
                <w:right w:val="none" w:sz="0" w:space="0" w:color="auto"/>
              </w:divBdr>
              <w:divsChild>
                <w:div w:id="1339576753">
                  <w:marLeft w:val="0"/>
                  <w:marRight w:val="0"/>
                  <w:marTop w:val="480"/>
                  <w:marBottom w:val="0"/>
                  <w:divBdr>
                    <w:top w:val="single" w:sz="4" w:space="0" w:color="AAAAAA"/>
                    <w:left w:val="single" w:sz="4" w:space="0" w:color="AAAAAA"/>
                    <w:bottom w:val="single" w:sz="4" w:space="0" w:color="AAAAAA"/>
                    <w:right w:val="single" w:sz="4" w:space="0" w:color="AAAAAA"/>
                  </w:divBdr>
                </w:div>
              </w:divsChild>
            </w:div>
          </w:divsChild>
        </w:div>
      </w:divsChild>
    </w:div>
    <w:div w:id="1339576759">
      <w:marLeft w:val="0"/>
      <w:marRight w:val="0"/>
      <w:marTop w:val="0"/>
      <w:marBottom w:val="0"/>
      <w:divBdr>
        <w:top w:val="none" w:sz="0" w:space="0" w:color="auto"/>
        <w:left w:val="none" w:sz="0" w:space="0" w:color="auto"/>
        <w:bottom w:val="none" w:sz="0" w:space="0" w:color="auto"/>
        <w:right w:val="none" w:sz="0" w:space="0" w:color="auto"/>
      </w:divBdr>
      <w:divsChild>
        <w:div w:id="1339576760">
          <w:marLeft w:val="0"/>
          <w:marRight w:val="0"/>
          <w:marTop w:val="0"/>
          <w:marBottom w:val="0"/>
          <w:divBdr>
            <w:top w:val="single" w:sz="8" w:space="1" w:color="auto"/>
            <w:left w:val="single" w:sz="8" w:space="4" w:color="auto"/>
            <w:bottom w:val="single" w:sz="8" w:space="1" w:color="auto"/>
            <w:right w:val="single" w:sz="8" w:space="4" w:color="auto"/>
          </w:divBdr>
        </w:div>
      </w:divsChild>
    </w:div>
    <w:div w:id="1339576761">
      <w:marLeft w:val="0"/>
      <w:marRight w:val="0"/>
      <w:marTop w:val="0"/>
      <w:marBottom w:val="0"/>
      <w:divBdr>
        <w:top w:val="none" w:sz="0" w:space="0" w:color="auto"/>
        <w:left w:val="none" w:sz="0" w:space="0" w:color="auto"/>
        <w:bottom w:val="none" w:sz="0" w:space="0" w:color="auto"/>
        <w:right w:val="none" w:sz="0" w:space="0" w:color="auto"/>
      </w:divBdr>
    </w:div>
    <w:div w:id="1339576762">
      <w:marLeft w:val="0"/>
      <w:marRight w:val="0"/>
      <w:marTop w:val="0"/>
      <w:marBottom w:val="0"/>
      <w:divBdr>
        <w:top w:val="none" w:sz="0" w:space="0" w:color="auto"/>
        <w:left w:val="none" w:sz="0" w:space="0" w:color="auto"/>
        <w:bottom w:val="none" w:sz="0" w:space="0" w:color="auto"/>
        <w:right w:val="none" w:sz="0" w:space="0" w:color="auto"/>
      </w:divBdr>
    </w:div>
    <w:div w:id="1339576763">
      <w:marLeft w:val="0"/>
      <w:marRight w:val="0"/>
      <w:marTop w:val="0"/>
      <w:marBottom w:val="0"/>
      <w:divBdr>
        <w:top w:val="none" w:sz="0" w:space="0" w:color="auto"/>
        <w:left w:val="none" w:sz="0" w:space="0" w:color="auto"/>
        <w:bottom w:val="none" w:sz="0" w:space="0" w:color="auto"/>
        <w:right w:val="none" w:sz="0" w:space="0" w:color="auto"/>
      </w:divBdr>
    </w:div>
    <w:div w:id="1339576764">
      <w:marLeft w:val="0"/>
      <w:marRight w:val="0"/>
      <w:marTop w:val="0"/>
      <w:marBottom w:val="0"/>
      <w:divBdr>
        <w:top w:val="none" w:sz="0" w:space="0" w:color="auto"/>
        <w:left w:val="none" w:sz="0" w:space="0" w:color="auto"/>
        <w:bottom w:val="none" w:sz="0" w:space="0" w:color="auto"/>
        <w:right w:val="none" w:sz="0" w:space="0" w:color="auto"/>
      </w:divBdr>
    </w:div>
    <w:div w:id="1339576765">
      <w:marLeft w:val="0"/>
      <w:marRight w:val="0"/>
      <w:marTop w:val="0"/>
      <w:marBottom w:val="0"/>
      <w:divBdr>
        <w:top w:val="none" w:sz="0" w:space="0" w:color="auto"/>
        <w:left w:val="none" w:sz="0" w:space="0" w:color="auto"/>
        <w:bottom w:val="none" w:sz="0" w:space="0" w:color="auto"/>
        <w:right w:val="none" w:sz="0" w:space="0" w:color="auto"/>
      </w:divBdr>
    </w:div>
    <w:div w:id="1339576766">
      <w:marLeft w:val="0"/>
      <w:marRight w:val="0"/>
      <w:marTop w:val="0"/>
      <w:marBottom w:val="0"/>
      <w:divBdr>
        <w:top w:val="none" w:sz="0" w:space="0" w:color="auto"/>
        <w:left w:val="none" w:sz="0" w:space="0" w:color="auto"/>
        <w:bottom w:val="none" w:sz="0" w:space="0" w:color="auto"/>
        <w:right w:val="none" w:sz="0" w:space="0" w:color="auto"/>
      </w:divBdr>
    </w:div>
    <w:div w:id="1339576767">
      <w:marLeft w:val="0"/>
      <w:marRight w:val="0"/>
      <w:marTop w:val="0"/>
      <w:marBottom w:val="0"/>
      <w:divBdr>
        <w:top w:val="none" w:sz="0" w:space="0" w:color="auto"/>
        <w:left w:val="none" w:sz="0" w:space="0" w:color="auto"/>
        <w:bottom w:val="none" w:sz="0" w:space="0" w:color="auto"/>
        <w:right w:val="none" w:sz="0" w:space="0" w:color="auto"/>
      </w:divBdr>
    </w:div>
    <w:div w:id="1339576768">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ede.mapa.gob.es/portal/site/seMAPA/ficha-procedimiento?procedure_suborg_responsable=27&amp;procedure_id=675&amp;by=theme"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FED835-66F5-409A-ADF5-E5D55FD4A2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17</Pages>
  <Words>6725</Words>
  <Characters>36441</Characters>
  <Application>Microsoft Office Word</Application>
  <DocSecurity>0</DocSecurity>
  <Lines>303</Lines>
  <Paragraphs>86</Paragraphs>
  <ScaleCrop>false</ScaleCrop>
  <HeadingPairs>
    <vt:vector size="2" baseType="variant">
      <vt:variant>
        <vt:lpstr>Título</vt:lpstr>
      </vt:variant>
      <vt:variant>
        <vt:i4>1</vt:i4>
      </vt:variant>
    </vt:vector>
  </HeadingPairs>
  <TitlesOfParts>
    <vt:vector size="1" baseType="lpstr">
      <vt:lpstr>ASUNTO 67</vt:lpstr>
    </vt:vector>
  </TitlesOfParts>
  <Company>IGSAP</Company>
  <LinksUpToDate>false</LinksUpToDate>
  <CharactersWithSpaces>43080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ASUNTO 67</dc:title>
  <dc:creator>i</dc:creator>
  <cp:lastModifiedBy>Liana Brili</cp:lastModifiedBy>
  <cp:revision>7</cp:revision>
  <cp:lastPrinted>2019-10-16T12:19:00Z</cp:lastPrinted>
  <dcterms:created xsi:type="dcterms:W3CDTF">2022-10-19T10:24:00Z</dcterms:created>
  <dcterms:modified xsi:type="dcterms:W3CDTF">2022-11-22T10:50:00Z</dcterms:modified>
</cp:coreProperties>
</file>