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BB601" w14:textId="77777777" w:rsidR="000D3DFE" w:rsidRPr="00ED3EE1" w:rsidRDefault="001F2D43" w:rsidP="00ED3EE1">
      <w:pPr>
        <w:rPr>
          <w:rFonts w:ascii="Arial" w:hAnsi="Arial" w:cs="Arial"/>
        </w:rPr>
      </w:pPr>
      <w:r>
        <w:rPr>
          <w:noProof/>
        </w:rPr>
        <w:drawing>
          <wp:anchor distT="0" distB="0" distL="114300" distR="114300" simplePos="0" relativeHeight="251662848" behindDoc="0" locked="0" layoutInCell="1" allowOverlap="1" wp14:anchorId="63D61197" wp14:editId="266DBEB3">
            <wp:simplePos x="0" y="0"/>
            <wp:positionH relativeFrom="column">
              <wp:posOffset>-571500</wp:posOffset>
            </wp:positionH>
            <wp:positionV relativeFrom="paragraph">
              <wp:posOffset>-342900</wp:posOffset>
            </wp:positionV>
            <wp:extent cx="829310" cy="838200"/>
            <wp:effectExtent l="0" t="0" r="8890" b="0"/>
            <wp:wrapSquare wrapText="bothSides"/>
            <wp:docPr id="14"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1584" behindDoc="0" locked="0" layoutInCell="1" allowOverlap="1" wp14:anchorId="5B39A1A2" wp14:editId="4CFA9E11">
                <wp:simplePos x="0" y="0"/>
                <wp:positionH relativeFrom="column">
                  <wp:posOffset>160020</wp:posOffset>
                </wp:positionH>
                <wp:positionV relativeFrom="paragraph">
                  <wp:posOffset>-120650</wp:posOffset>
                </wp:positionV>
                <wp:extent cx="2240280" cy="673735"/>
                <wp:effectExtent l="0" t="0" r="7620" b="0"/>
                <wp:wrapSquare wrapText="bothSides"/>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673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7175C" w14:textId="77777777" w:rsidR="000D3DFE" w:rsidRDefault="000D3DFE" w:rsidP="009808C6">
                            <w:pPr>
                              <w:rPr>
                                <w:rFonts w:ascii="Arial" w:hAnsi="Arial"/>
                                <w:sz w:val="18"/>
                              </w:rPr>
                            </w:pPr>
                            <w:r>
                              <w:rPr>
                                <w:rFonts w:ascii="Arial" w:hAnsi="Arial"/>
                                <w:sz w:val="18"/>
                              </w:rPr>
                              <w:t xml:space="preserve">MINISTERIO </w:t>
                            </w:r>
                          </w:p>
                          <w:p w14:paraId="55F81184" w14:textId="77777777" w:rsidR="000D3DFE" w:rsidRDefault="000D3DFE" w:rsidP="009808C6">
                            <w:pPr>
                              <w:rPr>
                                <w:rFonts w:ascii="Arial" w:hAnsi="Arial"/>
                                <w:sz w:val="18"/>
                              </w:rPr>
                            </w:pPr>
                            <w:r>
                              <w:rPr>
                                <w:rFonts w:ascii="Arial" w:hAnsi="Arial"/>
                                <w:sz w:val="18"/>
                              </w:rPr>
                              <w:t xml:space="preserve">DE AGRICULTURA, PESCA </w:t>
                            </w:r>
                          </w:p>
                          <w:p w14:paraId="28C4E0C7" w14:textId="77777777" w:rsidR="000D3DFE" w:rsidRDefault="000D3DFE" w:rsidP="009808C6">
                            <w:pPr>
                              <w:rPr>
                                <w:rFonts w:ascii="Arial" w:hAnsi="Arial"/>
                                <w:sz w:val="18"/>
                              </w:rPr>
                            </w:pPr>
                            <w:r>
                              <w:rPr>
                                <w:rFonts w:ascii="Arial" w:hAnsi="Arial"/>
                                <w:sz w:val="18"/>
                              </w:rPr>
                              <w:t>Y ALIMENTACIÓN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A1A2" id="_x0000_t202" coordsize="21600,21600" o:spt="202" path="m,l,21600r21600,l21600,xe">
                <v:stroke joinstyle="miter"/>
                <v:path gradientshapeok="t" o:connecttype="rect"/>
              </v:shapetype>
              <v:shape id="Text Box 3" o:spid="_x0000_s1026" type="#_x0000_t202" style="position:absolute;left:0;text-align:left;margin-left:12.6pt;margin-top:-9.5pt;width:176.4pt;height:53.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" stroked="f">
                <v:textbox>
                  <w:txbxContent>
                    <w:p w14:paraId="6867175C" w14:textId="77777777" w:rsidR="000D3DFE" w:rsidRDefault="000D3DFE" w:rsidP="009808C6">
                      <w:pPr>
                        <w:rPr>
                          <w:rFonts w:ascii="Arial" w:hAnsi="Arial"/>
                          <w:sz w:val="18"/>
                        </w:rPr>
                      </w:pPr>
                      <w:r>
                        <w:rPr>
                          <w:rFonts w:ascii="Arial" w:hAnsi="Arial"/>
                          <w:sz w:val="18"/>
                        </w:rPr>
                        <w:t xml:space="preserve">MINISTERIO </w:t>
                      </w:r>
                    </w:p>
                    <w:p w14:paraId="55F81184" w14:textId="77777777" w:rsidR="000D3DFE" w:rsidRDefault="000D3DFE" w:rsidP="009808C6">
                      <w:pPr>
                        <w:rPr>
                          <w:rFonts w:ascii="Arial" w:hAnsi="Arial"/>
                          <w:sz w:val="18"/>
                        </w:rPr>
                      </w:pPr>
                      <w:r>
                        <w:rPr>
                          <w:rFonts w:ascii="Arial" w:hAnsi="Arial"/>
                          <w:sz w:val="18"/>
                        </w:rPr>
                        <w:t xml:space="preserve">DE AGRICULTURA, PESCA </w:t>
                      </w:r>
                    </w:p>
                    <w:p w14:paraId="28C4E0C7" w14:textId="77777777" w:rsidR="000D3DFE" w:rsidRDefault="000D3DFE" w:rsidP="009808C6">
                      <w:pPr>
                        <w:rPr>
                          <w:rFonts w:ascii="Arial" w:hAnsi="Arial"/>
                          <w:sz w:val="18"/>
                        </w:rPr>
                      </w:pPr>
                      <w:r>
                        <w:rPr>
                          <w:rFonts w:ascii="Arial" w:hAnsi="Arial"/>
                          <w:sz w:val="18"/>
                        </w:rPr>
                        <w:t>Y ALIMENTACIÓN</w:t>
                      </w:r>
                    </w:p>
                  </w:txbxContent>
                </v:textbox>
                <w10:wrap type="square"/>
              </v:shape>
            </w:pict>
          </mc:Fallback>
        </mc:AlternateContent>
      </w:r>
    </w:p>
    <w:p w14:paraId="44222ACA" w14:textId="77777777" w:rsidR="000D3DFE" w:rsidRPr="00ED3EE1" w:rsidRDefault="000D3DFE" w:rsidP="00ED3EE1">
      <w:pPr>
        <w:rPr>
          <w:rFonts w:ascii="Arial" w:hAnsi="Arial" w:cs="Arial"/>
        </w:rPr>
      </w:pPr>
    </w:p>
    <w:p w14:paraId="6DD06CD5" w14:textId="77777777" w:rsidR="000D3DFE" w:rsidRPr="00ED3EE1" w:rsidRDefault="000D3DFE" w:rsidP="00ED3EE1">
      <w:pPr>
        <w:rPr>
          <w:rFonts w:ascii="Arial" w:hAnsi="Arial" w:cs="Arial"/>
        </w:rPr>
      </w:pPr>
    </w:p>
    <w:p w14:paraId="6FEC2555" w14:textId="77777777" w:rsidR="000D3DFE" w:rsidRPr="00ED3EE1" w:rsidRDefault="000D3DFE" w:rsidP="00ED3EE1">
      <w:pPr>
        <w:rPr>
          <w:rFonts w:ascii="Arial" w:hAnsi="Arial" w:cs="Arial"/>
        </w:rPr>
      </w:pPr>
    </w:p>
    <w:p w14:paraId="516114C1" w14:textId="77777777" w:rsidR="000D3DFE" w:rsidRPr="00ED3EE1" w:rsidRDefault="000D3DFE" w:rsidP="00ED3EE1">
      <w:pPr>
        <w:rPr>
          <w:rFonts w:ascii="Arial" w:hAnsi="Arial" w:cs="Arial"/>
        </w:rPr>
      </w:pPr>
    </w:p>
    <w:p w14:paraId="14661917" w14:textId="77777777" w:rsidR="000D3DFE" w:rsidRPr="00ED3EE1" w:rsidRDefault="000D3DFE" w:rsidP="00ED3EE1">
      <w:pPr>
        <w:rPr>
          <w:rFonts w:ascii="Arial" w:hAnsi="Arial" w:cs="Arial"/>
        </w:rPr>
      </w:pPr>
    </w:p>
    <w:p w14:paraId="2BDD4D31" w14:textId="77777777" w:rsidR="000D3DFE" w:rsidRPr="00ED3EE1" w:rsidRDefault="000D3DFE" w:rsidP="00ED3EE1">
      <w:pPr>
        <w:rPr>
          <w:rFonts w:ascii="Arial" w:hAnsi="Arial" w:cs="Arial"/>
        </w:rPr>
      </w:pPr>
    </w:p>
    <w:p w14:paraId="63E70F5D" w14:textId="77777777" w:rsidR="000D3DFE" w:rsidRPr="00ED3EE1" w:rsidRDefault="000D3DFE" w:rsidP="00ED3EE1">
      <w:pPr>
        <w:rPr>
          <w:rFonts w:ascii="Arial" w:hAnsi="Arial" w:cs="Arial"/>
        </w:rPr>
      </w:pPr>
    </w:p>
    <w:p w14:paraId="32455653" w14:textId="77777777" w:rsidR="000D3DFE" w:rsidRPr="00ED3EE1" w:rsidRDefault="000D3DFE" w:rsidP="00ED3EE1">
      <w:pPr>
        <w:rPr>
          <w:rFonts w:ascii="Arial" w:hAnsi="Arial" w:cs="Arial"/>
        </w:rPr>
      </w:pPr>
    </w:p>
    <w:p w14:paraId="290D8B71" w14:textId="77777777" w:rsidR="000D3DFE" w:rsidRPr="00ED3EE1" w:rsidRDefault="000D3DFE" w:rsidP="00ED3EE1">
      <w:pPr>
        <w:rPr>
          <w:rFonts w:ascii="Arial" w:hAnsi="Arial" w:cs="Arial"/>
        </w:rPr>
      </w:pPr>
    </w:p>
    <w:p w14:paraId="07AB2700" w14:textId="77777777" w:rsidR="000D3DFE" w:rsidRPr="00ED3EE1" w:rsidRDefault="000D3DFE" w:rsidP="00ED3EE1">
      <w:pPr>
        <w:rPr>
          <w:rFonts w:ascii="Arial" w:hAnsi="Arial" w:cs="Arial"/>
        </w:rPr>
      </w:pPr>
    </w:p>
    <w:p w14:paraId="4C03E046" w14:textId="77777777" w:rsidR="000D3DFE" w:rsidRPr="00ED3EE1" w:rsidRDefault="000D3DFE" w:rsidP="00ED3EE1">
      <w:pPr>
        <w:rPr>
          <w:rFonts w:ascii="Arial" w:hAnsi="Arial" w:cs="Arial"/>
        </w:rPr>
      </w:pPr>
    </w:p>
    <w:p w14:paraId="4BBFBCE3" w14:textId="77777777" w:rsidR="000D3DFE" w:rsidRPr="00ED3EE1" w:rsidRDefault="000D3DFE" w:rsidP="00ED3EE1">
      <w:pPr>
        <w:rPr>
          <w:rFonts w:ascii="Arial" w:hAnsi="Arial" w:cs="Arial"/>
        </w:rPr>
      </w:pPr>
    </w:p>
    <w:p w14:paraId="15BE3A0B" w14:textId="77777777" w:rsidR="000D3DFE" w:rsidRPr="00ED3EE1" w:rsidRDefault="000D3DFE" w:rsidP="00ED3EE1">
      <w:pPr>
        <w:pStyle w:val="Textoindependiente"/>
        <w:pBdr>
          <w:top w:val="single" w:sz="12" w:space="1" w:color="auto"/>
          <w:left w:val="single" w:sz="12" w:space="4" w:color="auto"/>
          <w:bottom w:val="single" w:sz="12" w:space="1" w:color="auto"/>
          <w:right w:val="single" w:sz="12" w:space="4" w:color="auto"/>
        </w:pBdr>
        <w:shd w:val="clear" w:color="auto" w:fill="C0C0C0"/>
        <w:jc w:val="both"/>
        <w:rPr>
          <w:rFonts w:ascii="Arial" w:hAnsi="Arial" w:cs="Arial"/>
        </w:rPr>
      </w:pPr>
    </w:p>
    <w:p w14:paraId="3DC568DA" w14:textId="77777777" w:rsidR="000D3DFE" w:rsidRPr="00ED3EE1" w:rsidRDefault="000D3DFE" w:rsidP="00ED3EE1">
      <w:pPr>
        <w:pStyle w:val="Textoindependiente"/>
        <w:pBdr>
          <w:top w:val="single" w:sz="12" w:space="1" w:color="auto"/>
          <w:left w:val="single" w:sz="12" w:space="4" w:color="auto"/>
          <w:bottom w:val="single" w:sz="12" w:space="1" w:color="auto"/>
          <w:right w:val="single" w:sz="12" w:space="4" w:color="auto"/>
        </w:pBdr>
        <w:shd w:val="clear" w:color="auto" w:fill="C0C0C0"/>
        <w:jc w:val="both"/>
        <w:rPr>
          <w:rFonts w:ascii="Arial" w:hAnsi="Arial" w:cs="Arial"/>
        </w:rPr>
      </w:pPr>
    </w:p>
    <w:p w14:paraId="59543727" w14:textId="77777777" w:rsidR="000D3DFE" w:rsidRPr="00ED3EE1" w:rsidRDefault="000D3DFE" w:rsidP="003202A8">
      <w:pPr>
        <w:pStyle w:val="Textoindependiente"/>
        <w:pBdr>
          <w:top w:val="single" w:sz="12" w:space="1" w:color="auto"/>
          <w:left w:val="single" w:sz="12" w:space="4" w:color="auto"/>
          <w:bottom w:val="single" w:sz="12" w:space="1" w:color="auto"/>
          <w:right w:val="single" w:sz="12" w:space="4" w:color="auto"/>
        </w:pBdr>
        <w:shd w:val="clear" w:color="auto" w:fill="C0C0C0"/>
        <w:jc w:val="both"/>
        <w:rPr>
          <w:rFonts w:ascii="Arial" w:hAnsi="Arial" w:cs="Arial"/>
        </w:rPr>
      </w:pPr>
      <w:r>
        <w:rPr>
          <w:rFonts w:ascii="Arial" w:hAnsi="Arial" w:cs="Arial"/>
        </w:rPr>
        <w:t>PROYECTO DE REAL DECRETO POR EL QUE SE REGULAN LAS DENOMINACIONES COMERCIALES NACIONALES ADMITIDAS EN ESPAÑA Y LAS DENOMINACIONES DE PRODUCTOS CONSERVADOS Y PREPARADOS APLICABLES A LOS PRODUCTOS DE LA PESCA Y DE LA ACUICULTURA</w:t>
      </w:r>
    </w:p>
    <w:p w14:paraId="0ED4C9B5" w14:textId="77777777" w:rsidR="000D3DFE" w:rsidRPr="00ED3EE1" w:rsidRDefault="000D3DFE" w:rsidP="00ED3EE1">
      <w:pPr>
        <w:pStyle w:val="Textoindependiente"/>
        <w:pBdr>
          <w:top w:val="single" w:sz="12" w:space="1" w:color="auto"/>
          <w:left w:val="single" w:sz="12" w:space="4" w:color="auto"/>
          <w:bottom w:val="single" w:sz="12" w:space="1" w:color="auto"/>
          <w:right w:val="single" w:sz="12" w:space="4" w:color="auto"/>
        </w:pBdr>
        <w:shd w:val="clear" w:color="auto" w:fill="C0C0C0"/>
        <w:rPr>
          <w:rFonts w:ascii="Arial" w:hAnsi="Arial" w:cs="Arial"/>
        </w:rPr>
      </w:pPr>
    </w:p>
    <w:p w14:paraId="144AE5DF" w14:textId="77777777" w:rsidR="000D3DFE" w:rsidRPr="00796E02" w:rsidRDefault="000D3DFE" w:rsidP="00ED3EE1">
      <w:pPr>
        <w:pStyle w:val="Textoindependiente"/>
        <w:pBdr>
          <w:top w:val="single" w:sz="12" w:space="1" w:color="auto"/>
          <w:left w:val="single" w:sz="12" w:space="4" w:color="auto"/>
          <w:bottom w:val="single" w:sz="12" w:space="1" w:color="auto"/>
          <w:right w:val="single" w:sz="12" w:space="4" w:color="auto"/>
        </w:pBdr>
        <w:shd w:val="clear" w:color="auto" w:fill="FFFFFF"/>
        <w:rPr>
          <w:rFonts w:ascii="Arial" w:hAnsi="Arial" w:cs="Arial"/>
          <w:i/>
        </w:rPr>
      </w:pPr>
      <w:r w:rsidRPr="00796E02">
        <w:rPr>
          <w:rFonts w:ascii="Arial" w:hAnsi="Arial" w:cs="Arial"/>
          <w:i/>
        </w:rPr>
        <w:t xml:space="preserve">MEMORIA  DEL ANÁLISIS DE IMPACTO NORMATIVO – MAIN – </w:t>
      </w:r>
    </w:p>
    <w:p w14:paraId="18614992" w14:textId="77777777" w:rsidR="000D3DFE" w:rsidRPr="00ED3EE1" w:rsidRDefault="000D3DFE" w:rsidP="00ED3EE1">
      <w:pPr>
        <w:pBdr>
          <w:top w:val="single" w:sz="12" w:space="1" w:color="auto"/>
          <w:left w:val="single" w:sz="12" w:space="4" w:color="auto"/>
          <w:bottom w:val="single" w:sz="12" w:space="1" w:color="auto"/>
          <w:right w:val="single" w:sz="12" w:space="4" w:color="auto"/>
        </w:pBdr>
        <w:shd w:val="clear" w:color="auto" w:fill="C0C0C0"/>
        <w:rPr>
          <w:rFonts w:ascii="Arial" w:hAnsi="Arial" w:cs="Arial"/>
        </w:rPr>
      </w:pPr>
    </w:p>
    <w:p w14:paraId="67502A4C" w14:textId="77777777" w:rsidR="000D3DFE" w:rsidRPr="00ED3EE1" w:rsidRDefault="000D3DFE" w:rsidP="00ED3EE1">
      <w:pPr>
        <w:rPr>
          <w:rFonts w:ascii="Arial" w:hAnsi="Arial" w:cs="Arial"/>
        </w:rPr>
      </w:pPr>
    </w:p>
    <w:p w14:paraId="097391A9" w14:textId="77777777" w:rsidR="000D3DFE" w:rsidRPr="00ED3EE1" w:rsidRDefault="000D3DFE" w:rsidP="00ED3EE1">
      <w:pPr>
        <w:rPr>
          <w:rFonts w:ascii="Arial" w:hAnsi="Arial" w:cs="Arial"/>
          <w:b/>
          <w:bCs/>
        </w:rPr>
      </w:pPr>
    </w:p>
    <w:p w14:paraId="31A7B106" w14:textId="77777777" w:rsidR="000D3DFE" w:rsidRPr="005B60CC" w:rsidRDefault="000D3DFE" w:rsidP="00ED3EE1">
      <w:pPr>
        <w:spacing w:line="360" w:lineRule="auto"/>
        <w:rPr>
          <w:rFonts w:ascii="Arial Negrita" w:hAnsi="Arial Negrita" w:cs="Arial"/>
          <w:b/>
          <w:bCs/>
          <w:strike/>
        </w:rPr>
      </w:pPr>
    </w:p>
    <w:p w14:paraId="093F089A" w14:textId="77777777" w:rsidR="000D3DFE" w:rsidRPr="005B60CC" w:rsidRDefault="000D3DFE" w:rsidP="00ED3EE1">
      <w:pPr>
        <w:rPr>
          <w:rFonts w:ascii="Arial Negrita" w:hAnsi="Arial Negrita" w:cs="Arial"/>
          <w:b/>
          <w:bCs/>
          <w:strike/>
        </w:rPr>
      </w:pPr>
    </w:p>
    <w:p w14:paraId="5239B21E" w14:textId="77777777" w:rsidR="000D3DFE" w:rsidRDefault="000D3DFE" w:rsidP="00ED3EE1">
      <w:pPr>
        <w:rPr>
          <w:rFonts w:ascii="Arial" w:hAnsi="Arial" w:cs="Arial"/>
          <w:b/>
          <w:bCs/>
        </w:rPr>
      </w:pPr>
    </w:p>
    <w:p w14:paraId="0A730F41" w14:textId="77777777" w:rsidR="000D3DFE" w:rsidRDefault="000D3DFE" w:rsidP="00ED3EE1">
      <w:pPr>
        <w:rPr>
          <w:rFonts w:ascii="Arial" w:hAnsi="Arial" w:cs="Arial"/>
          <w:b/>
          <w:bCs/>
        </w:rPr>
      </w:pPr>
    </w:p>
    <w:p w14:paraId="7B1CE8BB" w14:textId="77777777" w:rsidR="000D3DFE" w:rsidRDefault="000D3DFE" w:rsidP="00ED3EE1">
      <w:pPr>
        <w:rPr>
          <w:rFonts w:ascii="Arial" w:hAnsi="Arial" w:cs="Arial"/>
          <w:b/>
          <w:bCs/>
        </w:rPr>
      </w:pPr>
    </w:p>
    <w:p w14:paraId="1F195003" w14:textId="77777777" w:rsidR="000D3DFE" w:rsidRDefault="000D3DFE" w:rsidP="00ED3EE1">
      <w:pPr>
        <w:rPr>
          <w:rFonts w:ascii="Arial" w:hAnsi="Arial" w:cs="Arial"/>
          <w:b/>
          <w:bCs/>
        </w:rPr>
      </w:pPr>
    </w:p>
    <w:p w14:paraId="291F4328" w14:textId="77777777" w:rsidR="000D3DFE" w:rsidRDefault="000D3DFE" w:rsidP="00ED3EE1">
      <w:pPr>
        <w:rPr>
          <w:rFonts w:ascii="Arial" w:hAnsi="Arial" w:cs="Arial"/>
          <w:b/>
          <w:bCs/>
        </w:rPr>
      </w:pPr>
    </w:p>
    <w:p w14:paraId="2F60149F" w14:textId="77777777" w:rsidR="000D3DFE" w:rsidRDefault="000D3DFE" w:rsidP="00ED3EE1">
      <w:pPr>
        <w:rPr>
          <w:rFonts w:ascii="Arial" w:hAnsi="Arial" w:cs="Arial"/>
          <w:b/>
          <w:bCs/>
        </w:rPr>
      </w:pPr>
    </w:p>
    <w:p w14:paraId="1403EF5B" w14:textId="77777777" w:rsidR="000D3DFE" w:rsidRDefault="000D3DFE" w:rsidP="00ED3EE1">
      <w:pPr>
        <w:rPr>
          <w:rFonts w:ascii="Arial" w:hAnsi="Arial" w:cs="Arial"/>
          <w:b/>
          <w:bCs/>
        </w:rPr>
      </w:pPr>
    </w:p>
    <w:p w14:paraId="7602367E" w14:textId="77777777" w:rsidR="000D3DFE" w:rsidRDefault="000D3DFE" w:rsidP="00ED3EE1">
      <w:pPr>
        <w:rPr>
          <w:rFonts w:ascii="Arial" w:hAnsi="Arial" w:cs="Arial"/>
          <w:b/>
          <w:bCs/>
        </w:rPr>
      </w:pPr>
    </w:p>
    <w:p w14:paraId="4DF18811" w14:textId="77777777" w:rsidR="000D3DFE" w:rsidRDefault="000D3DFE" w:rsidP="00ED3EE1">
      <w:pPr>
        <w:rPr>
          <w:rFonts w:ascii="Arial" w:hAnsi="Arial" w:cs="Arial"/>
          <w:b/>
          <w:bCs/>
        </w:rPr>
      </w:pPr>
    </w:p>
    <w:p w14:paraId="45FDDD9A" w14:textId="77777777" w:rsidR="000D3DFE" w:rsidRDefault="000D3DFE" w:rsidP="00ED3EE1">
      <w:pPr>
        <w:rPr>
          <w:rFonts w:ascii="Arial" w:hAnsi="Arial" w:cs="Arial"/>
          <w:b/>
          <w:bCs/>
        </w:rPr>
      </w:pPr>
    </w:p>
    <w:p w14:paraId="372B263A" w14:textId="77777777" w:rsidR="000D3DFE" w:rsidRPr="00ED3EE1" w:rsidRDefault="000D3DFE" w:rsidP="00ED3EE1">
      <w:pPr>
        <w:rPr>
          <w:rFonts w:ascii="Arial" w:hAnsi="Arial" w:cs="Arial"/>
        </w:rPr>
      </w:pPr>
    </w:p>
    <w:p w14:paraId="0D664B47" w14:textId="77777777" w:rsidR="000D3DFE" w:rsidRDefault="000D3DFE">
      <w:r>
        <w:rPr>
          <w:b/>
          <w:bCs/>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0D3DFE" w:rsidRPr="00ED3EE1" w14:paraId="679C18B6" w14:textId="77777777" w:rsidTr="00BE48A5">
        <w:tc>
          <w:tcPr>
            <w:tcW w:w="9288" w:type="dxa"/>
            <w:shd w:val="clear" w:color="auto" w:fill="003366"/>
          </w:tcPr>
          <w:p w14:paraId="28628BDB" w14:textId="77777777" w:rsidR="000D3DFE" w:rsidRPr="00ED3EE1" w:rsidRDefault="000D3DFE" w:rsidP="00ED3EE1">
            <w:pPr>
              <w:pStyle w:val="Ttulo6"/>
              <w:jc w:val="both"/>
              <w:rPr>
                <w:rFonts w:ascii="Arial" w:hAnsi="Arial" w:cs="Arial"/>
              </w:rPr>
            </w:pPr>
            <w:r w:rsidRPr="00ED3EE1">
              <w:rPr>
                <w:rFonts w:ascii="Arial" w:hAnsi="Arial" w:cs="Arial"/>
              </w:rPr>
              <w:lastRenderedPageBreak/>
              <w:t>RESUMEN EJECUTIVO</w:t>
            </w:r>
          </w:p>
        </w:tc>
      </w:tr>
    </w:tbl>
    <w:p w14:paraId="6A6CFB3F" w14:textId="77777777" w:rsidR="000D3DFE" w:rsidRPr="00ED3EE1" w:rsidRDefault="000D3DFE" w:rsidP="00ED3EE1">
      <w:pPr>
        <w:rPr>
          <w:rFonts w:ascii="Arial" w:hAnsi="Arial" w:cs="Arial"/>
        </w:rPr>
      </w:pPr>
    </w:p>
    <w:tbl>
      <w:tblPr>
        <w:tblW w:w="9288" w:type="dxa"/>
        <w:tblLayout w:type="fixed"/>
        <w:tblLook w:val="0000" w:firstRow="0" w:lastRow="0" w:firstColumn="0" w:lastColumn="0" w:noHBand="0" w:noVBand="0"/>
      </w:tblPr>
      <w:tblGrid>
        <w:gridCol w:w="1908"/>
        <w:gridCol w:w="43"/>
        <w:gridCol w:w="3773"/>
        <w:gridCol w:w="324"/>
        <w:gridCol w:w="1152"/>
        <w:gridCol w:w="2088"/>
      </w:tblGrid>
      <w:tr w:rsidR="000D3DFE" w:rsidRPr="00ED3EE1" w14:paraId="616777BC" w14:textId="77777777" w:rsidTr="00A66D3F">
        <w:trPr>
          <w:trHeight w:val="468"/>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71EF86C3" w14:textId="77777777" w:rsidR="000D3DFE" w:rsidRPr="00ED3EE1" w:rsidRDefault="000D3DFE" w:rsidP="00ED3EE1">
            <w:pPr>
              <w:pStyle w:val="Default"/>
              <w:jc w:val="both"/>
              <w:rPr>
                <w:color w:val="auto"/>
              </w:rPr>
            </w:pPr>
            <w:r w:rsidRPr="00ED3EE1">
              <w:rPr>
                <w:b/>
                <w:bCs/>
                <w:color w:val="auto"/>
              </w:rPr>
              <w:t>Ministerios proponentes</w:t>
            </w:r>
          </w:p>
        </w:tc>
        <w:tc>
          <w:tcPr>
            <w:tcW w:w="4140" w:type="dxa"/>
            <w:gridSpan w:val="3"/>
            <w:tcBorders>
              <w:top w:val="single" w:sz="6" w:space="0" w:color="000000"/>
              <w:left w:val="single" w:sz="4" w:space="0" w:color="000000"/>
              <w:bottom w:val="single" w:sz="6" w:space="0" w:color="000000"/>
              <w:right w:val="single" w:sz="4" w:space="0" w:color="000000"/>
            </w:tcBorders>
            <w:vAlign w:val="center"/>
          </w:tcPr>
          <w:p w14:paraId="0D11CFBE" w14:textId="77777777" w:rsidR="000D3DFE" w:rsidRDefault="000D3DFE" w:rsidP="00C45D89">
            <w:pPr>
              <w:pStyle w:val="Default"/>
              <w:numPr>
                <w:ilvl w:val="0"/>
                <w:numId w:val="13"/>
              </w:numPr>
              <w:jc w:val="both"/>
              <w:rPr>
                <w:color w:val="auto"/>
              </w:rPr>
            </w:pPr>
            <w:r w:rsidRPr="00ED3EE1">
              <w:rPr>
                <w:color w:val="auto"/>
              </w:rPr>
              <w:t xml:space="preserve">Ministerio de Agricultura, </w:t>
            </w:r>
            <w:r>
              <w:rPr>
                <w:color w:val="auto"/>
              </w:rPr>
              <w:t>Pesca y Alimentación</w:t>
            </w:r>
          </w:p>
          <w:p w14:paraId="7F5B6AE2" w14:textId="77777777" w:rsidR="000D3DFE" w:rsidRPr="00ED3EE1" w:rsidRDefault="000D3DFE" w:rsidP="00C45D89">
            <w:pPr>
              <w:pStyle w:val="Default"/>
              <w:numPr>
                <w:ilvl w:val="0"/>
                <w:numId w:val="13"/>
              </w:numPr>
              <w:jc w:val="both"/>
              <w:rPr>
                <w:color w:val="auto"/>
              </w:rPr>
            </w:pPr>
            <w:r>
              <w:rPr>
                <w:color w:val="auto"/>
              </w:rPr>
              <w:t>Ministerio de Sanidad, Consumo y Bienestar Social.</w:t>
            </w:r>
          </w:p>
        </w:tc>
        <w:tc>
          <w:tcPr>
            <w:tcW w:w="1152"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71206F83" w14:textId="77777777" w:rsidR="000D3DFE" w:rsidRPr="00ED3EE1" w:rsidRDefault="000D3DFE" w:rsidP="00ED3EE1">
            <w:pPr>
              <w:pStyle w:val="Default"/>
              <w:jc w:val="both"/>
              <w:rPr>
                <w:color w:val="auto"/>
              </w:rPr>
            </w:pPr>
            <w:r w:rsidRPr="00ED3EE1">
              <w:rPr>
                <w:b/>
                <w:bCs/>
                <w:color w:val="auto"/>
              </w:rPr>
              <w:t>Fecha</w:t>
            </w:r>
          </w:p>
        </w:tc>
        <w:tc>
          <w:tcPr>
            <w:tcW w:w="2088" w:type="dxa"/>
            <w:tcBorders>
              <w:top w:val="single" w:sz="6" w:space="0" w:color="000000"/>
              <w:left w:val="single" w:sz="4" w:space="0" w:color="000000"/>
              <w:bottom w:val="single" w:sz="6" w:space="0" w:color="000000"/>
              <w:right w:val="single" w:sz="4" w:space="0" w:color="000000"/>
            </w:tcBorders>
            <w:vAlign w:val="center"/>
          </w:tcPr>
          <w:p w14:paraId="0462E7E9" w14:textId="77777777" w:rsidR="000D3DFE" w:rsidRPr="00ED3EE1" w:rsidRDefault="000D3DFE" w:rsidP="000F5312">
            <w:pPr>
              <w:pStyle w:val="Default"/>
              <w:jc w:val="both"/>
              <w:rPr>
                <w:color w:val="auto"/>
              </w:rPr>
            </w:pPr>
            <w:r>
              <w:rPr>
                <w:color w:val="auto"/>
              </w:rPr>
              <w:t>23/06/2020</w:t>
            </w:r>
          </w:p>
        </w:tc>
      </w:tr>
      <w:tr w:rsidR="000D3DFE" w:rsidRPr="00ED3EE1" w14:paraId="1BB7722B" w14:textId="77777777" w:rsidTr="00A66D3F">
        <w:trPr>
          <w:trHeight w:val="275"/>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596959F0" w14:textId="77777777" w:rsidR="000D3DFE" w:rsidRPr="00ED3EE1" w:rsidRDefault="000D3DFE" w:rsidP="00ED3EE1">
            <w:pPr>
              <w:pStyle w:val="Default"/>
              <w:jc w:val="both"/>
              <w:rPr>
                <w:color w:val="auto"/>
              </w:rPr>
            </w:pPr>
            <w:r w:rsidRPr="00ED3EE1">
              <w:rPr>
                <w:b/>
                <w:bCs/>
                <w:color w:val="auto"/>
              </w:rPr>
              <w:t>Título de la norma</w:t>
            </w:r>
          </w:p>
        </w:tc>
        <w:tc>
          <w:tcPr>
            <w:tcW w:w="7380" w:type="dxa"/>
            <w:gridSpan w:val="5"/>
            <w:tcBorders>
              <w:top w:val="single" w:sz="6" w:space="0" w:color="000000"/>
              <w:left w:val="single" w:sz="4" w:space="0" w:color="000000"/>
              <w:bottom w:val="single" w:sz="6" w:space="0" w:color="000000"/>
              <w:right w:val="single" w:sz="4" w:space="0" w:color="000000"/>
            </w:tcBorders>
            <w:vAlign w:val="center"/>
          </w:tcPr>
          <w:p w14:paraId="39AC2295" w14:textId="77777777" w:rsidR="000D3DFE" w:rsidRPr="00E06569" w:rsidRDefault="000D3DFE" w:rsidP="009C4BB8">
            <w:pPr>
              <w:pStyle w:val="Default"/>
              <w:numPr>
                <w:ilvl w:val="0"/>
                <w:numId w:val="13"/>
              </w:numPr>
              <w:jc w:val="both"/>
              <w:rPr>
                <w:caps/>
                <w:color w:val="auto"/>
              </w:rPr>
            </w:pPr>
            <w:r>
              <w:rPr>
                <w:color w:val="auto"/>
              </w:rPr>
              <w:t>R</w:t>
            </w:r>
            <w:r w:rsidRPr="00E06569">
              <w:rPr>
                <w:color w:val="auto"/>
              </w:rPr>
              <w:t xml:space="preserve">eal </w:t>
            </w:r>
            <w:r>
              <w:rPr>
                <w:color w:val="auto"/>
              </w:rPr>
              <w:t>decreto por el que se establecen las denominaciones comerciales nacionales admitidas en España y las denominaciones de productos conservados y preparados aplicables a los productos de la pesca y de la acuicultura.</w:t>
            </w:r>
          </w:p>
        </w:tc>
      </w:tr>
      <w:tr w:rsidR="000D3DFE" w:rsidRPr="00ED3EE1" w14:paraId="34A57871" w14:textId="77777777" w:rsidTr="00A66D3F">
        <w:trPr>
          <w:trHeight w:val="550"/>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67A38C66" w14:textId="77777777" w:rsidR="000D3DFE" w:rsidRPr="00ED3EE1" w:rsidRDefault="000D3DFE" w:rsidP="00ED3EE1">
            <w:pPr>
              <w:pStyle w:val="Default"/>
              <w:jc w:val="both"/>
              <w:rPr>
                <w:color w:val="auto"/>
              </w:rPr>
            </w:pPr>
            <w:r w:rsidRPr="00ED3EE1">
              <w:rPr>
                <w:b/>
                <w:bCs/>
                <w:color w:val="auto"/>
              </w:rPr>
              <w:t>Tipo de memoria</w:t>
            </w:r>
          </w:p>
        </w:tc>
        <w:tc>
          <w:tcPr>
            <w:tcW w:w="7380" w:type="dxa"/>
            <w:gridSpan w:val="5"/>
            <w:tcBorders>
              <w:top w:val="single" w:sz="6" w:space="0" w:color="000000"/>
              <w:left w:val="single" w:sz="4" w:space="0" w:color="000000"/>
              <w:bottom w:val="single" w:sz="6" w:space="0" w:color="000000"/>
              <w:right w:val="single" w:sz="4" w:space="0" w:color="000000"/>
            </w:tcBorders>
            <w:vAlign w:val="center"/>
          </w:tcPr>
          <w:p w14:paraId="084E086A" w14:textId="77777777" w:rsidR="000D3DFE" w:rsidRPr="00ED3EE1" w:rsidRDefault="000D3DFE" w:rsidP="00ED3EE1">
            <w:pPr>
              <w:pStyle w:val="Default"/>
              <w:numPr>
                <w:ilvl w:val="0"/>
                <w:numId w:val="13"/>
              </w:numPr>
              <w:jc w:val="both"/>
              <w:rPr>
                <w:color w:val="auto"/>
              </w:rPr>
            </w:pPr>
            <w:r w:rsidRPr="00B97B5E">
              <w:rPr>
                <w:color w:val="333333"/>
                <w:sz w:val="22"/>
                <w:szCs w:val="22"/>
                <w:lang w:eastAsia="ar-SA"/>
              </w:rPr>
              <w:t xml:space="preserve">Normal  X                    Abreviada  </w:t>
            </w:r>
            <w:r w:rsidRPr="00ED3EE1">
              <w:rPr>
                <w:color w:val="auto"/>
              </w:rPr>
              <w:t>normal</w:t>
            </w:r>
          </w:p>
        </w:tc>
      </w:tr>
      <w:tr w:rsidR="000D3DFE" w:rsidRPr="00ED3EE1" w14:paraId="6470E7D2" w14:textId="77777777" w:rsidTr="00A66D3F">
        <w:trPr>
          <w:trHeight w:val="265"/>
        </w:trPr>
        <w:tc>
          <w:tcPr>
            <w:tcW w:w="9288" w:type="dxa"/>
            <w:gridSpan w:val="6"/>
            <w:tcBorders>
              <w:top w:val="single" w:sz="6" w:space="0" w:color="000000"/>
              <w:left w:val="single" w:sz="4" w:space="0" w:color="000000"/>
              <w:bottom w:val="single" w:sz="6" w:space="0" w:color="000000"/>
              <w:right w:val="single" w:sz="4" w:space="0" w:color="000000"/>
            </w:tcBorders>
            <w:shd w:val="clear" w:color="auto" w:fill="003164"/>
            <w:vAlign w:val="center"/>
          </w:tcPr>
          <w:p w14:paraId="4B0A47CA" w14:textId="77777777" w:rsidR="000D3DFE" w:rsidRPr="00ED3EE1" w:rsidRDefault="000D3DFE" w:rsidP="00ED3EE1">
            <w:pPr>
              <w:pStyle w:val="Default"/>
              <w:jc w:val="both"/>
              <w:rPr>
                <w:b/>
                <w:color w:val="auto"/>
              </w:rPr>
            </w:pPr>
            <w:r w:rsidRPr="00ED3EE1">
              <w:rPr>
                <w:b/>
                <w:bCs/>
                <w:color w:val="auto"/>
              </w:rPr>
              <w:t>OPORTUNIDAD DE LA PROPUESTA</w:t>
            </w:r>
          </w:p>
        </w:tc>
      </w:tr>
      <w:tr w:rsidR="000D3DFE" w:rsidRPr="00ED3EE1" w14:paraId="4B0B1D49" w14:textId="77777777" w:rsidTr="00A66D3F">
        <w:trPr>
          <w:trHeight w:val="1540"/>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5A7A6284" w14:textId="77777777" w:rsidR="000D3DFE" w:rsidRPr="00ED3EE1" w:rsidRDefault="000D3DFE" w:rsidP="00ED3EE1">
            <w:pPr>
              <w:pStyle w:val="Default"/>
              <w:jc w:val="both"/>
              <w:rPr>
                <w:color w:val="auto"/>
              </w:rPr>
            </w:pPr>
            <w:r w:rsidRPr="00ED3EE1">
              <w:rPr>
                <w:b/>
                <w:bCs/>
                <w:color w:val="auto"/>
              </w:rPr>
              <w:t>Situación que se regula</w:t>
            </w:r>
          </w:p>
        </w:tc>
        <w:tc>
          <w:tcPr>
            <w:tcW w:w="7380" w:type="dxa"/>
            <w:gridSpan w:val="5"/>
            <w:tcBorders>
              <w:top w:val="single" w:sz="6" w:space="0" w:color="000000"/>
              <w:left w:val="single" w:sz="4" w:space="0" w:color="000000"/>
              <w:bottom w:val="single" w:sz="6" w:space="0" w:color="000000"/>
              <w:right w:val="single" w:sz="4" w:space="0" w:color="000000"/>
            </w:tcBorders>
            <w:vAlign w:val="center"/>
          </w:tcPr>
          <w:p w14:paraId="24224C21" w14:textId="77777777" w:rsidR="000D3DFE" w:rsidRPr="009C4BB8" w:rsidRDefault="000D3DFE" w:rsidP="009C4BB8">
            <w:pPr>
              <w:autoSpaceDE w:val="0"/>
              <w:autoSpaceDN w:val="0"/>
              <w:adjustRightInd w:val="0"/>
              <w:rPr>
                <w:rFonts w:ascii="Arial" w:hAnsi="Arial" w:cs="Arial"/>
                <w:lang w:val="es-ES_tradnl"/>
              </w:rPr>
            </w:pPr>
            <w:r w:rsidRPr="009C4BB8">
              <w:rPr>
                <w:rFonts w:ascii="Arial" w:hAnsi="Arial" w:cs="Arial"/>
                <w:lang w:val="es-ES_tradnl"/>
              </w:rPr>
              <w:t xml:space="preserve">El </w:t>
            </w:r>
            <w:r>
              <w:rPr>
                <w:rFonts w:ascii="Arial" w:hAnsi="Arial" w:cs="Arial"/>
                <w:lang w:val="es-ES_tradnl"/>
              </w:rPr>
              <w:t xml:space="preserve">proyecto de </w:t>
            </w:r>
            <w:r w:rsidRPr="009C4BB8">
              <w:rPr>
                <w:rFonts w:ascii="Arial" w:hAnsi="Arial" w:cs="Arial"/>
                <w:lang w:val="es-ES_tradnl"/>
              </w:rPr>
              <w:t>real decreto tiene por objeto:</w:t>
            </w:r>
          </w:p>
          <w:p w14:paraId="52CF5039" w14:textId="77777777" w:rsidR="000D3DFE" w:rsidRPr="009C4BB8" w:rsidRDefault="000D3DFE" w:rsidP="009C4BB8">
            <w:pPr>
              <w:autoSpaceDE w:val="0"/>
              <w:autoSpaceDN w:val="0"/>
              <w:adjustRightInd w:val="0"/>
              <w:rPr>
                <w:rFonts w:ascii="Arial" w:hAnsi="Arial" w:cs="Arial"/>
                <w:lang w:val="es-ES_tradnl"/>
              </w:rPr>
            </w:pPr>
          </w:p>
          <w:p w14:paraId="76458A6C" w14:textId="77777777" w:rsidR="000D3DFE" w:rsidRDefault="000D3DFE" w:rsidP="009C4BB8">
            <w:pPr>
              <w:numPr>
                <w:ilvl w:val="0"/>
                <w:numId w:val="15"/>
              </w:numPr>
              <w:autoSpaceDE w:val="0"/>
              <w:autoSpaceDN w:val="0"/>
              <w:adjustRightInd w:val="0"/>
              <w:rPr>
                <w:rFonts w:ascii="Arial" w:hAnsi="Arial" w:cs="Arial"/>
                <w:lang w:val="es-ES_tradnl"/>
              </w:rPr>
            </w:pPr>
            <w:r w:rsidRPr="009C4BB8">
              <w:rPr>
                <w:rFonts w:ascii="Arial" w:hAnsi="Arial" w:cs="Arial"/>
                <w:lang w:val="es-ES_tradnl"/>
              </w:rPr>
              <w:t xml:space="preserve">Establecer las denominaciones comerciales </w:t>
            </w:r>
            <w:r>
              <w:rPr>
                <w:rFonts w:ascii="Arial" w:hAnsi="Arial" w:cs="Arial"/>
                <w:lang w:val="es-ES_tradnl"/>
              </w:rPr>
              <w:t xml:space="preserve">nacionales admitidas </w:t>
            </w:r>
            <w:r w:rsidRPr="009C4BB8">
              <w:rPr>
                <w:rFonts w:ascii="Arial" w:hAnsi="Arial" w:cs="Arial"/>
                <w:lang w:val="es-ES_tradnl"/>
              </w:rPr>
              <w:t>en España para los productos de la pesca y la acuicultura  incluidos en las letras a), b) c) y e) del anexo I del Reglamento (UE) nº 1379/2013, del Parlamento Europeo y del Consejo, de 11 de diciembre de 2013, por el que se establece la Organización Común de Mercados en el sector de los productos de la pesca y de la acuicultura, a afectos de proporcionar la información obligatoria establecida en el artículo 35 de dicho Reglamento.</w:t>
            </w:r>
          </w:p>
          <w:p w14:paraId="64DC4AC4" w14:textId="77777777" w:rsidR="000D3DFE" w:rsidRDefault="000D3DFE" w:rsidP="009C4BB8">
            <w:pPr>
              <w:autoSpaceDE w:val="0"/>
              <w:autoSpaceDN w:val="0"/>
              <w:adjustRightInd w:val="0"/>
              <w:ind w:left="720" w:hanging="331"/>
              <w:rPr>
                <w:rFonts w:ascii="Arial" w:hAnsi="Arial" w:cs="Arial"/>
                <w:lang w:val="es-ES_tradnl"/>
              </w:rPr>
            </w:pPr>
          </w:p>
          <w:p w14:paraId="722D3304" w14:textId="77777777" w:rsidR="000D3DFE" w:rsidRPr="009C4BB8" w:rsidRDefault="000D3DFE" w:rsidP="009C4BB8">
            <w:pPr>
              <w:numPr>
                <w:ilvl w:val="0"/>
                <w:numId w:val="15"/>
              </w:numPr>
              <w:autoSpaceDE w:val="0"/>
              <w:autoSpaceDN w:val="0"/>
              <w:adjustRightInd w:val="0"/>
              <w:rPr>
                <w:rFonts w:ascii="Arial" w:hAnsi="Arial" w:cs="Arial"/>
                <w:lang w:val="es-ES_tradnl"/>
              </w:rPr>
            </w:pPr>
            <w:r w:rsidRPr="009C4BB8">
              <w:rPr>
                <w:rFonts w:ascii="Arial" w:hAnsi="Arial" w:cs="Arial"/>
                <w:lang w:val="es-ES_tradnl"/>
              </w:rPr>
              <w:t>Establecer las denominaciones de alimentos conservados y preparados aceptadas en España para los productos de la pesca y acuicultura de las letras h) e i) del anexo I del Reglamento (UE) nº 1379/2013, del Parlamento Europeo y del Consejo, de 11 de diciembre de 2013, a afectos de proporcionar la información obligatoria sobre denominación de alimento establecida en el artículo 17 del Reglamento (UE) nº 1169/2011, sobre información alimentaria facilitada al consumidor</w:t>
            </w:r>
          </w:p>
        </w:tc>
      </w:tr>
      <w:tr w:rsidR="000D3DFE" w:rsidRPr="00ED3EE1" w14:paraId="03CB0307" w14:textId="77777777" w:rsidTr="002540E3">
        <w:trPr>
          <w:trHeight w:val="688"/>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046F44AD" w14:textId="77777777" w:rsidR="000D3DFE" w:rsidRPr="00ED3EE1" w:rsidRDefault="000D3DFE" w:rsidP="00ED3EE1">
            <w:pPr>
              <w:pStyle w:val="Default"/>
              <w:jc w:val="both"/>
              <w:rPr>
                <w:color w:val="auto"/>
              </w:rPr>
            </w:pPr>
            <w:r w:rsidRPr="00ED3EE1">
              <w:rPr>
                <w:b/>
                <w:bCs/>
                <w:color w:val="auto"/>
              </w:rPr>
              <w:t>Objetivos que se</w:t>
            </w:r>
          </w:p>
          <w:p w14:paraId="3BAA5B71" w14:textId="77777777" w:rsidR="000D3DFE" w:rsidRPr="00ED3EE1" w:rsidRDefault="000D3DFE" w:rsidP="00ED3EE1">
            <w:pPr>
              <w:pStyle w:val="Default"/>
              <w:jc w:val="both"/>
              <w:rPr>
                <w:color w:val="auto"/>
              </w:rPr>
            </w:pPr>
            <w:r w:rsidRPr="00ED3EE1">
              <w:rPr>
                <w:b/>
                <w:bCs/>
                <w:color w:val="auto"/>
              </w:rPr>
              <w:t>persiguen</w:t>
            </w:r>
          </w:p>
        </w:tc>
        <w:tc>
          <w:tcPr>
            <w:tcW w:w="7380" w:type="dxa"/>
            <w:gridSpan w:val="5"/>
            <w:tcBorders>
              <w:top w:val="single" w:sz="6" w:space="0" w:color="000000"/>
              <w:left w:val="single" w:sz="4" w:space="0" w:color="000000"/>
              <w:bottom w:val="single" w:sz="6" w:space="0" w:color="000000"/>
              <w:right w:val="single" w:sz="4" w:space="0" w:color="000000"/>
            </w:tcBorders>
            <w:vAlign w:val="center"/>
          </w:tcPr>
          <w:p w14:paraId="1182D98B" w14:textId="77777777" w:rsidR="000D3DFE" w:rsidRDefault="000D3DFE" w:rsidP="009C4BB8">
            <w:pPr>
              <w:contextualSpacing/>
              <w:rPr>
                <w:rFonts w:ascii="Arial" w:hAnsi="Arial" w:cs="Arial"/>
              </w:rPr>
            </w:pPr>
            <w:r w:rsidRPr="009C4BB8">
              <w:rPr>
                <w:rFonts w:ascii="Arial" w:hAnsi="Arial" w:cs="Arial"/>
              </w:rPr>
              <w:t xml:space="preserve">La norma pretende adaptar la actual normativa </w:t>
            </w:r>
            <w:r>
              <w:rPr>
                <w:rFonts w:ascii="Arial" w:hAnsi="Arial" w:cs="Arial"/>
              </w:rPr>
              <w:t xml:space="preserve">en el ámbito </w:t>
            </w:r>
            <w:r w:rsidRPr="009C4BB8">
              <w:rPr>
                <w:rFonts w:ascii="Arial" w:hAnsi="Arial" w:cs="Arial"/>
              </w:rPr>
              <w:t xml:space="preserve">nacional a los cambios científicos, a los nuevos patrones </w:t>
            </w:r>
            <w:r>
              <w:rPr>
                <w:rFonts w:ascii="Arial" w:hAnsi="Arial" w:cs="Arial"/>
              </w:rPr>
              <w:t xml:space="preserve">y hábitos </w:t>
            </w:r>
            <w:r w:rsidRPr="009C4BB8">
              <w:rPr>
                <w:rFonts w:ascii="Arial" w:hAnsi="Arial" w:cs="Arial"/>
              </w:rPr>
              <w:t>de consumo y a la realidad comercial actual,</w:t>
            </w:r>
            <w:r>
              <w:rPr>
                <w:rFonts w:ascii="Arial" w:hAnsi="Arial" w:cs="Arial"/>
              </w:rPr>
              <w:t xml:space="preserve"> así como a la existencia de la</w:t>
            </w:r>
            <w:r w:rsidRPr="009C4BB8">
              <w:rPr>
                <w:rFonts w:ascii="Arial" w:hAnsi="Arial" w:cs="Arial"/>
              </w:rPr>
              <w:t xml:space="preserve"> normativa de la Unión </w:t>
            </w:r>
            <w:r>
              <w:rPr>
                <w:rFonts w:ascii="Arial" w:hAnsi="Arial" w:cs="Arial"/>
              </w:rPr>
              <w:t xml:space="preserve">Europea </w:t>
            </w:r>
            <w:r w:rsidRPr="009C4BB8">
              <w:rPr>
                <w:rFonts w:ascii="Arial" w:hAnsi="Arial" w:cs="Arial"/>
              </w:rPr>
              <w:t xml:space="preserve">en materia de información alimentaria al consumidor y de normas comunes de comercialización de determinados productos (como </w:t>
            </w:r>
            <w:r>
              <w:rPr>
                <w:rFonts w:ascii="Arial" w:hAnsi="Arial" w:cs="Arial"/>
              </w:rPr>
              <w:t>ocurre en el caso de algunas de las especies pesqueras más demandadas por el consumidor final, en el caso d</w:t>
            </w:r>
            <w:r w:rsidRPr="009C4BB8">
              <w:rPr>
                <w:rFonts w:ascii="Arial" w:hAnsi="Arial" w:cs="Arial"/>
              </w:rPr>
              <w:t>el atún, el bonito, las sardina</w:t>
            </w:r>
            <w:r>
              <w:rPr>
                <w:rFonts w:ascii="Arial" w:hAnsi="Arial" w:cs="Arial"/>
              </w:rPr>
              <w:t xml:space="preserve">s y los productos tipo sardina). </w:t>
            </w:r>
          </w:p>
          <w:p w14:paraId="63E054A7" w14:textId="77777777" w:rsidR="000D3DFE" w:rsidRDefault="000D3DFE" w:rsidP="009C4BB8">
            <w:pPr>
              <w:contextualSpacing/>
              <w:rPr>
                <w:rFonts w:ascii="Arial" w:hAnsi="Arial" w:cs="Arial"/>
              </w:rPr>
            </w:pPr>
          </w:p>
          <w:p w14:paraId="301C7C7C" w14:textId="77777777" w:rsidR="000D3DFE" w:rsidRDefault="000D3DFE" w:rsidP="009C4BB8">
            <w:pPr>
              <w:contextualSpacing/>
              <w:rPr>
                <w:rFonts w:ascii="Arial" w:hAnsi="Arial" w:cs="Arial"/>
              </w:rPr>
            </w:pPr>
            <w:r>
              <w:rPr>
                <w:rFonts w:ascii="Arial" w:hAnsi="Arial" w:cs="Arial"/>
              </w:rPr>
              <w:t>Además, tiene como finalidad establecer y simplificar recogiendo en único cuerpo normativo</w:t>
            </w:r>
            <w:r w:rsidRPr="009C4BB8">
              <w:rPr>
                <w:rFonts w:ascii="Arial" w:hAnsi="Arial" w:cs="Arial"/>
              </w:rPr>
              <w:t xml:space="preserve"> </w:t>
            </w:r>
            <w:r>
              <w:rPr>
                <w:rFonts w:ascii="Arial" w:hAnsi="Arial" w:cs="Arial"/>
              </w:rPr>
              <w:t>tanto las denominaciones comerciales nacionales admitidas en España, como</w:t>
            </w:r>
            <w:r w:rsidRPr="009C4BB8">
              <w:rPr>
                <w:rFonts w:ascii="Arial" w:hAnsi="Arial" w:cs="Arial"/>
              </w:rPr>
              <w:t xml:space="preserve"> las denominaciones de alimentos en conserva y preparados aplicables a los productos de la pesca y de la acuicultura. </w:t>
            </w:r>
          </w:p>
          <w:p w14:paraId="4FE07783" w14:textId="77777777" w:rsidR="000D3DFE" w:rsidRDefault="000D3DFE" w:rsidP="009C4BB8">
            <w:pPr>
              <w:contextualSpacing/>
              <w:rPr>
                <w:rFonts w:ascii="Arial" w:hAnsi="Arial" w:cs="Arial"/>
              </w:rPr>
            </w:pPr>
          </w:p>
          <w:p w14:paraId="7155CDF4" w14:textId="77777777" w:rsidR="000D3DFE" w:rsidRPr="00B97B5E" w:rsidRDefault="000D3DFE" w:rsidP="00DE67ED">
            <w:pPr>
              <w:contextualSpacing/>
              <w:rPr>
                <w:rFonts w:ascii="Arial" w:hAnsi="Arial" w:cs="Arial"/>
              </w:rPr>
            </w:pPr>
            <w:r>
              <w:rPr>
                <w:rFonts w:ascii="Arial" w:hAnsi="Arial" w:cs="Arial"/>
              </w:rPr>
              <w:t xml:space="preserve">Además, teniendo en cuenta el alcance y contenido de la norma, se introduce un procedimiento </w:t>
            </w:r>
            <w:r w:rsidRPr="009C4BB8">
              <w:rPr>
                <w:rFonts w:ascii="Arial" w:hAnsi="Arial" w:cs="Arial"/>
              </w:rPr>
              <w:t xml:space="preserve">para la </w:t>
            </w:r>
            <w:r>
              <w:rPr>
                <w:rFonts w:ascii="Arial" w:hAnsi="Arial" w:cs="Arial"/>
              </w:rPr>
              <w:t xml:space="preserve">revisión y </w:t>
            </w:r>
            <w:r w:rsidRPr="009C4BB8">
              <w:rPr>
                <w:rFonts w:ascii="Arial" w:hAnsi="Arial" w:cs="Arial"/>
              </w:rPr>
              <w:t xml:space="preserve">actualización </w:t>
            </w:r>
            <w:r w:rsidRPr="00DE67ED">
              <w:rPr>
                <w:rFonts w:ascii="Arial" w:hAnsi="Arial" w:cs="Arial"/>
              </w:rPr>
              <w:t xml:space="preserve">del listado </w:t>
            </w:r>
            <w:r w:rsidRPr="00DE67ED">
              <w:rPr>
                <w:rFonts w:ascii="Arial" w:hAnsi="Arial" w:cs="Arial"/>
                <w:lang w:val="es-ES_tradnl"/>
              </w:rPr>
              <w:t xml:space="preserve">de denominaciones comerciales </w:t>
            </w:r>
            <w:r>
              <w:rPr>
                <w:rFonts w:ascii="Arial" w:hAnsi="Arial" w:cs="Arial"/>
                <w:lang w:val="es-ES_tradnl"/>
              </w:rPr>
              <w:t xml:space="preserve">nacionales </w:t>
            </w:r>
            <w:r w:rsidRPr="00DE67ED">
              <w:rPr>
                <w:rFonts w:ascii="Arial" w:hAnsi="Arial" w:cs="Arial"/>
                <w:lang w:val="es-ES_tradnl"/>
              </w:rPr>
              <w:t>y de denominaciones de alimentos en conserva y preparados aplicables a los productos pesqueros y de la acuicultura</w:t>
            </w:r>
            <w:r>
              <w:rPr>
                <w:rFonts w:ascii="Arial" w:hAnsi="Arial" w:cs="Arial"/>
                <w:lang w:val="es-ES_tradnl"/>
              </w:rPr>
              <w:t xml:space="preserve">. </w:t>
            </w:r>
          </w:p>
        </w:tc>
      </w:tr>
      <w:tr w:rsidR="000D3DFE" w:rsidRPr="00ED3EE1" w14:paraId="4804E97D" w14:textId="77777777" w:rsidTr="00D11D3E">
        <w:trPr>
          <w:trHeight w:val="1130"/>
        </w:trPr>
        <w:tc>
          <w:tcPr>
            <w:tcW w:w="1908" w:type="dxa"/>
            <w:tcBorders>
              <w:top w:val="single" w:sz="6" w:space="0" w:color="000000"/>
              <w:left w:val="single" w:sz="4" w:space="0" w:color="000000"/>
              <w:bottom w:val="single" w:sz="4" w:space="0" w:color="auto"/>
              <w:right w:val="single" w:sz="4" w:space="0" w:color="000000"/>
            </w:tcBorders>
            <w:shd w:val="clear" w:color="auto" w:fill="DBE5F1"/>
            <w:vAlign w:val="center"/>
          </w:tcPr>
          <w:p w14:paraId="1E3FE0E9" w14:textId="77777777" w:rsidR="000D3DFE" w:rsidRPr="00ED3EE1" w:rsidRDefault="000D3DFE" w:rsidP="00ED3EE1">
            <w:pPr>
              <w:pStyle w:val="Default"/>
              <w:jc w:val="both"/>
              <w:rPr>
                <w:color w:val="auto"/>
              </w:rPr>
            </w:pPr>
            <w:r w:rsidRPr="00ED3EE1">
              <w:rPr>
                <w:b/>
                <w:bCs/>
                <w:color w:val="auto"/>
              </w:rPr>
              <w:lastRenderedPageBreak/>
              <w:t>Principales</w:t>
            </w:r>
          </w:p>
          <w:p w14:paraId="13A41B6C" w14:textId="77777777" w:rsidR="000D3DFE" w:rsidRPr="00ED3EE1" w:rsidRDefault="000D3DFE" w:rsidP="00ED3EE1">
            <w:pPr>
              <w:pStyle w:val="Default"/>
              <w:jc w:val="both"/>
              <w:rPr>
                <w:color w:val="auto"/>
              </w:rPr>
            </w:pPr>
            <w:r w:rsidRPr="00ED3EE1">
              <w:rPr>
                <w:b/>
                <w:bCs/>
                <w:color w:val="auto"/>
              </w:rPr>
              <w:t>alternativas</w:t>
            </w:r>
          </w:p>
          <w:p w14:paraId="19BCAA5F" w14:textId="77777777" w:rsidR="000D3DFE" w:rsidRPr="00ED3EE1" w:rsidRDefault="000D3DFE" w:rsidP="00ED3EE1">
            <w:pPr>
              <w:pStyle w:val="Default"/>
              <w:jc w:val="both"/>
              <w:rPr>
                <w:color w:val="auto"/>
              </w:rPr>
            </w:pPr>
            <w:r w:rsidRPr="00ED3EE1">
              <w:rPr>
                <w:b/>
                <w:bCs/>
                <w:color w:val="auto"/>
              </w:rPr>
              <w:t>consideradas</w:t>
            </w:r>
          </w:p>
        </w:tc>
        <w:tc>
          <w:tcPr>
            <w:tcW w:w="7380" w:type="dxa"/>
            <w:gridSpan w:val="5"/>
            <w:tcBorders>
              <w:top w:val="single" w:sz="6" w:space="0" w:color="000000"/>
              <w:left w:val="single" w:sz="4" w:space="0" w:color="000000"/>
              <w:bottom w:val="single" w:sz="4" w:space="0" w:color="auto"/>
              <w:right w:val="single" w:sz="4" w:space="0" w:color="000000"/>
            </w:tcBorders>
            <w:vAlign w:val="center"/>
          </w:tcPr>
          <w:p w14:paraId="75E0B176" w14:textId="77777777" w:rsidR="000D3DFE" w:rsidRPr="00D11D3E" w:rsidRDefault="000D3DFE" w:rsidP="00DE67ED">
            <w:pPr>
              <w:pStyle w:val="Default"/>
              <w:jc w:val="both"/>
            </w:pPr>
            <w:r>
              <w:t xml:space="preserve">No se han considerado otras alternativas, al considerarse necesario la regulación del contenido proyectado </w:t>
            </w:r>
            <w:r w:rsidRPr="00DE67ED">
              <w:t>mediante una norma</w:t>
            </w:r>
            <w:r>
              <w:t xml:space="preserve">. </w:t>
            </w:r>
          </w:p>
        </w:tc>
      </w:tr>
      <w:tr w:rsidR="000D3DFE" w:rsidRPr="00ED3EE1" w14:paraId="27120BFF" w14:textId="77777777" w:rsidTr="003E035D">
        <w:trPr>
          <w:trHeight w:val="265"/>
        </w:trPr>
        <w:tc>
          <w:tcPr>
            <w:tcW w:w="9288" w:type="dxa"/>
            <w:gridSpan w:val="6"/>
            <w:tcBorders>
              <w:top w:val="single" w:sz="4" w:space="0" w:color="auto"/>
              <w:left w:val="single" w:sz="4" w:space="0" w:color="000000"/>
              <w:bottom w:val="single" w:sz="6" w:space="0" w:color="000000"/>
              <w:right w:val="single" w:sz="4" w:space="0" w:color="000000"/>
            </w:tcBorders>
            <w:shd w:val="clear" w:color="auto" w:fill="003164"/>
            <w:vAlign w:val="center"/>
          </w:tcPr>
          <w:p w14:paraId="7F7E305B" w14:textId="77777777" w:rsidR="000D3DFE" w:rsidRPr="00730C0D" w:rsidRDefault="000D3DFE" w:rsidP="00ED3EE1">
            <w:pPr>
              <w:pStyle w:val="Default"/>
              <w:jc w:val="both"/>
              <w:rPr>
                <w:color w:val="auto"/>
              </w:rPr>
            </w:pPr>
            <w:r w:rsidRPr="00730C0D">
              <w:rPr>
                <w:b/>
                <w:bCs/>
                <w:color w:val="auto"/>
              </w:rPr>
              <w:t>CONTENIDO Y ANÁLISIS JURÍDICO</w:t>
            </w:r>
          </w:p>
        </w:tc>
      </w:tr>
      <w:tr w:rsidR="000D3DFE" w:rsidRPr="00ED3EE1" w14:paraId="596F642C" w14:textId="77777777" w:rsidTr="0002448F">
        <w:trPr>
          <w:trHeight w:val="679"/>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7A62EFB4" w14:textId="77777777" w:rsidR="000D3DFE" w:rsidRPr="00ED3EE1" w:rsidRDefault="000D3DFE" w:rsidP="00ED3EE1">
            <w:pPr>
              <w:pStyle w:val="Default"/>
              <w:jc w:val="both"/>
              <w:rPr>
                <w:color w:val="auto"/>
              </w:rPr>
            </w:pPr>
            <w:r w:rsidRPr="00ED3EE1">
              <w:rPr>
                <w:b/>
                <w:bCs/>
                <w:color w:val="auto"/>
              </w:rPr>
              <w:t>Tipo de norma</w:t>
            </w:r>
          </w:p>
        </w:tc>
        <w:tc>
          <w:tcPr>
            <w:tcW w:w="7380" w:type="dxa"/>
            <w:gridSpan w:val="5"/>
            <w:tcBorders>
              <w:top w:val="single" w:sz="6" w:space="0" w:color="000000"/>
              <w:left w:val="single" w:sz="4" w:space="0" w:color="000000"/>
              <w:bottom w:val="single" w:sz="6" w:space="0" w:color="000000"/>
              <w:right w:val="single" w:sz="4" w:space="0" w:color="000000"/>
            </w:tcBorders>
            <w:vAlign w:val="center"/>
          </w:tcPr>
          <w:p w14:paraId="4092C3D4" w14:textId="77777777" w:rsidR="000D3DFE" w:rsidRPr="00730C0D" w:rsidRDefault="000D3DFE" w:rsidP="00ED3EE1">
            <w:pPr>
              <w:pStyle w:val="Default"/>
              <w:numPr>
                <w:ilvl w:val="0"/>
                <w:numId w:val="13"/>
              </w:numPr>
              <w:jc w:val="both"/>
              <w:rPr>
                <w:color w:val="auto"/>
              </w:rPr>
            </w:pPr>
            <w:r w:rsidRPr="00730C0D">
              <w:rPr>
                <w:color w:val="auto"/>
              </w:rPr>
              <w:t>Real Decreto</w:t>
            </w:r>
          </w:p>
        </w:tc>
      </w:tr>
      <w:tr w:rsidR="000D3DFE" w:rsidRPr="00ED3EE1" w14:paraId="0694B107" w14:textId="77777777" w:rsidTr="00AE642E">
        <w:trPr>
          <w:trHeight w:val="1420"/>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2162C2C1" w14:textId="77777777" w:rsidR="000D3DFE" w:rsidRPr="00ED3EE1" w:rsidRDefault="000D3DFE" w:rsidP="00ED3EE1">
            <w:pPr>
              <w:pStyle w:val="Default"/>
              <w:jc w:val="both"/>
              <w:rPr>
                <w:color w:val="auto"/>
              </w:rPr>
            </w:pPr>
            <w:r w:rsidRPr="00ED3EE1">
              <w:rPr>
                <w:b/>
                <w:bCs/>
                <w:color w:val="auto"/>
              </w:rPr>
              <w:t>Estructura de la norma</w:t>
            </w:r>
          </w:p>
        </w:tc>
        <w:tc>
          <w:tcPr>
            <w:tcW w:w="7380" w:type="dxa"/>
            <w:gridSpan w:val="5"/>
            <w:tcBorders>
              <w:top w:val="single" w:sz="6" w:space="0" w:color="000000"/>
              <w:left w:val="single" w:sz="4" w:space="0" w:color="000000"/>
              <w:bottom w:val="single" w:sz="6" w:space="0" w:color="000000"/>
              <w:right w:val="single" w:sz="4" w:space="0" w:color="000000"/>
            </w:tcBorders>
            <w:vAlign w:val="center"/>
          </w:tcPr>
          <w:p w14:paraId="64D626A0" w14:textId="77777777" w:rsidR="000D3DFE" w:rsidRPr="00730C0D" w:rsidRDefault="000D3DFE" w:rsidP="007B7587">
            <w:pPr>
              <w:pStyle w:val="Default"/>
              <w:jc w:val="both"/>
              <w:rPr>
                <w:color w:val="auto"/>
              </w:rPr>
            </w:pPr>
            <w:r>
              <w:rPr>
                <w:color w:val="auto"/>
              </w:rPr>
              <w:t>El proyecto de real decreto consta de una parte expositiva y de una parte dispositiva compuesta por siete</w:t>
            </w:r>
            <w:r w:rsidRPr="00730C0D">
              <w:rPr>
                <w:color w:val="auto"/>
              </w:rPr>
              <w:t xml:space="preserve"> artículos</w:t>
            </w:r>
            <w:r>
              <w:rPr>
                <w:color w:val="auto"/>
              </w:rPr>
              <w:t xml:space="preserve">, dos </w:t>
            </w:r>
            <w:r w:rsidRPr="00E66AE8">
              <w:rPr>
                <w:color w:val="auto"/>
              </w:rPr>
              <w:t>disposiciones adicionales, una disposición</w:t>
            </w:r>
            <w:r w:rsidRPr="00730C0D">
              <w:rPr>
                <w:color w:val="auto"/>
              </w:rPr>
              <w:t xml:space="preserve"> transitoria</w:t>
            </w:r>
            <w:r>
              <w:rPr>
                <w:color w:val="auto"/>
              </w:rPr>
              <w:t xml:space="preserve"> única, u</w:t>
            </w:r>
            <w:r w:rsidRPr="00730C0D">
              <w:rPr>
                <w:color w:val="auto"/>
              </w:rPr>
              <w:t xml:space="preserve">na disposición derogatoria </w:t>
            </w:r>
            <w:r>
              <w:rPr>
                <w:color w:val="auto"/>
              </w:rPr>
              <w:t xml:space="preserve">única y </w:t>
            </w:r>
            <w:r w:rsidRPr="00AF1F81">
              <w:rPr>
                <w:color w:val="000000" w:themeColor="text1"/>
              </w:rPr>
              <w:t>cuatro d</w:t>
            </w:r>
            <w:r w:rsidRPr="00730C0D">
              <w:rPr>
                <w:color w:val="auto"/>
              </w:rPr>
              <w:t>isposiciones finales</w:t>
            </w:r>
            <w:r>
              <w:rPr>
                <w:color w:val="auto"/>
              </w:rPr>
              <w:t xml:space="preserve">, así como un anexo. </w:t>
            </w:r>
          </w:p>
        </w:tc>
      </w:tr>
      <w:tr w:rsidR="000D3DFE" w:rsidRPr="00ED3EE1" w14:paraId="02B2E0C0" w14:textId="77777777" w:rsidTr="00744EC4">
        <w:trPr>
          <w:trHeight w:val="1059"/>
        </w:trPr>
        <w:tc>
          <w:tcPr>
            <w:tcW w:w="1908" w:type="dxa"/>
            <w:tcBorders>
              <w:top w:val="single" w:sz="6" w:space="0" w:color="000000"/>
              <w:left w:val="single" w:sz="4" w:space="0" w:color="000000"/>
              <w:right w:val="single" w:sz="4" w:space="0" w:color="000000"/>
            </w:tcBorders>
            <w:shd w:val="clear" w:color="auto" w:fill="DBE5F1"/>
            <w:vAlign w:val="center"/>
          </w:tcPr>
          <w:p w14:paraId="11581869" w14:textId="77777777" w:rsidR="000D3DFE" w:rsidRPr="00ED3EE1" w:rsidRDefault="000D3DFE" w:rsidP="00ED3EE1">
            <w:pPr>
              <w:pStyle w:val="CM22"/>
              <w:spacing w:line="240" w:lineRule="auto"/>
              <w:jc w:val="both"/>
              <w:rPr>
                <w:rFonts w:cs="Arial"/>
                <w:b/>
                <w:bCs/>
              </w:rPr>
            </w:pPr>
            <w:r w:rsidRPr="00ED3EE1">
              <w:rPr>
                <w:rFonts w:cs="Arial"/>
                <w:b/>
                <w:bCs/>
              </w:rPr>
              <w:t>Informes</w:t>
            </w:r>
          </w:p>
          <w:p w14:paraId="7BAD36D4" w14:textId="77777777" w:rsidR="000D3DFE" w:rsidRPr="00ED3EE1" w:rsidRDefault="000D3DFE" w:rsidP="00ED3EE1">
            <w:pPr>
              <w:pStyle w:val="CM22"/>
              <w:spacing w:line="240" w:lineRule="auto"/>
              <w:jc w:val="both"/>
              <w:rPr>
                <w:rFonts w:cs="Arial"/>
                <w:b/>
                <w:bCs/>
              </w:rPr>
            </w:pPr>
            <w:r w:rsidRPr="00ED3EE1">
              <w:rPr>
                <w:rFonts w:cs="Arial"/>
                <w:b/>
                <w:bCs/>
              </w:rPr>
              <w:t>Recabados</w:t>
            </w:r>
          </w:p>
        </w:tc>
        <w:tc>
          <w:tcPr>
            <w:tcW w:w="7380" w:type="dxa"/>
            <w:gridSpan w:val="5"/>
            <w:tcBorders>
              <w:top w:val="single" w:sz="6" w:space="0" w:color="000000"/>
              <w:left w:val="single" w:sz="4" w:space="0" w:color="000000"/>
              <w:right w:val="single" w:sz="4" w:space="0" w:color="000000"/>
            </w:tcBorders>
            <w:vAlign w:val="center"/>
          </w:tcPr>
          <w:p w14:paraId="3F1D562E" w14:textId="77777777" w:rsidR="000D3DFE" w:rsidRPr="00730C0D" w:rsidRDefault="000D3DFE" w:rsidP="00AC10A9">
            <w:pPr>
              <w:pStyle w:val="Prrafodelista"/>
              <w:numPr>
                <w:ilvl w:val="0"/>
                <w:numId w:val="15"/>
              </w:numPr>
              <w:rPr>
                <w:rFonts w:cs="Arial"/>
              </w:rPr>
            </w:pPr>
            <w:r>
              <w:rPr>
                <w:rFonts w:cs="Arial"/>
              </w:rPr>
              <w:t xml:space="preserve">Informe </w:t>
            </w:r>
            <w:r w:rsidRPr="0023516C">
              <w:rPr>
                <w:rFonts w:cs="Arial"/>
              </w:rPr>
              <w:t xml:space="preserve">26.5.4º de la </w:t>
            </w:r>
            <w:r w:rsidRPr="0023516C">
              <w:rPr>
                <w:rFonts w:cs="Arial"/>
                <w:iCs/>
                <w:lang w:val="es-ES_tradnl"/>
              </w:rPr>
              <w:t>Ley 50/1997, de 27 de noviembre</w:t>
            </w:r>
            <w:r w:rsidRPr="0023516C">
              <w:rPr>
                <w:rFonts w:cs="Arial"/>
              </w:rPr>
              <w:t xml:space="preserve"> </w:t>
            </w:r>
            <w:r>
              <w:rPr>
                <w:rFonts w:cs="Arial"/>
              </w:rPr>
              <w:t xml:space="preserve">de la </w:t>
            </w:r>
            <w:r w:rsidRPr="00730C0D">
              <w:rPr>
                <w:rFonts w:cs="Arial"/>
              </w:rPr>
              <w:t>Secretaría General Técnica</w:t>
            </w:r>
            <w:r>
              <w:rPr>
                <w:rFonts w:cs="Arial"/>
              </w:rPr>
              <w:t xml:space="preserve"> del Departamento</w:t>
            </w:r>
            <w:r w:rsidRPr="00730C0D">
              <w:rPr>
                <w:rFonts w:cs="Arial"/>
              </w:rPr>
              <w:t>.</w:t>
            </w:r>
          </w:p>
          <w:p w14:paraId="63800397" w14:textId="77777777" w:rsidR="000D3DFE" w:rsidRPr="00730C0D" w:rsidRDefault="000D3DFE" w:rsidP="00AC10A9">
            <w:pPr>
              <w:pStyle w:val="Prrafodelista"/>
              <w:numPr>
                <w:ilvl w:val="0"/>
                <w:numId w:val="15"/>
              </w:numPr>
              <w:rPr>
                <w:rFonts w:cs="Arial"/>
              </w:rPr>
            </w:pPr>
            <w:r>
              <w:rPr>
                <w:rFonts w:cs="Arial"/>
              </w:rPr>
              <w:t xml:space="preserve">Informe 26.5.4º de la </w:t>
            </w:r>
            <w:r w:rsidRPr="00225139">
              <w:rPr>
                <w:rFonts w:cs="Arial"/>
                <w:iCs/>
                <w:lang w:val="es-ES_tradnl"/>
              </w:rPr>
              <w:t>Ley 50/1997, de 27 de noviembre</w:t>
            </w:r>
            <w:r>
              <w:rPr>
                <w:rFonts w:cs="Arial"/>
                <w:iCs/>
                <w:lang w:val="es-ES_tradnl"/>
              </w:rPr>
              <w:t xml:space="preserve">, </w:t>
            </w:r>
            <w:r>
              <w:rPr>
                <w:rFonts w:cs="Arial"/>
              </w:rPr>
              <w:t xml:space="preserve">del </w:t>
            </w:r>
            <w:r w:rsidRPr="00730C0D">
              <w:rPr>
                <w:rFonts w:cs="Arial"/>
              </w:rPr>
              <w:t>Ministerio de Sanidad, Consumo y Bienestar Social.</w:t>
            </w:r>
          </w:p>
          <w:p w14:paraId="4116B2BD" w14:textId="77777777" w:rsidR="000D3DFE" w:rsidRPr="00730C0D" w:rsidRDefault="000D3DFE" w:rsidP="00AC10A9">
            <w:pPr>
              <w:pStyle w:val="Prrafodelista"/>
              <w:numPr>
                <w:ilvl w:val="0"/>
                <w:numId w:val="15"/>
              </w:numPr>
              <w:rPr>
                <w:rFonts w:cs="Arial"/>
              </w:rPr>
            </w:pPr>
            <w:r w:rsidRPr="00225139">
              <w:rPr>
                <w:rFonts w:cs="Arial"/>
              </w:rPr>
              <w:t xml:space="preserve">Informe </w:t>
            </w:r>
            <w:r>
              <w:rPr>
                <w:rFonts w:cs="Arial"/>
              </w:rPr>
              <w:t>26.5.1</w:t>
            </w:r>
            <w:r w:rsidRPr="00225139">
              <w:rPr>
                <w:rFonts w:cs="Arial"/>
              </w:rPr>
              <w:t xml:space="preserve">º de la </w:t>
            </w:r>
            <w:r w:rsidRPr="00225139">
              <w:rPr>
                <w:rFonts w:cs="Arial"/>
                <w:iCs/>
                <w:lang w:val="es-ES_tradnl"/>
              </w:rPr>
              <w:t>Ley 50/1997, de 27 de noviembre</w:t>
            </w:r>
            <w:r w:rsidRPr="00225139">
              <w:rPr>
                <w:rFonts w:cs="Arial"/>
              </w:rPr>
              <w:t xml:space="preserve"> </w:t>
            </w:r>
            <w:r>
              <w:rPr>
                <w:rFonts w:cs="Arial"/>
              </w:rPr>
              <w:t>del Ministerio de Industria, Turismo y Comercio</w:t>
            </w:r>
          </w:p>
          <w:p w14:paraId="1ED3D24E" w14:textId="77777777" w:rsidR="000D3DFE" w:rsidRDefault="000D3DFE" w:rsidP="00AC10A9">
            <w:pPr>
              <w:pStyle w:val="Prrafodelista"/>
              <w:numPr>
                <w:ilvl w:val="0"/>
                <w:numId w:val="15"/>
              </w:numPr>
              <w:rPr>
                <w:rFonts w:cs="Arial"/>
              </w:rPr>
            </w:pPr>
            <w:r w:rsidRPr="00225139">
              <w:rPr>
                <w:rFonts w:cs="Arial"/>
              </w:rPr>
              <w:t xml:space="preserve">Informe 26.5.1º de la </w:t>
            </w:r>
            <w:r w:rsidRPr="00225139">
              <w:rPr>
                <w:rFonts w:cs="Arial"/>
                <w:iCs/>
                <w:lang w:val="es-ES_tradnl"/>
              </w:rPr>
              <w:t>Ley 50/1997, de 27 de noviembre</w:t>
            </w:r>
            <w:r>
              <w:rPr>
                <w:rFonts w:cs="Arial"/>
                <w:iCs/>
                <w:lang w:val="es-ES_tradnl"/>
              </w:rPr>
              <w:t xml:space="preserve">, del </w:t>
            </w:r>
            <w:r w:rsidRPr="00225139">
              <w:rPr>
                <w:rFonts w:cs="Arial"/>
              </w:rPr>
              <w:t xml:space="preserve"> </w:t>
            </w:r>
            <w:r w:rsidRPr="00730C0D">
              <w:rPr>
                <w:rFonts w:cs="Arial"/>
              </w:rPr>
              <w:t>Ministerio de Economía y Empresa.</w:t>
            </w:r>
          </w:p>
          <w:p w14:paraId="3F37C56A" w14:textId="77777777" w:rsidR="000D3DFE" w:rsidRDefault="000D3DFE" w:rsidP="00225139">
            <w:pPr>
              <w:pStyle w:val="Prrafodelista"/>
              <w:numPr>
                <w:ilvl w:val="0"/>
                <w:numId w:val="15"/>
              </w:numPr>
              <w:rPr>
                <w:rFonts w:cs="Arial"/>
              </w:rPr>
            </w:pPr>
            <w:r>
              <w:rPr>
                <w:rFonts w:cs="Arial"/>
              </w:rPr>
              <w:t xml:space="preserve">Informe 26.5 5º y 6º de la </w:t>
            </w:r>
            <w:r w:rsidRPr="00225139">
              <w:rPr>
                <w:rFonts w:cs="Arial"/>
                <w:iCs/>
                <w:lang w:val="es-ES_tradnl"/>
              </w:rPr>
              <w:t>Ley 50/1997, de 27 de noviembre</w:t>
            </w:r>
            <w:r w:rsidRPr="00225139">
              <w:rPr>
                <w:rFonts w:cs="Arial"/>
              </w:rPr>
              <w:t xml:space="preserve"> del Ministerio de</w:t>
            </w:r>
            <w:r>
              <w:rPr>
                <w:rFonts w:cs="Arial"/>
              </w:rPr>
              <w:t xml:space="preserve"> Política Territorial y Función Pública.</w:t>
            </w:r>
          </w:p>
          <w:p w14:paraId="599D4D7F" w14:textId="77777777" w:rsidR="000D3DFE" w:rsidRPr="00225139" w:rsidRDefault="000D3DFE" w:rsidP="00225139">
            <w:pPr>
              <w:pStyle w:val="Prrafodelista"/>
              <w:numPr>
                <w:ilvl w:val="0"/>
                <w:numId w:val="15"/>
              </w:numPr>
              <w:rPr>
                <w:rFonts w:cs="Arial"/>
              </w:rPr>
            </w:pPr>
            <w:r>
              <w:rPr>
                <w:rFonts w:cs="Arial"/>
              </w:rPr>
              <w:t xml:space="preserve">Dictamen Consejo de Estado. </w:t>
            </w:r>
          </w:p>
        </w:tc>
      </w:tr>
      <w:tr w:rsidR="000D3DFE" w:rsidRPr="00ED3EE1" w14:paraId="0ADF62AF" w14:textId="77777777" w:rsidTr="00225139">
        <w:trPr>
          <w:trHeight w:val="953"/>
        </w:trPr>
        <w:tc>
          <w:tcPr>
            <w:tcW w:w="1908" w:type="dxa"/>
            <w:tcBorders>
              <w:top w:val="single" w:sz="6" w:space="0" w:color="000000"/>
              <w:left w:val="single" w:sz="4" w:space="0" w:color="000000"/>
              <w:bottom w:val="single" w:sz="6" w:space="0" w:color="000000"/>
              <w:right w:val="single" w:sz="4" w:space="0" w:color="000000"/>
            </w:tcBorders>
            <w:shd w:val="clear" w:color="auto" w:fill="DBE5F1"/>
            <w:vAlign w:val="center"/>
          </w:tcPr>
          <w:p w14:paraId="2364D089" w14:textId="77777777" w:rsidR="000D3DFE" w:rsidRPr="005B052D" w:rsidRDefault="000D3DFE" w:rsidP="005B052D">
            <w:pPr>
              <w:pStyle w:val="CM22"/>
              <w:rPr>
                <w:rFonts w:cs="Arial"/>
                <w:b/>
                <w:bCs/>
              </w:rPr>
            </w:pPr>
            <w:r w:rsidRPr="005B052D">
              <w:rPr>
                <w:rFonts w:cs="Arial"/>
                <w:b/>
                <w:bCs/>
              </w:rPr>
              <w:t>Trámite de consulta pública previa y de audiencia</w:t>
            </w:r>
          </w:p>
          <w:p w14:paraId="6DA0E6BE" w14:textId="77777777" w:rsidR="000D3DFE" w:rsidRPr="005B052D" w:rsidRDefault="000D3DFE" w:rsidP="005B052D">
            <w:pPr>
              <w:pStyle w:val="CM22"/>
              <w:spacing w:line="240" w:lineRule="auto"/>
              <w:jc w:val="both"/>
              <w:rPr>
                <w:rFonts w:cs="Arial"/>
                <w:b/>
                <w:bCs/>
              </w:rPr>
            </w:pPr>
            <w:r w:rsidRPr="005B052D">
              <w:rPr>
                <w:rFonts w:cs="Arial"/>
                <w:b/>
                <w:bCs/>
              </w:rPr>
              <w:t>e información pública</w:t>
            </w:r>
          </w:p>
        </w:tc>
        <w:tc>
          <w:tcPr>
            <w:tcW w:w="7380" w:type="dxa"/>
            <w:gridSpan w:val="5"/>
            <w:tcBorders>
              <w:top w:val="single" w:sz="6" w:space="0" w:color="000000"/>
              <w:left w:val="single" w:sz="4" w:space="0" w:color="000000"/>
              <w:bottom w:val="single" w:sz="6" w:space="0" w:color="000000"/>
              <w:right w:val="single" w:sz="4" w:space="0" w:color="000000"/>
            </w:tcBorders>
            <w:vAlign w:val="center"/>
          </w:tcPr>
          <w:p w14:paraId="50C10919" w14:textId="77777777" w:rsidR="000D3DFE" w:rsidRPr="005B052D" w:rsidRDefault="000D3DFE" w:rsidP="00225139">
            <w:pPr>
              <w:pStyle w:val="Default"/>
              <w:jc w:val="both"/>
              <w:rPr>
                <w:color w:val="auto"/>
              </w:rPr>
            </w:pPr>
            <w:r w:rsidRPr="005B052D">
              <w:rPr>
                <w:color w:val="auto"/>
                <w:lang w:eastAsia="ar-SA"/>
              </w:rPr>
              <w:t>Consulta a las comunidades autónomas y entidades representativas del sector, y audiencia pública.</w:t>
            </w:r>
          </w:p>
          <w:p w14:paraId="1886EA83" w14:textId="77777777" w:rsidR="000D3DFE" w:rsidRPr="005B052D" w:rsidRDefault="000D3DFE" w:rsidP="00225139"/>
        </w:tc>
      </w:tr>
      <w:tr w:rsidR="000D3DFE" w:rsidRPr="00ED3EE1" w14:paraId="51C89346" w14:textId="77777777" w:rsidTr="00A66D3F">
        <w:trPr>
          <w:trHeight w:val="262"/>
        </w:trPr>
        <w:tc>
          <w:tcPr>
            <w:tcW w:w="9288" w:type="dxa"/>
            <w:gridSpan w:val="6"/>
            <w:tcBorders>
              <w:top w:val="single" w:sz="6" w:space="0" w:color="000000"/>
              <w:left w:val="single" w:sz="4" w:space="0" w:color="000000"/>
              <w:bottom w:val="single" w:sz="6" w:space="0" w:color="000000"/>
              <w:right w:val="single" w:sz="4" w:space="0" w:color="000000"/>
            </w:tcBorders>
            <w:shd w:val="clear" w:color="auto" w:fill="003164"/>
            <w:vAlign w:val="center"/>
          </w:tcPr>
          <w:p w14:paraId="36D984CE" w14:textId="77777777" w:rsidR="000D3DFE" w:rsidRPr="00730C0D" w:rsidRDefault="000D3DFE" w:rsidP="00ED3EE1">
            <w:pPr>
              <w:pStyle w:val="Default"/>
              <w:jc w:val="both"/>
              <w:rPr>
                <w:color w:val="auto"/>
              </w:rPr>
            </w:pPr>
            <w:r w:rsidRPr="00730C0D">
              <w:rPr>
                <w:b/>
                <w:bCs/>
                <w:color w:val="auto"/>
              </w:rPr>
              <w:t>ANÁLISIS DE IMPACTOS</w:t>
            </w:r>
          </w:p>
        </w:tc>
      </w:tr>
      <w:tr w:rsidR="000D3DFE" w:rsidRPr="00ED3EE1" w14:paraId="3D0CE830" w14:textId="77777777" w:rsidTr="00B36A57">
        <w:trPr>
          <w:trHeight w:val="65"/>
        </w:trPr>
        <w:tc>
          <w:tcPr>
            <w:tcW w:w="1951" w:type="dxa"/>
            <w:gridSpan w:val="2"/>
            <w:tcBorders>
              <w:top w:val="single" w:sz="6" w:space="0" w:color="000000"/>
              <w:left w:val="single" w:sz="4" w:space="0" w:color="000000"/>
              <w:bottom w:val="single" w:sz="6" w:space="0" w:color="000000"/>
              <w:right w:val="single" w:sz="4" w:space="0" w:color="000000"/>
            </w:tcBorders>
            <w:shd w:val="clear" w:color="auto" w:fill="DBE5F1"/>
            <w:vAlign w:val="center"/>
          </w:tcPr>
          <w:p w14:paraId="16C6C65D" w14:textId="77777777" w:rsidR="000D3DFE" w:rsidRPr="00730C0D" w:rsidRDefault="000D3DFE" w:rsidP="00ED3EE1">
            <w:pPr>
              <w:pStyle w:val="Default"/>
              <w:jc w:val="both"/>
              <w:rPr>
                <w:color w:val="auto"/>
              </w:rPr>
            </w:pPr>
            <w:r w:rsidRPr="00730C0D">
              <w:rPr>
                <w:b/>
                <w:bCs/>
                <w:color w:val="auto"/>
              </w:rPr>
              <w:t>Adecuación al</w:t>
            </w:r>
          </w:p>
          <w:p w14:paraId="62B4A0C5" w14:textId="77777777" w:rsidR="000D3DFE" w:rsidRPr="00730C0D" w:rsidRDefault="000D3DFE" w:rsidP="00ED3EE1">
            <w:pPr>
              <w:pStyle w:val="Default"/>
              <w:jc w:val="both"/>
              <w:rPr>
                <w:color w:val="auto"/>
              </w:rPr>
            </w:pPr>
            <w:r w:rsidRPr="00730C0D">
              <w:rPr>
                <w:b/>
                <w:bCs/>
                <w:color w:val="auto"/>
              </w:rPr>
              <w:t>orden de</w:t>
            </w:r>
          </w:p>
          <w:p w14:paraId="46888E3E" w14:textId="77777777" w:rsidR="000D3DFE" w:rsidRPr="00730C0D" w:rsidRDefault="000D3DFE" w:rsidP="00ED3EE1">
            <w:pPr>
              <w:pStyle w:val="Default"/>
              <w:jc w:val="both"/>
              <w:rPr>
                <w:color w:val="auto"/>
              </w:rPr>
            </w:pPr>
            <w:r w:rsidRPr="00730C0D">
              <w:rPr>
                <w:b/>
                <w:bCs/>
                <w:color w:val="auto"/>
              </w:rPr>
              <w:t>competencias</w:t>
            </w:r>
          </w:p>
        </w:tc>
        <w:tc>
          <w:tcPr>
            <w:tcW w:w="7337" w:type="dxa"/>
            <w:gridSpan w:val="4"/>
            <w:tcBorders>
              <w:top w:val="single" w:sz="6" w:space="0" w:color="000000"/>
              <w:left w:val="single" w:sz="4" w:space="0" w:color="000000"/>
              <w:bottom w:val="single" w:sz="6" w:space="0" w:color="000000"/>
              <w:right w:val="single" w:sz="4" w:space="0" w:color="000000"/>
            </w:tcBorders>
            <w:vAlign w:val="center"/>
          </w:tcPr>
          <w:p w14:paraId="7FC5B0D8" w14:textId="77777777" w:rsidR="000D3DFE" w:rsidRPr="00730C0D" w:rsidRDefault="000D3DFE" w:rsidP="00ED3EE1">
            <w:pPr>
              <w:rPr>
                <w:rFonts w:ascii="Arial" w:hAnsi="Arial" w:cs="Arial"/>
              </w:rPr>
            </w:pPr>
          </w:p>
          <w:p w14:paraId="5E1E43E1" w14:textId="77777777" w:rsidR="000D3DFE" w:rsidRPr="00730C0D" w:rsidRDefault="000D3DFE" w:rsidP="00ED3EE1">
            <w:pPr>
              <w:rPr>
                <w:rFonts w:ascii="Arial" w:hAnsi="Arial" w:cs="Arial"/>
              </w:rPr>
            </w:pPr>
            <w:r w:rsidRPr="00730C0D">
              <w:rPr>
                <w:rFonts w:ascii="Arial" w:hAnsi="Arial" w:cs="Arial"/>
              </w:rPr>
              <w:t>¿Cuál es el título competencial prevalente?</w:t>
            </w:r>
          </w:p>
          <w:p w14:paraId="4A1F00DB" w14:textId="77777777" w:rsidR="000D3DFE" w:rsidRPr="00730C0D" w:rsidRDefault="000D3DFE" w:rsidP="00ED3EE1">
            <w:pPr>
              <w:rPr>
                <w:rFonts w:ascii="Arial" w:hAnsi="Arial" w:cs="Arial"/>
              </w:rPr>
            </w:pPr>
          </w:p>
          <w:p w14:paraId="22709D8A" w14:textId="77777777" w:rsidR="000D3DFE" w:rsidRPr="00730C0D" w:rsidRDefault="000D3DFE" w:rsidP="000B0F4F">
            <w:pPr>
              <w:rPr>
                <w:rFonts w:ascii="Arial" w:hAnsi="Arial" w:cs="Arial"/>
              </w:rPr>
            </w:pPr>
            <w:r w:rsidRPr="00730C0D">
              <w:rPr>
                <w:rFonts w:ascii="Arial" w:hAnsi="Arial" w:cs="Arial"/>
              </w:rPr>
              <w:t>Este real decreto se dicta al amparo del artículo 149.1.13ª de la Constitución, que atribuye al estado las bases y coordinación de la planificación general de la actividad económica.</w:t>
            </w:r>
          </w:p>
          <w:p w14:paraId="555871A7" w14:textId="77777777" w:rsidR="000D3DFE" w:rsidRPr="00730C0D" w:rsidRDefault="000D3DFE" w:rsidP="00B36A57">
            <w:pPr>
              <w:rPr>
                <w:rFonts w:ascii="Arial" w:hAnsi="Arial" w:cs="Arial"/>
              </w:rPr>
            </w:pPr>
          </w:p>
        </w:tc>
      </w:tr>
      <w:tr w:rsidR="000D3DFE" w:rsidRPr="00ED3EE1" w14:paraId="6B1EF8DD" w14:textId="77777777" w:rsidTr="00ED3EE1">
        <w:trPr>
          <w:trHeight w:val="225"/>
        </w:trPr>
        <w:tc>
          <w:tcPr>
            <w:tcW w:w="1951" w:type="dxa"/>
            <w:gridSpan w:val="2"/>
            <w:vMerge w:val="restart"/>
            <w:tcBorders>
              <w:top w:val="single" w:sz="6" w:space="0" w:color="000000"/>
              <w:left w:val="single" w:sz="4" w:space="0" w:color="000000"/>
              <w:right w:val="single" w:sz="4" w:space="0" w:color="000000"/>
            </w:tcBorders>
            <w:shd w:val="clear" w:color="auto" w:fill="DBE5F1"/>
            <w:vAlign w:val="center"/>
          </w:tcPr>
          <w:p w14:paraId="33344F15" w14:textId="77777777" w:rsidR="000D3DFE" w:rsidRPr="00ED3EE1" w:rsidRDefault="000D3DFE" w:rsidP="00ED3EE1">
            <w:pPr>
              <w:pStyle w:val="Default"/>
              <w:jc w:val="both"/>
              <w:rPr>
                <w:color w:val="auto"/>
              </w:rPr>
            </w:pPr>
            <w:r w:rsidRPr="00ED3EE1">
              <w:rPr>
                <w:b/>
                <w:bCs/>
                <w:color w:val="auto"/>
              </w:rPr>
              <w:t>Impacto</w:t>
            </w:r>
          </w:p>
          <w:p w14:paraId="78CAA3B4" w14:textId="77777777" w:rsidR="000D3DFE" w:rsidRPr="00ED3EE1" w:rsidRDefault="000D3DFE" w:rsidP="00ED3EE1">
            <w:pPr>
              <w:pStyle w:val="Default"/>
              <w:jc w:val="both"/>
              <w:rPr>
                <w:color w:val="auto"/>
              </w:rPr>
            </w:pPr>
            <w:r w:rsidRPr="00ED3EE1">
              <w:rPr>
                <w:b/>
                <w:bCs/>
                <w:color w:val="auto"/>
              </w:rPr>
              <w:t>económico y</w:t>
            </w:r>
          </w:p>
          <w:p w14:paraId="10F730BF" w14:textId="77777777" w:rsidR="000D3DFE" w:rsidRPr="00ED3EE1" w:rsidRDefault="000D3DFE" w:rsidP="00ED3EE1">
            <w:pPr>
              <w:pStyle w:val="Default"/>
              <w:jc w:val="both"/>
              <w:rPr>
                <w:color w:val="auto"/>
              </w:rPr>
            </w:pPr>
            <w:r w:rsidRPr="00ED3EE1">
              <w:rPr>
                <w:b/>
                <w:bCs/>
                <w:color w:val="auto"/>
              </w:rPr>
              <w:t>presupuestario</w:t>
            </w:r>
          </w:p>
        </w:tc>
        <w:tc>
          <w:tcPr>
            <w:tcW w:w="3773" w:type="dxa"/>
            <w:tcBorders>
              <w:top w:val="single" w:sz="6" w:space="0" w:color="000000"/>
              <w:left w:val="single" w:sz="4" w:space="0" w:color="000000"/>
              <w:right w:val="single" w:sz="4" w:space="0" w:color="000000"/>
            </w:tcBorders>
            <w:vAlign w:val="center"/>
          </w:tcPr>
          <w:p w14:paraId="7615C8B4" w14:textId="77777777" w:rsidR="000D3DFE" w:rsidRPr="00ED3EE1" w:rsidRDefault="000D3DFE" w:rsidP="00ED3EE1">
            <w:pPr>
              <w:pStyle w:val="Default"/>
              <w:jc w:val="both"/>
              <w:rPr>
                <w:b/>
                <w:color w:val="auto"/>
              </w:rPr>
            </w:pPr>
            <w:r w:rsidRPr="00ED3EE1">
              <w:rPr>
                <w:b/>
                <w:color w:val="auto"/>
              </w:rPr>
              <w:t>Efectos sobre la economía en general</w:t>
            </w:r>
          </w:p>
        </w:tc>
        <w:tc>
          <w:tcPr>
            <w:tcW w:w="3564" w:type="dxa"/>
            <w:gridSpan w:val="3"/>
            <w:tcBorders>
              <w:top w:val="single" w:sz="6" w:space="0" w:color="000000"/>
              <w:left w:val="single" w:sz="4" w:space="0" w:color="000000"/>
              <w:right w:val="single" w:sz="4" w:space="0" w:color="000000"/>
            </w:tcBorders>
            <w:vAlign w:val="center"/>
          </w:tcPr>
          <w:p w14:paraId="3CC19FDF" w14:textId="77777777" w:rsidR="000D3DFE" w:rsidRPr="00ED3EE1" w:rsidRDefault="000D3DFE" w:rsidP="00ED3EE1">
            <w:pPr>
              <w:pStyle w:val="Default"/>
              <w:jc w:val="both"/>
              <w:rPr>
                <w:b/>
                <w:color w:val="auto"/>
              </w:rPr>
            </w:pPr>
            <w:r w:rsidRPr="00ED3EE1">
              <w:rPr>
                <w:b/>
                <w:color w:val="auto"/>
              </w:rPr>
              <w:t>Mejora del funcionamiento de la comercialización pesquera</w:t>
            </w:r>
          </w:p>
        </w:tc>
      </w:tr>
      <w:tr w:rsidR="000D3DFE" w:rsidRPr="00ED3EE1" w14:paraId="09917D25" w14:textId="77777777" w:rsidTr="0053793C">
        <w:trPr>
          <w:trHeight w:val="222"/>
        </w:trPr>
        <w:tc>
          <w:tcPr>
            <w:tcW w:w="1951" w:type="dxa"/>
            <w:gridSpan w:val="2"/>
            <w:vMerge/>
            <w:tcBorders>
              <w:left w:val="single" w:sz="4" w:space="0" w:color="000000"/>
              <w:bottom w:val="single" w:sz="4" w:space="0" w:color="auto"/>
              <w:right w:val="single" w:sz="4" w:space="0" w:color="000000"/>
            </w:tcBorders>
            <w:shd w:val="clear" w:color="auto" w:fill="DBE5F1"/>
            <w:vAlign w:val="center"/>
          </w:tcPr>
          <w:p w14:paraId="1E3E21BC" w14:textId="77777777" w:rsidR="000D3DFE" w:rsidRPr="00ED3EE1" w:rsidRDefault="000D3DFE" w:rsidP="00ED3EE1">
            <w:pPr>
              <w:pStyle w:val="Default"/>
              <w:jc w:val="both"/>
              <w:rPr>
                <w:b/>
                <w:bCs/>
                <w:color w:val="auto"/>
              </w:rPr>
            </w:pPr>
          </w:p>
        </w:tc>
        <w:tc>
          <w:tcPr>
            <w:tcW w:w="3773" w:type="dxa"/>
            <w:tcBorders>
              <w:top w:val="single" w:sz="6" w:space="0" w:color="000000"/>
              <w:left w:val="single" w:sz="4" w:space="0" w:color="000000"/>
              <w:bottom w:val="single" w:sz="4" w:space="0" w:color="auto"/>
              <w:right w:val="single" w:sz="4" w:space="0" w:color="000000"/>
            </w:tcBorders>
            <w:vAlign w:val="center"/>
          </w:tcPr>
          <w:p w14:paraId="50A0EF0E" w14:textId="77777777" w:rsidR="000D3DFE" w:rsidRPr="00ED3EE1" w:rsidRDefault="000D3DFE" w:rsidP="00ED3EE1">
            <w:pPr>
              <w:pStyle w:val="Default"/>
              <w:jc w:val="both"/>
              <w:rPr>
                <w:color w:val="auto"/>
              </w:rPr>
            </w:pPr>
            <w:r w:rsidRPr="00ED3EE1">
              <w:rPr>
                <w:color w:val="auto"/>
              </w:rPr>
              <w:t>En relación con la competenci</w:t>
            </w:r>
            <w:r>
              <w:rPr>
                <w:color w:val="auto"/>
              </w:rPr>
              <w:t>a</w:t>
            </w:r>
          </w:p>
        </w:tc>
        <w:tc>
          <w:tcPr>
            <w:tcW w:w="3564" w:type="dxa"/>
            <w:gridSpan w:val="3"/>
            <w:tcBorders>
              <w:top w:val="single" w:sz="6" w:space="0" w:color="000000"/>
              <w:left w:val="single" w:sz="4" w:space="0" w:color="000000"/>
              <w:bottom w:val="single" w:sz="4" w:space="0" w:color="auto"/>
              <w:right w:val="single" w:sz="4" w:space="0" w:color="000000"/>
            </w:tcBorders>
            <w:vAlign w:val="center"/>
          </w:tcPr>
          <w:p w14:paraId="48FFCA0C" w14:textId="77777777" w:rsidR="000D3DFE" w:rsidRPr="00ED3EE1" w:rsidRDefault="000D3DFE" w:rsidP="00ED3EE1">
            <w:pPr>
              <w:rPr>
                <w:rFonts w:ascii="Arial" w:hAnsi="Arial" w:cs="Arial"/>
              </w:rPr>
            </w:pPr>
          </w:p>
          <w:p w14:paraId="17F6FFA9" w14:textId="77777777" w:rsidR="000D3DFE" w:rsidRPr="00ED3EE1" w:rsidRDefault="001F2D43" w:rsidP="00ED3EE1">
            <w:pPr>
              <w:pStyle w:val="Sangra2detindependiente"/>
              <w:spacing w:before="0"/>
              <w:ind w:firstLine="0"/>
              <w:rPr>
                <w:rFonts w:ascii="Arial" w:hAnsi="Arial" w:cs="Arial"/>
                <w:sz w:val="24"/>
              </w:rPr>
            </w:pPr>
            <w:r>
              <w:rPr>
                <w:noProof/>
              </w:rPr>
              <mc:AlternateContent>
                <mc:Choice Requires="wps">
                  <w:drawing>
                    <wp:anchor distT="0" distB="0" distL="114300" distR="114300" simplePos="0" relativeHeight="251653632" behindDoc="0" locked="1" layoutInCell="1" allowOverlap="1" wp14:anchorId="458EC053" wp14:editId="10751B4E">
                      <wp:simplePos x="0" y="0"/>
                      <wp:positionH relativeFrom="column">
                        <wp:posOffset>-29845</wp:posOffset>
                      </wp:positionH>
                      <wp:positionV relativeFrom="paragraph">
                        <wp:posOffset>422910</wp:posOffset>
                      </wp:positionV>
                      <wp:extent cx="342900" cy="228600"/>
                      <wp:effectExtent l="0" t="0" r="19050" b="1905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99CC00">
                                  <a:alpha val="50000"/>
                                </a:srgbClr>
                              </a:solidFill>
                              <a:ln w="9525">
                                <a:solidFill>
                                  <a:srgbClr val="000000"/>
                                </a:solidFill>
                                <a:miter lim="800000"/>
                                <a:headEnd/>
                                <a:tailEnd/>
                              </a:ln>
                            </wps:spPr>
                            <wps:txbx>
                              <w:txbxContent>
                                <w:p w14:paraId="477F0F05" w14:textId="77777777" w:rsidR="000D3DFE" w:rsidRPr="00AD12ED" w:rsidRDefault="000D3DFE" w:rsidP="00C603F2">
                                  <w:pPr>
                                    <w:rPr>
                                      <w:rFonts w:ascii="Arial" w:hAnsi="Arial" w:cs="Arial"/>
                                      <w:b/>
                                      <w:szCs w:val="28"/>
                                    </w:rPr>
                                  </w:pPr>
                                  <w:r>
                                    <w:rPr>
                                      <w:rFonts w:ascii="Arial" w:hAnsi="Arial" w:cs="Arial"/>
                                      <w:b/>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EC053" id="Text Box 5" o:spid="_x0000_s1027" type="#_x0000_t202" style="position:absolute;left:0;text-align:left;margin-left:-2.35pt;margin-top:33.3pt;width:27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" fillcolor="#9c0">
                      <v:fill opacity="32896f"/>
                      <v:textbox>
                        <w:txbxContent>
                          <w:p w14:paraId="477F0F05" w14:textId="77777777" w:rsidR="000D3DFE" w:rsidRPr="00AD12ED" w:rsidRDefault="000D3DFE" w:rsidP="00C603F2">
                            <w:pPr>
                              <w:rPr>
                                <w:rFonts w:ascii="Arial" w:hAnsi="Arial" w:cs="Arial"/>
                                <w:b/>
                                <w:szCs w:val="28"/>
                              </w:rPr>
                            </w:pPr>
                            <w:r>
                              <w:rPr>
                                <w:rFonts w:ascii="Arial" w:hAnsi="Arial" w:cs="Arial"/>
                                <w:b/>
                                <w:szCs w:val="28"/>
                              </w:rPr>
                              <w:t>X</w:t>
                            </w:r>
                          </w:p>
                        </w:txbxContent>
                      </v:textbox>
                      <w10:anchorlock/>
                    </v:shape>
                  </w:pict>
                </mc:Fallback>
              </mc:AlternateContent>
            </w:r>
            <w:r>
              <w:rPr>
                <w:noProof/>
              </w:rPr>
              <mc:AlternateContent>
                <mc:Choice Requires="wps">
                  <w:drawing>
                    <wp:anchor distT="0" distB="0" distL="114300" distR="114300" simplePos="0" relativeHeight="251652608" behindDoc="0" locked="1" layoutInCell="1" allowOverlap="1" wp14:anchorId="77A52911" wp14:editId="1625780D">
                      <wp:simplePos x="0" y="0"/>
                      <wp:positionH relativeFrom="column">
                        <wp:posOffset>-29845</wp:posOffset>
                      </wp:positionH>
                      <wp:positionV relativeFrom="paragraph">
                        <wp:posOffset>-34290</wp:posOffset>
                      </wp:positionV>
                      <wp:extent cx="342900" cy="228600"/>
                      <wp:effectExtent l="0" t="0" r="19050" b="1905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99CC00">
                                  <a:alpha val="50000"/>
                                </a:srgbClr>
                              </a:solidFill>
                              <a:ln w="9525">
                                <a:solidFill>
                                  <a:srgbClr val="000000"/>
                                </a:solidFill>
                                <a:miter lim="800000"/>
                                <a:headEnd/>
                                <a:tailEnd/>
                              </a:ln>
                            </wps:spPr>
                            <wps:txbx>
                              <w:txbxContent>
                                <w:p w14:paraId="15DEB7FD" w14:textId="77777777" w:rsidR="000D3DFE" w:rsidRDefault="000D3DFE" w:rsidP="00A211CE">
                                  <w:pPr>
                                    <w:rPr>
                                      <w:b/>
                                      <w:bCs/>
                                    </w:rPr>
                                  </w:pPr>
                                  <w:r>
                                    <w:rPr>
                                      <w:b/>
                                      <w:bC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52911" id="Text Box 6" o:spid="_x0000_s1028" type="#_x0000_t202" style="position:absolute;left:0;text-align:left;margin-left:-2.35pt;margin-top:-2.7pt;width:27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" fillcolor="#9c0">
                      <v:fill opacity="32896f"/>
                      <v:textbox>
                        <w:txbxContent>
                          <w:p w14:paraId="15DEB7FD" w14:textId="77777777" w:rsidR="000D3DFE" w:rsidRDefault="000D3DFE" w:rsidP="00A211CE">
                            <w:pPr>
                              <w:rPr>
                                <w:b/>
                                <w:bCs/>
                              </w:rPr>
                            </w:pPr>
                            <w:r>
                              <w:rPr>
                                <w:b/>
                                <w:bCs/>
                              </w:rPr>
                              <w:tab/>
                            </w:r>
                          </w:p>
                        </w:txbxContent>
                      </v:textbox>
                      <w10:anchorlock/>
                    </v:shape>
                  </w:pict>
                </mc:Fallback>
              </mc:AlternateContent>
            </w:r>
            <w:r w:rsidR="000D3DFE" w:rsidRPr="00ED3EE1">
              <w:rPr>
                <w:rFonts w:ascii="Arial" w:hAnsi="Arial" w:cs="Arial"/>
                <w:sz w:val="24"/>
              </w:rPr>
              <w:t>la norma no tiene efectos significativos</w:t>
            </w:r>
          </w:p>
          <w:p w14:paraId="79BAACF0" w14:textId="77777777" w:rsidR="000D3DFE" w:rsidRPr="00ED3EE1" w:rsidRDefault="000D3DFE" w:rsidP="00ED3EE1">
            <w:pPr>
              <w:pStyle w:val="Sangra2detindependiente"/>
              <w:spacing w:before="0"/>
              <w:rPr>
                <w:rFonts w:ascii="Arial" w:hAnsi="Arial" w:cs="Arial"/>
                <w:sz w:val="24"/>
              </w:rPr>
            </w:pPr>
            <w:r w:rsidRPr="00ED3EE1">
              <w:rPr>
                <w:rFonts w:ascii="Arial" w:hAnsi="Arial" w:cs="Arial"/>
                <w:sz w:val="24"/>
              </w:rPr>
              <w:lastRenderedPageBreak/>
              <w:t>la norma tiene efectos positivos sobre la competencia</w:t>
            </w:r>
          </w:p>
          <w:p w14:paraId="09897C63" w14:textId="77777777" w:rsidR="000D3DFE" w:rsidRPr="00ED3EE1" w:rsidRDefault="000D3DFE" w:rsidP="00637DAF">
            <w:pPr>
              <w:pStyle w:val="Default"/>
              <w:jc w:val="both"/>
              <w:rPr>
                <w:color w:val="auto"/>
              </w:rPr>
            </w:pPr>
          </w:p>
          <w:p w14:paraId="7A75858D" w14:textId="77777777" w:rsidR="000D3DFE" w:rsidRPr="00ED3EE1" w:rsidRDefault="001F2D43" w:rsidP="00637DAF">
            <w:pPr>
              <w:pStyle w:val="Default"/>
              <w:jc w:val="both"/>
              <w:rPr>
                <w:color w:val="auto"/>
              </w:rPr>
            </w:pPr>
            <w:r>
              <w:rPr>
                <w:noProof/>
                <w:color w:val="auto"/>
              </w:rPr>
              <w:drawing>
                <wp:inline distT="0" distB="0" distL="0" distR="0" wp14:anchorId="367B3C67" wp14:editId="30C8FF4E">
                  <wp:extent cx="335280" cy="304800"/>
                  <wp:effectExtent l="0" t="0" r="7620" b="0"/>
                  <wp:docPr id="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 cy="304800"/>
                          </a:xfrm>
                          <a:prstGeom prst="rect">
                            <a:avLst/>
                          </a:prstGeom>
                          <a:noFill/>
                          <a:ln>
                            <a:noFill/>
                          </a:ln>
                        </pic:spPr>
                      </pic:pic>
                    </a:graphicData>
                  </a:graphic>
                </wp:inline>
              </w:drawing>
            </w:r>
            <w:r w:rsidR="000D3DFE" w:rsidRPr="00ED3EE1">
              <w:rPr>
                <w:color w:val="auto"/>
              </w:rPr>
              <w:t>la norma tiene efectos negativos sobre la competencia</w:t>
            </w:r>
          </w:p>
        </w:tc>
      </w:tr>
      <w:tr w:rsidR="000D3DFE" w:rsidRPr="00ED3EE1" w14:paraId="106211EE" w14:textId="77777777" w:rsidTr="0053793C">
        <w:trPr>
          <w:trHeight w:val="222"/>
        </w:trPr>
        <w:tc>
          <w:tcPr>
            <w:tcW w:w="1951" w:type="dxa"/>
            <w:gridSpan w:val="2"/>
            <w:vMerge/>
            <w:tcBorders>
              <w:top w:val="single" w:sz="4" w:space="0" w:color="auto"/>
              <w:left w:val="single" w:sz="4" w:space="0" w:color="000000"/>
              <w:right w:val="single" w:sz="4" w:space="0" w:color="000000"/>
            </w:tcBorders>
            <w:shd w:val="clear" w:color="auto" w:fill="DBE5F1"/>
            <w:vAlign w:val="center"/>
          </w:tcPr>
          <w:p w14:paraId="2D7A9EED" w14:textId="77777777" w:rsidR="000D3DFE" w:rsidRPr="00ED3EE1" w:rsidRDefault="000D3DFE" w:rsidP="00ED3EE1">
            <w:pPr>
              <w:pStyle w:val="Default"/>
              <w:jc w:val="both"/>
              <w:rPr>
                <w:b/>
                <w:bCs/>
                <w:color w:val="auto"/>
              </w:rPr>
            </w:pPr>
          </w:p>
        </w:tc>
        <w:tc>
          <w:tcPr>
            <w:tcW w:w="3773" w:type="dxa"/>
            <w:tcBorders>
              <w:top w:val="single" w:sz="4" w:space="0" w:color="auto"/>
              <w:left w:val="single" w:sz="4" w:space="0" w:color="000000"/>
              <w:right w:val="single" w:sz="4" w:space="0" w:color="000000"/>
            </w:tcBorders>
            <w:vAlign w:val="center"/>
          </w:tcPr>
          <w:p w14:paraId="542FC390" w14:textId="77777777" w:rsidR="000D3DFE" w:rsidRPr="00ED3EE1" w:rsidRDefault="000D3DFE" w:rsidP="00ED3EE1">
            <w:pPr>
              <w:pStyle w:val="Default"/>
              <w:jc w:val="both"/>
              <w:rPr>
                <w:color w:val="auto"/>
              </w:rPr>
            </w:pPr>
            <w:r w:rsidRPr="00ED3EE1">
              <w:rPr>
                <w:color w:val="auto"/>
              </w:rPr>
              <w:t>Desde el punto de vista de las cargas administrativas</w:t>
            </w:r>
          </w:p>
        </w:tc>
        <w:tc>
          <w:tcPr>
            <w:tcW w:w="3564" w:type="dxa"/>
            <w:gridSpan w:val="3"/>
            <w:tcBorders>
              <w:top w:val="single" w:sz="4" w:space="0" w:color="auto"/>
              <w:left w:val="single" w:sz="4" w:space="0" w:color="000000"/>
              <w:right w:val="single" w:sz="4" w:space="0" w:color="000000"/>
            </w:tcBorders>
            <w:vAlign w:val="center"/>
          </w:tcPr>
          <w:p w14:paraId="476E4081" w14:textId="77777777" w:rsidR="000D3DFE" w:rsidRPr="00ED3EE1" w:rsidRDefault="000D3DFE" w:rsidP="00ED3EE1">
            <w:pPr>
              <w:rPr>
                <w:rFonts w:ascii="Arial" w:hAnsi="Arial" w:cs="Arial"/>
              </w:rPr>
            </w:pPr>
          </w:p>
          <w:p w14:paraId="6BAD82DB" w14:textId="77777777" w:rsidR="000D3DFE" w:rsidRPr="00ED3EE1" w:rsidRDefault="001F2D43" w:rsidP="00ED3EE1">
            <w:pPr>
              <w:pStyle w:val="Sangra2detindependiente"/>
              <w:spacing w:before="0"/>
              <w:rPr>
                <w:rFonts w:ascii="Arial" w:hAnsi="Arial" w:cs="Arial"/>
                <w:sz w:val="24"/>
              </w:rPr>
            </w:pPr>
            <w:r>
              <w:rPr>
                <w:noProof/>
              </w:rPr>
              <mc:AlternateContent>
                <mc:Choice Requires="wps">
                  <w:drawing>
                    <wp:anchor distT="0" distB="0" distL="114300" distR="114300" simplePos="0" relativeHeight="251655680" behindDoc="0" locked="1" layoutInCell="1" allowOverlap="1" wp14:anchorId="29F71C8B" wp14:editId="080EC5BC">
                      <wp:simplePos x="0" y="0"/>
                      <wp:positionH relativeFrom="column">
                        <wp:posOffset>-65405</wp:posOffset>
                      </wp:positionH>
                      <wp:positionV relativeFrom="paragraph">
                        <wp:posOffset>941070</wp:posOffset>
                      </wp:positionV>
                      <wp:extent cx="342900" cy="228600"/>
                      <wp:effectExtent l="0" t="0" r="19050" b="19050"/>
                      <wp:wrapSquare wrapText="bothSides"/>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99CC00">
                                  <a:alpha val="50000"/>
                                </a:srgbClr>
                              </a:solidFill>
                              <a:ln w="9525">
                                <a:solidFill>
                                  <a:srgbClr val="000000"/>
                                </a:solidFill>
                                <a:miter lim="800000"/>
                                <a:headEnd/>
                                <a:tailEnd/>
                              </a:ln>
                            </wps:spPr>
                            <wps:txbx>
                              <w:txbxContent>
                                <w:p w14:paraId="25FE2F03" w14:textId="77777777" w:rsidR="000D3DFE" w:rsidRPr="00C603F2" w:rsidRDefault="000D3DFE" w:rsidP="00C603F2">
                                  <w:pPr>
                                    <w:rPr>
                                      <w:szCs w:val="28"/>
                                    </w:rPr>
                                  </w:pPr>
                                  <w:r>
                                    <w:rPr>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1C8B" id="Text Box 8" o:spid="_x0000_s1029" type="#_x0000_t202" style="position:absolute;left:0;text-align:left;margin-left:-5.15pt;margin-top:74.1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" fillcolor="#9c0">
                      <v:fill opacity="32896f"/>
                      <v:textbox>
                        <w:txbxContent>
                          <w:p w14:paraId="25FE2F03" w14:textId="77777777" w:rsidR="000D3DFE" w:rsidRPr="00C603F2" w:rsidRDefault="000D3DFE" w:rsidP="00C603F2">
                            <w:pPr>
                              <w:rPr>
                                <w:szCs w:val="28"/>
                              </w:rPr>
                            </w:pPr>
                            <w:r>
                              <w:rPr>
                                <w:szCs w:val="28"/>
                              </w:rPr>
                              <w:t>x</w:t>
                            </w:r>
                          </w:p>
                        </w:txbxContent>
                      </v:textbox>
                      <w10:wrap type="square"/>
                      <w10:anchorlock/>
                    </v:shape>
                  </w:pict>
                </mc:Fallback>
              </mc:AlternateContent>
            </w:r>
            <w:r>
              <w:rPr>
                <w:noProof/>
              </w:rPr>
              <mc:AlternateContent>
                <mc:Choice Requires="wps">
                  <w:drawing>
                    <wp:anchor distT="0" distB="0" distL="114300" distR="114300" simplePos="0" relativeHeight="251654656" behindDoc="0" locked="1" layoutInCell="1" allowOverlap="1" wp14:anchorId="39C46A7B" wp14:editId="3F35B877">
                      <wp:simplePos x="0" y="0"/>
                      <wp:positionH relativeFrom="column">
                        <wp:posOffset>-29845</wp:posOffset>
                      </wp:positionH>
                      <wp:positionV relativeFrom="paragraph">
                        <wp:posOffset>6985</wp:posOffset>
                      </wp:positionV>
                      <wp:extent cx="342900" cy="228600"/>
                      <wp:effectExtent l="0" t="0" r="19050" b="1905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99CC00">
                                  <a:alpha val="50000"/>
                                </a:srgbClr>
                              </a:solidFill>
                              <a:ln w="9525">
                                <a:solidFill>
                                  <a:srgbClr val="000000"/>
                                </a:solidFill>
                                <a:miter lim="800000"/>
                                <a:headEnd/>
                                <a:tailEnd/>
                              </a:ln>
                            </wps:spPr>
                            <wps:txbx>
                              <w:txbxContent>
                                <w:p w14:paraId="7442D9C5" w14:textId="77777777" w:rsidR="000D3DFE" w:rsidRPr="009C1B63" w:rsidRDefault="000D3DFE" w:rsidP="00A211CE">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46A7B" id="Text Box 9" o:spid="_x0000_s1030" type="#_x0000_t202" style="position:absolute;left:0;text-align:left;margin-left:-2.35pt;margin-top:.55pt;width:27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" fillcolor="#9c0">
                      <v:fill opacity="32896f"/>
                      <v:textbox>
                        <w:txbxContent>
                          <w:p w14:paraId="7442D9C5" w14:textId="77777777" w:rsidR="000D3DFE" w:rsidRPr="009C1B63" w:rsidRDefault="000D3DFE" w:rsidP="00A211CE">
                            <w:pPr>
                              <w:rPr>
                                <w:sz w:val="32"/>
                                <w:szCs w:val="32"/>
                              </w:rPr>
                            </w:pPr>
                          </w:p>
                        </w:txbxContent>
                      </v:textbox>
                      <w10:anchorlock/>
                    </v:shape>
                  </w:pict>
                </mc:Fallback>
              </mc:AlternateContent>
            </w:r>
            <w:r w:rsidR="000D3DFE" w:rsidRPr="00ED3EE1">
              <w:rPr>
                <w:rFonts w:ascii="Arial" w:hAnsi="Arial" w:cs="Arial"/>
                <w:sz w:val="24"/>
              </w:rPr>
              <w:t>supone una reducción de cargas administrativas</w:t>
            </w:r>
          </w:p>
          <w:p w14:paraId="7A81FE45" w14:textId="77777777" w:rsidR="000D3DFE" w:rsidRPr="00ED3EE1" w:rsidRDefault="000D3DFE" w:rsidP="00ED3EE1">
            <w:pPr>
              <w:rPr>
                <w:rFonts w:ascii="Arial" w:hAnsi="Arial" w:cs="Arial"/>
              </w:rPr>
            </w:pPr>
            <w:r w:rsidRPr="00ED3EE1">
              <w:rPr>
                <w:rFonts w:ascii="Arial" w:hAnsi="Arial" w:cs="Arial"/>
              </w:rPr>
              <w:t xml:space="preserve">Cuantificación </w:t>
            </w:r>
          </w:p>
          <w:p w14:paraId="6804A0DD" w14:textId="77777777" w:rsidR="000D3DFE" w:rsidRPr="00ED3EE1" w:rsidRDefault="000D3DFE" w:rsidP="00ED3EE1">
            <w:pPr>
              <w:rPr>
                <w:rFonts w:ascii="Arial" w:hAnsi="Arial" w:cs="Arial"/>
              </w:rPr>
            </w:pPr>
            <w:r w:rsidRPr="00ED3EE1">
              <w:rPr>
                <w:rFonts w:ascii="Arial" w:hAnsi="Arial" w:cs="Arial"/>
              </w:rPr>
              <w:t xml:space="preserve">Estimada      </w:t>
            </w:r>
          </w:p>
          <w:p w14:paraId="149C2B9C" w14:textId="77777777" w:rsidR="000D3DFE" w:rsidRPr="00ED3EE1" w:rsidRDefault="001F2D43" w:rsidP="00ED3EE1">
            <w:pPr>
              <w:rPr>
                <w:rFonts w:ascii="Arial" w:hAnsi="Arial" w:cs="Arial"/>
              </w:rPr>
            </w:pPr>
            <w:r>
              <w:rPr>
                <w:noProof/>
              </w:rPr>
              <mc:AlternateContent>
                <mc:Choice Requires="wps">
                  <w:drawing>
                    <wp:anchor distT="4294967294" distB="4294967294" distL="114300" distR="114300" simplePos="0" relativeHeight="251656704" behindDoc="0" locked="1" layoutInCell="1" allowOverlap="1" wp14:anchorId="0AF28786" wp14:editId="1545CE70">
                      <wp:simplePos x="0" y="0"/>
                      <wp:positionH relativeFrom="column">
                        <wp:posOffset>655955</wp:posOffset>
                      </wp:positionH>
                      <wp:positionV relativeFrom="paragraph">
                        <wp:posOffset>12699</wp:posOffset>
                      </wp:positionV>
                      <wp:extent cx="800100" cy="0"/>
                      <wp:effectExtent l="0" t="0" r="19050"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B54BF" id="Line 10"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5pt,1pt" to="114.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">
                      <w10:anchorlock/>
                    </v:line>
                  </w:pict>
                </mc:Fallback>
              </mc:AlternateContent>
            </w:r>
          </w:p>
          <w:p w14:paraId="4641B3AC" w14:textId="77777777" w:rsidR="000D3DFE" w:rsidRPr="00ED3EE1" w:rsidRDefault="000D3DFE" w:rsidP="00ED3EE1">
            <w:pPr>
              <w:pStyle w:val="Sangra3detindependiente"/>
              <w:rPr>
                <w:rFonts w:ascii="Arial" w:hAnsi="Arial" w:cs="Arial"/>
                <w:sz w:val="24"/>
              </w:rPr>
            </w:pPr>
            <w:r w:rsidRPr="00ED3EE1">
              <w:rPr>
                <w:rFonts w:ascii="Arial" w:hAnsi="Arial" w:cs="Arial"/>
                <w:sz w:val="24"/>
              </w:rPr>
              <w:t>incorpora nuevas cargas administrativas</w:t>
            </w:r>
          </w:p>
          <w:p w14:paraId="6196A992" w14:textId="77777777" w:rsidR="000D3DFE" w:rsidRPr="00ED3EE1" w:rsidRDefault="000D3DFE" w:rsidP="00ED3EE1">
            <w:pPr>
              <w:ind w:left="673"/>
              <w:rPr>
                <w:rFonts w:ascii="Arial" w:hAnsi="Arial" w:cs="Arial"/>
              </w:rPr>
            </w:pPr>
          </w:p>
          <w:p w14:paraId="6BF428F1" w14:textId="77777777" w:rsidR="000D3DFE" w:rsidRPr="00ED3EE1" w:rsidRDefault="000D3DFE" w:rsidP="00ED3EE1">
            <w:pPr>
              <w:rPr>
                <w:rFonts w:ascii="Arial" w:hAnsi="Arial" w:cs="Arial"/>
              </w:rPr>
            </w:pPr>
            <w:r w:rsidRPr="00ED3EE1">
              <w:rPr>
                <w:rFonts w:ascii="Arial" w:hAnsi="Arial" w:cs="Arial"/>
              </w:rPr>
              <w:t xml:space="preserve">Cuantificación </w:t>
            </w:r>
          </w:p>
          <w:p w14:paraId="10D39CC4" w14:textId="77777777" w:rsidR="000D3DFE" w:rsidRPr="00ED3EE1" w:rsidRDefault="000D3DFE" w:rsidP="00ED3EE1">
            <w:pPr>
              <w:rPr>
                <w:rFonts w:ascii="Arial" w:hAnsi="Arial" w:cs="Arial"/>
              </w:rPr>
            </w:pPr>
            <w:r w:rsidRPr="00ED3EE1">
              <w:rPr>
                <w:rFonts w:ascii="Arial" w:hAnsi="Arial" w:cs="Arial"/>
              </w:rPr>
              <w:t xml:space="preserve">estimada:    </w:t>
            </w:r>
            <w:r>
              <w:rPr>
                <w:rFonts w:ascii="Arial" w:hAnsi="Arial" w:cs="Arial"/>
              </w:rPr>
              <w:t>150</w:t>
            </w:r>
          </w:p>
          <w:p w14:paraId="2131BE62" w14:textId="77777777" w:rsidR="000D3DFE" w:rsidRPr="00ED3EE1" w:rsidRDefault="001F2D43" w:rsidP="00ED3EE1">
            <w:pPr>
              <w:rPr>
                <w:rFonts w:ascii="Arial" w:hAnsi="Arial" w:cs="Arial"/>
              </w:rPr>
            </w:pPr>
            <w:r>
              <w:rPr>
                <w:noProof/>
              </w:rPr>
              <mc:AlternateContent>
                <mc:Choice Requires="wps">
                  <w:drawing>
                    <wp:anchor distT="4294967294" distB="4294967294" distL="114300" distR="114300" simplePos="0" relativeHeight="251657728" behindDoc="0" locked="1" layoutInCell="1" allowOverlap="1" wp14:anchorId="320D5F5A" wp14:editId="460FD02B">
                      <wp:simplePos x="0" y="0"/>
                      <wp:positionH relativeFrom="column">
                        <wp:posOffset>655955</wp:posOffset>
                      </wp:positionH>
                      <wp:positionV relativeFrom="paragraph">
                        <wp:posOffset>12699</wp:posOffset>
                      </wp:positionV>
                      <wp:extent cx="800100" cy="0"/>
                      <wp:effectExtent l="0" t="0" r="19050" b="1905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87BA1" id="Line 11"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65pt,1pt" to="114.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">
                      <w10:anchorlock/>
                    </v:line>
                  </w:pict>
                </mc:Fallback>
              </mc:AlternateContent>
            </w:r>
          </w:p>
          <w:p w14:paraId="0C616B67" w14:textId="77777777" w:rsidR="000D3DFE" w:rsidRPr="00ED3EE1" w:rsidRDefault="001F2D43" w:rsidP="00B46F95">
            <w:pPr>
              <w:pStyle w:val="Default"/>
              <w:jc w:val="both"/>
              <w:rPr>
                <w:color w:val="auto"/>
              </w:rPr>
            </w:pPr>
            <w:r>
              <w:rPr>
                <w:noProof/>
                <w:color w:val="auto"/>
              </w:rPr>
              <w:drawing>
                <wp:inline distT="0" distB="0" distL="0" distR="0" wp14:anchorId="67B1DE9B" wp14:editId="2DB5CA1C">
                  <wp:extent cx="350520" cy="251460"/>
                  <wp:effectExtent l="0" t="0" r="0" b="0"/>
                  <wp:docPr id="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 cy="251460"/>
                          </a:xfrm>
                          <a:prstGeom prst="rect">
                            <a:avLst/>
                          </a:prstGeom>
                          <a:noFill/>
                          <a:ln>
                            <a:noFill/>
                          </a:ln>
                        </pic:spPr>
                      </pic:pic>
                    </a:graphicData>
                  </a:graphic>
                </wp:inline>
              </w:drawing>
            </w:r>
            <w:r w:rsidR="000D3DFE">
              <w:rPr>
                <w:color w:val="auto"/>
              </w:rPr>
              <w:t xml:space="preserve"> </w:t>
            </w:r>
            <w:r w:rsidR="000D3DFE" w:rsidRPr="00ED3EE1">
              <w:rPr>
                <w:color w:val="auto"/>
              </w:rPr>
              <w:t>no afecta a las cargas administrativas</w:t>
            </w:r>
          </w:p>
        </w:tc>
      </w:tr>
      <w:tr w:rsidR="000D3DFE" w:rsidRPr="00ED3EE1" w14:paraId="703E911F" w14:textId="77777777" w:rsidTr="00ED3EE1">
        <w:trPr>
          <w:trHeight w:val="222"/>
        </w:trPr>
        <w:tc>
          <w:tcPr>
            <w:tcW w:w="1951" w:type="dxa"/>
            <w:gridSpan w:val="2"/>
            <w:vMerge/>
            <w:tcBorders>
              <w:left w:val="single" w:sz="4" w:space="0" w:color="000000"/>
              <w:right w:val="single" w:sz="4" w:space="0" w:color="000000"/>
            </w:tcBorders>
            <w:shd w:val="clear" w:color="auto" w:fill="DBE5F1"/>
            <w:vAlign w:val="center"/>
          </w:tcPr>
          <w:p w14:paraId="1D56A431" w14:textId="77777777" w:rsidR="000D3DFE" w:rsidRPr="00ED3EE1" w:rsidRDefault="000D3DFE" w:rsidP="00ED3EE1">
            <w:pPr>
              <w:pStyle w:val="Default"/>
              <w:jc w:val="both"/>
              <w:rPr>
                <w:b/>
                <w:bCs/>
                <w:color w:val="auto"/>
              </w:rPr>
            </w:pPr>
          </w:p>
        </w:tc>
        <w:tc>
          <w:tcPr>
            <w:tcW w:w="3773" w:type="dxa"/>
            <w:tcBorders>
              <w:top w:val="single" w:sz="6" w:space="0" w:color="000000"/>
              <w:left w:val="single" w:sz="4" w:space="0" w:color="000000"/>
              <w:right w:val="single" w:sz="4" w:space="0" w:color="000000"/>
            </w:tcBorders>
            <w:vAlign w:val="center"/>
          </w:tcPr>
          <w:p w14:paraId="1FE59F47" w14:textId="77777777" w:rsidR="000D3DFE" w:rsidRPr="00ED3EE1" w:rsidRDefault="000D3DFE" w:rsidP="00ED3EE1">
            <w:pPr>
              <w:pStyle w:val="Textoindependiente2"/>
              <w:spacing w:before="0"/>
              <w:rPr>
                <w:rFonts w:ascii="Arial" w:hAnsi="Arial" w:cs="Arial"/>
                <w:sz w:val="24"/>
              </w:rPr>
            </w:pPr>
          </w:p>
          <w:p w14:paraId="471C3877" w14:textId="77777777" w:rsidR="000D3DFE" w:rsidRPr="00ED3EE1" w:rsidRDefault="001F2D43" w:rsidP="00ED3EE1">
            <w:pPr>
              <w:pStyle w:val="Textoindependiente2"/>
              <w:spacing w:before="0"/>
              <w:rPr>
                <w:rFonts w:ascii="Arial" w:hAnsi="Arial" w:cs="Arial"/>
                <w:sz w:val="24"/>
              </w:rPr>
            </w:pPr>
            <w:r>
              <w:rPr>
                <w:noProof/>
              </w:rPr>
              <mc:AlternateContent>
                <mc:Choice Requires="wps">
                  <w:drawing>
                    <wp:anchor distT="0" distB="0" distL="114300" distR="114300" simplePos="0" relativeHeight="251659776" behindDoc="0" locked="1" layoutInCell="1" allowOverlap="1" wp14:anchorId="321759EE" wp14:editId="44E1DD6C">
                      <wp:simplePos x="0" y="0"/>
                      <wp:positionH relativeFrom="column">
                        <wp:posOffset>47625</wp:posOffset>
                      </wp:positionH>
                      <wp:positionV relativeFrom="paragraph">
                        <wp:posOffset>1550670</wp:posOffset>
                      </wp:positionV>
                      <wp:extent cx="228600" cy="228600"/>
                      <wp:effectExtent l="0" t="0" r="19050" b="19050"/>
                      <wp:wrapSquare wrapText="bothSides"/>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99CC00">
                                  <a:alpha val="50000"/>
                                </a:srgbClr>
                              </a:solidFill>
                              <a:ln w="9525">
                                <a:solidFill>
                                  <a:srgbClr val="000000"/>
                                </a:solidFill>
                                <a:miter lim="800000"/>
                                <a:headEnd/>
                                <a:tailEnd/>
                              </a:ln>
                            </wps:spPr>
                            <wps:txbx>
                              <w:txbxContent>
                                <w:p w14:paraId="53B8818E" w14:textId="77777777" w:rsidR="000D3DFE" w:rsidRDefault="000D3DFE" w:rsidP="00A211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759EE" id="Text Box 12" o:spid="_x0000_s1031" type="#_x0000_t202" style="position:absolute;left:0;text-align:left;margin-left:3.75pt;margin-top:122.1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" fillcolor="#9c0">
                      <v:fill opacity="32896f"/>
                      <v:textbox>
                        <w:txbxContent>
                          <w:p w14:paraId="53B8818E" w14:textId="77777777" w:rsidR="000D3DFE" w:rsidRDefault="000D3DFE" w:rsidP="00A211CE"/>
                        </w:txbxContent>
                      </v:textbox>
                      <w10:wrap type="square"/>
                      <w10:anchorlock/>
                    </v:shape>
                  </w:pict>
                </mc:Fallback>
              </mc:AlternateContent>
            </w:r>
            <w:r w:rsidR="000D3DFE" w:rsidRPr="00ED3EE1">
              <w:rPr>
                <w:rFonts w:ascii="Arial" w:hAnsi="Arial" w:cs="Arial"/>
                <w:sz w:val="24"/>
              </w:rPr>
              <w:t xml:space="preserve">Desde el punto de vista de los presupuestos, la norma  </w:t>
            </w:r>
          </w:p>
          <w:p w14:paraId="20AF069F" w14:textId="77777777" w:rsidR="000D3DFE" w:rsidRPr="00ED3EE1" w:rsidRDefault="000D3DFE" w:rsidP="00ED3EE1">
            <w:pPr>
              <w:rPr>
                <w:rFonts w:ascii="Arial" w:hAnsi="Arial" w:cs="Arial"/>
              </w:rPr>
            </w:pPr>
          </w:p>
          <w:p w14:paraId="759DCFFC" w14:textId="77777777" w:rsidR="000D3DFE" w:rsidRPr="00ED3EE1" w:rsidRDefault="001F2D43" w:rsidP="00ED3EE1">
            <w:pPr>
              <w:pStyle w:val="Sangradetextonormal"/>
              <w:rPr>
                <w:rFonts w:ascii="Arial" w:hAnsi="Arial" w:cs="Arial"/>
                <w:sz w:val="24"/>
              </w:rPr>
            </w:pPr>
            <w:r>
              <w:rPr>
                <w:noProof/>
              </w:rPr>
              <mc:AlternateContent>
                <mc:Choice Requires="wps">
                  <w:drawing>
                    <wp:anchor distT="0" distB="0" distL="114300" distR="114300" simplePos="0" relativeHeight="251658752" behindDoc="0" locked="1" layoutInCell="1" allowOverlap="1" wp14:anchorId="27F84989" wp14:editId="7B29C350">
                      <wp:simplePos x="0" y="0"/>
                      <wp:positionH relativeFrom="column">
                        <wp:posOffset>45720</wp:posOffset>
                      </wp:positionH>
                      <wp:positionV relativeFrom="paragraph">
                        <wp:posOffset>83185</wp:posOffset>
                      </wp:positionV>
                      <wp:extent cx="226695" cy="228600"/>
                      <wp:effectExtent l="0" t="0" r="20955" b="1905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28600"/>
                              </a:xfrm>
                              <a:prstGeom prst="rect">
                                <a:avLst/>
                              </a:prstGeom>
                              <a:solidFill>
                                <a:srgbClr val="99CC00">
                                  <a:alpha val="50000"/>
                                </a:srgbClr>
                              </a:solidFill>
                              <a:ln w="9525">
                                <a:solidFill>
                                  <a:srgbClr val="000000"/>
                                </a:solidFill>
                                <a:miter lim="800000"/>
                                <a:headEnd/>
                                <a:tailEnd/>
                              </a:ln>
                            </wps:spPr>
                            <wps:txbx>
                              <w:txbxContent>
                                <w:p w14:paraId="37EE1F81" w14:textId="77777777" w:rsidR="000D3DFE" w:rsidRDefault="000D3DFE" w:rsidP="00A211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84989" id="Text Box 13" o:spid="_x0000_s1032" type="#_x0000_t202" style="position:absolute;left:0;text-align:left;margin-left:3.6pt;margin-top:6.55pt;width:17.8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" fillcolor="#9c0">
                      <v:fill opacity="32896f"/>
                      <v:textbox>
                        <w:txbxContent>
                          <w:p w14:paraId="37EE1F81" w14:textId="77777777" w:rsidR="000D3DFE" w:rsidRDefault="000D3DFE" w:rsidP="00A211CE"/>
                        </w:txbxContent>
                      </v:textbox>
                      <w10:anchorlock/>
                    </v:shape>
                  </w:pict>
                </mc:Fallback>
              </mc:AlternateContent>
            </w:r>
            <w:r w:rsidR="000D3DFE" w:rsidRPr="00ED3EE1">
              <w:rPr>
                <w:rFonts w:ascii="Arial" w:hAnsi="Arial" w:cs="Arial"/>
                <w:sz w:val="24"/>
              </w:rPr>
              <w:t>Afecta a los presupuestos de la Administración del Estado.</w:t>
            </w:r>
          </w:p>
          <w:p w14:paraId="4240E8AA" w14:textId="77777777" w:rsidR="000D3DFE" w:rsidRPr="00ED3EE1" w:rsidRDefault="000D3DFE" w:rsidP="00ED3EE1">
            <w:pPr>
              <w:pStyle w:val="Default"/>
              <w:jc w:val="both"/>
              <w:rPr>
                <w:color w:val="auto"/>
              </w:rPr>
            </w:pPr>
          </w:p>
          <w:p w14:paraId="4F2A8DCF" w14:textId="77777777" w:rsidR="000D3DFE" w:rsidRPr="00ED3EE1" w:rsidRDefault="000D3DFE" w:rsidP="00ED3EE1">
            <w:pPr>
              <w:pStyle w:val="Default"/>
              <w:jc w:val="both"/>
              <w:rPr>
                <w:color w:val="auto"/>
              </w:rPr>
            </w:pPr>
          </w:p>
          <w:p w14:paraId="2E8F260D" w14:textId="77777777" w:rsidR="000D3DFE" w:rsidRPr="00ED3EE1" w:rsidRDefault="000D3DFE" w:rsidP="00ED3EE1">
            <w:pPr>
              <w:pStyle w:val="Default"/>
              <w:ind w:left="656"/>
              <w:jc w:val="both"/>
              <w:rPr>
                <w:color w:val="auto"/>
              </w:rPr>
            </w:pPr>
            <w:r w:rsidRPr="00ED3EE1">
              <w:rPr>
                <w:color w:val="auto"/>
              </w:rPr>
              <w:t>Afecta a los presupuestos de otras Administraciones Territoriales.</w:t>
            </w:r>
          </w:p>
          <w:p w14:paraId="44B3911F" w14:textId="77777777" w:rsidR="000D3DFE" w:rsidRPr="00ED3EE1" w:rsidRDefault="000D3DFE" w:rsidP="00ED3EE1">
            <w:pPr>
              <w:pStyle w:val="Default"/>
              <w:jc w:val="both"/>
              <w:rPr>
                <w:color w:val="auto"/>
              </w:rPr>
            </w:pPr>
          </w:p>
        </w:tc>
        <w:tc>
          <w:tcPr>
            <w:tcW w:w="3564" w:type="dxa"/>
            <w:gridSpan w:val="3"/>
            <w:tcBorders>
              <w:top w:val="single" w:sz="6" w:space="0" w:color="000000"/>
              <w:left w:val="single" w:sz="4" w:space="0" w:color="000000"/>
              <w:right w:val="single" w:sz="4" w:space="0" w:color="000000"/>
            </w:tcBorders>
            <w:vAlign w:val="center"/>
          </w:tcPr>
          <w:p w14:paraId="37D32848" w14:textId="77777777" w:rsidR="000D3DFE" w:rsidRPr="00ED3EE1" w:rsidRDefault="001F2D43" w:rsidP="00ED3EE1">
            <w:pPr>
              <w:rPr>
                <w:rFonts w:ascii="Arial" w:hAnsi="Arial" w:cs="Arial"/>
              </w:rPr>
            </w:pPr>
            <w:r>
              <w:rPr>
                <w:noProof/>
              </w:rPr>
              <mc:AlternateContent>
                <mc:Choice Requires="wps">
                  <w:drawing>
                    <wp:anchor distT="0" distB="0" distL="114300" distR="114300" simplePos="0" relativeHeight="251663872" behindDoc="0" locked="1" layoutInCell="1" allowOverlap="1" wp14:anchorId="0C36DD42" wp14:editId="2FD2F6EF">
                      <wp:simplePos x="0" y="0"/>
                      <wp:positionH relativeFrom="column">
                        <wp:posOffset>-22860</wp:posOffset>
                      </wp:positionH>
                      <wp:positionV relativeFrom="paragraph">
                        <wp:posOffset>305435</wp:posOffset>
                      </wp:positionV>
                      <wp:extent cx="342900" cy="228600"/>
                      <wp:effectExtent l="0" t="0" r="19050" b="1905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99CC00">
                                  <a:alpha val="50000"/>
                                </a:srgbClr>
                              </a:solidFill>
                              <a:ln w="9525">
                                <a:solidFill>
                                  <a:srgbClr val="000000"/>
                                </a:solidFill>
                                <a:miter lim="800000"/>
                                <a:headEnd/>
                                <a:tailEnd/>
                              </a:ln>
                            </wps:spPr>
                            <wps:txbx>
                              <w:txbxContent>
                                <w:p w14:paraId="154C2F24" w14:textId="77777777" w:rsidR="000D3DFE" w:rsidRPr="00C603F2" w:rsidRDefault="000D3DFE" w:rsidP="00ED3E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6DD42" id="Text Box 18" o:spid="_x0000_s1033" type="#_x0000_t202" style="position:absolute;left:0;text-align:left;margin-left:-1.8pt;margin-top:24.05pt;width:27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" fillcolor="#9c0">
                      <v:fill opacity="32896f"/>
                      <v:textbox>
                        <w:txbxContent>
                          <w:p w14:paraId="154C2F24" w14:textId="77777777" w:rsidR="000D3DFE" w:rsidRPr="00C603F2" w:rsidRDefault="000D3DFE" w:rsidP="00ED3EE1"/>
                        </w:txbxContent>
                      </v:textbox>
                      <w10:anchorlock/>
                    </v:shape>
                  </w:pict>
                </mc:Fallback>
              </mc:AlternateContent>
            </w:r>
          </w:p>
          <w:p w14:paraId="3ABD19B7" w14:textId="77777777" w:rsidR="000D3DFE" w:rsidRPr="00ED3EE1" w:rsidRDefault="000D3DFE" w:rsidP="00ED3EE1">
            <w:pPr>
              <w:rPr>
                <w:rFonts w:ascii="Arial" w:hAnsi="Arial" w:cs="Arial"/>
              </w:rPr>
            </w:pPr>
          </w:p>
          <w:p w14:paraId="039046DE" w14:textId="77777777" w:rsidR="000D3DFE" w:rsidRPr="00ED3EE1" w:rsidRDefault="001F2D43" w:rsidP="00ED3EE1">
            <w:pPr>
              <w:ind w:firstLine="675"/>
              <w:rPr>
                <w:rFonts w:ascii="Arial" w:hAnsi="Arial" w:cs="Arial"/>
              </w:rPr>
            </w:pPr>
            <w:r>
              <w:rPr>
                <w:noProof/>
              </w:rPr>
              <mc:AlternateContent>
                <mc:Choice Requires="wps">
                  <w:drawing>
                    <wp:anchor distT="0" distB="0" distL="114300" distR="114300" simplePos="0" relativeHeight="251661824" behindDoc="0" locked="1" layoutInCell="1" allowOverlap="1" wp14:anchorId="4B57ED04" wp14:editId="072C8328">
                      <wp:simplePos x="0" y="0"/>
                      <wp:positionH relativeFrom="column">
                        <wp:posOffset>-15875</wp:posOffset>
                      </wp:positionH>
                      <wp:positionV relativeFrom="paragraph">
                        <wp:posOffset>1042035</wp:posOffset>
                      </wp:positionV>
                      <wp:extent cx="342900" cy="267335"/>
                      <wp:effectExtent l="0" t="0" r="19050" b="1841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7335"/>
                              </a:xfrm>
                              <a:prstGeom prst="rect">
                                <a:avLst/>
                              </a:prstGeom>
                              <a:solidFill>
                                <a:srgbClr val="99CC00">
                                  <a:alpha val="50000"/>
                                </a:srgbClr>
                              </a:solidFill>
                              <a:ln w="9525">
                                <a:solidFill>
                                  <a:srgbClr val="000000"/>
                                </a:solidFill>
                                <a:miter lim="800000"/>
                                <a:headEnd/>
                                <a:tailEnd/>
                              </a:ln>
                            </wps:spPr>
                            <wps:txbx>
                              <w:txbxContent>
                                <w:p w14:paraId="2C18B21C" w14:textId="77777777" w:rsidR="000D3DFE" w:rsidRDefault="000D3DFE" w:rsidP="00A211CE">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7ED04" id="Text Box 15" o:spid="_x0000_s1034" type="#_x0000_t202" style="position:absolute;left:0;text-align:left;margin-left:-1.25pt;margin-top:82.05pt;width:27pt;height:2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" fillcolor="#9c0">
                      <v:fill opacity="32896f"/>
                      <v:textbox>
                        <w:txbxContent>
                          <w:p w14:paraId="2C18B21C" w14:textId="77777777" w:rsidR="000D3DFE" w:rsidRDefault="000D3DFE" w:rsidP="00A211CE">
                            <w:r>
                              <w:t>X</w:t>
                            </w:r>
                          </w:p>
                        </w:txbxContent>
                      </v:textbox>
                      <w10:anchorlock/>
                    </v:shape>
                  </w:pict>
                </mc:Fallback>
              </mc:AlternateContent>
            </w:r>
            <w:r>
              <w:rPr>
                <w:noProof/>
              </w:rPr>
              <mc:AlternateContent>
                <mc:Choice Requires="wps">
                  <w:drawing>
                    <wp:anchor distT="0" distB="0" distL="114300" distR="114300" simplePos="0" relativeHeight="251660800" behindDoc="0" locked="1" layoutInCell="1" allowOverlap="1" wp14:anchorId="51B03AB2" wp14:editId="70C89C19">
                      <wp:simplePos x="0" y="0"/>
                      <wp:positionH relativeFrom="column">
                        <wp:posOffset>-15875</wp:posOffset>
                      </wp:positionH>
                      <wp:positionV relativeFrom="paragraph">
                        <wp:posOffset>523875</wp:posOffset>
                      </wp:positionV>
                      <wp:extent cx="342900" cy="228600"/>
                      <wp:effectExtent l="0" t="0" r="19050"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99CC00">
                                  <a:alpha val="50000"/>
                                </a:srgbClr>
                              </a:solidFill>
                              <a:ln w="9525">
                                <a:solidFill>
                                  <a:srgbClr val="000000"/>
                                </a:solidFill>
                                <a:miter lim="800000"/>
                                <a:headEnd/>
                                <a:tailEnd/>
                              </a:ln>
                            </wps:spPr>
                            <wps:txbx>
                              <w:txbxContent>
                                <w:p w14:paraId="1CCC7131" w14:textId="77777777" w:rsidR="000D3DFE" w:rsidRPr="00C603F2" w:rsidRDefault="000D3DFE" w:rsidP="00C603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03AB2" id="Text Box 16" o:spid="_x0000_s1035" type="#_x0000_t202" style="position:absolute;left:0;text-align:left;margin-left:-1.25pt;margin-top:41.25pt;width:27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" fillcolor="#9c0">
                      <v:fill opacity="32896f"/>
                      <v:textbox>
                        <w:txbxContent>
                          <w:p w14:paraId="1CCC7131" w14:textId="77777777" w:rsidR="000D3DFE" w:rsidRPr="00C603F2" w:rsidRDefault="000D3DFE" w:rsidP="00C603F2"/>
                        </w:txbxContent>
                      </v:textbox>
                      <w10:anchorlock/>
                    </v:shape>
                  </w:pict>
                </mc:Fallback>
              </mc:AlternateContent>
            </w:r>
            <w:r w:rsidR="000D3DFE" w:rsidRPr="00ED3EE1">
              <w:rPr>
                <w:rFonts w:ascii="Arial" w:hAnsi="Arial" w:cs="Arial"/>
              </w:rPr>
              <w:t>Implica un gasto.</w:t>
            </w:r>
          </w:p>
          <w:p w14:paraId="50FB6DC4" w14:textId="77777777" w:rsidR="000D3DFE" w:rsidRPr="00ED3EE1" w:rsidRDefault="000D3DFE" w:rsidP="00ED3EE1">
            <w:pPr>
              <w:ind w:firstLine="673"/>
              <w:rPr>
                <w:rFonts w:ascii="Arial" w:hAnsi="Arial" w:cs="Arial"/>
              </w:rPr>
            </w:pPr>
          </w:p>
          <w:p w14:paraId="58AEDE1B" w14:textId="77777777" w:rsidR="000D3DFE" w:rsidRPr="00ED3EE1" w:rsidRDefault="000D3DFE" w:rsidP="00ED3EE1">
            <w:pPr>
              <w:ind w:firstLine="673"/>
              <w:rPr>
                <w:rFonts w:ascii="Arial" w:hAnsi="Arial" w:cs="Arial"/>
              </w:rPr>
            </w:pPr>
          </w:p>
          <w:p w14:paraId="478B8CD9" w14:textId="77777777" w:rsidR="000D3DFE" w:rsidRPr="00ED3EE1" w:rsidRDefault="000D3DFE" w:rsidP="00ED3EE1">
            <w:pPr>
              <w:pStyle w:val="Default"/>
              <w:ind w:left="675"/>
              <w:jc w:val="both"/>
              <w:rPr>
                <w:color w:val="auto"/>
              </w:rPr>
            </w:pPr>
            <w:r w:rsidRPr="00ED3EE1">
              <w:rPr>
                <w:color w:val="auto"/>
              </w:rPr>
              <w:t>Implica un ingreso.</w:t>
            </w:r>
          </w:p>
          <w:p w14:paraId="4FA72EE8" w14:textId="77777777" w:rsidR="000D3DFE" w:rsidRPr="00ED3EE1" w:rsidRDefault="000D3DFE" w:rsidP="00ED3EE1">
            <w:pPr>
              <w:pStyle w:val="Default"/>
              <w:ind w:left="675"/>
              <w:jc w:val="both"/>
              <w:rPr>
                <w:color w:val="auto"/>
              </w:rPr>
            </w:pPr>
          </w:p>
          <w:p w14:paraId="5BBF5E76" w14:textId="77777777" w:rsidR="000D3DFE" w:rsidRPr="00ED3EE1" w:rsidRDefault="000D3DFE" w:rsidP="00ED3EE1">
            <w:pPr>
              <w:pStyle w:val="Default"/>
              <w:ind w:left="675"/>
              <w:jc w:val="both"/>
              <w:rPr>
                <w:color w:val="auto"/>
              </w:rPr>
            </w:pPr>
          </w:p>
          <w:p w14:paraId="5797A916" w14:textId="77777777" w:rsidR="000D3DFE" w:rsidRPr="00ED3EE1" w:rsidRDefault="000D3DFE" w:rsidP="00ED3EE1">
            <w:pPr>
              <w:pStyle w:val="Default"/>
              <w:ind w:left="675"/>
              <w:jc w:val="both"/>
              <w:rPr>
                <w:color w:val="auto"/>
              </w:rPr>
            </w:pPr>
            <w:r w:rsidRPr="00ED3EE1">
              <w:rPr>
                <w:color w:val="auto"/>
              </w:rPr>
              <w:t>Tiene un efecto nulo</w:t>
            </w:r>
          </w:p>
        </w:tc>
      </w:tr>
      <w:tr w:rsidR="000D3DFE" w:rsidRPr="00ED3EE1" w14:paraId="6F237CBD" w14:textId="77777777" w:rsidTr="00ED3EE1">
        <w:trPr>
          <w:trHeight w:val="277"/>
        </w:trPr>
        <w:tc>
          <w:tcPr>
            <w:tcW w:w="1951" w:type="dxa"/>
            <w:gridSpan w:val="2"/>
            <w:tcBorders>
              <w:top w:val="single" w:sz="6" w:space="0" w:color="000000"/>
              <w:left w:val="single" w:sz="4" w:space="0" w:color="000000"/>
              <w:bottom w:val="single" w:sz="6" w:space="0" w:color="000000"/>
              <w:right w:val="single" w:sz="4" w:space="0" w:color="000000"/>
            </w:tcBorders>
            <w:shd w:val="clear" w:color="auto" w:fill="DBE5F1"/>
            <w:vAlign w:val="center"/>
          </w:tcPr>
          <w:p w14:paraId="2B525430" w14:textId="77777777" w:rsidR="000D3DFE" w:rsidRPr="00ED3EE1" w:rsidRDefault="000D3DFE" w:rsidP="00ED3EE1">
            <w:pPr>
              <w:pStyle w:val="Default"/>
              <w:jc w:val="both"/>
              <w:rPr>
                <w:b/>
                <w:bCs/>
                <w:color w:val="auto"/>
              </w:rPr>
            </w:pPr>
          </w:p>
          <w:p w14:paraId="10748E15" w14:textId="77777777" w:rsidR="000D3DFE" w:rsidRPr="00ED3EE1" w:rsidRDefault="000D3DFE" w:rsidP="00ED3EE1">
            <w:pPr>
              <w:pStyle w:val="Default"/>
              <w:jc w:val="both"/>
              <w:rPr>
                <w:b/>
                <w:bCs/>
                <w:color w:val="auto"/>
              </w:rPr>
            </w:pPr>
            <w:r w:rsidRPr="00ED3EE1">
              <w:rPr>
                <w:b/>
                <w:bCs/>
                <w:color w:val="auto"/>
              </w:rPr>
              <w:t>Impacto de género</w:t>
            </w:r>
          </w:p>
          <w:p w14:paraId="627B6A88" w14:textId="77777777" w:rsidR="000D3DFE" w:rsidRPr="00ED3EE1" w:rsidRDefault="000D3DFE" w:rsidP="00ED3EE1">
            <w:pPr>
              <w:pStyle w:val="Default"/>
              <w:jc w:val="both"/>
              <w:rPr>
                <w:color w:val="auto"/>
              </w:rPr>
            </w:pPr>
          </w:p>
        </w:tc>
        <w:tc>
          <w:tcPr>
            <w:tcW w:w="7337" w:type="dxa"/>
            <w:gridSpan w:val="4"/>
            <w:tcBorders>
              <w:top w:val="single" w:sz="6" w:space="0" w:color="000000"/>
              <w:left w:val="single" w:sz="4" w:space="0" w:color="000000"/>
              <w:bottom w:val="single" w:sz="6" w:space="0" w:color="000000"/>
              <w:right w:val="single" w:sz="4" w:space="0" w:color="000000"/>
            </w:tcBorders>
            <w:vAlign w:val="center"/>
          </w:tcPr>
          <w:p w14:paraId="33B2D85F" w14:textId="77777777" w:rsidR="000D3DFE" w:rsidRPr="00ED3EE1" w:rsidRDefault="000D3DFE" w:rsidP="00ED3EE1">
            <w:pPr>
              <w:pStyle w:val="Default"/>
              <w:jc w:val="both"/>
              <w:rPr>
                <w:color w:val="auto"/>
              </w:rPr>
            </w:pPr>
            <w:r w:rsidRPr="00ED3EE1">
              <w:rPr>
                <w:color w:val="auto"/>
              </w:rPr>
              <w:t>La norma tiene un impacto de género nulo.</w:t>
            </w:r>
          </w:p>
        </w:tc>
      </w:tr>
      <w:tr w:rsidR="000D3DFE" w:rsidRPr="00ED3EE1" w14:paraId="0669BB85" w14:textId="77777777" w:rsidTr="00ED3EE1">
        <w:trPr>
          <w:trHeight w:val="277"/>
        </w:trPr>
        <w:tc>
          <w:tcPr>
            <w:tcW w:w="1951" w:type="dxa"/>
            <w:gridSpan w:val="2"/>
            <w:tcBorders>
              <w:top w:val="single" w:sz="6" w:space="0" w:color="000000"/>
              <w:left w:val="single" w:sz="4" w:space="0" w:color="000000"/>
              <w:bottom w:val="single" w:sz="6" w:space="0" w:color="000000"/>
              <w:right w:val="single" w:sz="4" w:space="0" w:color="000000"/>
            </w:tcBorders>
            <w:shd w:val="clear" w:color="auto" w:fill="DBE5F1"/>
            <w:vAlign w:val="center"/>
          </w:tcPr>
          <w:p w14:paraId="3F7562C2" w14:textId="77777777" w:rsidR="000D3DFE" w:rsidRPr="00ED3EE1" w:rsidRDefault="000D3DFE" w:rsidP="00ED3EE1">
            <w:pPr>
              <w:rPr>
                <w:rFonts w:ascii="Arial" w:hAnsi="Arial" w:cs="Arial"/>
                <w:b/>
                <w:bCs/>
              </w:rPr>
            </w:pPr>
          </w:p>
          <w:p w14:paraId="155A8F4F" w14:textId="77777777" w:rsidR="000D3DFE" w:rsidRPr="00ED3EE1" w:rsidRDefault="000D3DFE" w:rsidP="00ED3EE1">
            <w:pPr>
              <w:rPr>
                <w:rFonts w:ascii="Arial" w:hAnsi="Arial" w:cs="Arial"/>
                <w:b/>
                <w:bCs/>
              </w:rPr>
            </w:pPr>
            <w:r w:rsidRPr="00ED3EE1">
              <w:rPr>
                <w:rFonts w:ascii="Arial" w:hAnsi="Arial" w:cs="Arial"/>
                <w:b/>
                <w:bCs/>
              </w:rPr>
              <w:t>Otros impactos considerados</w:t>
            </w:r>
          </w:p>
          <w:p w14:paraId="4E389394" w14:textId="77777777" w:rsidR="000D3DFE" w:rsidRPr="00ED3EE1" w:rsidRDefault="000D3DFE" w:rsidP="00ED3EE1">
            <w:pPr>
              <w:rPr>
                <w:rFonts w:ascii="Arial" w:hAnsi="Arial" w:cs="Arial"/>
                <w:b/>
                <w:bCs/>
              </w:rPr>
            </w:pPr>
          </w:p>
        </w:tc>
        <w:tc>
          <w:tcPr>
            <w:tcW w:w="7337" w:type="dxa"/>
            <w:gridSpan w:val="4"/>
            <w:tcBorders>
              <w:top w:val="single" w:sz="6" w:space="0" w:color="000000"/>
              <w:left w:val="single" w:sz="4" w:space="0" w:color="000000"/>
              <w:bottom w:val="single" w:sz="6" w:space="0" w:color="000000"/>
              <w:right w:val="single" w:sz="4" w:space="0" w:color="000000"/>
            </w:tcBorders>
            <w:vAlign w:val="center"/>
          </w:tcPr>
          <w:p w14:paraId="6B827259" w14:textId="77777777" w:rsidR="000D3DFE" w:rsidRPr="00ED3EE1" w:rsidRDefault="000D3DFE" w:rsidP="005B052D">
            <w:pPr>
              <w:rPr>
                <w:rFonts w:ascii="Arial" w:hAnsi="Arial" w:cs="Arial"/>
              </w:rPr>
            </w:pPr>
            <w:r w:rsidRPr="00ED3EE1">
              <w:rPr>
                <w:rFonts w:ascii="Arial" w:hAnsi="Arial" w:cs="Arial"/>
              </w:rPr>
              <w:t xml:space="preserve">No </w:t>
            </w:r>
            <w:r>
              <w:rPr>
                <w:rFonts w:ascii="Arial" w:hAnsi="Arial" w:cs="Arial"/>
              </w:rPr>
              <w:t>tiene impacto sobre</w:t>
            </w:r>
            <w:r w:rsidRPr="005B052D">
              <w:rPr>
                <w:rFonts w:ascii="Arial" w:hAnsi="Arial" w:cs="Arial"/>
              </w:rPr>
              <w:t xml:space="preserve"> infancia y adolescencia</w:t>
            </w:r>
            <w:r>
              <w:rPr>
                <w:rFonts w:ascii="Arial" w:hAnsi="Arial" w:cs="Arial"/>
              </w:rPr>
              <w:t xml:space="preserve"> o</w:t>
            </w:r>
            <w:r w:rsidRPr="005B052D">
              <w:rPr>
                <w:rFonts w:ascii="Arial" w:hAnsi="Arial" w:cs="Arial"/>
              </w:rPr>
              <w:t xml:space="preserve"> familia</w:t>
            </w:r>
          </w:p>
        </w:tc>
      </w:tr>
    </w:tbl>
    <w:p w14:paraId="214B821C" w14:textId="77777777" w:rsidR="000D3DFE" w:rsidRPr="00ED3EE1" w:rsidRDefault="000D3DFE" w:rsidP="00ED3EE1">
      <w:pPr>
        <w:rPr>
          <w:rFonts w:ascii="Arial" w:hAnsi="Arial" w:cs="Arial"/>
        </w:rPr>
      </w:pPr>
      <w:r w:rsidRPr="00ED3EE1">
        <w:rPr>
          <w:rFonts w:ascii="Arial" w:hAnsi="Arial" w:cs="Arial"/>
        </w:rPr>
        <w:br w:type="page"/>
      </w:r>
    </w:p>
    <w:p w14:paraId="68CB26C3" w14:textId="77777777" w:rsidR="000D3DFE" w:rsidRPr="00ED3EE1" w:rsidRDefault="000D3DFE" w:rsidP="003202A8">
      <w:pPr>
        <w:pStyle w:val="Ttulo6"/>
        <w:spacing w:line="276" w:lineRule="auto"/>
        <w:jc w:val="both"/>
        <w:rPr>
          <w:rFonts w:ascii="Arial" w:hAnsi="Arial" w:cs="Arial"/>
        </w:rPr>
      </w:pPr>
      <w:r w:rsidRPr="00ED3EE1">
        <w:rPr>
          <w:rFonts w:ascii="Arial" w:hAnsi="Arial" w:cs="Arial"/>
        </w:rPr>
        <w:lastRenderedPageBreak/>
        <w:t>1. OPORTUNIDAD DE LA PROPUESTA</w:t>
      </w:r>
      <w:r>
        <w:rPr>
          <w:rFonts w:ascii="Arial" w:hAnsi="Arial" w:cs="Arial"/>
        </w:rPr>
        <w:t>.</w:t>
      </w:r>
    </w:p>
    <w:p w14:paraId="549B08B1" w14:textId="77777777" w:rsidR="000D3DFE" w:rsidRPr="00ED3EE1" w:rsidRDefault="000D3DFE" w:rsidP="003202A8">
      <w:pPr>
        <w:spacing w:line="276" w:lineRule="auto"/>
        <w:rPr>
          <w:rFonts w:ascii="Arial" w:hAnsi="Arial" w:cs="Arial"/>
          <w:highlight w:val="blue"/>
        </w:rPr>
      </w:pPr>
    </w:p>
    <w:p w14:paraId="5AA93FD2"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1.1 MOTIVACIÓN</w:t>
      </w:r>
    </w:p>
    <w:p w14:paraId="2A024D1B" w14:textId="77777777" w:rsidR="000D3DFE" w:rsidRDefault="000D3DFE" w:rsidP="003202A8">
      <w:pPr>
        <w:autoSpaceDE w:val="0"/>
        <w:autoSpaceDN w:val="0"/>
        <w:adjustRightInd w:val="0"/>
        <w:spacing w:line="276" w:lineRule="auto"/>
        <w:rPr>
          <w:rFonts w:ascii="Arial" w:hAnsi="Arial" w:cs="Arial"/>
          <w:bCs/>
        </w:rPr>
      </w:pPr>
    </w:p>
    <w:p w14:paraId="3554DB47"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 xml:space="preserve">En el artículo 169 del Tratado de Funcionamiento de la Unión Europea (TFUE) se establece que la Unión debe contribuir a lograr un alto nivel de protección de los consumidores. </w:t>
      </w:r>
    </w:p>
    <w:p w14:paraId="136CFDCD" w14:textId="77777777" w:rsidR="000D3DFE" w:rsidRPr="002D0FCC" w:rsidRDefault="000D3DFE" w:rsidP="003202A8">
      <w:pPr>
        <w:spacing w:line="276" w:lineRule="auto"/>
        <w:rPr>
          <w:rFonts w:ascii="Arial" w:hAnsi="Arial" w:cs="Arial"/>
          <w:lang w:val="es-ES_tradnl"/>
        </w:rPr>
      </w:pPr>
    </w:p>
    <w:p w14:paraId="57514E21"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 xml:space="preserve">Para lograr un alto nivel de protección de la salud de los consumidores y garantizar su derecho a la información, se debe velar por que los consumidores estén debidamente informados respecto a los alimentos que consumen. Las decisiones de los consumidores pueden verse influidas, entre otras cosas, por factores sanitarios, económicos, medioambientales, sociales y éticos. </w:t>
      </w:r>
    </w:p>
    <w:p w14:paraId="652F2BB7" w14:textId="77777777" w:rsidR="000D3DFE" w:rsidRPr="002D0FCC" w:rsidRDefault="000D3DFE" w:rsidP="003202A8">
      <w:pPr>
        <w:tabs>
          <w:tab w:val="left" w:pos="2205"/>
        </w:tabs>
        <w:spacing w:line="276" w:lineRule="auto"/>
        <w:rPr>
          <w:rFonts w:ascii="Arial" w:hAnsi="Arial" w:cs="Arial"/>
          <w:lang w:val="es-ES_tradnl"/>
        </w:rPr>
      </w:pPr>
      <w:r w:rsidRPr="002D0FCC">
        <w:rPr>
          <w:rFonts w:ascii="Arial" w:hAnsi="Arial" w:cs="Arial"/>
          <w:lang w:val="es-ES_tradnl"/>
        </w:rPr>
        <w:tab/>
      </w:r>
    </w:p>
    <w:p w14:paraId="5DAD029D" w14:textId="77777777" w:rsidR="000D3DFE" w:rsidRPr="002D0FCC" w:rsidRDefault="000D3DFE" w:rsidP="003202A8">
      <w:pPr>
        <w:spacing w:line="276" w:lineRule="auto"/>
        <w:rPr>
          <w:rFonts w:ascii="Arial" w:hAnsi="Arial" w:cs="Arial"/>
          <w:lang w:val="es-ES_tradnl"/>
        </w:rPr>
      </w:pPr>
      <w:r>
        <w:rPr>
          <w:rFonts w:ascii="Arial" w:hAnsi="Arial" w:cs="Arial"/>
          <w:lang w:val="es-ES_tradnl"/>
        </w:rPr>
        <w:t>E</w:t>
      </w:r>
      <w:r w:rsidRPr="002D0FCC">
        <w:rPr>
          <w:rFonts w:ascii="Arial" w:hAnsi="Arial" w:cs="Arial"/>
          <w:lang w:val="es-ES_tradnl"/>
        </w:rPr>
        <w:t xml:space="preserve">l artículo 37 del mencionado Reglamento (UE) nº 1379/2013, del Parlamento Europeo y del Consejo, de 11 de diciembre de 2013, se recoge que, a efectos de información obligatoria al consumidor, cada Estado miembro deberá publicar una lista de denominaciones comerciales aceptadas en su territorio junto con su nombre científico, para los productos incluidos en las letras a), b) c) y e) del anexo I de la OCM. </w:t>
      </w:r>
    </w:p>
    <w:p w14:paraId="514A39E5" w14:textId="77777777" w:rsidR="000D3DFE" w:rsidRPr="002D0FCC" w:rsidRDefault="000D3DFE" w:rsidP="003202A8">
      <w:pPr>
        <w:spacing w:line="276" w:lineRule="auto"/>
        <w:rPr>
          <w:rFonts w:ascii="Arial" w:hAnsi="Arial" w:cs="Arial"/>
          <w:lang w:val="es-ES_tradnl"/>
        </w:rPr>
      </w:pPr>
    </w:p>
    <w:p w14:paraId="279BDF82"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Entre tales productos no constan, no obstante, los incluidos en las letras h) e i) del mencionado anexo, es decir, las preparaciones y conservas de pescados, moluscos crustáceos y demás invertebrados acuáticos pertenecientes a las partidas 1604 y 1605.</w:t>
      </w:r>
    </w:p>
    <w:p w14:paraId="21DA457C" w14:textId="77777777" w:rsidR="000D3DFE" w:rsidRPr="002D0FCC" w:rsidRDefault="000D3DFE" w:rsidP="003202A8">
      <w:pPr>
        <w:spacing w:line="276" w:lineRule="auto"/>
        <w:rPr>
          <w:rFonts w:ascii="Arial" w:hAnsi="Arial" w:cs="Arial"/>
          <w:lang w:val="es-ES_tradnl"/>
        </w:rPr>
      </w:pPr>
    </w:p>
    <w:p w14:paraId="4DA875EC" w14:textId="77777777" w:rsidR="000D3DFE" w:rsidRPr="00AF1F81" w:rsidRDefault="000D3DFE" w:rsidP="005624D9">
      <w:pPr>
        <w:pStyle w:val="Default"/>
        <w:jc w:val="both"/>
        <w:rPr>
          <w:color w:val="000000" w:themeColor="text1"/>
          <w:lang w:val="es-ES_tradnl" w:eastAsia="es-ES_tradnl"/>
        </w:rPr>
      </w:pPr>
      <w:r w:rsidRPr="002D0FCC">
        <w:rPr>
          <w:lang w:val="es-ES_tradnl"/>
        </w:rPr>
        <w:t xml:space="preserve">En relación a esto último, debe tenerse en cuenta que las denominaciones normalizadas aplicables los productos de la pesca conservados que se han venido aplicando en nuestro país son las recogidas en el anexo IV del Real Decreto 1521/1984, de 1 de agosto, por el que se aprueba la reglamentación técnico-sanitaria de los establecimientos y productos de la pesca y acuicultura con destino al consumo humano, norma que se encuentra parcialmente derogada, con excepción, </w:t>
      </w:r>
      <w:r w:rsidRPr="00AF1F81">
        <w:rPr>
          <w:color w:val="000000" w:themeColor="text1"/>
          <w:lang w:val="es-ES_tradnl"/>
        </w:rPr>
        <w:t>precisamente, del mencionado anexo IV, del anexo VII y de los artículos 3 y 4.</w:t>
      </w:r>
      <w:r w:rsidRPr="00AF1F81">
        <w:rPr>
          <w:color w:val="000000" w:themeColor="text1"/>
        </w:rPr>
        <w:t xml:space="preserve"> En este sentido, dado el tiempo transcurrido, y en consonancia con los cambios en  la normativa europea y nacional en materia pesquera, de información alimentaria y de seguridad alimentaria, se considera necesario adaptar las definiciones dadas en esos preceptos en relación a las f</w:t>
      </w:r>
      <w:r w:rsidRPr="00AF1F81">
        <w:rPr>
          <w:iCs/>
          <w:color w:val="000000" w:themeColor="text1"/>
          <w:lang w:eastAsia="es-ES_tradnl"/>
        </w:rPr>
        <w:t xml:space="preserve">ormas de presentación, conservación y comercialización de los productos de la pesca y acuicultura y a las partes de los productos de la pesca, </w:t>
      </w:r>
      <w:r w:rsidRPr="00AF1F81">
        <w:rPr>
          <w:color w:val="000000" w:themeColor="text1"/>
        </w:rPr>
        <w:t xml:space="preserve">respectivamente. Al mismo tiempo, que se substituye el citado anexo IV del Real Decreto 1521/1984, de 1 de agosto, por lo dispuesto en el nuevo anexo del presente real decreto. </w:t>
      </w:r>
    </w:p>
    <w:p w14:paraId="52C0AA56" w14:textId="77777777" w:rsidR="000D3DFE" w:rsidRPr="002D0FCC" w:rsidRDefault="000D3DFE" w:rsidP="003202A8">
      <w:pPr>
        <w:spacing w:line="276" w:lineRule="auto"/>
        <w:rPr>
          <w:rFonts w:ascii="Arial" w:hAnsi="Arial" w:cs="Arial"/>
          <w:color w:val="000000"/>
          <w:lang w:val="es-ES_tradnl"/>
        </w:rPr>
      </w:pPr>
    </w:p>
    <w:p w14:paraId="445389A5" w14:textId="77777777" w:rsidR="000D3DFE" w:rsidRPr="002D0FCC" w:rsidRDefault="000D3DFE" w:rsidP="003202A8">
      <w:pPr>
        <w:spacing w:line="276" w:lineRule="auto"/>
        <w:rPr>
          <w:rFonts w:ascii="Arial" w:hAnsi="Arial" w:cs="Arial"/>
          <w:lang w:val="es-ES_tradnl"/>
        </w:rPr>
      </w:pPr>
    </w:p>
    <w:p w14:paraId="53D46811"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 xml:space="preserve">Asimismo, cabe mencionar que actualmente se encuentra vigente la Orden de 15 de octubre de 1985, por la que se aprueban la Norma de Calidad para el Mejillón, </w:t>
      </w:r>
      <w:r w:rsidRPr="002D0FCC">
        <w:rPr>
          <w:rFonts w:ascii="Arial" w:hAnsi="Arial" w:cs="Arial"/>
          <w:lang w:val="es-ES_tradnl"/>
        </w:rPr>
        <w:lastRenderedPageBreak/>
        <w:t xml:space="preserve">Almeja y Berberecho en conserva, y la Norma de Calidad para los mejillones cocidos y congelados, en las que se regulan aspectos relacionados con la denominación de estos productos. </w:t>
      </w:r>
    </w:p>
    <w:p w14:paraId="16A927F3" w14:textId="77777777" w:rsidR="000D3DFE" w:rsidRPr="002D0FCC" w:rsidRDefault="000D3DFE" w:rsidP="003202A8">
      <w:pPr>
        <w:spacing w:line="276" w:lineRule="auto"/>
        <w:rPr>
          <w:rFonts w:ascii="Arial" w:hAnsi="Arial" w:cs="Arial"/>
          <w:lang w:val="es-ES_tradnl"/>
        </w:rPr>
      </w:pPr>
    </w:p>
    <w:p w14:paraId="726E4B99"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En ambos casos se trata de normas de notable antigüedad. Los cambios acaecidos tanto en el mercado como en los patrones de consumo y en los caracteres de operadores y productos aconsejan proceder a una revisión de los mismos para adecuarlos a la realidad comercial actual.</w:t>
      </w:r>
    </w:p>
    <w:p w14:paraId="0C5720E0" w14:textId="77777777" w:rsidR="000D3DFE" w:rsidRPr="002D0FCC" w:rsidRDefault="000D3DFE" w:rsidP="003202A8">
      <w:pPr>
        <w:spacing w:line="276" w:lineRule="auto"/>
        <w:rPr>
          <w:rFonts w:ascii="Arial" w:hAnsi="Arial" w:cs="Arial"/>
          <w:lang w:val="es-ES_tradnl"/>
        </w:rPr>
      </w:pPr>
    </w:p>
    <w:p w14:paraId="0594E142"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 xml:space="preserve">Por otro lado, procede añadir que en el ámbito europeo se han establecido normas comunes de comercialización para determinados productos. Tal es el caso del Reglamento (CEE) nº 1536/92 del Consejo, de 9 de junio, por el que se aprueban normas comunes de comercialización para las conservas de atún y de bonito, y el Reglamento (CEE) nº 2136/89 del Consejo, de 21 de junio de 1989, por el que se establecen normas comunes de comercialización para las conservas de sardinas y de productos tipo sardina. </w:t>
      </w:r>
    </w:p>
    <w:p w14:paraId="3B925713" w14:textId="77777777" w:rsidR="000D3DFE" w:rsidRPr="002D0FCC" w:rsidRDefault="000D3DFE" w:rsidP="003202A8">
      <w:pPr>
        <w:spacing w:line="276" w:lineRule="auto"/>
        <w:rPr>
          <w:rFonts w:ascii="Arial" w:hAnsi="Arial" w:cs="Arial"/>
          <w:lang w:val="es-ES_tradnl"/>
        </w:rPr>
      </w:pPr>
    </w:p>
    <w:p w14:paraId="78235348"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La coexistencia de varios listados diferenciados, junto con la de unas normas comunes de comercialización aplicables a determinados productos, hace que sea conveniente una revisión de conjunto de los mism</w:t>
      </w:r>
      <w:r>
        <w:rPr>
          <w:rFonts w:ascii="Arial" w:hAnsi="Arial" w:cs="Arial"/>
          <w:lang w:val="es-ES_tradnl"/>
        </w:rPr>
        <w:t xml:space="preserve">os, </w:t>
      </w:r>
      <w:r w:rsidRPr="002D0FCC">
        <w:rPr>
          <w:rFonts w:ascii="Arial" w:hAnsi="Arial" w:cs="Arial"/>
          <w:lang w:val="es-ES_tradnl"/>
        </w:rPr>
        <w:t>de manera que exista un único listado que pueda ser actualizado por la Secretaría General de Pesca de forma ágil, teniendo para ello en cuenta el desarrollo científico y taxonómico, así como el impulso comercial y tecnológico que ha experimentado la industria transformadora española durante las últimas décadas, con la aparición de nuevos productos y elaboraciones, y que venga a potenciar, al propio tiempo, la seguridad jurídica de operadores y consumidores.</w:t>
      </w:r>
    </w:p>
    <w:p w14:paraId="7E3EFA1F" w14:textId="77777777" w:rsidR="000D3DFE" w:rsidRPr="002D0FCC" w:rsidRDefault="000D3DFE" w:rsidP="003202A8">
      <w:pPr>
        <w:spacing w:line="276" w:lineRule="auto"/>
        <w:rPr>
          <w:rFonts w:ascii="Arial" w:hAnsi="Arial" w:cs="Arial"/>
          <w:lang w:val="es-ES_tradnl"/>
        </w:rPr>
      </w:pPr>
    </w:p>
    <w:p w14:paraId="510E78F6" w14:textId="77777777" w:rsidR="000D3DFE" w:rsidRDefault="000D3DFE" w:rsidP="003202A8">
      <w:pPr>
        <w:spacing w:line="276" w:lineRule="auto"/>
        <w:rPr>
          <w:rFonts w:ascii="Arial" w:hAnsi="Arial" w:cs="Arial"/>
          <w:lang w:val="es-ES_tradnl"/>
        </w:rPr>
      </w:pPr>
      <w:r w:rsidRPr="002D0FCC">
        <w:rPr>
          <w:rFonts w:ascii="Arial" w:hAnsi="Arial" w:cs="Arial"/>
          <w:lang w:val="es-ES_tradnl"/>
        </w:rPr>
        <w:t>Además, en el caso de los productos pertenecientes a las partidas 1604 y 1605 de la N</w:t>
      </w:r>
      <w:r>
        <w:rPr>
          <w:rFonts w:ascii="Arial" w:hAnsi="Arial" w:cs="Arial"/>
          <w:lang w:val="es-ES_tradnl"/>
        </w:rPr>
        <w:t>omenclatura Combinada (N</w:t>
      </w:r>
      <w:r w:rsidRPr="002D0FCC">
        <w:rPr>
          <w:rFonts w:ascii="Arial" w:hAnsi="Arial" w:cs="Arial"/>
          <w:lang w:val="es-ES_tradnl"/>
        </w:rPr>
        <w:t>C</w:t>
      </w:r>
      <w:r>
        <w:rPr>
          <w:rFonts w:ascii="Arial" w:hAnsi="Arial" w:cs="Arial"/>
          <w:lang w:val="es-ES_tradnl"/>
        </w:rPr>
        <w:t>)</w:t>
      </w:r>
      <w:r w:rsidRPr="002D0FCC">
        <w:rPr>
          <w:rFonts w:ascii="Arial" w:hAnsi="Arial" w:cs="Arial"/>
          <w:lang w:val="es-ES_tradnl"/>
        </w:rPr>
        <w:t>, han de tenerse en cuenta determinados aspectos recogidos en el Reglamento (UE) nº 1169/2011, del Parlamento Europeo y del Consejo, sobre la información alimentaria facilitada al consumidor, concretamente en lo relativo a la información obligat</w:t>
      </w:r>
      <w:r>
        <w:rPr>
          <w:rFonts w:ascii="Arial" w:hAnsi="Arial" w:cs="Arial"/>
          <w:lang w:val="es-ES_tradnl"/>
        </w:rPr>
        <w:t>oria a facilitar al consumidor.</w:t>
      </w:r>
    </w:p>
    <w:p w14:paraId="33435F64" w14:textId="77777777" w:rsidR="000D3DFE" w:rsidRPr="001F55A0" w:rsidRDefault="000D3DFE" w:rsidP="003202A8">
      <w:pPr>
        <w:spacing w:line="276" w:lineRule="auto"/>
        <w:rPr>
          <w:rFonts w:ascii="Arial" w:hAnsi="Arial" w:cs="Arial"/>
          <w:lang w:val="es-ES_tradnl"/>
        </w:rPr>
      </w:pPr>
    </w:p>
    <w:p w14:paraId="3AAF59FE" w14:textId="77777777" w:rsidR="000D3DFE" w:rsidRPr="002D0FCC" w:rsidRDefault="000D3DFE" w:rsidP="003202A8">
      <w:pPr>
        <w:spacing w:line="276" w:lineRule="auto"/>
        <w:rPr>
          <w:rFonts w:ascii="Arial" w:hAnsi="Arial" w:cs="Arial"/>
          <w:lang w:val="es-ES_tradnl"/>
        </w:rPr>
      </w:pPr>
      <w:r w:rsidRPr="002D0FCC">
        <w:rPr>
          <w:rFonts w:ascii="Arial" w:hAnsi="Arial" w:cs="Arial"/>
          <w:lang w:val="es-ES_tradnl"/>
        </w:rPr>
        <w:t xml:space="preserve">Dicho esto, conviene añadir que la Ley 3/2001, de 26 de marzo, de Pesca Marítima del Estado, en su artículo 75, establece los instrumentos de la política de comercialización y transformación de los productos pesqueros, contemplando la posibilidad de aplicar medidas para la normalización de los productos a lo largo de toda la cadena de comercialización, para así dotar de transparencia al mercado y posibilitar una adecuada información al consumidor, en especial acerca de la naturaleza y el origen de los productos. </w:t>
      </w:r>
    </w:p>
    <w:p w14:paraId="741C36DE" w14:textId="77777777" w:rsidR="000D3DFE" w:rsidRPr="00ED3EE1" w:rsidRDefault="000D3DFE" w:rsidP="003202A8">
      <w:pPr>
        <w:autoSpaceDE w:val="0"/>
        <w:autoSpaceDN w:val="0"/>
        <w:adjustRightInd w:val="0"/>
        <w:spacing w:line="276" w:lineRule="auto"/>
        <w:rPr>
          <w:rFonts w:ascii="Arial" w:hAnsi="Arial" w:cs="Arial"/>
          <w:bCs/>
        </w:rPr>
      </w:pPr>
    </w:p>
    <w:p w14:paraId="7971DB6E"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 xml:space="preserve">1.2 OBJETIVOS </w:t>
      </w:r>
    </w:p>
    <w:p w14:paraId="1FFC03AC" w14:textId="77777777" w:rsidR="000D3DFE" w:rsidRDefault="000D3DFE" w:rsidP="003202A8">
      <w:pPr>
        <w:spacing w:line="276" w:lineRule="auto"/>
        <w:ind w:left="360"/>
        <w:contextualSpacing/>
        <w:rPr>
          <w:rFonts w:ascii="Arial" w:hAnsi="Arial" w:cs="Arial"/>
          <w:lang w:val="es-ES_tradnl"/>
        </w:rPr>
      </w:pPr>
    </w:p>
    <w:p w14:paraId="2225A8F0" w14:textId="77777777" w:rsidR="000D3DFE" w:rsidRPr="00523021" w:rsidRDefault="000D3DFE" w:rsidP="003202A8">
      <w:pPr>
        <w:autoSpaceDE w:val="0"/>
        <w:autoSpaceDN w:val="0"/>
        <w:adjustRightInd w:val="0"/>
        <w:spacing w:line="276" w:lineRule="auto"/>
        <w:rPr>
          <w:rFonts w:ascii="Arial" w:hAnsi="Arial" w:cs="Arial"/>
        </w:rPr>
      </w:pPr>
      <w:r>
        <w:rPr>
          <w:rFonts w:ascii="Arial" w:hAnsi="Arial" w:cs="Arial"/>
        </w:rPr>
        <w:lastRenderedPageBreak/>
        <w:t>La norma pretende adaptar</w:t>
      </w:r>
      <w:r w:rsidRPr="00523021">
        <w:rPr>
          <w:rFonts w:ascii="Arial" w:hAnsi="Arial" w:cs="Arial"/>
        </w:rPr>
        <w:t xml:space="preserve"> la actual normativa nacional a los cambios científicos, a los nuevos patrones de consumo y a la realidad comercial actual, así como a la existencia de una normativa de la Unión en materia de información alimentaria al consumidor y de normas comunes de comercialización de determinados productos (</w:t>
      </w:r>
      <w:r w:rsidRPr="00AC6DAC">
        <w:rPr>
          <w:rFonts w:ascii="Arial" w:hAnsi="Arial" w:cs="Arial"/>
        </w:rPr>
        <w:t xml:space="preserve">como ocurre en el caso de algunas de las especies pesqueras más demandadas por el consumidor final, en </w:t>
      </w:r>
      <w:r>
        <w:rPr>
          <w:rFonts w:ascii="Arial" w:hAnsi="Arial" w:cs="Arial"/>
        </w:rPr>
        <w:t>el caso d</w:t>
      </w:r>
      <w:r w:rsidRPr="00523021">
        <w:rPr>
          <w:rFonts w:ascii="Arial" w:hAnsi="Arial" w:cs="Arial"/>
        </w:rPr>
        <w:t xml:space="preserve">el atún, el bonito, las sardinas y los productos tipo sardina), reuniendo en un único acto las denominaciones comerciales </w:t>
      </w:r>
      <w:r>
        <w:rPr>
          <w:rFonts w:ascii="Arial" w:hAnsi="Arial" w:cs="Arial"/>
        </w:rPr>
        <w:t xml:space="preserve">nacionales </w:t>
      </w:r>
      <w:r w:rsidRPr="00523021">
        <w:rPr>
          <w:rFonts w:ascii="Arial" w:hAnsi="Arial" w:cs="Arial"/>
        </w:rPr>
        <w:t>y las denominaciones de alimentos en conserva y preparados aplicables a los productos de la pesca y de la acuicultura. Del mi</w:t>
      </w:r>
      <w:r>
        <w:rPr>
          <w:rFonts w:ascii="Arial" w:hAnsi="Arial" w:cs="Arial"/>
        </w:rPr>
        <w:t>smo modo, la norma pretende regular el procedimiento para la</w:t>
      </w:r>
      <w:r w:rsidRPr="00523021">
        <w:rPr>
          <w:rFonts w:ascii="Arial" w:hAnsi="Arial" w:cs="Arial"/>
        </w:rPr>
        <w:t xml:space="preserve"> actualización del listado de oficio o por recepción de solicitudes.</w:t>
      </w:r>
    </w:p>
    <w:p w14:paraId="19CED5A8" w14:textId="77777777" w:rsidR="000D3DFE" w:rsidRDefault="000D3DFE" w:rsidP="003202A8">
      <w:pPr>
        <w:spacing w:line="276" w:lineRule="auto"/>
        <w:contextualSpacing/>
        <w:rPr>
          <w:rFonts w:ascii="Arial" w:hAnsi="Arial" w:cs="Arial"/>
          <w:lang w:val="es-ES_tradnl"/>
        </w:rPr>
      </w:pPr>
    </w:p>
    <w:p w14:paraId="2EE75909" w14:textId="77777777" w:rsidR="000D3DFE" w:rsidRDefault="000D3DFE" w:rsidP="003202A8">
      <w:pPr>
        <w:spacing w:line="276" w:lineRule="auto"/>
        <w:contextualSpacing/>
        <w:rPr>
          <w:rFonts w:ascii="Arial" w:hAnsi="Arial" w:cs="Arial"/>
          <w:lang w:val="es-ES_tradnl"/>
        </w:rPr>
      </w:pPr>
      <w:r>
        <w:rPr>
          <w:rFonts w:ascii="Arial" w:hAnsi="Arial" w:cs="Arial"/>
          <w:lang w:val="es-ES_tradnl"/>
        </w:rPr>
        <w:t xml:space="preserve">Concretamente, el real </w:t>
      </w:r>
      <w:r w:rsidRPr="002D0FCC">
        <w:rPr>
          <w:rFonts w:ascii="Arial" w:hAnsi="Arial" w:cs="Arial"/>
          <w:lang w:val="es-ES_tradnl"/>
        </w:rPr>
        <w:t>decreto tiene por objeto:</w:t>
      </w:r>
    </w:p>
    <w:p w14:paraId="7C4F8149" w14:textId="77777777" w:rsidR="000D3DFE" w:rsidRPr="002D0FCC" w:rsidRDefault="000D3DFE" w:rsidP="003202A8">
      <w:pPr>
        <w:spacing w:line="276" w:lineRule="auto"/>
        <w:contextualSpacing/>
        <w:rPr>
          <w:rFonts w:ascii="Arial" w:hAnsi="Arial" w:cs="Arial"/>
          <w:lang w:val="es-ES_tradnl"/>
        </w:rPr>
      </w:pPr>
    </w:p>
    <w:p w14:paraId="111FD79E" w14:textId="77777777" w:rsidR="000D3DFE" w:rsidRPr="001C3D55" w:rsidRDefault="000D3DFE" w:rsidP="003202A8">
      <w:pPr>
        <w:numPr>
          <w:ilvl w:val="0"/>
          <w:numId w:val="14"/>
        </w:numPr>
        <w:spacing w:line="276" w:lineRule="auto"/>
        <w:contextualSpacing/>
        <w:rPr>
          <w:rFonts w:ascii="Arial" w:hAnsi="Arial" w:cs="Arial"/>
          <w:lang w:val="es-ES_tradnl"/>
        </w:rPr>
      </w:pPr>
      <w:r w:rsidRPr="001C3D55">
        <w:rPr>
          <w:rFonts w:ascii="Arial" w:hAnsi="Arial" w:cs="Arial"/>
          <w:lang w:val="es-ES_tradnl"/>
        </w:rPr>
        <w:t xml:space="preserve">Establecer las denominaciones comerciales </w:t>
      </w:r>
      <w:r>
        <w:rPr>
          <w:rFonts w:ascii="Arial" w:hAnsi="Arial" w:cs="Arial"/>
          <w:lang w:val="es-ES_tradnl"/>
        </w:rPr>
        <w:t>nacionales admiti</w:t>
      </w:r>
      <w:r w:rsidRPr="001C3D55">
        <w:rPr>
          <w:rFonts w:ascii="Arial" w:hAnsi="Arial" w:cs="Arial"/>
          <w:lang w:val="es-ES_tradnl"/>
        </w:rPr>
        <w:t>das en España para los productos de la pesca y la acuicultura  incluidos en las letras a), b) c) y e) del anexo I del Reglamento (UE) nº 1379/2013, del Parlamento Europeo y del Consejo, de 11 de diciembre de 2013, por el que se establece la Organización Común de Mercados en el sector de los productos de la pesca y de la acuicultura (en adelante OCM), a afectos de proporcionar la información obligatoria establecida en el artículo 35 de dicho Reglamento.</w:t>
      </w:r>
    </w:p>
    <w:p w14:paraId="0D9F72E3" w14:textId="77777777" w:rsidR="000D3DFE" w:rsidRPr="001C3D55" w:rsidRDefault="000D3DFE" w:rsidP="003202A8">
      <w:pPr>
        <w:spacing w:line="276" w:lineRule="auto"/>
        <w:ind w:left="720"/>
        <w:contextualSpacing/>
        <w:rPr>
          <w:rFonts w:ascii="Arial" w:hAnsi="Arial" w:cs="Arial"/>
          <w:lang w:val="es-ES_tradnl"/>
        </w:rPr>
      </w:pPr>
    </w:p>
    <w:p w14:paraId="39072191" w14:textId="77777777" w:rsidR="000D3DFE" w:rsidRDefault="000D3DFE" w:rsidP="003202A8">
      <w:pPr>
        <w:numPr>
          <w:ilvl w:val="0"/>
          <w:numId w:val="14"/>
        </w:numPr>
        <w:spacing w:line="276" w:lineRule="auto"/>
        <w:contextualSpacing/>
        <w:rPr>
          <w:rFonts w:ascii="Arial" w:hAnsi="Arial" w:cs="Arial"/>
          <w:lang w:val="es-ES_tradnl"/>
        </w:rPr>
      </w:pPr>
      <w:r w:rsidRPr="001C3D55">
        <w:rPr>
          <w:rFonts w:ascii="Arial" w:hAnsi="Arial" w:cs="Arial"/>
          <w:lang w:val="es-ES_tradnl"/>
        </w:rPr>
        <w:t>Establecer las denominaciones de alimentos en conserva o preparados aceptadas en España para los productos de la pesca y acuicultura de las letras h) e i) del anexo I del Reglamento (UE) nº 1379/2013, del Parlamento Europeo y del Consejo, de 11 de diciembre de 2013, a afectos de proporcionar la información obligatoria sobre denominación de alimento establecida en el artículo 17 del Reglamento (UE) nº 1169/2011, sobre información alimentaria facilitada al consumidor.</w:t>
      </w:r>
    </w:p>
    <w:p w14:paraId="619F8CDE" w14:textId="77777777" w:rsidR="000D3DFE" w:rsidRPr="00ED3EE1" w:rsidRDefault="000D3DFE" w:rsidP="003202A8">
      <w:pPr>
        <w:tabs>
          <w:tab w:val="num" w:pos="360"/>
        </w:tabs>
        <w:spacing w:line="276" w:lineRule="auto"/>
        <w:rPr>
          <w:rFonts w:ascii="Arial" w:hAnsi="Arial" w:cs="Arial"/>
          <w:iCs/>
          <w:spacing w:val="-4"/>
        </w:rPr>
      </w:pPr>
    </w:p>
    <w:p w14:paraId="40EC0EA5" w14:textId="77777777" w:rsidR="000D3DFE" w:rsidRPr="00ED3EE1" w:rsidRDefault="000D3DFE" w:rsidP="003202A8">
      <w:pPr>
        <w:pBdr>
          <w:top w:val="single" w:sz="4" w:space="0"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1.3 ALTERNATIVAS</w:t>
      </w:r>
    </w:p>
    <w:p w14:paraId="3AFA9C4B" w14:textId="77777777" w:rsidR="000D3DFE" w:rsidRPr="00ED3EE1" w:rsidRDefault="000D3DFE" w:rsidP="003202A8">
      <w:pPr>
        <w:autoSpaceDE w:val="0"/>
        <w:autoSpaceDN w:val="0"/>
        <w:adjustRightInd w:val="0"/>
        <w:spacing w:line="276" w:lineRule="auto"/>
        <w:rPr>
          <w:rFonts w:ascii="Arial" w:hAnsi="Arial" w:cs="Arial"/>
          <w:bCs/>
        </w:rPr>
      </w:pPr>
    </w:p>
    <w:p w14:paraId="3B4AC69B" w14:textId="77777777" w:rsidR="000D3DFE" w:rsidRPr="00730C0D" w:rsidRDefault="000D3DFE" w:rsidP="003202A8">
      <w:pPr>
        <w:autoSpaceDE w:val="0"/>
        <w:autoSpaceDN w:val="0"/>
        <w:adjustRightInd w:val="0"/>
        <w:spacing w:line="276" w:lineRule="auto"/>
        <w:rPr>
          <w:rFonts w:ascii="Arial" w:hAnsi="Arial" w:cs="Arial"/>
          <w:bCs/>
        </w:rPr>
      </w:pPr>
      <w:r w:rsidRPr="00730C0D">
        <w:rPr>
          <w:rFonts w:ascii="Arial" w:hAnsi="Arial" w:cs="Arial"/>
          <w:bCs/>
        </w:rPr>
        <w:t xml:space="preserve">No hacer nada y mantener un real decreto, derogado prácticamente en su total extensión, y que también se encuentra desactualizado en muchos sentidos, así como mantener la Resolución del 24 de mayo de 2019, de la Secretaría General de Pesca, por la que se publica el listado de denominaciones comerciales de especies pesqueras y de la acuicultura admitidas en España, y la Orden que regula la norma de calidad de varios productos pesqueros (mejillón, berberecho, etc.). </w:t>
      </w:r>
    </w:p>
    <w:p w14:paraId="3EB20E96" w14:textId="77777777" w:rsidR="000D3DFE" w:rsidRPr="00A14F0E" w:rsidRDefault="000D3DFE" w:rsidP="003202A8">
      <w:pPr>
        <w:pStyle w:val="Default"/>
        <w:spacing w:line="276" w:lineRule="auto"/>
        <w:jc w:val="both"/>
      </w:pPr>
    </w:p>
    <w:p w14:paraId="4FE66802" w14:textId="77777777" w:rsidR="000D3DFE" w:rsidRPr="003C5010" w:rsidRDefault="000D3DFE" w:rsidP="003202A8">
      <w:pPr>
        <w:pStyle w:val="Ttulo6"/>
        <w:spacing w:line="276" w:lineRule="auto"/>
        <w:jc w:val="both"/>
        <w:rPr>
          <w:rFonts w:ascii="Arial" w:hAnsi="Arial" w:cs="Arial"/>
        </w:rPr>
      </w:pPr>
      <w:r>
        <w:rPr>
          <w:rFonts w:ascii="Arial" w:hAnsi="Arial" w:cs="Arial"/>
        </w:rPr>
        <w:t xml:space="preserve">2. </w:t>
      </w:r>
      <w:r w:rsidRPr="003C5010">
        <w:rPr>
          <w:rFonts w:ascii="Arial" w:hAnsi="Arial" w:cs="Arial"/>
        </w:rPr>
        <w:t>CONTENIDO, ANÁLISIS JURÍDICO Y DESCRIPCIÓN DE LA TRAMITACIÓN</w:t>
      </w:r>
    </w:p>
    <w:p w14:paraId="5530F48F" w14:textId="77777777" w:rsidR="000D3DFE" w:rsidRPr="00ED3EE1" w:rsidRDefault="000D3DFE" w:rsidP="003202A8">
      <w:pPr>
        <w:autoSpaceDE w:val="0"/>
        <w:autoSpaceDN w:val="0"/>
        <w:adjustRightInd w:val="0"/>
        <w:spacing w:line="276" w:lineRule="auto"/>
        <w:rPr>
          <w:rFonts w:ascii="Arial" w:hAnsi="Arial" w:cs="Arial"/>
        </w:rPr>
      </w:pPr>
    </w:p>
    <w:p w14:paraId="5222F800" w14:textId="77777777" w:rsidR="000D3DFE" w:rsidRDefault="000D3DFE" w:rsidP="003202A8">
      <w:pPr>
        <w:autoSpaceDE w:val="0"/>
        <w:autoSpaceDN w:val="0"/>
        <w:adjustRightInd w:val="0"/>
        <w:spacing w:line="276" w:lineRule="auto"/>
        <w:rPr>
          <w:rFonts w:ascii="Arial" w:hAnsi="Arial" w:cs="Arial"/>
        </w:rPr>
      </w:pPr>
      <w:r w:rsidRPr="00ED3EE1">
        <w:rPr>
          <w:rFonts w:ascii="Arial" w:hAnsi="Arial" w:cs="Arial"/>
        </w:rPr>
        <w:lastRenderedPageBreak/>
        <w:t>A continuación</w:t>
      </w:r>
      <w:r>
        <w:rPr>
          <w:rFonts w:ascii="Arial" w:hAnsi="Arial" w:cs="Arial"/>
        </w:rPr>
        <w:t>,</w:t>
      </w:r>
      <w:r w:rsidRPr="00ED3EE1">
        <w:rPr>
          <w:rFonts w:ascii="Arial" w:hAnsi="Arial" w:cs="Arial"/>
        </w:rPr>
        <w:t xml:space="preserve"> se hace una descripci</w:t>
      </w:r>
      <w:r>
        <w:rPr>
          <w:rFonts w:ascii="Arial" w:hAnsi="Arial" w:cs="Arial"/>
        </w:rPr>
        <w:t>ón de la estructura del proyecto</w:t>
      </w:r>
      <w:r w:rsidRPr="00ED3EE1">
        <w:rPr>
          <w:rFonts w:ascii="Arial" w:hAnsi="Arial" w:cs="Arial"/>
        </w:rPr>
        <w:t xml:space="preserve"> de </w:t>
      </w:r>
      <w:r>
        <w:rPr>
          <w:rFonts w:ascii="Arial" w:hAnsi="Arial" w:cs="Arial"/>
        </w:rPr>
        <w:t>real d</w:t>
      </w:r>
      <w:r w:rsidRPr="00ED3EE1">
        <w:rPr>
          <w:rFonts w:ascii="Arial" w:hAnsi="Arial" w:cs="Arial"/>
        </w:rPr>
        <w:t xml:space="preserve">ecreto </w:t>
      </w:r>
      <w:r>
        <w:rPr>
          <w:rFonts w:ascii="Arial" w:hAnsi="Arial" w:cs="Arial"/>
        </w:rPr>
        <w:t>por el que se regulan las denominaciones comerciales nacionales admitidas en España y las denominaciones de alimento de las conservas y preparados de los productos de la pesca y la acuicultura</w:t>
      </w:r>
      <w:r w:rsidRPr="00ED3EE1">
        <w:rPr>
          <w:rFonts w:ascii="Arial" w:hAnsi="Arial" w:cs="Arial"/>
        </w:rPr>
        <w:t xml:space="preserve">. </w:t>
      </w:r>
    </w:p>
    <w:p w14:paraId="229100FA" w14:textId="77777777" w:rsidR="000D3DFE" w:rsidRPr="00ED3EE1" w:rsidRDefault="000D3DFE" w:rsidP="003202A8">
      <w:pPr>
        <w:autoSpaceDE w:val="0"/>
        <w:autoSpaceDN w:val="0"/>
        <w:adjustRightInd w:val="0"/>
        <w:spacing w:line="276" w:lineRule="auto"/>
        <w:rPr>
          <w:rFonts w:ascii="Arial" w:hAnsi="Arial" w:cs="Arial"/>
        </w:rPr>
      </w:pPr>
    </w:p>
    <w:p w14:paraId="2FDF3CA8" w14:textId="77777777" w:rsidR="000D3DFE" w:rsidRPr="00ED3EE1" w:rsidRDefault="000D3DFE" w:rsidP="003202A8">
      <w:pPr>
        <w:autoSpaceDE w:val="0"/>
        <w:autoSpaceDN w:val="0"/>
        <w:adjustRightInd w:val="0"/>
        <w:spacing w:line="276" w:lineRule="auto"/>
        <w:rPr>
          <w:rFonts w:ascii="Arial" w:hAnsi="Arial" w:cs="Arial"/>
        </w:rPr>
      </w:pPr>
    </w:p>
    <w:p w14:paraId="2226B799"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 xml:space="preserve">2.1 </w:t>
      </w:r>
      <w:hyperlink w:anchor="_Toc336245271" w:history="1">
        <w:r w:rsidRPr="00ED3EE1">
          <w:rPr>
            <w:rFonts w:ascii="Arial" w:hAnsi="Arial" w:cs="Arial"/>
            <w:b/>
            <w:caps/>
          </w:rPr>
          <w:t>Estructura y contenido del proyecto de Real Decreto</w:t>
        </w:r>
        <w:r w:rsidRPr="00ED3EE1">
          <w:rPr>
            <w:rFonts w:ascii="Arial" w:hAnsi="Arial" w:cs="Arial"/>
            <w:b/>
            <w:caps/>
            <w:webHidden/>
          </w:rPr>
          <w:tab/>
        </w:r>
      </w:hyperlink>
    </w:p>
    <w:p w14:paraId="425E35C2" w14:textId="77777777" w:rsidR="000D3DFE" w:rsidRPr="00ED3EE1" w:rsidRDefault="000D3DFE" w:rsidP="003202A8">
      <w:pPr>
        <w:autoSpaceDE w:val="0"/>
        <w:autoSpaceDN w:val="0"/>
        <w:adjustRightInd w:val="0"/>
        <w:spacing w:line="276" w:lineRule="auto"/>
        <w:rPr>
          <w:rFonts w:ascii="Arial" w:hAnsi="Arial" w:cs="Arial"/>
        </w:rPr>
      </w:pPr>
    </w:p>
    <w:p w14:paraId="334130C3" w14:textId="77777777" w:rsidR="000D3DFE" w:rsidRPr="00ED3EE1" w:rsidRDefault="000D3DFE" w:rsidP="003202A8">
      <w:pPr>
        <w:autoSpaceDE w:val="0"/>
        <w:autoSpaceDN w:val="0"/>
        <w:adjustRightInd w:val="0"/>
        <w:spacing w:line="276" w:lineRule="auto"/>
        <w:rPr>
          <w:rFonts w:ascii="Arial" w:hAnsi="Arial" w:cs="Arial"/>
        </w:rPr>
      </w:pPr>
      <w:r w:rsidRPr="00ED3EE1">
        <w:rPr>
          <w:rFonts w:ascii="Arial" w:hAnsi="Arial" w:cs="Arial"/>
        </w:rPr>
        <w:t xml:space="preserve">El proyecto consta de un preámbulo, </w:t>
      </w:r>
      <w:r>
        <w:rPr>
          <w:rFonts w:ascii="Arial" w:hAnsi="Arial" w:cs="Arial"/>
        </w:rPr>
        <w:t>cinco artículos</w:t>
      </w:r>
      <w:r w:rsidRPr="00ED3EE1">
        <w:rPr>
          <w:rFonts w:ascii="Arial" w:hAnsi="Arial" w:cs="Arial"/>
        </w:rPr>
        <w:t>, una disposición transitoria</w:t>
      </w:r>
      <w:r>
        <w:rPr>
          <w:rFonts w:ascii="Arial" w:hAnsi="Arial" w:cs="Arial"/>
        </w:rPr>
        <w:t xml:space="preserve"> única</w:t>
      </w:r>
      <w:r w:rsidRPr="00ED3EE1">
        <w:rPr>
          <w:rFonts w:ascii="Arial" w:hAnsi="Arial" w:cs="Arial"/>
        </w:rPr>
        <w:t xml:space="preserve">, una disposición derogatoria y </w:t>
      </w:r>
      <w:r>
        <w:rPr>
          <w:rFonts w:ascii="Arial" w:hAnsi="Arial" w:cs="Arial"/>
        </w:rPr>
        <w:t>tres</w:t>
      </w:r>
      <w:r w:rsidRPr="00ED3EE1">
        <w:rPr>
          <w:rFonts w:ascii="Arial" w:hAnsi="Arial" w:cs="Arial"/>
        </w:rPr>
        <w:t xml:space="preserve"> disposiciones finales. </w:t>
      </w:r>
    </w:p>
    <w:p w14:paraId="66F88826" w14:textId="77777777" w:rsidR="000D3DFE" w:rsidRPr="00ED3EE1" w:rsidRDefault="000D3DFE" w:rsidP="003202A8">
      <w:pPr>
        <w:autoSpaceDE w:val="0"/>
        <w:autoSpaceDN w:val="0"/>
        <w:adjustRightInd w:val="0"/>
        <w:spacing w:line="276" w:lineRule="auto"/>
        <w:rPr>
          <w:rFonts w:ascii="Arial" w:hAnsi="Arial" w:cs="Arial"/>
        </w:rPr>
      </w:pPr>
    </w:p>
    <w:p w14:paraId="678BF571" w14:textId="77777777" w:rsidR="000D3DFE" w:rsidRPr="00ED3EE1" w:rsidRDefault="000D3DFE" w:rsidP="003202A8">
      <w:pPr>
        <w:autoSpaceDE w:val="0"/>
        <w:autoSpaceDN w:val="0"/>
        <w:adjustRightInd w:val="0"/>
        <w:spacing w:line="276" w:lineRule="auto"/>
        <w:rPr>
          <w:rFonts w:ascii="Arial" w:hAnsi="Arial" w:cs="Arial"/>
        </w:rPr>
      </w:pPr>
      <w:r w:rsidRPr="00ED3EE1">
        <w:rPr>
          <w:rFonts w:ascii="Arial" w:hAnsi="Arial" w:cs="Arial"/>
        </w:rPr>
        <w:t>El artículo 1 establece el objeto</w:t>
      </w:r>
      <w:r>
        <w:rPr>
          <w:rFonts w:ascii="Arial" w:hAnsi="Arial" w:cs="Arial"/>
        </w:rPr>
        <w:t xml:space="preserve"> del real decreto</w:t>
      </w:r>
      <w:r w:rsidRPr="00ED3EE1">
        <w:rPr>
          <w:rFonts w:ascii="Arial" w:hAnsi="Arial" w:cs="Arial"/>
        </w:rPr>
        <w:t>.</w:t>
      </w:r>
    </w:p>
    <w:p w14:paraId="7F53CF82"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ED3EE1">
        <w:rPr>
          <w:rFonts w:ascii="Arial" w:hAnsi="Arial" w:cs="Arial"/>
        </w:rPr>
        <w:t xml:space="preserve">El artículo 2 </w:t>
      </w:r>
      <w:r w:rsidRPr="00AF1F81">
        <w:rPr>
          <w:rFonts w:ascii="Arial" w:hAnsi="Arial" w:cs="Arial"/>
          <w:color w:val="000000" w:themeColor="text1"/>
        </w:rPr>
        <w:t>establece las definiciones aplicables en este real decreto.</w:t>
      </w:r>
    </w:p>
    <w:p w14:paraId="4D4C97CD"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rPr>
        <w:t xml:space="preserve">El </w:t>
      </w:r>
      <w:hyperlink r:id="rId10" w:anchor="a2#a2" w:history="1">
        <w:r w:rsidRPr="00AF1F81">
          <w:rPr>
            <w:rFonts w:ascii="Arial" w:hAnsi="Arial" w:cs="Arial"/>
            <w:color w:val="000000" w:themeColor="text1"/>
          </w:rPr>
          <w:t>artículo</w:t>
        </w:r>
      </w:hyperlink>
      <w:r w:rsidRPr="00AF1F81">
        <w:rPr>
          <w:rFonts w:ascii="Arial" w:hAnsi="Arial" w:cs="Arial"/>
          <w:color w:val="000000" w:themeColor="text1"/>
        </w:rPr>
        <w:t xml:space="preserve"> 3 regula el </w:t>
      </w:r>
      <w:r w:rsidRPr="00AF1F81">
        <w:rPr>
          <w:rFonts w:ascii="Arial" w:hAnsi="Arial" w:cs="Arial"/>
          <w:color w:val="000000" w:themeColor="text1"/>
          <w:lang w:val="es-ES_tradnl"/>
        </w:rPr>
        <w:t>requisito previo para la venta de los productos de pesqueros y de la acuicultura al consumidor final o a colectivos.</w:t>
      </w:r>
    </w:p>
    <w:p w14:paraId="0E686AC4"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rPr>
        <w:t>El artículo 4 recoge la revisión anual del listado de denominaciones comerciales nacionales y de denominaciones de alimentos en conserva y preparados aplicables a los productos pesqueros y de la acuicultura</w:t>
      </w:r>
    </w:p>
    <w:p w14:paraId="56D4AC21" w14:textId="77777777" w:rsidR="000D3DFE" w:rsidRPr="00AF1F81" w:rsidRDefault="000D3DFE" w:rsidP="003202A8">
      <w:pPr>
        <w:autoSpaceDE w:val="0"/>
        <w:autoSpaceDN w:val="0"/>
        <w:adjustRightInd w:val="0"/>
        <w:spacing w:line="276" w:lineRule="auto"/>
        <w:rPr>
          <w:rFonts w:ascii="Arial" w:hAnsi="Arial" w:cs="Arial"/>
          <w:color w:val="000000" w:themeColor="text1"/>
          <w:lang w:val="es-ES_tradnl"/>
        </w:rPr>
      </w:pPr>
      <w:r w:rsidRPr="00AF1F81">
        <w:rPr>
          <w:rFonts w:ascii="Arial" w:hAnsi="Arial" w:cs="Arial"/>
          <w:color w:val="000000" w:themeColor="text1"/>
        </w:rPr>
        <w:t xml:space="preserve">El artículo 5 establece el </w:t>
      </w:r>
      <w:r w:rsidRPr="00AF1F81">
        <w:rPr>
          <w:rFonts w:ascii="Arial" w:hAnsi="Arial" w:cs="Arial"/>
          <w:color w:val="000000" w:themeColor="text1"/>
          <w:lang w:val="es-ES_tradnl"/>
        </w:rPr>
        <w:t>procedimiento para la elaboración y revisión del listado de denominaciones comerciales nacionales y de denominaciones de alimentos en conserva y preparados aplicables a los productos de la pesca y de la acuicultura por parte de los operadores.</w:t>
      </w:r>
    </w:p>
    <w:p w14:paraId="37DC6068" w14:textId="77777777" w:rsidR="000D3DFE" w:rsidRPr="00AF1F81" w:rsidRDefault="000D3DFE" w:rsidP="003202A8">
      <w:pPr>
        <w:autoSpaceDE w:val="0"/>
        <w:autoSpaceDN w:val="0"/>
        <w:adjustRightInd w:val="0"/>
        <w:spacing w:line="276" w:lineRule="auto"/>
        <w:rPr>
          <w:rFonts w:ascii="Arial" w:hAnsi="Arial" w:cs="Arial"/>
          <w:color w:val="000000" w:themeColor="text1"/>
          <w:lang w:val="es-ES_tradnl"/>
        </w:rPr>
      </w:pPr>
      <w:r w:rsidRPr="00AF1F81">
        <w:rPr>
          <w:rFonts w:ascii="Arial" w:hAnsi="Arial" w:cs="Arial"/>
          <w:color w:val="000000" w:themeColor="text1"/>
          <w:lang w:val="es-ES_tradnl"/>
        </w:rPr>
        <w:t>El artículo 6 regula la cooperación administrativa con las comunidades autónomas en ejercicio de sus competencias.</w:t>
      </w:r>
    </w:p>
    <w:p w14:paraId="1C6B3745"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rPr>
        <w:t>El artículo 7 establece el régimen sancionador.</w:t>
      </w:r>
    </w:p>
    <w:p w14:paraId="58342277"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rPr>
        <w:t xml:space="preserve">La disposición adicional primera establece la cláusula del mercado único. </w:t>
      </w:r>
    </w:p>
    <w:p w14:paraId="631B053F" w14:textId="77777777" w:rsidR="000D3DFE" w:rsidRPr="00AF1F81" w:rsidRDefault="000D3DFE" w:rsidP="00985C2B">
      <w:pPr>
        <w:rPr>
          <w:rFonts w:ascii="Arial" w:hAnsi="Arial" w:cs="Arial"/>
          <w:color w:val="000000" w:themeColor="text1"/>
          <w:lang w:val="es-ES_tradnl"/>
        </w:rPr>
      </w:pPr>
      <w:r w:rsidRPr="00AF1F81">
        <w:rPr>
          <w:rFonts w:ascii="Arial" w:hAnsi="Arial" w:cs="Arial"/>
          <w:color w:val="000000" w:themeColor="text1"/>
        </w:rPr>
        <w:t xml:space="preserve">La disposición adicional segunda regula el uso </w:t>
      </w:r>
      <w:r w:rsidRPr="00AF1F81">
        <w:rPr>
          <w:rFonts w:ascii="Arial" w:hAnsi="Arial" w:cs="Arial"/>
          <w:color w:val="000000" w:themeColor="text1"/>
          <w:lang w:val="es-ES_tradnl"/>
        </w:rPr>
        <w:t xml:space="preserve">de denominaciones de alimento alternativas en los productos en conserva elaborados con </w:t>
      </w:r>
      <w:r w:rsidRPr="00AF1F81">
        <w:rPr>
          <w:rFonts w:ascii="Arial" w:hAnsi="Arial" w:cs="Arial"/>
          <w:i/>
          <w:color w:val="000000" w:themeColor="text1"/>
          <w:lang w:val="es-ES_tradnl"/>
        </w:rPr>
        <w:t>Sardina pilchardus</w:t>
      </w:r>
      <w:r w:rsidRPr="00AF1F81">
        <w:rPr>
          <w:rFonts w:ascii="Arial" w:hAnsi="Arial" w:cs="Arial"/>
          <w:color w:val="000000" w:themeColor="text1"/>
          <w:lang w:val="es-ES_tradnl"/>
        </w:rPr>
        <w:t xml:space="preserve">, </w:t>
      </w:r>
      <w:r w:rsidRPr="00AF1F81">
        <w:rPr>
          <w:rFonts w:ascii="Arial" w:hAnsi="Arial" w:cs="Arial"/>
          <w:i/>
          <w:color w:val="000000" w:themeColor="text1"/>
          <w:lang w:val="es-ES_tradnl"/>
        </w:rPr>
        <w:t>Trachurus spp</w:t>
      </w:r>
      <w:r w:rsidRPr="00AF1F81">
        <w:rPr>
          <w:rFonts w:ascii="Arial" w:hAnsi="Arial" w:cs="Arial"/>
          <w:color w:val="000000" w:themeColor="text1"/>
          <w:lang w:val="es-ES_tradnl"/>
        </w:rPr>
        <w:t xml:space="preserve">., </w:t>
      </w:r>
      <w:r w:rsidRPr="00AF1F81">
        <w:rPr>
          <w:rFonts w:ascii="Arial" w:hAnsi="Arial" w:cs="Arial"/>
          <w:i/>
          <w:color w:val="000000" w:themeColor="text1"/>
          <w:lang w:val="es-ES_tradnl"/>
        </w:rPr>
        <w:t>Auxis rochei</w:t>
      </w:r>
      <w:r w:rsidRPr="00AF1F81">
        <w:rPr>
          <w:rFonts w:ascii="Arial" w:hAnsi="Arial" w:cs="Arial"/>
          <w:color w:val="000000" w:themeColor="text1"/>
          <w:lang w:val="es-ES_tradnl"/>
        </w:rPr>
        <w:t xml:space="preserve">, </w:t>
      </w:r>
      <w:r w:rsidRPr="00AF1F81">
        <w:rPr>
          <w:rFonts w:ascii="Arial" w:hAnsi="Arial" w:cs="Arial"/>
          <w:i/>
          <w:color w:val="000000" w:themeColor="text1"/>
          <w:lang w:val="es-ES_tradnl"/>
        </w:rPr>
        <w:t>Auxis thazard</w:t>
      </w:r>
      <w:r w:rsidRPr="00AF1F81">
        <w:rPr>
          <w:rFonts w:ascii="Arial" w:hAnsi="Arial" w:cs="Arial"/>
          <w:color w:val="000000" w:themeColor="text1"/>
          <w:lang w:val="es-ES_tradnl"/>
        </w:rPr>
        <w:t xml:space="preserve">, </w:t>
      </w:r>
      <w:r w:rsidRPr="00AF1F81">
        <w:rPr>
          <w:rFonts w:ascii="Arial" w:hAnsi="Arial" w:cs="Arial"/>
          <w:i/>
          <w:color w:val="000000" w:themeColor="text1"/>
          <w:lang w:val="es-ES_tradnl"/>
        </w:rPr>
        <w:t>Merluccius spp</w:t>
      </w:r>
      <w:r w:rsidRPr="00AF1F81">
        <w:rPr>
          <w:rFonts w:ascii="Arial" w:hAnsi="Arial" w:cs="Arial"/>
          <w:color w:val="000000" w:themeColor="text1"/>
          <w:lang w:val="es-ES_tradnl"/>
        </w:rPr>
        <w:t xml:space="preserve"> y </w:t>
      </w:r>
      <w:r w:rsidRPr="00AF1F81">
        <w:rPr>
          <w:rFonts w:ascii="Arial" w:hAnsi="Arial" w:cs="Arial"/>
          <w:i/>
          <w:color w:val="000000" w:themeColor="text1"/>
          <w:lang w:val="es-ES_tradnl"/>
        </w:rPr>
        <w:t>Macruronus spp</w:t>
      </w:r>
      <w:r w:rsidRPr="00AF1F81">
        <w:rPr>
          <w:rFonts w:ascii="Arial" w:hAnsi="Arial" w:cs="Arial"/>
          <w:color w:val="000000" w:themeColor="text1"/>
          <w:lang w:val="es-ES_tradnl"/>
        </w:rPr>
        <w:t>.</w:t>
      </w:r>
    </w:p>
    <w:p w14:paraId="1EA52FCF"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rPr>
        <w:t>La disposición transitoria única se refiere al régimen de transitoriedad para la c</w:t>
      </w:r>
      <w:r w:rsidRPr="00AF1F81">
        <w:rPr>
          <w:rFonts w:ascii="Arial" w:hAnsi="Arial" w:cs="Arial"/>
          <w:iCs/>
          <w:color w:val="000000" w:themeColor="text1"/>
        </w:rPr>
        <w:t xml:space="preserve">omercialización de existencias de </w:t>
      </w:r>
      <w:r w:rsidRPr="00AF1F81">
        <w:rPr>
          <w:rFonts w:ascii="Arial" w:hAnsi="Arial" w:cs="Arial"/>
          <w:color w:val="000000" w:themeColor="text1"/>
        </w:rPr>
        <w:t>productos conserva o preparados y envases rotulados.</w:t>
      </w:r>
    </w:p>
    <w:p w14:paraId="4227DD95" w14:textId="77777777" w:rsidR="000D3DFE" w:rsidRPr="00AF1F81" w:rsidRDefault="000D3DFE" w:rsidP="00FE7F52">
      <w:pPr>
        <w:autoSpaceDE w:val="0"/>
        <w:autoSpaceDN w:val="0"/>
        <w:adjustRightInd w:val="0"/>
        <w:spacing w:line="276" w:lineRule="auto"/>
        <w:rPr>
          <w:rFonts w:ascii="Arial" w:hAnsi="Arial" w:cs="Arial"/>
          <w:color w:val="000000" w:themeColor="text1"/>
          <w:lang w:val="es-ES_tradnl"/>
        </w:rPr>
      </w:pPr>
      <w:r w:rsidRPr="00AF1F81">
        <w:rPr>
          <w:rFonts w:ascii="Arial" w:hAnsi="Arial" w:cs="Arial"/>
          <w:color w:val="000000" w:themeColor="text1"/>
        </w:rPr>
        <w:t>La disposición derogatoria única por la que se deroga la normativa mencionada</w:t>
      </w:r>
      <w:r w:rsidRPr="00AF1F81">
        <w:rPr>
          <w:rFonts w:ascii="Arial" w:hAnsi="Arial" w:cs="Arial"/>
          <w:color w:val="000000" w:themeColor="text1"/>
          <w:lang w:val="es-ES_tradnl"/>
        </w:rPr>
        <w:t xml:space="preserve">. </w:t>
      </w:r>
    </w:p>
    <w:p w14:paraId="0E6C7E9D" w14:textId="77777777" w:rsidR="000D3DFE" w:rsidRPr="00AF1F81" w:rsidRDefault="000D3DFE" w:rsidP="002C6814">
      <w:pPr>
        <w:autoSpaceDE w:val="0"/>
        <w:autoSpaceDN w:val="0"/>
        <w:adjustRightInd w:val="0"/>
        <w:rPr>
          <w:rFonts w:ascii="Arial" w:hAnsi="Arial" w:cs="Arial"/>
          <w:color w:val="000000" w:themeColor="text1"/>
        </w:rPr>
      </w:pPr>
      <w:r w:rsidRPr="00AF1F81">
        <w:rPr>
          <w:rFonts w:ascii="Arial" w:hAnsi="Arial" w:cs="Arial"/>
          <w:color w:val="000000" w:themeColor="text1"/>
        </w:rPr>
        <w:t xml:space="preserve">La </w:t>
      </w:r>
      <w:hyperlink r:id="rId11" w:anchor="dfu#dfu" w:history="1">
        <w:r w:rsidRPr="00AF1F81">
          <w:rPr>
            <w:rFonts w:ascii="Arial" w:hAnsi="Arial" w:cs="Arial"/>
            <w:color w:val="000000" w:themeColor="text1"/>
          </w:rPr>
          <w:t>disposición</w:t>
        </w:r>
      </w:hyperlink>
      <w:r w:rsidRPr="00AF1F81">
        <w:rPr>
          <w:rFonts w:ascii="Arial" w:hAnsi="Arial" w:cs="Arial"/>
          <w:color w:val="000000" w:themeColor="text1"/>
        </w:rPr>
        <w:t xml:space="preserve"> final primera por la que se establece una modificación de los artículos 3 y 4 del Real Decreto 1521/1984, de 1 de agosto, por el que se aprueba la Reglamentación Técnico-Sanitaria de los Establecimientos y Productos de la Pesca y Acuicultura con Destino al Consumo Humano.</w:t>
      </w:r>
    </w:p>
    <w:p w14:paraId="73420C92"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rPr>
        <w:t xml:space="preserve">La disposición final segunda en la que se establece el título competencial. </w:t>
      </w:r>
    </w:p>
    <w:p w14:paraId="47E93E71"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rPr>
        <w:t xml:space="preserve">La disposición final tercera por la que establece la facultad de desarrollo. </w:t>
      </w:r>
    </w:p>
    <w:p w14:paraId="5A0D4333" w14:textId="77777777" w:rsidR="000D3DFE" w:rsidRPr="00AF1F81" w:rsidRDefault="000D3DFE" w:rsidP="003202A8">
      <w:pPr>
        <w:autoSpaceDE w:val="0"/>
        <w:autoSpaceDN w:val="0"/>
        <w:adjustRightInd w:val="0"/>
        <w:spacing w:line="276" w:lineRule="auto"/>
        <w:rPr>
          <w:rFonts w:ascii="Arial" w:hAnsi="Arial" w:cs="Arial"/>
          <w:color w:val="000000" w:themeColor="text1"/>
        </w:rPr>
      </w:pPr>
      <w:r w:rsidRPr="00AF1F81">
        <w:rPr>
          <w:rFonts w:ascii="Arial" w:hAnsi="Arial" w:cs="Arial"/>
          <w:color w:val="000000" w:themeColor="text1"/>
          <w:lang w:val="es-ES_tradnl"/>
        </w:rPr>
        <w:t xml:space="preserve">La </w:t>
      </w:r>
      <w:r w:rsidRPr="00AF1F81">
        <w:rPr>
          <w:rFonts w:ascii="Arial" w:hAnsi="Arial" w:cs="Arial"/>
          <w:color w:val="000000" w:themeColor="text1"/>
        </w:rPr>
        <w:t xml:space="preserve">disposición final cuarta establece la entrada en vigor del citado proyecto de real decreto. </w:t>
      </w:r>
    </w:p>
    <w:p w14:paraId="49D7E6AD" w14:textId="77777777" w:rsidR="000D3DFE" w:rsidRPr="00ED3EE1" w:rsidRDefault="000D3DFE" w:rsidP="003202A8">
      <w:pPr>
        <w:autoSpaceDE w:val="0"/>
        <w:autoSpaceDN w:val="0"/>
        <w:adjustRightInd w:val="0"/>
        <w:spacing w:line="276" w:lineRule="auto"/>
        <w:rPr>
          <w:rFonts w:ascii="Arial" w:hAnsi="Arial" w:cs="Arial"/>
          <w:i/>
          <w:spacing w:val="-4"/>
        </w:rPr>
      </w:pPr>
      <w:r>
        <w:rPr>
          <w:rFonts w:ascii="Arial" w:hAnsi="Arial" w:cs="Arial"/>
        </w:rPr>
        <w:t>Anexo con las denominaciones</w:t>
      </w:r>
    </w:p>
    <w:p w14:paraId="7AB94AF1" w14:textId="77777777" w:rsidR="000D3DFE" w:rsidRPr="00ED3EE1" w:rsidRDefault="000D3DFE" w:rsidP="003202A8">
      <w:pPr>
        <w:spacing w:line="276" w:lineRule="auto"/>
        <w:rPr>
          <w:rFonts w:ascii="Arial" w:hAnsi="Arial" w:cs="Arial"/>
          <w:strike/>
          <w:spacing w:val="-4"/>
        </w:rPr>
      </w:pPr>
    </w:p>
    <w:p w14:paraId="317D066C"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lastRenderedPageBreak/>
        <w:t>2.2 ANÁLISIS JURÍDICO</w:t>
      </w:r>
    </w:p>
    <w:p w14:paraId="246C3547" w14:textId="77777777" w:rsidR="000D3DFE" w:rsidRPr="00ED3EE1" w:rsidRDefault="000D3DFE" w:rsidP="003202A8">
      <w:pPr>
        <w:spacing w:line="276" w:lineRule="auto"/>
        <w:rPr>
          <w:rFonts w:ascii="Arial" w:hAnsi="Arial" w:cs="Arial"/>
          <w:spacing w:val="-4"/>
          <w:lang w:val="es-ES_tradnl"/>
        </w:rPr>
      </w:pPr>
    </w:p>
    <w:p w14:paraId="6644A8AD" w14:textId="77777777" w:rsidR="000D3DFE" w:rsidRPr="00195A12" w:rsidRDefault="000D3DFE" w:rsidP="003202A8">
      <w:pPr>
        <w:autoSpaceDE w:val="0"/>
        <w:autoSpaceDN w:val="0"/>
        <w:adjustRightInd w:val="0"/>
        <w:spacing w:line="276" w:lineRule="auto"/>
        <w:rPr>
          <w:rFonts w:ascii="Arial" w:hAnsi="Arial" w:cs="Arial"/>
          <w:bCs/>
        </w:rPr>
      </w:pPr>
      <w:r w:rsidRPr="00195A12">
        <w:rPr>
          <w:rFonts w:ascii="Arial" w:hAnsi="Arial" w:cs="Arial"/>
          <w:bCs/>
        </w:rPr>
        <w:t xml:space="preserve">Respecto a lo dispuesto en la disposición final </w:t>
      </w:r>
      <w:r>
        <w:rPr>
          <w:rFonts w:ascii="Arial" w:hAnsi="Arial" w:cs="Arial"/>
          <w:bCs/>
        </w:rPr>
        <w:t>tercera</w:t>
      </w:r>
      <w:r w:rsidRPr="00195A12">
        <w:rPr>
          <w:rFonts w:ascii="Arial" w:hAnsi="Arial" w:cs="Arial"/>
          <w:bCs/>
        </w:rPr>
        <w:t xml:space="preserve">, se prevé que el presente proyecto normativo entre en vigor el día siguiente al de su publicación en el Boletín Oficial del Estado, pues resulta, en todo caso, necesario que despliegue todos sus efectos jurídicos desde ese mismo momento, sin que quepa demora ni dilación en su aplicación. </w:t>
      </w:r>
    </w:p>
    <w:p w14:paraId="7307E46A" w14:textId="77777777" w:rsidR="000D3DFE" w:rsidRDefault="000D3DFE" w:rsidP="003202A8">
      <w:pPr>
        <w:autoSpaceDE w:val="0"/>
        <w:autoSpaceDN w:val="0"/>
        <w:adjustRightInd w:val="0"/>
        <w:spacing w:line="276" w:lineRule="auto"/>
        <w:rPr>
          <w:rFonts w:ascii="Arial" w:hAnsi="Arial" w:cs="Arial"/>
          <w:bCs/>
        </w:rPr>
      </w:pPr>
    </w:p>
    <w:p w14:paraId="10D2A21C" w14:textId="77777777" w:rsidR="000D3DFE" w:rsidRPr="00ED3EE1" w:rsidRDefault="000D3DFE" w:rsidP="003202A8">
      <w:pPr>
        <w:autoSpaceDE w:val="0"/>
        <w:autoSpaceDN w:val="0"/>
        <w:adjustRightInd w:val="0"/>
        <w:spacing w:line="276" w:lineRule="auto"/>
        <w:rPr>
          <w:rFonts w:ascii="Arial" w:hAnsi="Arial" w:cs="Arial"/>
          <w:bCs/>
        </w:rPr>
      </w:pPr>
      <w:r w:rsidRPr="00ED3EE1">
        <w:rPr>
          <w:rFonts w:ascii="Arial" w:hAnsi="Arial" w:cs="Arial"/>
          <w:bCs/>
        </w:rPr>
        <w:t xml:space="preserve">A la presente norma, le afecta tanto </w:t>
      </w:r>
      <w:r>
        <w:rPr>
          <w:rFonts w:ascii="Arial" w:hAnsi="Arial" w:cs="Arial"/>
          <w:bCs/>
        </w:rPr>
        <w:t xml:space="preserve">la </w:t>
      </w:r>
      <w:r w:rsidRPr="00ED3EE1">
        <w:rPr>
          <w:rFonts w:ascii="Arial" w:hAnsi="Arial" w:cs="Arial"/>
          <w:bCs/>
        </w:rPr>
        <w:t xml:space="preserve">legislación nacional como </w:t>
      </w:r>
      <w:r>
        <w:rPr>
          <w:rFonts w:ascii="Arial" w:hAnsi="Arial" w:cs="Arial"/>
          <w:bCs/>
        </w:rPr>
        <w:t xml:space="preserve">la normativa </w:t>
      </w:r>
      <w:r w:rsidRPr="00ED3EE1">
        <w:rPr>
          <w:rFonts w:ascii="Arial" w:hAnsi="Arial" w:cs="Arial"/>
          <w:bCs/>
        </w:rPr>
        <w:t xml:space="preserve">de la Unión Europea. </w:t>
      </w:r>
    </w:p>
    <w:p w14:paraId="7BA1B95A" w14:textId="77777777" w:rsidR="000D3DFE" w:rsidRPr="00ED3EE1" w:rsidRDefault="000D3DFE" w:rsidP="003202A8">
      <w:pPr>
        <w:autoSpaceDE w:val="0"/>
        <w:autoSpaceDN w:val="0"/>
        <w:adjustRightInd w:val="0"/>
        <w:spacing w:line="276" w:lineRule="auto"/>
        <w:rPr>
          <w:rFonts w:ascii="Arial" w:hAnsi="Arial" w:cs="Arial"/>
          <w:bCs/>
        </w:rPr>
      </w:pPr>
    </w:p>
    <w:p w14:paraId="06509FD8" w14:textId="77777777" w:rsidR="000D3DFE" w:rsidRPr="00ED3EE1" w:rsidRDefault="000D3DFE" w:rsidP="003202A8">
      <w:pPr>
        <w:autoSpaceDE w:val="0"/>
        <w:autoSpaceDN w:val="0"/>
        <w:adjustRightInd w:val="0"/>
        <w:spacing w:line="276" w:lineRule="auto"/>
        <w:rPr>
          <w:rFonts w:ascii="Arial" w:hAnsi="Arial" w:cs="Arial"/>
          <w:bCs/>
        </w:rPr>
      </w:pPr>
      <w:r w:rsidRPr="00ED3EE1">
        <w:rPr>
          <w:rFonts w:ascii="Arial" w:hAnsi="Arial" w:cs="Arial"/>
          <w:bCs/>
          <w:u w:val="single"/>
        </w:rPr>
        <w:t>2.2.1 Legislación nacional</w:t>
      </w:r>
      <w:r w:rsidRPr="00ED3EE1">
        <w:rPr>
          <w:rFonts w:ascii="Arial" w:hAnsi="Arial" w:cs="Arial"/>
          <w:bCs/>
        </w:rPr>
        <w:t xml:space="preserve">: </w:t>
      </w:r>
    </w:p>
    <w:p w14:paraId="5E10D58B" w14:textId="77777777" w:rsidR="000D3DFE" w:rsidRPr="00ED3EE1" w:rsidRDefault="000D3DFE" w:rsidP="003202A8">
      <w:pPr>
        <w:autoSpaceDE w:val="0"/>
        <w:autoSpaceDN w:val="0"/>
        <w:adjustRightInd w:val="0"/>
        <w:spacing w:line="276" w:lineRule="auto"/>
        <w:rPr>
          <w:rFonts w:ascii="Arial" w:hAnsi="Arial" w:cs="Arial"/>
          <w:bCs/>
        </w:rPr>
      </w:pPr>
    </w:p>
    <w:p w14:paraId="46DD188D" w14:textId="77777777" w:rsidR="000D3DFE" w:rsidRPr="00ED3EE1" w:rsidRDefault="000D3DFE" w:rsidP="003202A8">
      <w:pPr>
        <w:autoSpaceDE w:val="0"/>
        <w:autoSpaceDN w:val="0"/>
        <w:adjustRightInd w:val="0"/>
        <w:spacing w:line="276" w:lineRule="auto"/>
        <w:rPr>
          <w:rFonts w:ascii="Arial" w:hAnsi="Arial" w:cs="Arial"/>
        </w:rPr>
      </w:pPr>
      <w:r w:rsidRPr="00ED3EE1">
        <w:rPr>
          <w:rFonts w:ascii="Arial" w:hAnsi="Arial" w:cs="Arial"/>
          <w:i/>
        </w:rPr>
        <w:t>1. La Ley 3/2001, de 26 de marzo, de Pesca Marítima del Estado</w:t>
      </w:r>
      <w:r w:rsidRPr="00ED3EE1">
        <w:rPr>
          <w:rFonts w:ascii="Arial" w:hAnsi="Arial" w:cs="Arial"/>
        </w:rPr>
        <w:t>.</w:t>
      </w:r>
    </w:p>
    <w:p w14:paraId="2B03B802" w14:textId="77777777" w:rsidR="000D3DFE" w:rsidRDefault="000D3DFE" w:rsidP="003202A8">
      <w:pPr>
        <w:spacing w:line="276" w:lineRule="auto"/>
        <w:rPr>
          <w:rFonts w:ascii="Arial" w:hAnsi="Arial" w:cs="Arial"/>
        </w:rPr>
      </w:pPr>
      <w:r>
        <w:rPr>
          <w:rFonts w:ascii="Arial" w:hAnsi="Arial" w:cs="Arial"/>
          <w:lang w:val="es-ES_tradnl"/>
        </w:rPr>
        <w:t>E</w:t>
      </w:r>
      <w:r w:rsidRPr="00946CD1">
        <w:rPr>
          <w:rFonts w:ascii="Arial" w:hAnsi="Arial" w:cs="Arial"/>
          <w:lang w:val="es-ES_tradnl"/>
        </w:rPr>
        <w:t xml:space="preserve">n su artículo 75, establece los instrumentos de la política de comercialización y transformación de los productos pesqueros, contemplando la posibilidad de aplicar medidas para la normalización de los productos a lo largo de toda la cadena de comercialización, para así dotar de transparencia al mercado y posibilitar una adecuada información al consumidor, en especial acerca de la naturaleza y el origen de los productos. </w:t>
      </w:r>
      <w:r>
        <w:rPr>
          <w:rFonts w:ascii="Arial" w:hAnsi="Arial" w:cs="Arial"/>
        </w:rPr>
        <w:t xml:space="preserve"> </w:t>
      </w:r>
    </w:p>
    <w:p w14:paraId="48B6F5F3" w14:textId="77777777" w:rsidR="000D3DFE" w:rsidRDefault="000D3DFE" w:rsidP="003202A8">
      <w:pPr>
        <w:spacing w:line="276" w:lineRule="auto"/>
        <w:rPr>
          <w:rFonts w:ascii="Arial" w:hAnsi="Arial" w:cs="Arial"/>
        </w:rPr>
      </w:pPr>
    </w:p>
    <w:p w14:paraId="2E064139" w14:textId="77777777" w:rsidR="000D3DFE" w:rsidRPr="00AA43BF" w:rsidRDefault="000D3DFE" w:rsidP="00AA43BF">
      <w:pPr>
        <w:autoSpaceDE w:val="0"/>
        <w:autoSpaceDN w:val="0"/>
        <w:adjustRightInd w:val="0"/>
        <w:spacing w:line="276" w:lineRule="auto"/>
        <w:rPr>
          <w:rFonts w:ascii="Arial" w:hAnsi="Arial" w:cs="Arial"/>
        </w:rPr>
      </w:pPr>
      <w:r>
        <w:rPr>
          <w:rFonts w:ascii="Arial" w:hAnsi="Arial" w:cs="Arial"/>
        </w:rPr>
        <w:t>El presente real decreto desarrolla tal normativa, siendo coherente con su contenido.</w:t>
      </w:r>
    </w:p>
    <w:p w14:paraId="4100E84C" w14:textId="77777777" w:rsidR="000D3DFE" w:rsidRPr="00DB10B8" w:rsidRDefault="000D3DFE" w:rsidP="003202A8">
      <w:pPr>
        <w:autoSpaceDE w:val="0"/>
        <w:autoSpaceDN w:val="0"/>
        <w:adjustRightInd w:val="0"/>
        <w:spacing w:line="276" w:lineRule="auto"/>
        <w:rPr>
          <w:rFonts w:ascii="Arial" w:hAnsi="Arial" w:cs="Arial"/>
          <w:iCs/>
        </w:rPr>
      </w:pPr>
    </w:p>
    <w:p w14:paraId="5ADC751D" w14:textId="77777777" w:rsidR="000D3DFE" w:rsidRPr="00ED3EE1" w:rsidRDefault="000D3DFE" w:rsidP="003202A8">
      <w:pPr>
        <w:autoSpaceDE w:val="0"/>
        <w:autoSpaceDN w:val="0"/>
        <w:adjustRightInd w:val="0"/>
        <w:spacing w:line="276" w:lineRule="auto"/>
        <w:rPr>
          <w:rFonts w:ascii="Arial" w:hAnsi="Arial" w:cs="Arial"/>
          <w:u w:val="single"/>
        </w:rPr>
      </w:pPr>
      <w:r w:rsidRPr="00ED3EE1">
        <w:rPr>
          <w:rFonts w:ascii="Arial" w:hAnsi="Arial" w:cs="Arial"/>
          <w:u w:val="single"/>
        </w:rPr>
        <w:t xml:space="preserve">2.2.2 Legislación de la Unión Europea: </w:t>
      </w:r>
    </w:p>
    <w:p w14:paraId="5685BAA4" w14:textId="77777777" w:rsidR="000D3DFE" w:rsidRPr="00ED3EE1" w:rsidRDefault="000D3DFE" w:rsidP="003202A8">
      <w:pPr>
        <w:autoSpaceDE w:val="0"/>
        <w:autoSpaceDN w:val="0"/>
        <w:adjustRightInd w:val="0"/>
        <w:spacing w:line="276" w:lineRule="auto"/>
        <w:rPr>
          <w:rFonts w:ascii="Arial" w:hAnsi="Arial" w:cs="Arial"/>
        </w:rPr>
      </w:pPr>
    </w:p>
    <w:p w14:paraId="63560F00" w14:textId="77777777" w:rsidR="000D3DFE" w:rsidRPr="00ED3EE1" w:rsidRDefault="000D3DFE" w:rsidP="003202A8">
      <w:pPr>
        <w:autoSpaceDE w:val="0"/>
        <w:autoSpaceDN w:val="0"/>
        <w:adjustRightInd w:val="0"/>
        <w:spacing w:line="276" w:lineRule="auto"/>
        <w:rPr>
          <w:rFonts w:ascii="Arial" w:hAnsi="Arial" w:cs="Arial"/>
        </w:rPr>
      </w:pPr>
      <w:r w:rsidRPr="00ED3EE1">
        <w:rPr>
          <w:rFonts w:ascii="Arial" w:hAnsi="Arial" w:cs="Arial"/>
        </w:rPr>
        <w:t>Los principales Reglamento</w:t>
      </w:r>
      <w:r>
        <w:rPr>
          <w:rFonts w:ascii="Arial" w:hAnsi="Arial" w:cs="Arial"/>
        </w:rPr>
        <w:t>s implicados en las denominaciones comerciales nacionales y las denominaciones de alimentos en conserva y preparados de productos de la pesca y la acuicultura</w:t>
      </w:r>
      <w:r w:rsidRPr="00ED3EE1">
        <w:rPr>
          <w:rFonts w:ascii="Arial" w:hAnsi="Arial" w:cs="Arial"/>
        </w:rPr>
        <w:t xml:space="preserve"> son los siguientes: </w:t>
      </w:r>
    </w:p>
    <w:p w14:paraId="778A62A4" w14:textId="77777777" w:rsidR="000D3DFE" w:rsidRDefault="000D3DFE" w:rsidP="003202A8">
      <w:pPr>
        <w:autoSpaceDE w:val="0"/>
        <w:autoSpaceDN w:val="0"/>
        <w:adjustRightInd w:val="0"/>
        <w:spacing w:line="276" w:lineRule="auto"/>
        <w:rPr>
          <w:rFonts w:ascii="Arial" w:hAnsi="Arial" w:cs="Arial"/>
        </w:rPr>
      </w:pPr>
    </w:p>
    <w:p w14:paraId="12F72026" w14:textId="77777777" w:rsidR="000D3DFE" w:rsidRPr="00ED3EE1" w:rsidRDefault="000D3DFE" w:rsidP="003202A8">
      <w:pPr>
        <w:autoSpaceDE w:val="0"/>
        <w:autoSpaceDN w:val="0"/>
        <w:adjustRightInd w:val="0"/>
        <w:spacing w:line="276" w:lineRule="auto"/>
        <w:rPr>
          <w:rFonts w:ascii="Arial" w:hAnsi="Arial" w:cs="Arial"/>
          <w:i/>
        </w:rPr>
      </w:pPr>
      <w:r w:rsidRPr="00ED3EE1">
        <w:rPr>
          <w:rFonts w:ascii="Arial" w:hAnsi="Arial" w:cs="Arial"/>
          <w:i/>
        </w:rPr>
        <w:t xml:space="preserve">1. Reglamento (UE) nº 1380/2013, de 11 de diciembre sobre la política pesquera común. </w:t>
      </w:r>
    </w:p>
    <w:p w14:paraId="2D98FAF1" w14:textId="77777777" w:rsidR="000D3DFE" w:rsidRPr="00ED3EE1" w:rsidRDefault="000D3DFE" w:rsidP="003202A8">
      <w:pPr>
        <w:autoSpaceDE w:val="0"/>
        <w:autoSpaceDN w:val="0"/>
        <w:adjustRightInd w:val="0"/>
        <w:spacing w:line="276" w:lineRule="auto"/>
        <w:rPr>
          <w:rFonts w:ascii="Arial" w:hAnsi="Arial" w:cs="Arial"/>
          <w:i/>
        </w:rPr>
      </w:pPr>
    </w:p>
    <w:p w14:paraId="60DFBEAC" w14:textId="77777777" w:rsidR="000D3DFE" w:rsidRPr="00ED3EE1" w:rsidRDefault="000D3DFE" w:rsidP="003202A8">
      <w:pPr>
        <w:autoSpaceDE w:val="0"/>
        <w:autoSpaceDN w:val="0"/>
        <w:adjustRightInd w:val="0"/>
        <w:spacing w:line="276" w:lineRule="auto"/>
        <w:rPr>
          <w:rFonts w:ascii="Arial" w:hAnsi="Arial" w:cs="Arial"/>
          <w:i/>
        </w:rPr>
      </w:pPr>
      <w:r w:rsidRPr="00ED3EE1">
        <w:rPr>
          <w:rFonts w:ascii="Arial" w:hAnsi="Arial" w:cs="Arial"/>
          <w:i/>
        </w:rPr>
        <w:t xml:space="preserve">2. Reglamento (UE) nº 1379/2013, de 11 de diciembre, por el que se establece una organización común de mercados en el sector de los productos de la pesca y de la acuicultura. </w:t>
      </w:r>
    </w:p>
    <w:p w14:paraId="02A2C57F" w14:textId="77777777" w:rsidR="000D3DFE" w:rsidRPr="00ED3EE1" w:rsidRDefault="000D3DFE" w:rsidP="003202A8">
      <w:pPr>
        <w:autoSpaceDE w:val="0"/>
        <w:autoSpaceDN w:val="0"/>
        <w:adjustRightInd w:val="0"/>
        <w:spacing w:line="276" w:lineRule="auto"/>
        <w:rPr>
          <w:rFonts w:ascii="Arial" w:hAnsi="Arial" w:cs="Arial"/>
          <w:i/>
        </w:rPr>
      </w:pPr>
    </w:p>
    <w:p w14:paraId="397F5A06" w14:textId="77777777" w:rsidR="000D3DFE" w:rsidRDefault="000D3DFE" w:rsidP="003202A8">
      <w:pPr>
        <w:autoSpaceDE w:val="0"/>
        <w:autoSpaceDN w:val="0"/>
        <w:adjustRightInd w:val="0"/>
        <w:spacing w:line="276" w:lineRule="auto"/>
        <w:rPr>
          <w:rFonts w:ascii="Arial" w:hAnsi="Arial" w:cs="Arial"/>
          <w:i/>
        </w:rPr>
      </w:pPr>
      <w:r>
        <w:rPr>
          <w:rFonts w:ascii="Arial" w:hAnsi="Arial" w:cs="Arial"/>
          <w:i/>
        </w:rPr>
        <w:t>3</w:t>
      </w:r>
      <w:r w:rsidRPr="00946CD1">
        <w:rPr>
          <w:rFonts w:ascii="Arial" w:hAnsi="Arial" w:cs="Arial"/>
          <w:i/>
        </w:rPr>
        <w:t>. Reglamento (CE) nº 178/2002 del Parlamento Europeo y del Consejo, de 28 de enero de 2002, por el que se establecen los principios y los requisitos generales de la legislación alimentaria</w:t>
      </w:r>
      <w:r>
        <w:rPr>
          <w:rFonts w:ascii="Arial" w:hAnsi="Arial" w:cs="Arial"/>
          <w:i/>
        </w:rPr>
        <w:t>.</w:t>
      </w:r>
    </w:p>
    <w:p w14:paraId="65AD7D8F" w14:textId="77777777" w:rsidR="000D3DFE" w:rsidRDefault="000D3DFE" w:rsidP="003202A8">
      <w:pPr>
        <w:autoSpaceDE w:val="0"/>
        <w:autoSpaceDN w:val="0"/>
        <w:adjustRightInd w:val="0"/>
        <w:spacing w:line="276" w:lineRule="auto"/>
        <w:rPr>
          <w:rFonts w:ascii="Arial" w:hAnsi="Arial" w:cs="Arial"/>
          <w:i/>
        </w:rPr>
      </w:pPr>
    </w:p>
    <w:p w14:paraId="4BB6BE93" w14:textId="77777777" w:rsidR="000D3DFE" w:rsidRPr="009B413B" w:rsidRDefault="000D3DFE" w:rsidP="003202A8">
      <w:pPr>
        <w:autoSpaceDE w:val="0"/>
        <w:autoSpaceDN w:val="0"/>
        <w:adjustRightInd w:val="0"/>
        <w:spacing w:line="276" w:lineRule="auto"/>
        <w:rPr>
          <w:rFonts w:ascii="Arial" w:hAnsi="Arial" w:cs="Arial"/>
          <w:i/>
        </w:rPr>
      </w:pPr>
      <w:r>
        <w:rPr>
          <w:rFonts w:ascii="Arial" w:hAnsi="Arial" w:cs="Arial"/>
          <w:i/>
        </w:rPr>
        <w:t xml:space="preserve">4. </w:t>
      </w:r>
      <w:r w:rsidRPr="009B413B">
        <w:rPr>
          <w:rFonts w:ascii="Arial" w:hAnsi="Arial" w:cs="Arial"/>
          <w:i/>
        </w:rPr>
        <w:t>Reglamento (UE) nº 1169/2011, del Parlamento Europeo y del Consejo, sobre la información alimentaria facilitada al consumido</w:t>
      </w:r>
      <w:r>
        <w:rPr>
          <w:rFonts w:ascii="Arial" w:hAnsi="Arial" w:cs="Arial"/>
          <w:i/>
        </w:rPr>
        <w:t>r.</w:t>
      </w:r>
    </w:p>
    <w:p w14:paraId="3CB9EF42" w14:textId="77777777" w:rsidR="000D3DFE" w:rsidRPr="009B413B" w:rsidRDefault="000D3DFE" w:rsidP="003202A8">
      <w:pPr>
        <w:autoSpaceDE w:val="0"/>
        <w:autoSpaceDN w:val="0"/>
        <w:adjustRightInd w:val="0"/>
        <w:spacing w:line="276" w:lineRule="auto"/>
        <w:rPr>
          <w:rFonts w:ascii="Arial" w:hAnsi="Arial" w:cs="Arial"/>
          <w:i/>
        </w:rPr>
      </w:pPr>
    </w:p>
    <w:p w14:paraId="441C995C" w14:textId="77777777" w:rsidR="000D3DFE" w:rsidRPr="00946CD1" w:rsidRDefault="000D3DFE" w:rsidP="003202A8">
      <w:pPr>
        <w:autoSpaceDE w:val="0"/>
        <w:autoSpaceDN w:val="0"/>
        <w:adjustRightInd w:val="0"/>
        <w:spacing w:line="276" w:lineRule="auto"/>
        <w:rPr>
          <w:rFonts w:ascii="Arial" w:hAnsi="Arial" w:cs="Arial"/>
          <w:i/>
        </w:rPr>
      </w:pPr>
      <w:r>
        <w:rPr>
          <w:rFonts w:ascii="Arial" w:hAnsi="Arial" w:cs="Arial"/>
        </w:rPr>
        <w:t xml:space="preserve">5. </w:t>
      </w:r>
      <w:r w:rsidRPr="00946CD1">
        <w:rPr>
          <w:rFonts w:ascii="Arial" w:hAnsi="Arial" w:cs="Arial"/>
          <w:i/>
        </w:rPr>
        <w:t>Reglamento (CEE) nº 1536/92 del Consejo, de 9 de junio, por el que se aprueban normas comunes de comercialización para las conservas de atún y de bonito.</w:t>
      </w:r>
    </w:p>
    <w:p w14:paraId="183424DB" w14:textId="77777777" w:rsidR="000D3DFE" w:rsidRDefault="000D3DFE" w:rsidP="003202A8">
      <w:pPr>
        <w:autoSpaceDE w:val="0"/>
        <w:autoSpaceDN w:val="0"/>
        <w:adjustRightInd w:val="0"/>
        <w:spacing w:line="276" w:lineRule="auto"/>
        <w:rPr>
          <w:rFonts w:ascii="Arial" w:hAnsi="Arial" w:cs="Arial"/>
        </w:rPr>
      </w:pPr>
    </w:p>
    <w:p w14:paraId="2376B582" w14:textId="77777777" w:rsidR="000D3DFE" w:rsidRDefault="000D3DFE" w:rsidP="003202A8">
      <w:pPr>
        <w:autoSpaceDE w:val="0"/>
        <w:autoSpaceDN w:val="0"/>
        <w:adjustRightInd w:val="0"/>
        <w:spacing w:line="276" w:lineRule="auto"/>
        <w:rPr>
          <w:rFonts w:ascii="Arial" w:hAnsi="Arial" w:cs="Arial"/>
          <w:i/>
        </w:rPr>
      </w:pPr>
      <w:r>
        <w:rPr>
          <w:rFonts w:ascii="Arial" w:hAnsi="Arial" w:cs="Arial"/>
        </w:rPr>
        <w:t xml:space="preserve">6. </w:t>
      </w:r>
      <w:r w:rsidRPr="00946CD1">
        <w:rPr>
          <w:rFonts w:ascii="Arial" w:hAnsi="Arial" w:cs="Arial"/>
          <w:i/>
        </w:rPr>
        <w:t>Reglamento (CEE) nº 2136/89 del Consejo, de 21 de junio de 1989, por el que se establecen normas comunes de comercialización para las conservas de sardinas y de productos tipo sardina.</w:t>
      </w:r>
    </w:p>
    <w:p w14:paraId="1C1E0ECD" w14:textId="77777777" w:rsidR="000D3DFE" w:rsidRDefault="000D3DFE" w:rsidP="003202A8">
      <w:pPr>
        <w:autoSpaceDE w:val="0"/>
        <w:autoSpaceDN w:val="0"/>
        <w:adjustRightInd w:val="0"/>
        <w:spacing w:line="276" w:lineRule="auto"/>
        <w:rPr>
          <w:rFonts w:ascii="Arial" w:hAnsi="Arial" w:cs="Arial"/>
          <w:i/>
        </w:rPr>
      </w:pPr>
    </w:p>
    <w:p w14:paraId="482A8864" w14:textId="77777777" w:rsidR="000D3DFE" w:rsidRPr="00AA43BF" w:rsidRDefault="000D3DFE" w:rsidP="003202A8">
      <w:pPr>
        <w:autoSpaceDE w:val="0"/>
        <w:autoSpaceDN w:val="0"/>
        <w:adjustRightInd w:val="0"/>
        <w:spacing w:line="276" w:lineRule="auto"/>
        <w:rPr>
          <w:rFonts w:ascii="Arial" w:hAnsi="Arial" w:cs="Arial"/>
        </w:rPr>
      </w:pPr>
      <w:r>
        <w:rPr>
          <w:rFonts w:ascii="Arial" w:hAnsi="Arial" w:cs="Arial"/>
        </w:rPr>
        <w:t>El presente real decreto aplica tales normativas, siendo coherente con su contenido.</w:t>
      </w:r>
    </w:p>
    <w:p w14:paraId="22BF4DD4" w14:textId="77777777" w:rsidR="000D3DFE" w:rsidRPr="00ED3EE1" w:rsidRDefault="000D3DFE" w:rsidP="003202A8">
      <w:pPr>
        <w:pStyle w:val="Default"/>
        <w:spacing w:line="276" w:lineRule="auto"/>
        <w:jc w:val="both"/>
      </w:pPr>
    </w:p>
    <w:p w14:paraId="20198E44" w14:textId="77777777" w:rsidR="000D3DFE" w:rsidRPr="00195A12" w:rsidRDefault="000D3DFE" w:rsidP="003202A8">
      <w:pPr>
        <w:pStyle w:val="Default"/>
        <w:numPr>
          <w:ilvl w:val="2"/>
          <w:numId w:val="16"/>
        </w:numPr>
        <w:spacing w:line="276" w:lineRule="auto"/>
        <w:jc w:val="both"/>
        <w:rPr>
          <w:u w:val="single"/>
        </w:rPr>
      </w:pPr>
      <w:r w:rsidRPr="00ED3EE1">
        <w:rPr>
          <w:u w:val="single"/>
        </w:rPr>
        <w:t xml:space="preserve">Normativa que quedará derogada: </w:t>
      </w:r>
    </w:p>
    <w:p w14:paraId="0F738ECA" w14:textId="77777777" w:rsidR="000D3DFE" w:rsidRPr="00ED3EE1" w:rsidRDefault="000D3DFE" w:rsidP="003202A8">
      <w:pPr>
        <w:autoSpaceDE w:val="0"/>
        <w:autoSpaceDN w:val="0"/>
        <w:adjustRightInd w:val="0"/>
        <w:spacing w:line="276" w:lineRule="auto"/>
        <w:rPr>
          <w:rFonts w:ascii="Arial" w:hAnsi="Arial" w:cs="Arial"/>
        </w:rPr>
      </w:pPr>
      <w:r>
        <w:rPr>
          <w:rFonts w:ascii="Arial" w:hAnsi="Arial" w:cs="Arial"/>
        </w:rPr>
        <w:t>Las normas que quedarán derogadas se detallan</w:t>
      </w:r>
      <w:r w:rsidRPr="00ED3EE1">
        <w:rPr>
          <w:rFonts w:ascii="Arial" w:hAnsi="Arial" w:cs="Arial"/>
        </w:rPr>
        <w:t xml:space="preserve"> a continuación: </w:t>
      </w:r>
    </w:p>
    <w:p w14:paraId="5F3984D1" w14:textId="77777777" w:rsidR="000D3DFE" w:rsidRDefault="000D3DFE" w:rsidP="008C6749">
      <w:pPr>
        <w:pStyle w:val="Prrafodelista"/>
        <w:spacing w:line="276" w:lineRule="auto"/>
        <w:ind w:left="0"/>
        <w:jc w:val="both"/>
        <w:rPr>
          <w:rFonts w:cs="Arial"/>
          <w:color w:val="FF0000"/>
        </w:rPr>
      </w:pPr>
    </w:p>
    <w:p w14:paraId="3CA930ED" w14:textId="77777777" w:rsidR="000D3DFE" w:rsidRPr="00AF1F81" w:rsidRDefault="000D3DFE" w:rsidP="008C6749">
      <w:pPr>
        <w:pStyle w:val="Prrafodelista"/>
        <w:spacing w:line="276" w:lineRule="auto"/>
        <w:ind w:left="0"/>
        <w:jc w:val="both"/>
        <w:rPr>
          <w:rFonts w:cs="Arial"/>
          <w:color w:val="000000" w:themeColor="text1"/>
          <w:lang w:val="es-ES_tradnl"/>
        </w:rPr>
      </w:pPr>
      <w:r w:rsidRPr="00AF1F81">
        <w:rPr>
          <w:rFonts w:cs="Arial"/>
          <w:color w:val="000000" w:themeColor="text1"/>
          <w:lang w:val="es-ES_tradnl"/>
        </w:rPr>
        <w:t xml:space="preserve">El anexo VI del Real Decreto 1521/1984, de 1 de agosto, por el que se aprueba la Reglamentación Técnico-Sanitaria de los Establecimientos y Productos de la Pesca y Acuicultura con Destino al Consumo Humano. </w:t>
      </w:r>
    </w:p>
    <w:p w14:paraId="41C6B642" w14:textId="77777777" w:rsidR="000D3DFE" w:rsidRPr="00AF1F81" w:rsidRDefault="000D3DFE" w:rsidP="003202A8">
      <w:pPr>
        <w:pStyle w:val="Prrafodelista"/>
        <w:spacing w:line="276" w:lineRule="auto"/>
        <w:ind w:left="720"/>
        <w:jc w:val="both"/>
        <w:rPr>
          <w:rFonts w:cs="Arial"/>
          <w:color w:val="000000" w:themeColor="text1"/>
          <w:lang w:val="es-ES_tradnl"/>
        </w:rPr>
      </w:pPr>
    </w:p>
    <w:p w14:paraId="7F4AEAB9" w14:textId="77777777" w:rsidR="000D3DFE" w:rsidRPr="00AF1F81" w:rsidRDefault="000D3DFE" w:rsidP="008C6749">
      <w:pPr>
        <w:rPr>
          <w:rFonts w:ascii="Arial" w:hAnsi="Arial" w:cs="Arial"/>
          <w:color w:val="000000" w:themeColor="text1"/>
        </w:rPr>
      </w:pPr>
      <w:r w:rsidRPr="00AF1F81">
        <w:rPr>
          <w:rFonts w:ascii="Arial" w:hAnsi="Arial" w:cs="Arial"/>
          <w:color w:val="000000" w:themeColor="text1"/>
        </w:rPr>
        <w:t>El artículo 2 de la Orden de 15 de octubre de 1985 por la que se aprueba la Norma de calidad para el mejillón, almeja y berberecho en conserva.</w:t>
      </w:r>
    </w:p>
    <w:p w14:paraId="781BB8DC" w14:textId="77777777" w:rsidR="000D3DFE" w:rsidRPr="00AF1F81" w:rsidRDefault="000D3DFE" w:rsidP="008C6749">
      <w:pPr>
        <w:rPr>
          <w:rFonts w:ascii="Arial" w:hAnsi="Arial" w:cs="Arial"/>
          <w:color w:val="000000" w:themeColor="text1"/>
        </w:rPr>
      </w:pPr>
    </w:p>
    <w:p w14:paraId="5A8FC149" w14:textId="77777777" w:rsidR="000D3DFE" w:rsidRPr="00AF1F81" w:rsidRDefault="000D3DFE" w:rsidP="008C6749">
      <w:pPr>
        <w:rPr>
          <w:rFonts w:ascii="Arial" w:hAnsi="Arial" w:cs="Arial"/>
          <w:color w:val="000000" w:themeColor="text1"/>
        </w:rPr>
      </w:pPr>
      <w:r w:rsidRPr="00AF1F81">
        <w:rPr>
          <w:rFonts w:ascii="Arial" w:hAnsi="Arial" w:cs="Arial"/>
          <w:color w:val="000000" w:themeColor="text1"/>
        </w:rPr>
        <w:t>El artículo 2 de la Orden de 15 de octubre de 1985 por la que se aprueba la Norma de calidad para los mejillones cocidos y congelados.</w:t>
      </w:r>
    </w:p>
    <w:p w14:paraId="57F706FA" w14:textId="77777777" w:rsidR="000D3DFE" w:rsidRPr="00AF1F81" w:rsidRDefault="000D3DFE" w:rsidP="008C6749">
      <w:pPr>
        <w:rPr>
          <w:rFonts w:ascii="Arial" w:hAnsi="Arial" w:cs="Arial"/>
          <w:color w:val="000000" w:themeColor="text1"/>
        </w:rPr>
      </w:pPr>
    </w:p>
    <w:p w14:paraId="3AD38F85" w14:textId="77777777" w:rsidR="000D3DFE" w:rsidRPr="00AF1F81" w:rsidRDefault="000D3DFE" w:rsidP="008C6749">
      <w:pPr>
        <w:rPr>
          <w:rFonts w:ascii="Arial" w:hAnsi="Arial" w:cs="Arial"/>
          <w:color w:val="000000" w:themeColor="text1"/>
        </w:rPr>
      </w:pPr>
      <w:r w:rsidRPr="00AF1F81">
        <w:rPr>
          <w:rFonts w:ascii="Arial" w:hAnsi="Arial" w:cs="Arial"/>
          <w:color w:val="000000" w:themeColor="text1"/>
        </w:rPr>
        <w:t>La Resolución de 24 de mayo de 2019, de la Secretaría General de Pesca, por la que se publica el listado de denominaciones comerciales de especies pesqueras y de acuicultura admitidas en España.</w:t>
      </w:r>
    </w:p>
    <w:p w14:paraId="6135ADF7" w14:textId="77777777" w:rsidR="000D3DFE" w:rsidRPr="00AF1F81" w:rsidRDefault="000D3DFE" w:rsidP="003202A8">
      <w:pPr>
        <w:spacing w:line="276" w:lineRule="auto"/>
        <w:rPr>
          <w:rFonts w:ascii="Arial" w:hAnsi="Arial" w:cs="Arial"/>
          <w:color w:val="000000" w:themeColor="text1"/>
        </w:rPr>
      </w:pPr>
    </w:p>
    <w:p w14:paraId="635FD5F6" w14:textId="77777777" w:rsidR="000D3DFE" w:rsidRPr="00AF1F81" w:rsidRDefault="000D3DFE" w:rsidP="003202A8">
      <w:pPr>
        <w:spacing w:line="276" w:lineRule="auto"/>
        <w:rPr>
          <w:rFonts w:ascii="Arial" w:hAnsi="Arial" w:cs="Arial"/>
          <w:color w:val="000000" w:themeColor="text1"/>
          <w:spacing w:val="-4"/>
          <w:u w:val="single"/>
          <w:lang w:val="es-ES_tradnl"/>
        </w:rPr>
      </w:pPr>
      <w:r w:rsidRPr="00AF1F81">
        <w:rPr>
          <w:rFonts w:ascii="Arial" w:hAnsi="Arial" w:cs="Arial"/>
          <w:color w:val="000000" w:themeColor="text1"/>
          <w:spacing w:val="-4"/>
          <w:u w:val="single"/>
          <w:lang w:val="es-ES_tradnl"/>
        </w:rPr>
        <w:t>Entrada en vigor</w:t>
      </w:r>
    </w:p>
    <w:p w14:paraId="6EA03A85" w14:textId="77777777" w:rsidR="000D3DFE" w:rsidRDefault="000D3DFE" w:rsidP="003202A8">
      <w:pPr>
        <w:spacing w:line="276" w:lineRule="auto"/>
        <w:rPr>
          <w:rFonts w:ascii="Arial" w:hAnsi="Arial" w:cs="Arial"/>
          <w:spacing w:val="-4"/>
          <w:lang w:val="es-ES_tradnl"/>
        </w:rPr>
      </w:pPr>
    </w:p>
    <w:p w14:paraId="13F1FFB3" w14:textId="77777777" w:rsidR="000D3DFE" w:rsidRDefault="000D3DFE" w:rsidP="00A531EC">
      <w:pPr>
        <w:rPr>
          <w:rFonts w:ascii="Arial" w:hAnsi="Arial" w:cs="Arial"/>
          <w:iCs/>
          <w:color w:val="FF0000"/>
        </w:rPr>
      </w:pPr>
      <w:r w:rsidRPr="000D6D8D">
        <w:rPr>
          <w:rFonts w:ascii="Arial" w:hAnsi="Arial" w:cs="Arial"/>
          <w:iCs/>
        </w:rPr>
        <w:t xml:space="preserve">La disposición final tercera prevé su entrada en vigor de conformidad con lo previsto en el segundo párrafo, </w:t>
      </w:r>
      <w:r w:rsidRPr="000D6D8D">
        <w:rPr>
          <w:rFonts w:ascii="Arial" w:hAnsi="Arial" w:cs="Arial"/>
          <w:i/>
          <w:iCs/>
        </w:rPr>
        <w:t>in fine</w:t>
      </w:r>
      <w:r w:rsidRPr="000D6D8D">
        <w:rPr>
          <w:rFonts w:ascii="Arial" w:hAnsi="Arial" w:cs="Arial"/>
          <w:iCs/>
        </w:rPr>
        <w:t xml:space="preserve">, del artículo 23 de la </w:t>
      </w:r>
      <w:r>
        <w:rPr>
          <w:rFonts w:ascii="Arial" w:hAnsi="Arial" w:cs="Arial"/>
          <w:iCs/>
        </w:rPr>
        <w:t>L</w:t>
      </w:r>
      <w:r w:rsidRPr="000D6D8D">
        <w:rPr>
          <w:rFonts w:ascii="Arial" w:hAnsi="Arial" w:cs="Arial"/>
          <w:iCs/>
        </w:rPr>
        <w:t xml:space="preserve">ey 50/1997, de 27 de </w:t>
      </w:r>
      <w:r w:rsidRPr="00C12164">
        <w:rPr>
          <w:rFonts w:ascii="Arial" w:hAnsi="Arial" w:cs="Arial"/>
          <w:iCs/>
        </w:rPr>
        <w:t xml:space="preserve">noviembre, el 1 de julio de 2019. </w:t>
      </w:r>
    </w:p>
    <w:p w14:paraId="45EB2169" w14:textId="77777777" w:rsidR="000D3DFE" w:rsidRDefault="000D3DFE" w:rsidP="00A531EC">
      <w:pPr>
        <w:rPr>
          <w:rFonts w:ascii="Arial" w:hAnsi="Arial" w:cs="Arial"/>
        </w:rPr>
      </w:pPr>
    </w:p>
    <w:p w14:paraId="686D9980" w14:textId="77777777" w:rsidR="000D3DFE" w:rsidRPr="00ED3EE1" w:rsidRDefault="000D3DFE" w:rsidP="00A531EC">
      <w:pPr>
        <w:rPr>
          <w:rFonts w:ascii="Arial" w:hAnsi="Arial" w:cs="Arial"/>
          <w:spacing w:val="-4"/>
          <w:lang w:val="es-ES_tradnl"/>
        </w:rPr>
      </w:pPr>
    </w:p>
    <w:p w14:paraId="4FA6B3F7"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2.3 DESCRIPCIÓN DE LA TRAMITACIÓN. CONSULTAS Y PROCEDIMIENTO DE ELABORACIÓN</w:t>
      </w:r>
    </w:p>
    <w:p w14:paraId="4952FD38" w14:textId="77777777" w:rsidR="000D3DFE" w:rsidRPr="00ED3EE1" w:rsidRDefault="000D3DFE" w:rsidP="003202A8">
      <w:pPr>
        <w:autoSpaceDE w:val="0"/>
        <w:autoSpaceDN w:val="0"/>
        <w:adjustRightInd w:val="0"/>
        <w:spacing w:line="276" w:lineRule="auto"/>
        <w:rPr>
          <w:rFonts w:ascii="Arial" w:hAnsi="Arial" w:cs="Arial"/>
        </w:rPr>
      </w:pPr>
    </w:p>
    <w:p w14:paraId="0FC93C2A" w14:textId="77777777" w:rsidR="000D3DFE" w:rsidRPr="00ED3EE1" w:rsidRDefault="000D3DFE" w:rsidP="003202A8">
      <w:pPr>
        <w:autoSpaceDE w:val="0"/>
        <w:autoSpaceDN w:val="0"/>
        <w:adjustRightInd w:val="0"/>
        <w:spacing w:line="276" w:lineRule="auto"/>
        <w:rPr>
          <w:rFonts w:ascii="Arial" w:hAnsi="Arial" w:cs="Arial"/>
        </w:rPr>
      </w:pPr>
      <w:r w:rsidRPr="00ED3EE1">
        <w:rPr>
          <w:rFonts w:ascii="Arial" w:hAnsi="Arial" w:cs="Arial"/>
        </w:rPr>
        <w:t>La Dirección General de Ordenación Pesquera</w:t>
      </w:r>
      <w:r>
        <w:rPr>
          <w:rFonts w:ascii="Arial" w:hAnsi="Arial" w:cs="Arial"/>
        </w:rPr>
        <w:t xml:space="preserve"> y Acuicultura de la Secretaría General de Pesca</w:t>
      </w:r>
      <w:r w:rsidRPr="00ED3EE1">
        <w:rPr>
          <w:rFonts w:ascii="Arial" w:hAnsi="Arial" w:cs="Arial"/>
        </w:rPr>
        <w:t xml:space="preserve">, a través de la Subdirección General de </w:t>
      </w:r>
      <w:r>
        <w:rPr>
          <w:rFonts w:ascii="Arial" w:hAnsi="Arial" w:cs="Arial"/>
        </w:rPr>
        <w:t>Acuicultura y Comercialización Pesquera</w:t>
      </w:r>
      <w:r w:rsidRPr="00ED3EE1">
        <w:rPr>
          <w:rFonts w:ascii="Arial" w:hAnsi="Arial" w:cs="Arial"/>
        </w:rPr>
        <w:t xml:space="preserve">, </w:t>
      </w:r>
      <w:r>
        <w:rPr>
          <w:rFonts w:ascii="Arial" w:hAnsi="Arial" w:cs="Arial"/>
        </w:rPr>
        <w:t>ha redactado el proyecto de real d</w:t>
      </w:r>
      <w:r w:rsidRPr="00ED3EE1">
        <w:rPr>
          <w:rFonts w:ascii="Arial" w:hAnsi="Arial" w:cs="Arial"/>
        </w:rPr>
        <w:t xml:space="preserve">ecreto. Es voluntad de este centro directivo, dada la trascendencia en la cadena de comercialización de los productos pesqueros, consensuar en la mayor medida posible </w:t>
      </w:r>
      <w:r>
        <w:rPr>
          <w:rFonts w:ascii="Arial" w:hAnsi="Arial" w:cs="Arial"/>
        </w:rPr>
        <w:t xml:space="preserve">esta norma </w:t>
      </w:r>
      <w:r>
        <w:rPr>
          <w:rFonts w:ascii="Arial" w:hAnsi="Arial" w:cs="Arial"/>
        </w:rPr>
        <w:lastRenderedPageBreak/>
        <w:t>con las comunidades a</w:t>
      </w:r>
      <w:r w:rsidRPr="00ED3EE1">
        <w:rPr>
          <w:rFonts w:ascii="Arial" w:hAnsi="Arial" w:cs="Arial"/>
        </w:rPr>
        <w:t xml:space="preserve">utónomas y </w:t>
      </w:r>
      <w:r>
        <w:rPr>
          <w:rFonts w:ascii="Arial" w:hAnsi="Arial" w:cs="Arial"/>
        </w:rPr>
        <w:t xml:space="preserve">representantes del </w:t>
      </w:r>
      <w:r w:rsidRPr="00ED3EE1">
        <w:rPr>
          <w:rFonts w:ascii="Arial" w:hAnsi="Arial" w:cs="Arial"/>
        </w:rPr>
        <w:t xml:space="preserve">sector </w:t>
      </w:r>
      <w:r>
        <w:rPr>
          <w:rFonts w:ascii="Arial" w:hAnsi="Arial" w:cs="Arial"/>
        </w:rPr>
        <w:t xml:space="preserve">afectados por </w:t>
      </w:r>
      <w:r w:rsidRPr="00ED3EE1">
        <w:rPr>
          <w:rFonts w:ascii="Arial" w:hAnsi="Arial" w:cs="Arial"/>
        </w:rPr>
        <w:t>su contenido</w:t>
      </w:r>
      <w:r>
        <w:rPr>
          <w:rFonts w:ascii="Arial" w:hAnsi="Arial" w:cs="Arial"/>
        </w:rPr>
        <w:t xml:space="preserve"> normativo</w:t>
      </w:r>
      <w:r w:rsidRPr="00ED3EE1">
        <w:rPr>
          <w:rFonts w:ascii="Arial" w:hAnsi="Arial" w:cs="Arial"/>
        </w:rPr>
        <w:t xml:space="preserve">. </w:t>
      </w:r>
    </w:p>
    <w:p w14:paraId="3615E389" w14:textId="77777777" w:rsidR="000D3DFE" w:rsidRPr="00ED3EE1" w:rsidRDefault="000D3DFE" w:rsidP="003202A8">
      <w:pPr>
        <w:autoSpaceDE w:val="0"/>
        <w:autoSpaceDN w:val="0"/>
        <w:adjustRightInd w:val="0"/>
        <w:spacing w:line="276" w:lineRule="auto"/>
        <w:rPr>
          <w:rFonts w:ascii="Arial" w:hAnsi="Arial" w:cs="Arial"/>
        </w:rPr>
      </w:pPr>
    </w:p>
    <w:p w14:paraId="00C6D52B" w14:textId="77777777" w:rsidR="000D3DFE" w:rsidRPr="0068797E" w:rsidRDefault="000D3DFE" w:rsidP="003202A8">
      <w:pPr>
        <w:autoSpaceDE w:val="0"/>
        <w:autoSpaceDN w:val="0"/>
        <w:adjustRightInd w:val="0"/>
        <w:spacing w:line="276" w:lineRule="auto"/>
        <w:rPr>
          <w:rFonts w:ascii="Arial" w:hAnsi="Arial" w:cs="Arial"/>
        </w:rPr>
      </w:pPr>
      <w:r w:rsidRPr="00782E29">
        <w:rPr>
          <w:rFonts w:ascii="Arial" w:hAnsi="Arial" w:cs="Arial"/>
        </w:rPr>
        <w:t>Se ha elaborado un texto inicial fechado el 5 de agosto de 2019, para su estudio e informe de la Secretaría General Técnica del M</w:t>
      </w:r>
      <w:r>
        <w:rPr>
          <w:rFonts w:ascii="Arial" w:hAnsi="Arial" w:cs="Arial"/>
        </w:rPr>
        <w:t>inisterio</w:t>
      </w:r>
      <w:r w:rsidRPr="00782E29">
        <w:rPr>
          <w:rFonts w:ascii="Arial" w:hAnsi="Arial" w:cs="Arial"/>
        </w:rPr>
        <w:t xml:space="preserve">, </w:t>
      </w:r>
      <w:r w:rsidRPr="0068797E">
        <w:rPr>
          <w:rFonts w:ascii="Arial" w:hAnsi="Arial" w:cs="Arial"/>
        </w:rPr>
        <w:t xml:space="preserve">para su estudio e informe así como para recabar informe de los Ministerios afectados por la materia conforme a lo establecido en el procedimiento de elaboración normativa en la Ley 50/1997, de 27 de noviembre. </w:t>
      </w:r>
    </w:p>
    <w:p w14:paraId="66EC704A" w14:textId="77777777" w:rsidR="000D3DFE" w:rsidRPr="0068797E" w:rsidRDefault="000D3DFE" w:rsidP="003202A8">
      <w:pPr>
        <w:autoSpaceDE w:val="0"/>
        <w:autoSpaceDN w:val="0"/>
        <w:adjustRightInd w:val="0"/>
        <w:spacing w:line="276" w:lineRule="auto"/>
        <w:rPr>
          <w:rFonts w:ascii="Arial" w:hAnsi="Arial" w:cs="Arial"/>
        </w:rPr>
      </w:pPr>
      <w:r w:rsidRPr="0068797E">
        <w:rPr>
          <w:rFonts w:ascii="Arial" w:hAnsi="Arial" w:cs="Arial"/>
        </w:rPr>
        <w:t xml:space="preserve">Este texto del proyecto ha sido sometido al trámite de audiencia e información públicas. Además, se ha sometido al trámite de consulta de las comunidades autónomas, y de audiencia del sector afectado. </w:t>
      </w:r>
    </w:p>
    <w:p w14:paraId="179CC464" w14:textId="77777777" w:rsidR="000D3DFE" w:rsidRPr="0068797E" w:rsidRDefault="000D3DFE" w:rsidP="003202A8">
      <w:pPr>
        <w:autoSpaceDE w:val="0"/>
        <w:autoSpaceDN w:val="0"/>
        <w:adjustRightInd w:val="0"/>
        <w:spacing w:line="276" w:lineRule="auto"/>
        <w:rPr>
          <w:rFonts w:ascii="Arial" w:hAnsi="Arial" w:cs="Arial"/>
        </w:rPr>
      </w:pPr>
    </w:p>
    <w:p w14:paraId="7426F8C8" w14:textId="77777777" w:rsidR="000D3DFE" w:rsidRPr="0068797E" w:rsidRDefault="000D3DFE" w:rsidP="003202A8">
      <w:pPr>
        <w:autoSpaceDE w:val="0"/>
        <w:autoSpaceDN w:val="0"/>
        <w:adjustRightInd w:val="0"/>
        <w:spacing w:line="276" w:lineRule="auto"/>
        <w:rPr>
          <w:rFonts w:ascii="Arial" w:hAnsi="Arial" w:cs="Arial"/>
          <w:b/>
          <w:u w:val="single"/>
          <w:lang w:val="es-ES_tradnl"/>
        </w:rPr>
      </w:pPr>
      <w:r w:rsidRPr="0068797E">
        <w:rPr>
          <w:rFonts w:ascii="Arial" w:hAnsi="Arial" w:cs="Arial"/>
          <w:b/>
          <w:u w:val="single"/>
          <w:lang w:val="es-ES_tradnl"/>
        </w:rPr>
        <w:t>Descripción de la tramitación:</w:t>
      </w:r>
    </w:p>
    <w:p w14:paraId="1623034D" w14:textId="77777777" w:rsidR="000D3DFE" w:rsidRPr="0068797E" w:rsidRDefault="000D3DFE" w:rsidP="003202A8">
      <w:pPr>
        <w:autoSpaceDE w:val="0"/>
        <w:autoSpaceDN w:val="0"/>
        <w:adjustRightInd w:val="0"/>
        <w:spacing w:line="276" w:lineRule="auto"/>
        <w:rPr>
          <w:rFonts w:ascii="Arial" w:hAnsi="Arial" w:cs="Arial"/>
          <w:u w:val="single"/>
          <w:lang w:val="es-ES_tradnl"/>
        </w:rPr>
      </w:pPr>
    </w:p>
    <w:p w14:paraId="58425127" w14:textId="77777777" w:rsidR="000D3DFE" w:rsidRPr="0068797E" w:rsidRDefault="000D3DFE" w:rsidP="003202A8">
      <w:pPr>
        <w:autoSpaceDE w:val="0"/>
        <w:autoSpaceDN w:val="0"/>
        <w:adjustRightInd w:val="0"/>
        <w:spacing w:line="276" w:lineRule="auto"/>
        <w:rPr>
          <w:rFonts w:ascii="Arial" w:hAnsi="Arial" w:cs="Arial"/>
          <w:lang w:val="es-ES_tradnl"/>
        </w:rPr>
      </w:pPr>
      <w:r w:rsidRPr="0068797E">
        <w:rPr>
          <w:rFonts w:ascii="Arial" w:hAnsi="Arial" w:cs="Arial"/>
          <w:lang w:val="es-ES_tradnl"/>
        </w:rPr>
        <w:t xml:space="preserve">El texto del proyecto va a seguir el siguiente </w:t>
      </w:r>
      <w:r w:rsidRPr="0068797E">
        <w:rPr>
          <w:rFonts w:ascii="Arial" w:hAnsi="Arial" w:cs="Arial"/>
          <w:i/>
          <w:lang w:val="es-ES_tradnl"/>
        </w:rPr>
        <w:t>iter</w:t>
      </w:r>
      <w:r w:rsidRPr="0068797E">
        <w:rPr>
          <w:rFonts w:ascii="Arial" w:hAnsi="Arial" w:cs="Arial"/>
          <w:lang w:val="es-ES_tradnl"/>
        </w:rPr>
        <w:t xml:space="preserve"> procedimental:</w:t>
      </w:r>
    </w:p>
    <w:p w14:paraId="03301725" w14:textId="77777777" w:rsidR="000D3DFE" w:rsidRPr="0068797E" w:rsidRDefault="000D3DFE" w:rsidP="003202A8">
      <w:pPr>
        <w:autoSpaceDE w:val="0"/>
        <w:autoSpaceDN w:val="0"/>
        <w:adjustRightInd w:val="0"/>
        <w:spacing w:line="276" w:lineRule="auto"/>
        <w:rPr>
          <w:rFonts w:ascii="Arial" w:hAnsi="Arial" w:cs="Arial"/>
          <w:lang w:val="es-ES_tradnl"/>
        </w:rPr>
      </w:pPr>
    </w:p>
    <w:p w14:paraId="66F48EFA" w14:textId="77777777" w:rsidR="000D3DFE" w:rsidRPr="0068797E" w:rsidRDefault="000D3DFE" w:rsidP="003202A8">
      <w:pPr>
        <w:autoSpaceDE w:val="0"/>
        <w:autoSpaceDN w:val="0"/>
        <w:adjustRightInd w:val="0"/>
        <w:spacing w:line="276" w:lineRule="auto"/>
        <w:rPr>
          <w:rFonts w:ascii="Arial" w:hAnsi="Arial" w:cs="Arial"/>
          <w:lang w:val="es-ES_tradnl"/>
        </w:rPr>
      </w:pPr>
      <w:r w:rsidRPr="0068797E">
        <w:rPr>
          <w:rFonts w:ascii="Arial" w:hAnsi="Arial" w:cs="Arial"/>
          <w:lang w:val="es-ES_tradnl"/>
        </w:rPr>
        <w:t xml:space="preserve">Elaboración de un nuevo proyecto en abril de </w:t>
      </w:r>
      <w:r w:rsidRPr="00C12164">
        <w:rPr>
          <w:rFonts w:ascii="Arial" w:hAnsi="Arial" w:cs="Arial"/>
          <w:lang w:val="es-ES_tradnl"/>
        </w:rPr>
        <w:t>2019 p</w:t>
      </w:r>
      <w:r w:rsidRPr="0068797E">
        <w:rPr>
          <w:rFonts w:ascii="Arial" w:hAnsi="Arial" w:cs="Arial"/>
          <w:lang w:val="es-ES_tradnl"/>
        </w:rPr>
        <w:t xml:space="preserve">or parte de la Dirección General de Ordenación Pesquera y Acuicultura. </w:t>
      </w:r>
    </w:p>
    <w:p w14:paraId="4F1DF0ED" w14:textId="77777777" w:rsidR="000D3DFE" w:rsidRDefault="000D3DFE" w:rsidP="003202A8">
      <w:pPr>
        <w:pStyle w:val="Prrafodelista"/>
        <w:numPr>
          <w:ilvl w:val="0"/>
          <w:numId w:val="17"/>
        </w:numPr>
        <w:autoSpaceDE w:val="0"/>
        <w:autoSpaceDN w:val="0"/>
        <w:adjustRightInd w:val="0"/>
        <w:spacing w:line="276" w:lineRule="auto"/>
        <w:jc w:val="both"/>
        <w:rPr>
          <w:rFonts w:cs="Arial"/>
        </w:rPr>
      </w:pPr>
      <w:r w:rsidRPr="0068797E">
        <w:rPr>
          <w:rFonts w:cs="Arial"/>
        </w:rPr>
        <w:t>Conforme a lo dispuesto en el artículo 26.2 de la Ley 50/1997, de 27 de noviembre, del Gobierno, así como el artículo 133 de la Ley 39/2015, de 1</w:t>
      </w:r>
      <w:r w:rsidRPr="0068797E">
        <w:rPr>
          <w:rFonts w:ascii="CG Times" w:hAnsi="CG Times" w:cs="Arial"/>
          <w:color w:val="000000"/>
        </w:rPr>
        <w:t xml:space="preserve"> </w:t>
      </w:r>
      <w:r w:rsidRPr="0068797E">
        <w:rPr>
          <w:rFonts w:cs="Arial"/>
        </w:rPr>
        <w:t xml:space="preserve">de octubre, del Procedimiento Administrativo Común, se ha efectuado el trámite de consulta pública previa con el objeto recabar la opinión de los sujetos y organizaciones potencialmente afectadas por la futura norma acerca de los problemas que se pretenden solucionar con la iniciativa, la necesidad y oportunidad de su aprobación, los objetivos de la norma y las posibles soluciones alternativas regulatorias y no regulatorias. La consulta previa es, por tanto, un trámite anterior a la propia elaboración del texto normativo y tiene por objeto conocer la opinión de los interesados con carácter previo a la redacción misma del proyecto para poder tener en cuenta las preocupaciones y necesidades de los interesados a la hora de redactar la norma. </w:t>
      </w:r>
    </w:p>
    <w:p w14:paraId="4AB0985A" w14:textId="77777777" w:rsidR="000D3DFE" w:rsidRPr="0033769B" w:rsidRDefault="000D3DFE" w:rsidP="003202A8">
      <w:pPr>
        <w:pStyle w:val="Prrafodelista"/>
        <w:numPr>
          <w:ilvl w:val="0"/>
          <w:numId w:val="17"/>
        </w:numPr>
        <w:spacing w:line="276" w:lineRule="auto"/>
        <w:jc w:val="both"/>
        <w:rPr>
          <w:rFonts w:cs="Arial"/>
          <w:lang w:val="es-ES_tradnl"/>
        </w:rPr>
      </w:pPr>
      <w:r w:rsidRPr="0033769B">
        <w:rPr>
          <w:rFonts w:cs="Arial"/>
          <w:lang w:val="es-ES_tradnl"/>
        </w:rPr>
        <w:t>Se ha realizado el trámite de audiencia e información pública conforme a lo dispuesto en el artículo 26.6 de la citada ley 50/1997, de 27 de noviembre de modo que se ha expuesto el proyecto en la página web del Ministerio de Agricultura, Pesca y Alimentación.</w:t>
      </w:r>
    </w:p>
    <w:p w14:paraId="73D18FE1" w14:textId="77777777" w:rsidR="000D3DFE" w:rsidRPr="005836C9" w:rsidRDefault="000D3DFE" w:rsidP="003202A8">
      <w:pPr>
        <w:pStyle w:val="Prrafodelista"/>
        <w:numPr>
          <w:ilvl w:val="0"/>
          <w:numId w:val="17"/>
        </w:numPr>
        <w:spacing w:line="276" w:lineRule="auto"/>
        <w:jc w:val="both"/>
        <w:rPr>
          <w:rFonts w:cs="Arial"/>
          <w:lang w:val="es-ES_tradnl"/>
        </w:rPr>
      </w:pPr>
      <w:r w:rsidRPr="0033769B">
        <w:rPr>
          <w:rFonts w:cs="Arial"/>
          <w:lang w:val="es-ES_tradnl"/>
        </w:rPr>
        <w:t>Se ha remitido el proyecto a las comunidades a</w:t>
      </w:r>
      <w:r>
        <w:rPr>
          <w:rFonts w:cs="Arial"/>
          <w:lang w:val="es-ES_tradnl"/>
        </w:rPr>
        <w:t xml:space="preserve">utónomas, </w:t>
      </w:r>
      <w:r w:rsidRPr="0033769B">
        <w:rPr>
          <w:rFonts w:cs="Arial"/>
          <w:lang w:val="es-ES_tradnl"/>
        </w:rPr>
        <w:t>a las organizaciones del sector y a los interlocutores sociales.</w:t>
      </w:r>
    </w:p>
    <w:p w14:paraId="4989AD1D" w14:textId="77777777" w:rsidR="000D3DFE" w:rsidRPr="005C46CE" w:rsidRDefault="000D3DFE" w:rsidP="003202A8">
      <w:pPr>
        <w:pStyle w:val="Prrafodelista"/>
        <w:numPr>
          <w:ilvl w:val="0"/>
          <w:numId w:val="17"/>
        </w:numPr>
        <w:autoSpaceDE w:val="0"/>
        <w:autoSpaceDN w:val="0"/>
        <w:adjustRightInd w:val="0"/>
        <w:spacing w:line="276" w:lineRule="auto"/>
        <w:jc w:val="both"/>
        <w:rPr>
          <w:rFonts w:cs="Arial"/>
          <w:lang w:val="es-ES_tradnl"/>
        </w:rPr>
      </w:pPr>
      <w:r w:rsidRPr="005C46CE">
        <w:rPr>
          <w:rFonts w:cs="Arial"/>
          <w:lang w:val="es-ES_tradnl"/>
        </w:rPr>
        <w:t>Se ha solicitado informe 26.5.4º de la Secretaría General Técnica del Ministerio de Sanidad, Consumo y Bienestar Social, al ser coproponente en la elaboración de esta norma. El 1 de octubre de 2019 se recibe el citado informe con observaciones, la mayor parte de las cuales han</w:t>
      </w:r>
      <w:r>
        <w:rPr>
          <w:rFonts w:cs="Arial"/>
          <w:lang w:val="es-ES_tradnl"/>
        </w:rPr>
        <w:t xml:space="preserve"> sido tenidas</w:t>
      </w:r>
      <w:r w:rsidRPr="005C46CE">
        <w:rPr>
          <w:rFonts w:cs="Arial"/>
          <w:lang w:val="es-ES_tradnl"/>
        </w:rPr>
        <w:t xml:space="preserve"> en cuenta en la redacción final del texto. </w:t>
      </w:r>
      <w:r>
        <w:rPr>
          <w:rFonts w:cs="Arial"/>
          <w:lang w:val="es-ES_tradnl"/>
        </w:rPr>
        <w:t xml:space="preserve">Sólo se ha matizado alguna de las consideraciones por motivos fundados, singularmente, en el artículo 4 se </w:t>
      </w:r>
      <w:r>
        <w:rPr>
          <w:rFonts w:cs="Arial"/>
          <w:lang w:val="es-ES_tradnl"/>
        </w:rPr>
        <w:lastRenderedPageBreak/>
        <w:t>ha mantenido que la notificación de las resoluciones individuales de solicitudes de modificación de los listados se realicen en la página web del Ministerio en virtud del artículo 45.1, puesto que la exigencia del apartado 3 relativa al boletín oficial se refiere al lugar en que se concrete dónde ha de producirse, que será en efecto el "Boletín Oficial del Estado" pues es donde se va a publicar la presente norma, habilitando, como ocurre por ejemplo con las convocatorias de los procesos selectivos, a la sucesiva publicación de los actos en el lugar descrito en ese mismo lugar.</w:t>
      </w:r>
    </w:p>
    <w:p w14:paraId="41C30D79" w14:textId="77777777" w:rsidR="000D3DFE" w:rsidRPr="00576C2C" w:rsidRDefault="000D3DFE" w:rsidP="00576C2C">
      <w:pPr>
        <w:pStyle w:val="Prrafodelista"/>
        <w:numPr>
          <w:ilvl w:val="0"/>
          <w:numId w:val="17"/>
        </w:numPr>
        <w:spacing w:line="276" w:lineRule="auto"/>
        <w:jc w:val="both"/>
        <w:rPr>
          <w:rFonts w:cs="Arial"/>
          <w:i/>
          <w:iCs/>
        </w:rPr>
      </w:pPr>
      <w:r w:rsidRPr="005836C9">
        <w:rPr>
          <w:rFonts w:cs="Arial"/>
          <w:lang w:val="es-ES_tradnl"/>
        </w:rPr>
        <w:t>Se ha solicitado informe 26.5.5º y 6º del Ministerio de Política Territorial y Función Pública.</w:t>
      </w:r>
      <w:r>
        <w:rPr>
          <w:rFonts w:cs="Arial"/>
          <w:lang w:val="es-ES_tradnl"/>
        </w:rPr>
        <w:t xml:space="preserve"> El 2 de octubre se reciben ambos informes. No se otorga la aprobación previa a la espera de nueva emisión, teniendo en cuenta las consideraciones realizadas por este </w:t>
      </w:r>
      <w:r w:rsidRPr="00AA43BF">
        <w:rPr>
          <w:rFonts w:cs="Arial"/>
          <w:lang w:val="es-ES_tradnl"/>
        </w:rPr>
        <w:t xml:space="preserve">Departamento. </w:t>
      </w:r>
      <w:r>
        <w:rPr>
          <w:rFonts w:cs="Arial"/>
          <w:lang w:val="es-ES_tradnl"/>
        </w:rPr>
        <w:t xml:space="preserve">Se solicita nuevamente la aprobación previa, remitiendo texto y memoria el 27 de noviembre para su consideración y se recibe de nuevo la denegación con nuevas observaciones. Tras haberse revisado el texto del proyecto y memoria, incluyendo el contenido del último informe recibido del citado Departamento, se va a solicitar si procede, en su caso, la mencionada aprobación previa. </w:t>
      </w:r>
      <w:r w:rsidRPr="00576C2C">
        <w:rPr>
          <w:rFonts w:cs="Arial"/>
          <w:lang w:val="es-ES_tradnl"/>
        </w:rPr>
        <w:t xml:space="preserve">Respecto al informe 26.5.6º de </w:t>
      </w:r>
      <w:r w:rsidRPr="00576C2C">
        <w:rPr>
          <w:rFonts w:cs="Arial"/>
        </w:rPr>
        <w:t xml:space="preserve">la </w:t>
      </w:r>
      <w:r w:rsidRPr="00576C2C">
        <w:rPr>
          <w:rFonts w:cs="Arial"/>
          <w:iCs/>
          <w:lang w:val="es-ES_tradnl"/>
        </w:rPr>
        <w:t xml:space="preserve">Ley 50/1997, de 27 de noviembre, sobre la </w:t>
      </w:r>
      <w:r w:rsidRPr="00576C2C">
        <w:rPr>
          <w:rFonts w:cs="Arial"/>
        </w:rPr>
        <w:t xml:space="preserve"> </w:t>
      </w:r>
      <w:r w:rsidRPr="00576C2C">
        <w:rPr>
          <w:rFonts w:cs="Arial"/>
          <w:iCs/>
        </w:rPr>
        <w:t xml:space="preserve">distribución de las competencias entre el Estado y las Comunidades Autónomas. Dicho Ministerio formula la siguiente consideración: </w:t>
      </w:r>
      <w:r w:rsidRPr="00576C2C">
        <w:rPr>
          <w:rFonts w:cs="Arial"/>
          <w:i/>
          <w:iCs/>
        </w:rPr>
        <w:t>“</w:t>
      </w:r>
      <w:r w:rsidRPr="00576C2C">
        <w:rPr>
          <w:rFonts w:cs="Arial"/>
          <w:i/>
        </w:rPr>
        <w:t>El contenido del proyecto se relaciona, con carácter prevalente, con el artículo 149.1.13ª de la Constitución Española que atribuye al Estado la competencia exclusiva en materia de bases y coordinación de la planificación general de la actividad económica. No obstante, como ya se ha señalado en el presente informe, desde la perspectiva competencial si bien cabe aceptar que sea la Secretaría General de Pesca el organismo competente para revisar el contenido del mencionado listado, resulta cuestionable que se le otorguen las facultades para resolver sobre las solicitudes de inclusión, modificación o eliminación de denominaciones comerciales, pues, al suponer actividades ejecutivas, su ejercicio correspondería a las Comunidades Autónomas, por lo que, desde una perspectiva competencial sería preciso que se atribuyese a las autoridades competentes de las Comunidades Autónomas las facultades para la resolución de las solicitudes de inclusión, modificación o eliminación de denominaciones comerciales, pudiendo el Estado mantener un listado de ámbito estatal y a título informativo, siendo constitutivas las resoluciones autonómicas”.</w:t>
      </w:r>
    </w:p>
    <w:p w14:paraId="72E8AFEC" w14:textId="77777777" w:rsidR="000D3DFE" w:rsidRPr="00AA43BF" w:rsidRDefault="000D3DFE" w:rsidP="00603DF5">
      <w:pPr>
        <w:pStyle w:val="Prrafodelista"/>
        <w:autoSpaceDE w:val="0"/>
        <w:autoSpaceDN w:val="0"/>
        <w:adjustRightInd w:val="0"/>
        <w:spacing w:line="276" w:lineRule="auto"/>
        <w:ind w:left="720"/>
        <w:jc w:val="both"/>
        <w:rPr>
          <w:rFonts w:cs="Arial"/>
          <w:iCs/>
        </w:rPr>
      </w:pPr>
      <w:r w:rsidRPr="00AA43BF">
        <w:rPr>
          <w:rFonts w:cs="Arial"/>
          <w:iCs/>
        </w:rPr>
        <w:t xml:space="preserve">Respecto a esta cuestión, se justifica y se remite para su respuesta y a la fundamentación jurídica realizada en el apartado 3.2 de esta memoria de impacto normativo, referido a la distribución de la norma a la distribución de competencia. </w:t>
      </w:r>
    </w:p>
    <w:p w14:paraId="63B1F030" w14:textId="77777777" w:rsidR="000D3DFE" w:rsidRDefault="000D3DFE" w:rsidP="003202A8">
      <w:pPr>
        <w:pStyle w:val="Prrafodelista"/>
        <w:numPr>
          <w:ilvl w:val="0"/>
          <w:numId w:val="17"/>
        </w:numPr>
        <w:spacing w:line="276" w:lineRule="auto"/>
        <w:jc w:val="both"/>
        <w:rPr>
          <w:rFonts w:cs="Arial"/>
          <w:lang w:val="es-ES_tradnl"/>
        </w:rPr>
      </w:pPr>
      <w:r w:rsidRPr="00AA43BF">
        <w:rPr>
          <w:rFonts w:cs="Arial"/>
          <w:lang w:val="es-ES_tradnl"/>
        </w:rPr>
        <w:t xml:space="preserve">Se ha </w:t>
      </w:r>
      <w:r w:rsidRPr="00C12164">
        <w:rPr>
          <w:rFonts w:cs="Arial"/>
          <w:lang w:val="es-ES_tradnl"/>
        </w:rPr>
        <w:t xml:space="preserve">recibido </w:t>
      </w:r>
      <w:r w:rsidRPr="00C12164">
        <w:rPr>
          <w:rFonts w:cs="Arial"/>
        </w:rPr>
        <w:t xml:space="preserve">informe </w:t>
      </w:r>
      <w:r w:rsidRPr="00AA43BF">
        <w:rPr>
          <w:rFonts w:cs="Arial"/>
        </w:rPr>
        <w:t>26.5.1º del Ministerio</w:t>
      </w:r>
      <w:r w:rsidRPr="00AA43BF">
        <w:rPr>
          <w:rFonts w:cs="Arial"/>
          <w:lang w:val="es-ES_tradnl"/>
        </w:rPr>
        <w:t xml:space="preserve"> de Economía</w:t>
      </w:r>
      <w:r w:rsidRPr="005836C9">
        <w:rPr>
          <w:rFonts w:cs="Arial"/>
          <w:lang w:val="es-ES_tradnl"/>
        </w:rPr>
        <w:t xml:space="preserve"> y Empresa.</w:t>
      </w:r>
    </w:p>
    <w:p w14:paraId="3C583A3A" w14:textId="77777777" w:rsidR="000D3DFE" w:rsidRPr="00AA43BF" w:rsidRDefault="000D3DFE" w:rsidP="00AA43BF">
      <w:pPr>
        <w:pStyle w:val="Prrafodelista"/>
        <w:numPr>
          <w:ilvl w:val="0"/>
          <w:numId w:val="17"/>
        </w:numPr>
        <w:rPr>
          <w:rFonts w:cs="Arial"/>
          <w:lang w:val="es-ES_tradnl"/>
        </w:rPr>
      </w:pPr>
      <w:r>
        <w:rPr>
          <w:rFonts w:cs="Arial"/>
          <w:lang w:val="es-ES_tradnl"/>
        </w:rPr>
        <w:lastRenderedPageBreak/>
        <w:t xml:space="preserve">Se ha solicitado informe 26.9 </w:t>
      </w:r>
      <w:r>
        <w:t xml:space="preserve">del Ministerio de la Presidencia, Relaciones con las Cortes e Igualdad </w:t>
      </w:r>
      <w:r w:rsidRPr="00AA43BF">
        <w:rPr>
          <w:rFonts w:cs="Arial"/>
          <w:lang w:val="es-ES_tradnl"/>
        </w:rPr>
        <w:t>5. Pendiente de recibirse dicho informe.</w:t>
      </w:r>
    </w:p>
    <w:p w14:paraId="1FBEA647" w14:textId="77777777" w:rsidR="000D3DFE" w:rsidRPr="00AA43BF" w:rsidRDefault="000D3DFE" w:rsidP="00AA43BF">
      <w:pPr>
        <w:pStyle w:val="Prrafodelista"/>
        <w:numPr>
          <w:ilvl w:val="0"/>
          <w:numId w:val="17"/>
        </w:numPr>
        <w:autoSpaceDE w:val="0"/>
        <w:autoSpaceDN w:val="0"/>
        <w:adjustRightInd w:val="0"/>
        <w:spacing w:line="276" w:lineRule="auto"/>
        <w:jc w:val="both"/>
        <w:rPr>
          <w:rFonts w:cs="Arial"/>
        </w:rPr>
      </w:pPr>
      <w:r w:rsidRPr="005836C9">
        <w:rPr>
          <w:rFonts w:cs="Arial"/>
          <w:lang w:val="es-ES_tradnl"/>
        </w:rPr>
        <w:t xml:space="preserve">Se ha solicitado </w:t>
      </w:r>
      <w:r w:rsidRPr="005836C9">
        <w:rPr>
          <w:rFonts w:cs="Arial"/>
        </w:rPr>
        <w:t>informe 26.5.1º del Ministerio</w:t>
      </w:r>
      <w:r w:rsidRPr="005836C9">
        <w:rPr>
          <w:rFonts w:cs="Arial"/>
          <w:lang w:val="es-ES_tradnl"/>
        </w:rPr>
        <w:t xml:space="preserve"> de Industria, Turismo y Comercio. Pendiente de recibirse dicho informe.</w:t>
      </w:r>
    </w:p>
    <w:p w14:paraId="6FFDB826" w14:textId="77777777" w:rsidR="000D3DFE" w:rsidRPr="004806B8" w:rsidRDefault="000D3DFE" w:rsidP="004806B8">
      <w:pPr>
        <w:pStyle w:val="Prrafodelista"/>
        <w:numPr>
          <w:ilvl w:val="0"/>
          <w:numId w:val="17"/>
        </w:numPr>
        <w:autoSpaceDE w:val="0"/>
        <w:autoSpaceDN w:val="0"/>
        <w:adjustRightInd w:val="0"/>
        <w:spacing w:line="276" w:lineRule="auto"/>
        <w:jc w:val="both"/>
        <w:rPr>
          <w:rFonts w:cs="Arial"/>
        </w:rPr>
      </w:pPr>
      <w:r w:rsidRPr="004806B8">
        <w:rPr>
          <w:rFonts w:cs="Arial"/>
          <w:lang w:val="es-ES_tradnl"/>
        </w:rPr>
        <w:t>P</w:t>
      </w:r>
      <w:r w:rsidRPr="004806B8">
        <w:rPr>
          <w:rFonts w:cs="Arial"/>
        </w:rPr>
        <w:t xml:space="preserve">rocedimiento previsto en el Real Decreto 1337/1999, de 31 de julio, por el que se regula la remisión de información en materia de normas y reglamentaciones técnicas y reglamentos relativos a los servicios de la sociedad de la información. </w:t>
      </w:r>
      <w:r>
        <w:rPr>
          <w:rFonts w:cs="Arial"/>
        </w:rPr>
        <w:t>No obstante, n</w:t>
      </w:r>
      <w:r w:rsidRPr="004806B8">
        <w:rPr>
          <w:rFonts w:cs="Arial"/>
        </w:rPr>
        <w:t>o se considera necesario prever una cláusula de reconocimiento mutuo para los productos de la pesca y la acuicultura  incluidos en las letras a), b) c) y e) del anexo I del Reglamento (UE) n ° 1379/2013 del Parlamento Europeo y del Consejo, de 11 de diciembre de 2013, por el que se establece la organización común de mercados en el sector de los productos de la pesca y de la acuicultura, se modifican los Reglamentos (CE) n ° 1184/2006 y (CE) n ° 1224/2009 del Consejo y se deroga el Reglamento (CE) n ° 104/2000 del Consejo puesto que en su artículo 37, dispone que “a efectos de lo dispuesto en el artículo 35, apartado 1, los Estados miembros confeccionarán y publicarán una lista de las denominaciones comerciales aceptadas en sus respectivos territorios, junto con sus nombres científicos para dichos productos. Dicha lista deberá mencionar: a) el nombre científico de cada especie, de conformidad con el sistema de información FishBase o, en su caso, con arreglo a la base de datos AFSIS de la Organización para la Alimentación y la Agricultura (FAO), b) la denominación comercial: i) el nombre de la especie en la lengua o lenguas oficiales del Estado miembro interesado, ii) cuando proceda, cualquier otro nombre o nombres que estén aceptados o permitidos a nivel local o regional.</w:t>
      </w:r>
    </w:p>
    <w:p w14:paraId="738E7925" w14:textId="77777777" w:rsidR="000D3DFE" w:rsidRPr="004806B8" w:rsidRDefault="000D3DFE" w:rsidP="00B72981">
      <w:pPr>
        <w:pStyle w:val="Prrafodelista"/>
        <w:numPr>
          <w:ilvl w:val="0"/>
          <w:numId w:val="17"/>
        </w:numPr>
        <w:autoSpaceDE w:val="0"/>
        <w:autoSpaceDN w:val="0"/>
        <w:adjustRightInd w:val="0"/>
        <w:spacing w:line="276" w:lineRule="auto"/>
        <w:jc w:val="both"/>
        <w:rPr>
          <w:rFonts w:cs="Arial"/>
        </w:rPr>
      </w:pPr>
      <w:r w:rsidRPr="004806B8">
        <w:rPr>
          <w:rFonts w:cs="Arial"/>
          <w:lang w:val="es-ES_tradnl"/>
        </w:rPr>
        <w:t>El proyecto se someterá, una vez concluida la tramitación, se someterá a dictamen del Consejo de Estado.</w:t>
      </w:r>
    </w:p>
    <w:p w14:paraId="3BCA7DA6" w14:textId="77777777" w:rsidR="000D3DFE" w:rsidRPr="005836C9" w:rsidRDefault="000D3DFE" w:rsidP="003202A8">
      <w:pPr>
        <w:pStyle w:val="Prrafodelista"/>
        <w:numPr>
          <w:ilvl w:val="0"/>
          <w:numId w:val="17"/>
        </w:numPr>
        <w:spacing w:line="276" w:lineRule="auto"/>
        <w:jc w:val="both"/>
        <w:rPr>
          <w:rFonts w:cs="Arial"/>
          <w:lang w:val="es-ES_tradnl"/>
        </w:rPr>
      </w:pPr>
      <w:r>
        <w:rPr>
          <w:rFonts w:cs="Arial"/>
          <w:lang w:val="es-ES_tradnl"/>
        </w:rPr>
        <w:t>Una vez elaborado el</w:t>
      </w:r>
      <w:r w:rsidRPr="005836C9">
        <w:rPr>
          <w:rFonts w:cs="Arial"/>
          <w:lang w:val="es-ES_tradnl"/>
        </w:rPr>
        <w:t xml:space="preserve"> texto definitivo del proyecto de real decreto </w:t>
      </w:r>
      <w:r>
        <w:rPr>
          <w:rFonts w:cs="Arial"/>
          <w:lang w:val="es-ES_tradnl"/>
        </w:rPr>
        <w:t>se elevará</w:t>
      </w:r>
      <w:r w:rsidRPr="005836C9">
        <w:rPr>
          <w:rFonts w:cs="Arial"/>
          <w:lang w:val="es-ES_tradnl"/>
        </w:rPr>
        <w:t xml:space="preserve"> al Consejo de Ministros para su aprobación, previo debate en la Comisión de Secretarios de Estado y Subsecretarios.  </w:t>
      </w:r>
    </w:p>
    <w:p w14:paraId="624310DC" w14:textId="77777777" w:rsidR="000D3DFE" w:rsidRDefault="000D3DFE" w:rsidP="003202A8">
      <w:pPr>
        <w:autoSpaceDE w:val="0"/>
        <w:autoSpaceDN w:val="0"/>
        <w:adjustRightInd w:val="0"/>
        <w:spacing w:line="276" w:lineRule="auto"/>
        <w:rPr>
          <w:rFonts w:cs="Arial"/>
        </w:rPr>
      </w:pPr>
    </w:p>
    <w:p w14:paraId="41EAB3AB" w14:textId="77777777" w:rsidR="000D3DFE" w:rsidRPr="00985C2B" w:rsidRDefault="000D3DFE" w:rsidP="003202A8">
      <w:pPr>
        <w:autoSpaceDE w:val="0"/>
        <w:autoSpaceDN w:val="0"/>
        <w:adjustRightInd w:val="0"/>
        <w:spacing w:line="276" w:lineRule="auto"/>
        <w:rPr>
          <w:rFonts w:ascii="Arial" w:hAnsi="Arial" w:cs="Arial"/>
          <w:lang w:val="es-ES_tradnl"/>
        </w:rPr>
      </w:pPr>
      <w:r w:rsidRPr="005836C9">
        <w:rPr>
          <w:rFonts w:ascii="Arial" w:hAnsi="Arial" w:cs="Arial"/>
          <w:lang w:val="es-ES_tradnl"/>
        </w:rPr>
        <w:t xml:space="preserve">La presente memoria se irá actualizando para incluir la referencia a las consultas realizadas en el trámite de audiencia y otros informes evacuados durante la tramitación normativa para reflejar el modo en que las observaciones contenidas en éstos, así como el resultado del trámite de audiencia, hayan sido tenidas en consideración por los Ministerios proponentes. </w:t>
      </w:r>
    </w:p>
    <w:p w14:paraId="63FB889A" w14:textId="77777777" w:rsidR="000D3DFE" w:rsidRPr="00ED3EE1" w:rsidRDefault="000D3DFE" w:rsidP="003202A8">
      <w:pPr>
        <w:autoSpaceDE w:val="0"/>
        <w:autoSpaceDN w:val="0"/>
        <w:adjustRightInd w:val="0"/>
        <w:spacing w:line="276" w:lineRule="auto"/>
        <w:rPr>
          <w:rFonts w:ascii="Arial" w:hAnsi="Arial" w:cs="Arial"/>
        </w:rPr>
      </w:pPr>
    </w:p>
    <w:p w14:paraId="43B461D9" w14:textId="77777777" w:rsidR="000D3DFE" w:rsidRPr="00EA4B4C" w:rsidRDefault="000D3DFE" w:rsidP="003202A8">
      <w:pPr>
        <w:pStyle w:val="Ttulo6"/>
        <w:spacing w:line="276" w:lineRule="auto"/>
        <w:jc w:val="both"/>
        <w:rPr>
          <w:rFonts w:ascii="Arial" w:hAnsi="Arial" w:cs="Arial"/>
        </w:rPr>
      </w:pPr>
      <w:r w:rsidRPr="00EA4B4C">
        <w:rPr>
          <w:rFonts w:ascii="Arial" w:hAnsi="Arial" w:cs="Arial"/>
        </w:rPr>
        <w:t>3. ANÁLISIS DE IMPACTOS</w:t>
      </w:r>
    </w:p>
    <w:p w14:paraId="7A1A9CDE" w14:textId="77777777" w:rsidR="000D3DFE" w:rsidRDefault="000D3DFE" w:rsidP="003202A8">
      <w:pPr>
        <w:spacing w:line="276" w:lineRule="auto"/>
        <w:rPr>
          <w:rFonts w:ascii="Arial" w:hAnsi="Arial" w:cs="Arial"/>
          <w:spacing w:val="-4"/>
        </w:rPr>
      </w:pPr>
    </w:p>
    <w:p w14:paraId="6A00E516"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3.1 CONSIDERACIONES GENERALES</w:t>
      </w:r>
    </w:p>
    <w:p w14:paraId="3F616152" w14:textId="77777777" w:rsidR="000D3DFE" w:rsidRPr="00ED3EE1" w:rsidRDefault="000D3DFE" w:rsidP="003202A8">
      <w:pPr>
        <w:spacing w:line="276" w:lineRule="auto"/>
        <w:rPr>
          <w:rFonts w:ascii="Arial" w:hAnsi="Arial" w:cs="Arial"/>
          <w:spacing w:val="-4"/>
        </w:rPr>
      </w:pPr>
    </w:p>
    <w:p w14:paraId="15DF68F3" w14:textId="77777777" w:rsidR="000D3DFE" w:rsidRPr="00ED3EE1" w:rsidRDefault="000D3DFE" w:rsidP="003202A8">
      <w:pPr>
        <w:autoSpaceDE w:val="0"/>
        <w:autoSpaceDN w:val="0"/>
        <w:adjustRightInd w:val="0"/>
        <w:spacing w:line="276" w:lineRule="auto"/>
        <w:rPr>
          <w:rFonts w:ascii="Arial" w:hAnsi="Arial" w:cs="Arial"/>
        </w:rPr>
      </w:pPr>
      <w:r>
        <w:rPr>
          <w:rFonts w:ascii="Arial" w:hAnsi="Arial" w:cs="Arial"/>
        </w:rPr>
        <w:lastRenderedPageBreak/>
        <w:t>El proyecto de r</w:t>
      </w:r>
      <w:r w:rsidRPr="00ED3EE1">
        <w:rPr>
          <w:rFonts w:ascii="Arial" w:hAnsi="Arial" w:cs="Arial"/>
        </w:rPr>
        <w:t xml:space="preserve">eal </w:t>
      </w:r>
      <w:r>
        <w:rPr>
          <w:rFonts w:ascii="Arial" w:hAnsi="Arial" w:cs="Arial"/>
        </w:rPr>
        <w:t>d</w:t>
      </w:r>
      <w:r w:rsidRPr="00ED3EE1">
        <w:rPr>
          <w:rFonts w:ascii="Arial" w:hAnsi="Arial" w:cs="Arial"/>
        </w:rPr>
        <w:t>ecreto toma toda la legislació</w:t>
      </w:r>
      <w:r>
        <w:rPr>
          <w:rFonts w:ascii="Arial" w:hAnsi="Arial" w:cs="Arial"/>
        </w:rPr>
        <w:t>n vigente en materia de denominaciones comerciales nacionales admitidas en España y denominaciones de alimentos en conserva y preparados de productos de la pesca y la acuicultura</w:t>
      </w:r>
      <w:r w:rsidRPr="00ED3EE1">
        <w:rPr>
          <w:rFonts w:ascii="Arial" w:hAnsi="Arial" w:cs="Arial"/>
        </w:rPr>
        <w:t xml:space="preserve">, sin que en un futuro cercano haya modificaciones previsibles del Derecho de la Unión Europea que generen la obsolescencia del mismo en un corto período de tiempo. </w:t>
      </w:r>
    </w:p>
    <w:p w14:paraId="36C9E3CE" w14:textId="77777777" w:rsidR="000D3DFE" w:rsidRPr="00ED3EE1" w:rsidRDefault="000D3DFE" w:rsidP="003202A8">
      <w:pPr>
        <w:autoSpaceDE w:val="0"/>
        <w:autoSpaceDN w:val="0"/>
        <w:adjustRightInd w:val="0"/>
        <w:spacing w:line="276" w:lineRule="auto"/>
        <w:rPr>
          <w:rFonts w:ascii="Arial" w:hAnsi="Arial" w:cs="Arial"/>
        </w:rPr>
      </w:pPr>
    </w:p>
    <w:p w14:paraId="7A353225" w14:textId="77777777" w:rsidR="000D3DFE" w:rsidRDefault="000D3DFE" w:rsidP="003202A8">
      <w:pPr>
        <w:autoSpaceDE w:val="0"/>
        <w:autoSpaceDN w:val="0"/>
        <w:adjustRightInd w:val="0"/>
        <w:spacing w:line="276" w:lineRule="auto"/>
        <w:rPr>
          <w:rFonts w:ascii="Arial" w:hAnsi="Arial" w:cs="Arial"/>
        </w:rPr>
      </w:pPr>
      <w:r>
        <w:rPr>
          <w:rFonts w:ascii="Arial" w:hAnsi="Arial" w:cs="Arial"/>
        </w:rPr>
        <w:t>Este real d</w:t>
      </w:r>
      <w:r w:rsidRPr="00ED3EE1">
        <w:rPr>
          <w:rFonts w:ascii="Arial" w:hAnsi="Arial" w:cs="Arial"/>
        </w:rPr>
        <w:t>ecr</w:t>
      </w:r>
      <w:r>
        <w:rPr>
          <w:rFonts w:ascii="Arial" w:hAnsi="Arial" w:cs="Arial"/>
        </w:rPr>
        <w:t xml:space="preserve">eto va a permitir clarificar los mercados y proporcionar </w:t>
      </w:r>
      <w:r w:rsidRPr="00ED3EE1">
        <w:rPr>
          <w:rFonts w:ascii="Arial" w:hAnsi="Arial" w:cs="Arial"/>
        </w:rPr>
        <w:t xml:space="preserve">al consumidor una información </w:t>
      </w:r>
      <w:r>
        <w:rPr>
          <w:rFonts w:ascii="Arial" w:hAnsi="Arial" w:cs="Arial"/>
        </w:rPr>
        <w:t>más completa de los productos.</w:t>
      </w:r>
    </w:p>
    <w:p w14:paraId="65D1AD40" w14:textId="77777777" w:rsidR="000D3DFE" w:rsidRPr="00ED3EE1" w:rsidRDefault="000D3DFE" w:rsidP="003202A8">
      <w:pPr>
        <w:autoSpaceDE w:val="0"/>
        <w:autoSpaceDN w:val="0"/>
        <w:adjustRightInd w:val="0"/>
        <w:spacing w:line="276" w:lineRule="auto"/>
        <w:rPr>
          <w:rFonts w:ascii="Arial" w:hAnsi="Arial" w:cs="Arial"/>
        </w:rPr>
      </w:pPr>
      <w:r>
        <w:rPr>
          <w:rFonts w:ascii="Arial" w:hAnsi="Arial" w:cs="Arial"/>
          <w:strike/>
          <w:color w:val="FF0000"/>
        </w:rPr>
        <w:t xml:space="preserve"> </w:t>
      </w:r>
    </w:p>
    <w:p w14:paraId="37F05B2C" w14:textId="77777777" w:rsidR="000D3DFE" w:rsidRPr="00ED3EE1" w:rsidRDefault="000D3DFE" w:rsidP="003202A8">
      <w:pPr>
        <w:autoSpaceDE w:val="0"/>
        <w:autoSpaceDN w:val="0"/>
        <w:adjustRightInd w:val="0"/>
        <w:spacing w:line="276" w:lineRule="auto"/>
        <w:rPr>
          <w:rFonts w:ascii="Arial" w:hAnsi="Arial" w:cs="Arial"/>
          <w:bCs/>
        </w:rPr>
      </w:pPr>
    </w:p>
    <w:p w14:paraId="1AE6888B"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3.2 ADECUACIÓN DE LA NORMA AL ORDEN DE DISTRIBUCIÓN DE COMPETENCIAS</w:t>
      </w:r>
    </w:p>
    <w:p w14:paraId="19110302" w14:textId="77777777" w:rsidR="000D3DFE" w:rsidRPr="00ED3EE1" w:rsidRDefault="000D3DFE" w:rsidP="003202A8">
      <w:pPr>
        <w:spacing w:line="276" w:lineRule="auto"/>
        <w:rPr>
          <w:rFonts w:ascii="Arial" w:hAnsi="Arial" w:cs="Arial"/>
          <w:spacing w:val="-4"/>
        </w:rPr>
      </w:pPr>
    </w:p>
    <w:p w14:paraId="3CAD1448" w14:textId="77777777" w:rsidR="000D3DFE" w:rsidRPr="00ED3EE1" w:rsidRDefault="000D3DFE" w:rsidP="003202A8">
      <w:pPr>
        <w:spacing w:line="276" w:lineRule="auto"/>
        <w:rPr>
          <w:rFonts w:ascii="Arial" w:hAnsi="Arial" w:cs="Arial"/>
        </w:rPr>
      </w:pPr>
      <w:r w:rsidRPr="00ED3EE1">
        <w:rPr>
          <w:rFonts w:ascii="Arial" w:hAnsi="Arial" w:cs="Arial"/>
        </w:rPr>
        <w:t xml:space="preserve">Para valorar la adecuación de la ley al orden constitucional de competencias es preciso enmarcar la regulación desde el punto de vista competencial, identificando los títulos que habilitan al Estado para llevar a cabo la regulación. </w:t>
      </w:r>
    </w:p>
    <w:p w14:paraId="56EFDC9B" w14:textId="77777777" w:rsidR="000D3DFE" w:rsidRPr="00ED3EE1" w:rsidRDefault="000D3DFE" w:rsidP="003202A8">
      <w:pPr>
        <w:spacing w:line="276" w:lineRule="auto"/>
        <w:rPr>
          <w:rFonts w:ascii="Arial" w:hAnsi="Arial" w:cs="Arial"/>
        </w:rPr>
      </w:pPr>
    </w:p>
    <w:p w14:paraId="4AEF06F7" w14:textId="77777777" w:rsidR="000D3DFE" w:rsidRDefault="000D3DFE" w:rsidP="009E33D0">
      <w:pPr>
        <w:spacing w:line="276" w:lineRule="auto"/>
        <w:rPr>
          <w:rFonts w:ascii="Arial" w:hAnsi="Arial" w:cs="Arial"/>
        </w:rPr>
      </w:pPr>
      <w:r>
        <w:rPr>
          <w:rFonts w:ascii="Arial" w:hAnsi="Arial" w:cs="Arial"/>
        </w:rPr>
        <w:t>Este real d</w:t>
      </w:r>
      <w:r w:rsidRPr="00894E22">
        <w:rPr>
          <w:rFonts w:ascii="Arial" w:hAnsi="Arial" w:cs="Arial"/>
        </w:rPr>
        <w:t>ecreto se dicta al amparo del artículo 149.1.</w:t>
      </w:r>
      <w:r>
        <w:rPr>
          <w:rFonts w:ascii="Arial" w:hAnsi="Arial" w:cs="Arial"/>
        </w:rPr>
        <w:t xml:space="preserve">en su regla </w:t>
      </w:r>
      <w:r w:rsidRPr="00894E22">
        <w:rPr>
          <w:rFonts w:ascii="Arial" w:hAnsi="Arial" w:cs="Arial"/>
        </w:rPr>
        <w:t>13</w:t>
      </w:r>
      <w:r>
        <w:rPr>
          <w:rFonts w:ascii="Arial" w:hAnsi="Arial" w:cs="Arial"/>
        </w:rPr>
        <w:t>.</w:t>
      </w:r>
      <w:r w:rsidRPr="00894E22">
        <w:rPr>
          <w:rFonts w:ascii="Arial" w:hAnsi="Arial" w:cs="Arial"/>
        </w:rPr>
        <w:t xml:space="preserve">ª de la Constitución, que atribuye al </w:t>
      </w:r>
      <w:r>
        <w:rPr>
          <w:rFonts w:ascii="Arial" w:hAnsi="Arial" w:cs="Arial"/>
        </w:rPr>
        <w:t>E</w:t>
      </w:r>
      <w:r w:rsidRPr="00894E22">
        <w:rPr>
          <w:rFonts w:ascii="Arial" w:hAnsi="Arial" w:cs="Arial"/>
        </w:rPr>
        <w:t xml:space="preserve">stado las bases y coordinación de la planificación general de la </w:t>
      </w:r>
      <w:r>
        <w:rPr>
          <w:rFonts w:ascii="Arial" w:hAnsi="Arial" w:cs="Arial"/>
        </w:rPr>
        <w:t xml:space="preserve">actividad económica. </w:t>
      </w:r>
    </w:p>
    <w:p w14:paraId="4EEB17B5" w14:textId="77777777" w:rsidR="000D3DFE" w:rsidRDefault="000D3DFE" w:rsidP="009E33D0">
      <w:pPr>
        <w:spacing w:line="276" w:lineRule="auto"/>
        <w:rPr>
          <w:rFonts w:ascii="Arial" w:hAnsi="Arial" w:cs="Arial"/>
          <w:highlight w:val="yellow"/>
        </w:rPr>
      </w:pPr>
    </w:p>
    <w:p w14:paraId="2BF95CC3" w14:textId="77777777" w:rsidR="000D3DFE" w:rsidRPr="00AA43BF" w:rsidRDefault="000D3DFE" w:rsidP="009E33D0">
      <w:pPr>
        <w:spacing w:line="276" w:lineRule="auto"/>
        <w:rPr>
          <w:rFonts w:ascii="Arial" w:hAnsi="Arial" w:cs="Arial"/>
        </w:rPr>
      </w:pPr>
      <w:r w:rsidRPr="00AA43BF">
        <w:rPr>
          <w:rFonts w:ascii="Arial" w:hAnsi="Arial" w:cs="Arial"/>
        </w:rPr>
        <w:t>La Ley 3/2001, de 26 de marzo, de Pesca Marítima del Estado, establece en sus títulos II y III la normativa básica de ordenación del sector pesquero y de comercialización y transformación de los productos pesqueros, facultando al Gobierno para su desarrollo reglamentario, señalando el artículo 77 que, a lo largo del proceso de comercialización de los productos de pesca, los productos deben estar correctamente identificados y cumplir toda la normativa que se establezca, especialmente la que se refiere, en lo que aquí importa, a la denominación.</w:t>
      </w:r>
    </w:p>
    <w:p w14:paraId="18686ECC" w14:textId="77777777" w:rsidR="000D3DFE" w:rsidRPr="00AA43BF" w:rsidRDefault="000D3DFE" w:rsidP="009E33D0">
      <w:pPr>
        <w:spacing w:line="276" w:lineRule="auto"/>
        <w:rPr>
          <w:rFonts w:ascii="Arial" w:hAnsi="Arial" w:cs="Arial"/>
        </w:rPr>
      </w:pPr>
    </w:p>
    <w:p w14:paraId="796F464C" w14:textId="77777777" w:rsidR="000D3DFE" w:rsidRPr="00AA43BF" w:rsidRDefault="000D3DFE" w:rsidP="009E33D0">
      <w:pPr>
        <w:spacing w:line="276" w:lineRule="auto"/>
        <w:rPr>
          <w:rFonts w:ascii="Arial" w:hAnsi="Arial" w:cs="Arial"/>
          <w:shd w:val="clear" w:color="auto" w:fill="FFFFFF"/>
        </w:rPr>
      </w:pPr>
      <w:r w:rsidRPr="00AA43BF">
        <w:rPr>
          <w:rFonts w:ascii="Arial" w:hAnsi="Arial" w:cs="Arial"/>
        </w:rPr>
        <w:t xml:space="preserve">Este artículo 77 se inserta en el título III de la señalada Ley, que, de acuerdo con su disposición adicional segunda, </w:t>
      </w:r>
      <w:r w:rsidRPr="00AA43BF">
        <w:rPr>
          <w:rFonts w:ascii="Arial" w:hAnsi="Arial" w:cs="Arial"/>
          <w:shd w:val="clear" w:color="auto" w:fill="FFFFFF"/>
        </w:rPr>
        <w:t>constituye legislación básica de ordenación de la actividad comercial y se dicta al amparo del artículo 149.1.13.ª de la Constitución.</w:t>
      </w:r>
    </w:p>
    <w:p w14:paraId="3CE8C8AC" w14:textId="77777777" w:rsidR="000D3DFE" w:rsidRPr="00AA43BF" w:rsidRDefault="000D3DFE" w:rsidP="009E33D0">
      <w:pPr>
        <w:spacing w:line="276" w:lineRule="auto"/>
        <w:rPr>
          <w:rFonts w:ascii="Arial" w:hAnsi="Arial" w:cs="Arial"/>
        </w:rPr>
      </w:pPr>
    </w:p>
    <w:p w14:paraId="49673A16" w14:textId="77777777" w:rsidR="000D3DFE" w:rsidRPr="00AA43BF" w:rsidRDefault="000D3DFE" w:rsidP="009E33D0">
      <w:pPr>
        <w:spacing w:line="276" w:lineRule="auto"/>
        <w:rPr>
          <w:rFonts w:ascii="Arial" w:hAnsi="Arial" w:cs="Arial"/>
        </w:rPr>
      </w:pPr>
      <w:r w:rsidRPr="00AA43BF">
        <w:rPr>
          <w:rFonts w:ascii="Arial" w:hAnsi="Arial" w:cs="Arial"/>
          <w:u w:val="single"/>
        </w:rPr>
        <w:t>El Estado posee, pues, competencias que le son propias</w:t>
      </w:r>
      <w:r w:rsidRPr="00AA43BF">
        <w:rPr>
          <w:rFonts w:ascii="Arial" w:hAnsi="Arial" w:cs="Arial"/>
        </w:rPr>
        <w:t xml:space="preserve"> al amparo de la competencia prevista en el artículo 149.1.13ª para regular sectores económicos con carácter básico, como el de la pesca, y así la jurisprudencia constitucional permite al Estado determinar las bases comunes normativas de los sectores con incidencia económica. </w:t>
      </w:r>
    </w:p>
    <w:p w14:paraId="182C4266" w14:textId="77777777" w:rsidR="000D3DFE" w:rsidRPr="00AA43BF" w:rsidRDefault="000D3DFE" w:rsidP="009E33D0">
      <w:pPr>
        <w:spacing w:line="276" w:lineRule="auto"/>
        <w:rPr>
          <w:rFonts w:ascii="Arial" w:hAnsi="Arial" w:cs="Arial"/>
        </w:rPr>
      </w:pPr>
    </w:p>
    <w:p w14:paraId="74FC05D0" w14:textId="77777777" w:rsidR="000D3DFE" w:rsidRPr="00AA43BF" w:rsidRDefault="000D3DFE" w:rsidP="00C071FD">
      <w:pPr>
        <w:spacing w:line="276" w:lineRule="auto"/>
        <w:rPr>
          <w:rFonts w:ascii="Arial" w:hAnsi="Arial" w:cs="Arial"/>
        </w:rPr>
      </w:pPr>
      <w:r w:rsidRPr="00AA43BF">
        <w:rPr>
          <w:rFonts w:ascii="Arial" w:hAnsi="Arial" w:cs="Arial"/>
        </w:rPr>
        <w:t xml:space="preserve">Sobre el punto de la competencia estatal de la regla 13ª del artículo 149, el Tribunal Constitucional ha entendido que </w:t>
      </w:r>
      <w:r w:rsidRPr="00AA43BF">
        <w:rPr>
          <w:rFonts w:ascii="Arial" w:hAnsi="Arial" w:cs="Arial"/>
          <w:i/>
        </w:rPr>
        <w:t xml:space="preserve">“esta competencia no ha de confundirse </w:t>
      </w:r>
      <w:r w:rsidRPr="00AA43BF">
        <w:rPr>
          <w:rFonts w:ascii="Arial" w:hAnsi="Arial" w:cs="Arial"/>
          <w:i/>
        </w:rPr>
        <w:lastRenderedPageBreak/>
        <w:t>con la potestad general de dictar bases en una determinada materia, en el sentido de establecer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w:t>
      </w:r>
      <w:r w:rsidRPr="00AA43BF">
        <w:rPr>
          <w:rFonts w:ascii="Arial" w:hAnsi="Arial" w:cs="Arial"/>
        </w:rPr>
        <w:t xml:space="preserve">” (entre otras SSTC 69/1988, de 19 de abril; 109/2003, de 5 de junio; y 136/2012, de 19 de junio).   </w:t>
      </w:r>
    </w:p>
    <w:p w14:paraId="0377F6B3" w14:textId="77777777" w:rsidR="000D3DFE" w:rsidRPr="00AA43BF" w:rsidRDefault="000D3DFE" w:rsidP="00C071FD">
      <w:pPr>
        <w:spacing w:line="276" w:lineRule="auto"/>
        <w:rPr>
          <w:rFonts w:ascii="Arial" w:hAnsi="Arial" w:cs="Arial"/>
        </w:rPr>
      </w:pPr>
    </w:p>
    <w:p w14:paraId="2C3FE780" w14:textId="77777777" w:rsidR="000D3DFE" w:rsidRPr="00AA43BF" w:rsidRDefault="000D3DFE" w:rsidP="00C071FD">
      <w:pPr>
        <w:spacing w:line="276" w:lineRule="auto"/>
        <w:rPr>
          <w:rFonts w:ascii="Arial" w:hAnsi="Arial" w:cs="Arial"/>
        </w:rPr>
      </w:pPr>
      <w:r w:rsidRPr="00AA43BF">
        <w:rPr>
          <w:rFonts w:ascii="Arial" w:hAnsi="Arial" w:cs="Arial"/>
        </w:rPr>
        <w:t>Asimismo, el Tribunal ha declarado repetidamente desde la STC 95/1986, de 10 de julio, que “</w:t>
      </w:r>
      <w:r w:rsidRPr="00AA43BF">
        <w:rPr>
          <w:rFonts w:ascii="Arial" w:hAnsi="Arial" w:cs="Arial"/>
          <w:i/>
        </w:rPr>
        <w:t>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w:t>
      </w:r>
      <w:r w:rsidRPr="00AA43BF">
        <w:rPr>
          <w:rFonts w:ascii="Arial" w:hAnsi="Arial" w:cs="Arial"/>
        </w:rPr>
        <w:t xml:space="preserve">” (STC 135/2012, de 19 de junio. </w:t>
      </w:r>
    </w:p>
    <w:p w14:paraId="2AA0F55D" w14:textId="77777777" w:rsidR="000D3DFE" w:rsidRPr="00AA43BF" w:rsidRDefault="000D3DFE" w:rsidP="009A7086">
      <w:pPr>
        <w:spacing w:line="276" w:lineRule="auto"/>
        <w:rPr>
          <w:rFonts w:ascii="Arial" w:hAnsi="Arial" w:cs="Arial"/>
        </w:rPr>
      </w:pPr>
    </w:p>
    <w:p w14:paraId="7BF1BEC8" w14:textId="77777777" w:rsidR="000D3DFE" w:rsidRPr="00AA43BF" w:rsidRDefault="000D3DFE" w:rsidP="00C071FD">
      <w:pPr>
        <w:spacing w:line="276" w:lineRule="auto"/>
        <w:rPr>
          <w:rFonts w:ascii="Arial" w:hAnsi="Arial" w:cs="Arial"/>
        </w:rPr>
      </w:pPr>
      <w:r w:rsidRPr="00AA43BF">
        <w:rPr>
          <w:rFonts w:ascii="Arial" w:hAnsi="Arial" w:cs="Arial"/>
        </w:rPr>
        <w:t>Así, con palabras de la Sentencia del Tribunal Constitucional 45/2001, de 15 de febrero, «</w:t>
      </w:r>
      <w:r w:rsidRPr="00AA43BF">
        <w:rPr>
          <w:rFonts w:ascii="Arial" w:hAnsi="Arial" w:cs="Arial"/>
          <w:i/>
        </w:rPr>
        <w:t>el artículo 149.1.13 CE puede amparar tanto normas estatales que fijen las líneas directrices y los criterios globales de ordenación de sectores económicos concretos, como previsiones de acciones o medidas singulares indispensables para alcanzar los fines propuestos en dicha ordenación (STC 155/1996, de 9 de octubre, F.4 y jurisprudencia en ella citada)». En definitiva, el Estado tiene reservada, por el mencionado artículo 149.1.13.ª, una competencia de dirección en la que tienen cobijo normas básicas y, asimismo, previsiones de acciones o medidas singulares que sean necesarias para alcanzar los fines propuestos dentro de la ordenación del sector (STC 117/1992, de 16 de septiembre). Ello se debe a su carácter transversal ya que aun existiendo una competencia sobre un subsector económico que una comunidad autónoma ha asumido como «exclusiva» en su Estatuto,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w:t>
      </w:r>
      <w:r w:rsidRPr="00AA43BF">
        <w:rPr>
          <w:rFonts w:ascii="Arial" w:hAnsi="Arial" w:cs="Arial"/>
        </w:rPr>
        <w:t>» (Sentencia del Tribunal Constitucional 74/2014, de 8 de mayo).</w:t>
      </w:r>
    </w:p>
    <w:p w14:paraId="0431023C" w14:textId="77777777" w:rsidR="000D3DFE" w:rsidRPr="00AA43BF" w:rsidRDefault="000D3DFE" w:rsidP="00C071FD">
      <w:pPr>
        <w:spacing w:line="276" w:lineRule="auto"/>
        <w:rPr>
          <w:rFonts w:ascii="Arial" w:hAnsi="Arial" w:cs="Arial"/>
        </w:rPr>
      </w:pPr>
    </w:p>
    <w:p w14:paraId="672F69C6" w14:textId="77777777" w:rsidR="000D3DFE" w:rsidRPr="00AA43BF" w:rsidRDefault="000D3DFE" w:rsidP="00C071FD">
      <w:pPr>
        <w:spacing w:line="276" w:lineRule="auto"/>
        <w:rPr>
          <w:rFonts w:ascii="Arial" w:hAnsi="Arial" w:cs="Arial"/>
        </w:rPr>
      </w:pPr>
      <w:r w:rsidRPr="00AA43BF">
        <w:rPr>
          <w:rFonts w:ascii="Arial" w:hAnsi="Arial" w:cs="Arial"/>
        </w:rPr>
        <w:t>De esta manera, el Tribunal Constitucional ha admitido que, en sus propias palabras, “</w:t>
      </w:r>
      <w:r w:rsidRPr="00AA43BF">
        <w:rPr>
          <w:rFonts w:ascii="Arial" w:hAnsi="Arial" w:cs="Arial"/>
          <w:i/>
        </w:rPr>
        <w:t>esta competencia (las bases y coordinación de la actividad económica) ampara todas las normas y actuaciones, sea cual sea su naturaleza, orientadas al logro de tales fines</w:t>
      </w:r>
      <w:r w:rsidRPr="00AA43BF">
        <w:rPr>
          <w:rFonts w:ascii="Arial" w:hAnsi="Arial" w:cs="Arial"/>
        </w:rPr>
        <w:t>”, entre los que la doctrina constitucional ha situado, por ejemplo, el de garantizar el mantenimiento de la unidad de mercado, pero también el de “</w:t>
      </w:r>
      <w:r w:rsidRPr="00AA43BF">
        <w:rPr>
          <w:rFonts w:ascii="Arial" w:hAnsi="Arial" w:cs="Arial"/>
          <w:i/>
        </w:rPr>
        <w:t>alcanzar los objetivos de la política económica general o sectorial</w:t>
      </w:r>
      <w:r w:rsidRPr="00AA43BF">
        <w:rPr>
          <w:rFonts w:ascii="Arial" w:hAnsi="Arial" w:cs="Arial"/>
        </w:rPr>
        <w:t>” ( STC 96/1990, y en el mismo sentido SSTC 80/1985 y 188/1989) así como el de “</w:t>
      </w:r>
      <w:r w:rsidRPr="00AA43BF">
        <w:rPr>
          <w:rFonts w:ascii="Arial" w:hAnsi="Arial" w:cs="Arial"/>
          <w:i/>
        </w:rPr>
        <w:t xml:space="preserve">incidir </w:t>
      </w:r>
      <w:r w:rsidRPr="00AA43BF">
        <w:rPr>
          <w:rFonts w:ascii="Arial" w:hAnsi="Arial" w:cs="Arial"/>
          <w:i/>
        </w:rPr>
        <w:lastRenderedPageBreak/>
        <w:t>en principios rectores de la política económica y social</w:t>
      </w:r>
      <w:r w:rsidRPr="00AA43BF">
        <w:rPr>
          <w:rFonts w:ascii="Arial" w:hAnsi="Arial" w:cs="Arial"/>
        </w:rPr>
        <w:t>” SSTC 95/2002; 190/2002: 228/2003; y 230/2003).</w:t>
      </w:r>
    </w:p>
    <w:p w14:paraId="20F9B0B1" w14:textId="77777777" w:rsidR="000D3DFE" w:rsidRPr="00AA43BF" w:rsidRDefault="000D3DFE" w:rsidP="00C071FD">
      <w:pPr>
        <w:spacing w:line="276" w:lineRule="auto"/>
        <w:rPr>
          <w:rFonts w:ascii="Arial" w:hAnsi="Arial" w:cs="Arial"/>
        </w:rPr>
      </w:pPr>
    </w:p>
    <w:p w14:paraId="25FC2F06" w14:textId="77777777" w:rsidR="000D3DFE" w:rsidRPr="00AA43BF" w:rsidRDefault="000D3DFE" w:rsidP="00C071FD">
      <w:pPr>
        <w:spacing w:line="276" w:lineRule="auto"/>
        <w:rPr>
          <w:rFonts w:ascii="Arial" w:hAnsi="Arial" w:cs="Arial"/>
        </w:rPr>
      </w:pPr>
      <w:r w:rsidRPr="00AA43BF">
        <w:rPr>
          <w:rFonts w:ascii="Arial" w:hAnsi="Arial" w:cs="Arial"/>
        </w:rPr>
        <w:t xml:space="preserve">Del mismo modo, en relación con la competencia del Estado en la materia de ordenación pesquera de la regla 19ª, el Tribunal Constitucional ha dictado, entre otras, las Sentencias 56/1989 y 147/1991, señalando que el concepto de ordenación del sector pesquero incluye a ”(…) </w:t>
      </w:r>
      <w:r w:rsidRPr="00AA43BF">
        <w:rPr>
          <w:rFonts w:ascii="Arial" w:hAnsi="Arial" w:cs="Arial"/>
          <w:i/>
        </w:rPr>
        <w:t>quienes pueden ejercer la actividad pesquera, ya sea la directamente extractiva o alguna otra relacionada con ella, las condiciones que deben reunir tales sujetos integrantes del sector y su forma de organización</w:t>
      </w:r>
      <w:r w:rsidRPr="00AA43BF">
        <w:rPr>
          <w:rFonts w:ascii="Arial" w:hAnsi="Arial" w:cs="Arial"/>
        </w:rPr>
        <w:t>.” Y que, en este ámbito, el Estado tiene la competencia para dictar la legislación básica correspondiendo a las comunidades autónomas el desarrollo legislativo y la ejecución de las normas.</w:t>
      </w:r>
    </w:p>
    <w:p w14:paraId="56A4BFE9" w14:textId="77777777" w:rsidR="000D3DFE" w:rsidRPr="00AA43BF" w:rsidRDefault="000D3DFE" w:rsidP="00C071FD">
      <w:pPr>
        <w:spacing w:line="276" w:lineRule="auto"/>
        <w:rPr>
          <w:rFonts w:ascii="Arial" w:hAnsi="Arial" w:cs="Arial"/>
        </w:rPr>
      </w:pPr>
    </w:p>
    <w:p w14:paraId="09633978" w14:textId="77777777" w:rsidR="000D3DFE" w:rsidRPr="009E33D0" w:rsidRDefault="000D3DFE" w:rsidP="00C071FD">
      <w:pPr>
        <w:spacing w:line="276" w:lineRule="auto"/>
        <w:rPr>
          <w:rFonts w:ascii="Arial" w:hAnsi="Arial" w:cs="Arial"/>
        </w:rPr>
      </w:pPr>
      <w:r w:rsidRPr="00AA43BF">
        <w:rPr>
          <w:rFonts w:ascii="Arial" w:hAnsi="Arial" w:cs="Arial"/>
        </w:rPr>
        <w:t>En consecuencia, y sin perjuicio de que las comunidades autónomas puedan proponer a la Secretaría General de Pesca, la inclusión de nuevas denominaciones comerciales</w:t>
      </w:r>
      <w:r>
        <w:rPr>
          <w:rFonts w:ascii="Arial" w:hAnsi="Arial" w:cs="Arial"/>
        </w:rPr>
        <w:t xml:space="preserve"> nacionales</w:t>
      </w:r>
      <w:r w:rsidRPr="00AA43BF">
        <w:rPr>
          <w:rFonts w:ascii="Arial" w:hAnsi="Arial" w:cs="Arial"/>
        </w:rPr>
        <w:t>, así como</w:t>
      </w:r>
      <w:r w:rsidRPr="00AA43BF">
        <w:rPr>
          <w:rFonts w:ascii="Arial" w:hAnsi="Arial" w:cs="Arial"/>
          <w:lang w:val="es-ES_tradnl"/>
        </w:rPr>
        <w:t xml:space="preserve"> de denominaciones de alimentos en conserva y preparados aplicables a los productos pesqueros y de la acuicultura</w:t>
      </w:r>
      <w:r w:rsidRPr="00AA43BF">
        <w:rPr>
          <w:rFonts w:ascii="Arial" w:hAnsi="Arial" w:cs="Arial"/>
        </w:rPr>
        <w:t xml:space="preserve"> aceptadas o toleradas en el ámbito local o regional, deben respetar, en todo caso, las denominaciones comerciales </w:t>
      </w:r>
      <w:r>
        <w:rPr>
          <w:rFonts w:ascii="Arial" w:hAnsi="Arial" w:cs="Arial"/>
        </w:rPr>
        <w:t xml:space="preserve">nacionales </w:t>
      </w:r>
      <w:r w:rsidRPr="00AA43BF">
        <w:rPr>
          <w:rFonts w:ascii="Arial" w:hAnsi="Arial" w:cs="Arial"/>
          <w:lang w:val="es-ES_tradnl"/>
        </w:rPr>
        <w:t>y denominaciones de alimentos en conserva y preparados</w:t>
      </w:r>
      <w:r w:rsidRPr="00AA43BF">
        <w:rPr>
          <w:rFonts w:ascii="Arial" w:hAnsi="Arial" w:cs="Arial"/>
        </w:rPr>
        <w:t xml:space="preserve"> de especies pesqueras y de acuicultura dictadas al amparo de tales títulos competenciales conferidos al Estado</w:t>
      </w:r>
      <w:r w:rsidRPr="009E33D0">
        <w:rPr>
          <w:rFonts w:ascii="Arial" w:hAnsi="Arial" w:cs="Arial"/>
        </w:rPr>
        <w:t>. Asimismo, para asegurar la completa efectividad de la medida, las comunidades autónomas podrán solicitar de la Secretaría General de Pesca la fijación de las denominaciones comerciales singulares en su territorio.</w:t>
      </w:r>
    </w:p>
    <w:p w14:paraId="3EA072AE" w14:textId="77777777" w:rsidR="000D3DFE" w:rsidRPr="00AA43BF" w:rsidRDefault="000D3DFE" w:rsidP="00C071FD">
      <w:pPr>
        <w:spacing w:line="276" w:lineRule="auto"/>
        <w:rPr>
          <w:rFonts w:ascii="Arial" w:hAnsi="Arial" w:cs="Arial"/>
        </w:rPr>
      </w:pPr>
    </w:p>
    <w:p w14:paraId="2C5C5EFE" w14:textId="77777777" w:rsidR="000D3DFE" w:rsidRDefault="000D3DFE" w:rsidP="00C071FD">
      <w:pPr>
        <w:spacing w:line="276" w:lineRule="auto"/>
        <w:rPr>
          <w:rFonts w:ascii="Arial" w:hAnsi="Arial" w:cs="Arial"/>
        </w:rPr>
      </w:pPr>
      <w:r w:rsidRPr="00AA43BF">
        <w:rPr>
          <w:rFonts w:ascii="Arial" w:hAnsi="Arial" w:cs="Arial"/>
        </w:rPr>
        <w:t xml:space="preserve">Este listado, por tanto, opera como un </w:t>
      </w:r>
      <w:r w:rsidRPr="00AA43BF">
        <w:rPr>
          <w:rFonts w:ascii="Arial" w:hAnsi="Arial" w:cs="Arial"/>
          <w:b/>
        </w:rPr>
        <w:t>mínimo común normativo indisponible</w:t>
      </w:r>
      <w:r w:rsidRPr="00AA43BF">
        <w:rPr>
          <w:rFonts w:ascii="Arial" w:hAnsi="Arial" w:cs="Arial"/>
        </w:rPr>
        <w:t xml:space="preserve"> para el legislador autonómico ya que se ancla en las competencias estatales para asegurar el correcto ejercicio de las funciones de ordenación pesquera, unidad de mercado, actividad económica y comercial y planificación general de la actividad económica.</w:t>
      </w:r>
    </w:p>
    <w:p w14:paraId="6EB511AF" w14:textId="77777777" w:rsidR="000D3DFE" w:rsidRDefault="000D3DFE" w:rsidP="00C071FD">
      <w:pPr>
        <w:spacing w:line="276" w:lineRule="auto"/>
        <w:rPr>
          <w:rFonts w:ascii="Arial" w:hAnsi="Arial" w:cs="Arial"/>
        </w:rPr>
      </w:pPr>
    </w:p>
    <w:p w14:paraId="3374577E" w14:textId="77777777" w:rsidR="000D3DFE" w:rsidRDefault="000D3DFE" w:rsidP="00257137">
      <w:pPr>
        <w:spacing w:line="276" w:lineRule="auto"/>
        <w:rPr>
          <w:rFonts w:ascii="Arial" w:hAnsi="Arial" w:cs="Arial"/>
        </w:rPr>
      </w:pPr>
      <w:r>
        <w:rPr>
          <w:rFonts w:ascii="Arial" w:hAnsi="Arial" w:cs="Arial"/>
        </w:rPr>
        <w:t>Las comunidades autónomas participan en estas denominaciones pues pueden proponer al órgano competente su modificación, pero el régimen de autorizaciones ha de ser necesariamente estatal por cuanto, además de ser competente, sólo en sede estatal se garantizan dos elementos nucleares de esta actividad:</w:t>
      </w:r>
    </w:p>
    <w:p w14:paraId="114D4C6D" w14:textId="77777777" w:rsidR="000D3DFE" w:rsidRDefault="000D3DFE" w:rsidP="00257137">
      <w:pPr>
        <w:spacing w:line="276" w:lineRule="auto"/>
        <w:rPr>
          <w:rFonts w:ascii="Arial" w:hAnsi="Arial" w:cs="Arial"/>
        </w:rPr>
      </w:pPr>
    </w:p>
    <w:p w14:paraId="5D79A84B" w14:textId="77777777" w:rsidR="000D3DFE" w:rsidRDefault="000D3DFE" w:rsidP="00257137">
      <w:pPr>
        <w:pStyle w:val="Prrafodelista"/>
        <w:numPr>
          <w:ilvl w:val="0"/>
          <w:numId w:val="15"/>
        </w:numPr>
        <w:spacing w:line="276" w:lineRule="auto"/>
        <w:jc w:val="both"/>
        <w:rPr>
          <w:rFonts w:cs="Arial"/>
        </w:rPr>
      </w:pPr>
      <w:r>
        <w:rPr>
          <w:rFonts w:cs="Arial"/>
        </w:rPr>
        <w:t>Por un lado, asegurar la unidad de mercado como principio constitucionalmente protegido, que hace necesario que las denominaciones comerciales de productos –restringidas en aplicación de la normativa europea y nacional- sean las mismas en todo el país.</w:t>
      </w:r>
    </w:p>
    <w:p w14:paraId="1F3A3604" w14:textId="77777777" w:rsidR="000D3DFE" w:rsidRPr="00257137" w:rsidRDefault="000D3DFE" w:rsidP="00257137">
      <w:pPr>
        <w:pStyle w:val="Prrafodelista"/>
        <w:numPr>
          <w:ilvl w:val="0"/>
          <w:numId w:val="15"/>
        </w:numPr>
        <w:spacing w:line="276" w:lineRule="auto"/>
        <w:jc w:val="both"/>
        <w:rPr>
          <w:rFonts w:cs="Arial"/>
        </w:rPr>
      </w:pPr>
      <w:r>
        <w:rPr>
          <w:rFonts w:cs="Arial"/>
        </w:rPr>
        <w:t xml:space="preserve">Por otro lado, este listado es el empleado para los operadores internacionales en sus transacciones en este tipo de productos, tanto desde </w:t>
      </w:r>
      <w:r>
        <w:rPr>
          <w:rFonts w:cs="Arial"/>
        </w:rPr>
        <w:lastRenderedPageBreak/>
        <w:t>operadores españoles al extranjero como de operadores extranjeros que comercialicen en España sus productos.</w:t>
      </w:r>
    </w:p>
    <w:p w14:paraId="1736F918" w14:textId="77777777" w:rsidR="000D3DFE" w:rsidRDefault="000D3DFE" w:rsidP="009A7086">
      <w:pPr>
        <w:spacing w:line="276" w:lineRule="auto"/>
        <w:rPr>
          <w:rFonts w:ascii="Arial" w:hAnsi="Arial" w:cs="Arial"/>
        </w:rPr>
      </w:pPr>
    </w:p>
    <w:p w14:paraId="32FEC5B1" w14:textId="77777777" w:rsidR="000D3DFE" w:rsidRDefault="000D3DFE" w:rsidP="009A7086">
      <w:pPr>
        <w:spacing w:line="276" w:lineRule="auto"/>
        <w:rPr>
          <w:rFonts w:ascii="Arial" w:hAnsi="Arial" w:cs="Arial"/>
        </w:rPr>
      </w:pPr>
      <w:r>
        <w:rPr>
          <w:rFonts w:ascii="Arial" w:hAnsi="Arial" w:cs="Arial"/>
        </w:rPr>
        <w:t xml:space="preserve">Debe tenerse en cuenta, además, que la reciente </w:t>
      </w:r>
      <w:r w:rsidRPr="00257137">
        <w:rPr>
          <w:rFonts w:ascii="Arial" w:hAnsi="Arial" w:cs="Arial"/>
        </w:rPr>
        <w:t xml:space="preserve">Sentencia </w:t>
      </w:r>
      <w:r>
        <w:rPr>
          <w:rFonts w:ascii="Arial" w:hAnsi="Arial" w:cs="Arial"/>
        </w:rPr>
        <w:t xml:space="preserve">del Tribunal Constitucional </w:t>
      </w:r>
      <w:r w:rsidRPr="00257137">
        <w:rPr>
          <w:rFonts w:ascii="Arial" w:hAnsi="Arial" w:cs="Arial"/>
        </w:rPr>
        <w:t>79/2017, de 22 de junio</w:t>
      </w:r>
      <w:r>
        <w:rPr>
          <w:rFonts w:ascii="Arial" w:hAnsi="Arial" w:cs="Arial"/>
        </w:rPr>
        <w:t xml:space="preserve">, que declaró la inconstitucionalidad parcial de </w:t>
      </w:r>
      <w:r w:rsidRPr="00257137">
        <w:rPr>
          <w:rFonts w:ascii="Arial" w:hAnsi="Arial" w:cs="Arial"/>
        </w:rPr>
        <w:t>la Ley 20/2013, de 9 de diciembre, de garantía de la unidad de mercado</w:t>
      </w:r>
      <w:r>
        <w:rPr>
          <w:rFonts w:ascii="Arial" w:hAnsi="Arial" w:cs="Arial"/>
        </w:rPr>
        <w:t>, sentó la siguiente doctrina: “</w:t>
      </w:r>
      <w:r w:rsidRPr="00257137">
        <w:rPr>
          <w:rFonts w:ascii="Arial" w:hAnsi="Arial" w:cs="Arial"/>
          <w:i/>
        </w:rPr>
        <w:t>cuando de lo que se trata es de excepcionar el principio de territorialidad otorgando eficacia extraterritorial a actos ejecutivos autonómicos que aplican un derecho propio que no es equivalente al derecho adoptado en el territorio en el que se debe reconocer tal eficacia o directamente se trata de otorgar eficacia extraterritorial a disposiciones normativas autonómicas que establecen un estándar distinto al estándar que fija la normativa autonómica del lugar de destino, la ruptura del principio de territorialidad constitucionalmente consagrado y estatutariamente reconocido supone obligar a una Comunidad Autónoma a tener que aceptar dentro de su territorio una pluralidad de políticas ajenas. Aceptación que choca con la capacidad para elaborar sus propias políticas públicas en las materias de su competencia (STC 13/1992, de 6 de febrero, FJ 7, entre otras) y entraña la constricción de su autonomía al permitirse la aplicación en el territorio de la Comunidad Autónoma de disposiciones adoptadas por un órgano representativo en el que los ciudadanos de la Comunidad Autónoma en la que finalmente se aplica no se encuentran representados</w:t>
      </w:r>
      <w:r>
        <w:rPr>
          <w:rFonts w:ascii="Arial" w:hAnsi="Arial" w:cs="Arial"/>
        </w:rPr>
        <w:t xml:space="preserve">”, de modo que obligar a las comunidades autónomas a aceptar decisiones en materia de reconocimiento –sobre una lista que además ha de ser necesariamente nacional y sobre cuya actividad no cabe punto de conexión alguno- supondría una vulneración de la jurisprudencia constitucional. </w:t>
      </w:r>
    </w:p>
    <w:p w14:paraId="72F2E513" w14:textId="77777777" w:rsidR="000D3DFE" w:rsidRDefault="000D3DFE" w:rsidP="009A7086">
      <w:pPr>
        <w:spacing w:line="276" w:lineRule="auto"/>
        <w:rPr>
          <w:rFonts w:ascii="Arial" w:hAnsi="Arial" w:cs="Arial"/>
        </w:rPr>
      </w:pPr>
    </w:p>
    <w:p w14:paraId="6B4AF892" w14:textId="77777777" w:rsidR="000D3DFE" w:rsidRPr="009A7086" w:rsidRDefault="000D3DFE" w:rsidP="009A7086">
      <w:pPr>
        <w:spacing w:line="276" w:lineRule="auto"/>
        <w:rPr>
          <w:rFonts w:ascii="Arial" w:hAnsi="Arial" w:cs="Arial"/>
        </w:rPr>
      </w:pPr>
      <w:r w:rsidRPr="009A7086">
        <w:rPr>
          <w:rFonts w:ascii="Arial" w:hAnsi="Arial" w:cs="Arial"/>
        </w:rPr>
        <w:t xml:space="preserve">En el trámite de audiencia y consulta, las comunidades autónomas han participado en la elaboración del proyecto mediante las observaciones han estimado oportunas realizar. </w:t>
      </w:r>
    </w:p>
    <w:p w14:paraId="362EDDD2" w14:textId="77777777" w:rsidR="000D3DFE" w:rsidRPr="00894E22" w:rsidRDefault="000D3DFE" w:rsidP="003202A8">
      <w:pPr>
        <w:spacing w:line="276" w:lineRule="auto"/>
        <w:rPr>
          <w:rFonts w:ascii="Arial" w:hAnsi="Arial" w:cs="Arial"/>
        </w:rPr>
      </w:pPr>
    </w:p>
    <w:p w14:paraId="3F00809B" w14:textId="77777777" w:rsidR="000D3DFE" w:rsidRPr="00ED3EE1" w:rsidRDefault="000D3DFE" w:rsidP="00C35DD9">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3.3 IMPACTO ECONÓMICO Y PRESUPUESTARIO</w:t>
      </w:r>
    </w:p>
    <w:p w14:paraId="11528072" w14:textId="77777777" w:rsidR="000D3DFE" w:rsidRDefault="000D3DFE" w:rsidP="003202A8">
      <w:pPr>
        <w:spacing w:line="276" w:lineRule="auto"/>
        <w:rPr>
          <w:rFonts w:ascii="Arial" w:hAnsi="Arial" w:cs="Arial"/>
          <w:b/>
        </w:rPr>
      </w:pPr>
    </w:p>
    <w:p w14:paraId="2516497E" w14:textId="77777777" w:rsidR="000D3DFE" w:rsidRPr="00C35DD9" w:rsidRDefault="000D3DFE" w:rsidP="003202A8">
      <w:pPr>
        <w:spacing w:line="276" w:lineRule="auto"/>
        <w:rPr>
          <w:rFonts w:ascii="Arial" w:hAnsi="Arial" w:cs="Arial"/>
          <w:b/>
        </w:rPr>
      </w:pPr>
      <w:r w:rsidRPr="00ED3EE1">
        <w:rPr>
          <w:rFonts w:ascii="Arial" w:hAnsi="Arial" w:cs="Arial"/>
          <w:b/>
          <w:bCs/>
        </w:rPr>
        <w:t>3.3.1. IMPACTO ECONÓMICO GENERAL.</w:t>
      </w:r>
    </w:p>
    <w:p w14:paraId="630E2377" w14:textId="77777777" w:rsidR="000D3DFE" w:rsidRPr="00ED3EE1" w:rsidRDefault="000D3DFE" w:rsidP="003202A8">
      <w:pPr>
        <w:spacing w:line="276" w:lineRule="auto"/>
        <w:rPr>
          <w:rFonts w:ascii="Arial" w:hAnsi="Arial" w:cs="Arial"/>
        </w:rPr>
      </w:pPr>
    </w:p>
    <w:p w14:paraId="30736B04" w14:textId="77777777" w:rsidR="000D3DFE" w:rsidRPr="00E66AE8" w:rsidRDefault="000D3DFE" w:rsidP="008A5550">
      <w:pPr>
        <w:autoSpaceDE w:val="0"/>
        <w:autoSpaceDN w:val="0"/>
        <w:adjustRightInd w:val="0"/>
        <w:spacing w:line="276" w:lineRule="auto"/>
        <w:rPr>
          <w:rFonts w:ascii="Arial" w:hAnsi="Arial" w:cs="Arial"/>
        </w:rPr>
      </w:pPr>
      <w:r w:rsidRPr="00E66AE8">
        <w:rPr>
          <w:rFonts w:ascii="Arial" w:hAnsi="Arial" w:cs="Arial"/>
        </w:rPr>
        <w:t>España es líder en producción pesquera, acuícola y de productos transformados en el ámbito de la Unión Europea. En su conjunto, se trata de un sector que produce cerca de 2 millones de toneladas y que factura más de 6.700 millones de euros.</w:t>
      </w:r>
    </w:p>
    <w:p w14:paraId="56DD49AD" w14:textId="77777777" w:rsidR="000D3DFE" w:rsidRPr="00E66AE8" w:rsidRDefault="000D3DFE" w:rsidP="008A5550">
      <w:pPr>
        <w:autoSpaceDE w:val="0"/>
        <w:autoSpaceDN w:val="0"/>
        <w:adjustRightInd w:val="0"/>
        <w:spacing w:line="276" w:lineRule="auto"/>
        <w:rPr>
          <w:rFonts w:ascii="Arial" w:hAnsi="Arial" w:cs="Arial"/>
        </w:rPr>
      </w:pPr>
    </w:p>
    <w:p w14:paraId="026047CB" w14:textId="77777777" w:rsidR="000D3DFE" w:rsidRPr="00E66AE8" w:rsidRDefault="000D3DFE" w:rsidP="008A5550">
      <w:pPr>
        <w:autoSpaceDE w:val="0"/>
        <w:autoSpaceDN w:val="0"/>
        <w:adjustRightInd w:val="0"/>
        <w:spacing w:line="276" w:lineRule="auto"/>
        <w:rPr>
          <w:rFonts w:ascii="Arial" w:hAnsi="Arial" w:cs="Arial"/>
        </w:rPr>
      </w:pPr>
      <w:r w:rsidRPr="00E66AE8">
        <w:rPr>
          <w:rFonts w:ascii="Arial" w:hAnsi="Arial" w:cs="Arial"/>
        </w:rPr>
        <w:t xml:space="preserve">Asimismo, España es el segundo Estado miembro en cuanto a consumo per cápita (con más de 45 kg por habitante al año), así como en gasto per cápita (más de 225 euros por habitante al año) y gasto total en hogares (más de 10.500 millones de euros). </w:t>
      </w:r>
    </w:p>
    <w:p w14:paraId="42AEF756" w14:textId="77777777" w:rsidR="000D3DFE" w:rsidRPr="00E66AE8" w:rsidRDefault="000D3DFE" w:rsidP="008A5550">
      <w:pPr>
        <w:autoSpaceDE w:val="0"/>
        <w:autoSpaceDN w:val="0"/>
        <w:adjustRightInd w:val="0"/>
        <w:spacing w:line="276" w:lineRule="auto"/>
        <w:rPr>
          <w:rFonts w:ascii="Arial" w:hAnsi="Arial" w:cs="Arial"/>
        </w:rPr>
      </w:pPr>
    </w:p>
    <w:p w14:paraId="4D5367C0" w14:textId="77777777" w:rsidR="000D3DFE" w:rsidRPr="00E66AE8" w:rsidRDefault="000D3DFE" w:rsidP="003202A8">
      <w:pPr>
        <w:autoSpaceDE w:val="0"/>
        <w:autoSpaceDN w:val="0"/>
        <w:adjustRightInd w:val="0"/>
        <w:spacing w:line="276" w:lineRule="auto"/>
        <w:rPr>
          <w:rFonts w:ascii="Arial" w:hAnsi="Arial" w:cs="Arial"/>
        </w:rPr>
      </w:pPr>
      <w:r w:rsidRPr="00E66AE8">
        <w:rPr>
          <w:rFonts w:ascii="Arial" w:hAnsi="Arial" w:cs="Arial"/>
        </w:rPr>
        <w:t>De cara a cubrir la demanda interna, España importa un volumen de productos de la pesca y la acuicultura (1.160.000 toneladas) que triplica el volumen de las exportaciones (460.000 toneladas), siendo el valor de dichas importaciones (4.850 millones de euros) cuatro veces superior al de las exportaciones (1.103 millones de euros).</w:t>
      </w:r>
    </w:p>
    <w:p w14:paraId="13C00280" w14:textId="77777777" w:rsidR="000D3DFE" w:rsidRPr="00E66AE8" w:rsidRDefault="000D3DFE" w:rsidP="003202A8">
      <w:pPr>
        <w:autoSpaceDE w:val="0"/>
        <w:autoSpaceDN w:val="0"/>
        <w:adjustRightInd w:val="0"/>
        <w:spacing w:line="276" w:lineRule="auto"/>
        <w:rPr>
          <w:rFonts w:ascii="Arial" w:hAnsi="Arial" w:cs="Arial"/>
        </w:rPr>
      </w:pPr>
    </w:p>
    <w:p w14:paraId="482CA27F" w14:textId="77777777" w:rsidR="000D3DFE" w:rsidRPr="00E66AE8" w:rsidRDefault="000D3DFE" w:rsidP="003202A8">
      <w:pPr>
        <w:autoSpaceDE w:val="0"/>
        <w:autoSpaceDN w:val="0"/>
        <w:adjustRightInd w:val="0"/>
        <w:spacing w:line="276" w:lineRule="auto"/>
        <w:rPr>
          <w:rFonts w:ascii="Arial" w:hAnsi="Arial" w:cs="Arial"/>
        </w:rPr>
      </w:pPr>
      <w:r w:rsidRPr="00E66AE8">
        <w:rPr>
          <w:rFonts w:ascii="Arial" w:hAnsi="Arial" w:cs="Arial"/>
        </w:rPr>
        <w:t>Además, el mercado español se caracteriza por una importante diversidad en cuanto al tipo de productos de la pesca y la acuicultura que se comercializan y consumen, tanto desde el punto de vista de la variedad de especies consumidas, como desde el punto de vista del modo de producción, transformación, elaboración, presentación, origen y tipo de establecimiento en que son adquiridos/consumidor por el consumidor.</w:t>
      </w:r>
    </w:p>
    <w:p w14:paraId="7362AC3D" w14:textId="77777777" w:rsidR="000D3DFE" w:rsidRPr="00E66AE8" w:rsidRDefault="000D3DFE" w:rsidP="003202A8">
      <w:pPr>
        <w:autoSpaceDE w:val="0"/>
        <w:autoSpaceDN w:val="0"/>
        <w:adjustRightInd w:val="0"/>
        <w:spacing w:line="276" w:lineRule="auto"/>
        <w:rPr>
          <w:rFonts w:ascii="Arial" w:hAnsi="Arial" w:cs="Arial"/>
        </w:rPr>
      </w:pPr>
    </w:p>
    <w:p w14:paraId="2B7692A7" w14:textId="77777777" w:rsidR="000D3DFE" w:rsidRPr="00E66AE8" w:rsidRDefault="000D3DFE" w:rsidP="003202A8">
      <w:pPr>
        <w:autoSpaceDE w:val="0"/>
        <w:autoSpaceDN w:val="0"/>
        <w:adjustRightInd w:val="0"/>
        <w:spacing w:line="276" w:lineRule="auto"/>
        <w:rPr>
          <w:rFonts w:ascii="Arial" w:hAnsi="Arial" w:cs="Arial"/>
        </w:rPr>
      </w:pPr>
      <w:r w:rsidRPr="00E66AE8">
        <w:rPr>
          <w:rFonts w:ascii="Arial" w:hAnsi="Arial" w:cs="Arial"/>
        </w:rPr>
        <w:t>La importancia cuantitativa y cualitativa de todo lo anterior, unida a la complejidad que caracteriza a los mercados pesqueros y al proceso de comercialización pesquera, que destaca por un importante número de operadores e intermediarios, hace necesario que se adopten medidas con las que se aporte el mayor grado de transparencia a los mismos, en aras de proteger los intereses económicos de productores, transformadores y comercializadores, así como los del propio consumidor.</w:t>
      </w:r>
    </w:p>
    <w:p w14:paraId="7EE4D91F" w14:textId="77777777" w:rsidR="000D3DFE" w:rsidRPr="00E66AE8" w:rsidRDefault="000D3DFE" w:rsidP="003202A8">
      <w:pPr>
        <w:autoSpaceDE w:val="0"/>
        <w:autoSpaceDN w:val="0"/>
        <w:adjustRightInd w:val="0"/>
        <w:spacing w:line="276" w:lineRule="auto"/>
        <w:rPr>
          <w:rFonts w:ascii="Arial" w:hAnsi="Arial" w:cs="Arial"/>
        </w:rPr>
      </w:pPr>
    </w:p>
    <w:p w14:paraId="2C6A6CE7" w14:textId="77777777" w:rsidR="000D3DFE" w:rsidRPr="00E66AE8" w:rsidRDefault="000D3DFE" w:rsidP="003202A8">
      <w:pPr>
        <w:autoSpaceDE w:val="0"/>
        <w:autoSpaceDN w:val="0"/>
        <w:adjustRightInd w:val="0"/>
        <w:spacing w:line="276" w:lineRule="auto"/>
        <w:rPr>
          <w:rFonts w:ascii="Arial" w:hAnsi="Arial" w:cs="Arial"/>
        </w:rPr>
      </w:pPr>
      <w:r w:rsidRPr="00E66AE8">
        <w:rPr>
          <w:rFonts w:ascii="Arial" w:hAnsi="Arial" w:cs="Arial"/>
        </w:rPr>
        <w:t>En este sentido, la adecuada regulación de las denominaciones comerciales y de las denominaciones de alimentos en conserva y preparados aplicables a los productos de la pesca y de la acuicultura, al aportar claridad al proceso de comercialización de los productos de la pesca y la acuicultura que entran en su ámbito de aplicación, posee un impacto positivo sobre la economía.</w:t>
      </w:r>
    </w:p>
    <w:p w14:paraId="09E0B077" w14:textId="77777777" w:rsidR="000D3DFE" w:rsidRPr="00E66AE8" w:rsidRDefault="000D3DFE" w:rsidP="003202A8">
      <w:pPr>
        <w:autoSpaceDE w:val="0"/>
        <w:autoSpaceDN w:val="0"/>
        <w:adjustRightInd w:val="0"/>
        <w:spacing w:line="276" w:lineRule="auto"/>
        <w:rPr>
          <w:rFonts w:ascii="Arial" w:hAnsi="Arial" w:cs="Arial"/>
        </w:rPr>
      </w:pPr>
    </w:p>
    <w:p w14:paraId="0BDE70D8" w14:textId="77777777" w:rsidR="000D3DFE" w:rsidRPr="00ED3EE1" w:rsidRDefault="000D3DFE" w:rsidP="003202A8">
      <w:pPr>
        <w:spacing w:line="276" w:lineRule="auto"/>
        <w:rPr>
          <w:rFonts w:ascii="Arial" w:hAnsi="Arial" w:cs="Arial"/>
          <w:b/>
          <w:bCs/>
          <w:iCs/>
        </w:rPr>
      </w:pPr>
      <w:r w:rsidRPr="00E66AE8">
        <w:rPr>
          <w:rFonts w:ascii="Arial" w:hAnsi="Arial" w:cs="Arial"/>
          <w:b/>
          <w:bCs/>
          <w:iCs/>
        </w:rPr>
        <w:t>3.3.2. IMPACTO PRESUPUESTARIO.</w:t>
      </w:r>
    </w:p>
    <w:p w14:paraId="6F9BB701" w14:textId="77777777" w:rsidR="000D3DFE" w:rsidRPr="00ED3EE1" w:rsidRDefault="000D3DFE" w:rsidP="003202A8">
      <w:pPr>
        <w:autoSpaceDE w:val="0"/>
        <w:autoSpaceDN w:val="0"/>
        <w:adjustRightInd w:val="0"/>
        <w:spacing w:line="276" w:lineRule="auto"/>
        <w:rPr>
          <w:rFonts w:ascii="Arial" w:hAnsi="Arial" w:cs="Arial"/>
        </w:rPr>
      </w:pPr>
    </w:p>
    <w:p w14:paraId="43C88578" w14:textId="77777777" w:rsidR="000D3DFE" w:rsidRDefault="000D3DFE" w:rsidP="003202A8">
      <w:pPr>
        <w:autoSpaceDE w:val="0"/>
        <w:autoSpaceDN w:val="0"/>
        <w:adjustRightInd w:val="0"/>
        <w:spacing w:line="276" w:lineRule="auto"/>
        <w:rPr>
          <w:rFonts w:ascii="Arial" w:hAnsi="Arial" w:cs="Arial"/>
        </w:rPr>
      </w:pPr>
      <w:r w:rsidRPr="00ED3EE1">
        <w:rPr>
          <w:rFonts w:ascii="Arial" w:hAnsi="Arial" w:cs="Arial"/>
        </w:rPr>
        <w:t xml:space="preserve">Este </w:t>
      </w:r>
      <w:r>
        <w:rPr>
          <w:rFonts w:ascii="Arial" w:hAnsi="Arial" w:cs="Arial"/>
        </w:rPr>
        <w:t>r</w:t>
      </w:r>
      <w:r w:rsidRPr="00ED3EE1">
        <w:rPr>
          <w:rFonts w:ascii="Arial" w:hAnsi="Arial" w:cs="Arial"/>
        </w:rPr>
        <w:t xml:space="preserve">eal </w:t>
      </w:r>
      <w:r>
        <w:rPr>
          <w:rFonts w:ascii="Arial" w:hAnsi="Arial" w:cs="Arial"/>
        </w:rPr>
        <w:t>d</w:t>
      </w:r>
      <w:r w:rsidRPr="00ED3EE1">
        <w:rPr>
          <w:rFonts w:ascii="Arial" w:hAnsi="Arial" w:cs="Arial"/>
        </w:rPr>
        <w:t xml:space="preserve">ecreto no supondrá ni incremento ni disminución del gasto público. </w:t>
      </w:r>
    </w:p>
    <w:p w14:paraId="7EB519D7" w14:textId="77777777" w:rsidR="000D3DFE" w:rsidRPr="00ED3EE1" w:rsidRDefault="000D3DFE" w:rsidP="003202A8">
      <w:pPr>
        <w:autoSpaceDE w:val="0"/>
        <w:autoSpaceDN w:val="0"/>
        <w:adjustRightInd w:val="0"/>
        <w:spacing w:line="276" w:lineRule="auto"/>
        <w:rPr>
          <w:rFonts w:ascii="Arial" w:hAnsi="Arial" w:cs="Arial"/>
        </w:rPr>
      </w:pPr>
    </w:p>
    <w:p w14:paraId="04AD57BA" w14:textId="77777777" w:rsidR="000D3DFE" w:rsidRPr="00ED3EE1" w:rsidRDefault="000D3DFE" w:rsidP="003202A8">
      <w:pPr>
        <w:autoSpaceDE w:val="0"/>
        <w:autoSpaceDN w:val="0"/>
        <w:adjustRightInd w:val="0"/>
        <w:spacing w:line="276" w:lineRule="auto"/>
        <w:rPr>
          <w:rFonts w:ascii="Arial" w:hAnsi="Arial" w:cs="Arial"/>
        </w:rPr>
      </w:pPr>
      <w:r w:rsidRPr="00ED3EE1">
        <w:rPr>
          <w:rFonts w:ascii="Arial" w:hAnsi="Arial" w:cs="Arial"/>
        </w:rPr>
        <w:t>No implica incremento del gasto, dado que no altera el proceso de comercialización de los productos pesqueros</w:t>
      </w:r>
      <w:r>
        <w:rPr>
          <w:rFonts w:ascii="Arial" w:hAnsi="Arial" w:cs="Arial"/>
        </w:rPr>
        <w:t xml:space="preserve"> a los que les es de aplicación, pues</w:t>
      </w:r>
      <w:r w:rsidRPr="00ED3EE1">
        <w:rPr>
          <w:rFonts w:ascii="Arial" w:hAnsi="Arial" w:cs="Arial"/>
        </w:rPr>
        <w:t xml:space="preserve"> sólo </w:t>
      </w:r>
      <w:r>
        <w:rPr>
          <w:rFonts w:ascii="Arial" w:hAnsi="Arial" w:cs="Arial"/>
        </w:rPr>
        <w:t>establece las denominaciones comerciales nacionales y las denominaciones de alimentos en conserva y preparados de productos de la pesca y la acuicultura.</w:t>
      </w:r>
    </w:p>
    <w:p w14:paraId="090B2F8C" w14:textId="77777777" w:rsidR="000D3DFE" w:rsidRPr="00ED3EE1" w:rsidRDefault="000D3DFE" w:rsidP="003202A8">
      <w:pPr>
        <w:autoSpaceDE w:val="0"/>
        <w:autoSpaceDN w:val="0"/>
        <w:adjustRightInd w:val="0"/>
        <w:spacing w:line="276" w:lineRule="auto"/>
        <w:rPr>
          <w:rFonts w:ascii="Arial" w:hAnsi="Arial" w:cs="Arial"/>
        </w:rPr>
      </w:pPr>
    </w:p>
    <w:p w14:paraId="0D2BD173" w14:textId="77777777" w:rsidR="000D3DFE" w:rsidRPr="00ED3EE1" w:rsidRDefault="000D3DFE" w:rsidP="003202A8">
      <w:pPr>
        <w:autoSpaceDE w:val="0"/>
        <w:autoSpaceDN w:val="0"/>
        <w:adjustRightInd w:val="0"/>
        <w:spacing w:line="276" w:lineRule="auto"/>
        <w:rPr>
          <w:rFonts w:ascii="Arial" w:hAnsi="Arial" w:cs="Arial"/>
        </w:rPr>
      </w:pPr>
      <w:r w:rsidRPr="00ED3EE1">
        <w:rPr>
          <w:rFonts w:ascii="Arial" w:hAnsi="Arial" w:cs="Arial"/>
        </w:rPr>
        <w:t xml:space="preserve">La ejecución de lo </w:t>
      </w:r>
      <w:r>
        <w:rPr>
          <w:rFonts w:ascii="Arial" w:hAnsi="Arial" w:cs="Arial"/>
        </w:rPr>
        <w:t>dispuesto en este proyecto de r</w:t>
      </w:r>
      <w:r w:rsidRPr="00ED3EE1">
        <w:rPr>
          <w:rFonts w:ascii="Arial" w:hAnsi="Arial" w:cs="Arial"/>
        </w:rPr>
        <w:t xml:space="preserve">eal </w:t>
      </w:r>
      <w:r>
        <w:rPr>
          <w:rFonts w:ascii="Arial" w:hAnsi="Arial" w:cs="Arial"/>
        </w:rPr>
        <w:t>d</w:t>
      </w:r>
      <w:r w:rsidRPr="00ED3EE1">
        <w:rPr>
          <w:rFonts w:ascii="Arial" w:hAnsi="Arial" w:cs="Arial"/>
        </w:rPr>
        <w:t xml:space="preserve">ecreto se efectuará con los medios personales y materiales destinados al Ministerio de Agricultura, </w:t>
      </w:r>
      <w:r>
        <w:rPr>
          <w:rFonts w:ascii="Arial" w:hAnsi="Arial" w:cs="Arial"/>
        </w:rPr>
        <w:t xml:space="preserve">Pesca y </w:t>
      </w:r>
      <w:r w:rsidRPr="00ED3EE1">
        <w:rPr>
          <w:rFonts w:ascii="Arial" w:hAnsi="Arial" w:cs="Arial"/>
        </w:rPr>
        <w:t xml:space="preserve">Alimentación, en especial en relación a los gastos de personal, de acuerdo con lo dispuesto en el Plan de Austeridad de la Administración General del Estado. </w:t>
      </w:r>
    </w:p>
    <w:p w14:paraId="650ED61B" w14:textId="77777777" w:rsidR="000D3DFE" w:rsidRPr="00ED3EE1" w:rsidRDefault="000D3DFE" w:rsidP="003202A8">
      <w:pPr>
        <w:autoSpaceDE w:val="0"/>
        <w:autoSpaceDN w:val="0"/>
        <w:adjustRightInd w:val="0"/>
        <w:spacing w:line="276" w:lineRule="auto"/>
        <w:rPr>
          <w:rFonts w:ascii="Arial" w:hAnsi="Arial" w:cs="Arial"/>
        </w:rPr>
      </w:pPr>
    </w:p>
    <w:p w14:paraId="0538C5E5" w14:textId="77777777" w:rsidR="000D3DFE" w:rsidRPr="00ED3EE1" w:rsidRDefault="000D3DFE" w:rsidP="003202A8">
      <w:pPr>
        <w:spacing w:line="276" w:lineRule="auto"/>
        <w:rPr>
          <w:rFonts w:ascii="Arial" w:hAnsi="Arial" w:cs="Arial"/>
          <w:b/>
          <w:bCs/>
          <w:iCs/>
        </w:rPr>
      </w:pPr>
      <w:r w:rsidRPr="00ED3EE1">
        <w:rPr>
          <w:rFonts w:ascii="Arial" w:hAnsi="Arial" w:cs="Arial"/>
          <w:b/>
          <w:bCs/>
          <w:iCs/>
        </w:rPr>
        <w:t>3.3.3. EFECTOS EN LA COMPETENCIA EN EL MERCADO.</w:t>
      </w:r>
    </w:p>
    <w:p w14:paraId="6E0C8DDF" w14:textId="77777777" w:rsidR="000D3DFE" w:rsidRPr="00ED3EE1" w:rsidRDefault="000D3DFE" w:rsidP="003202A8">
      <w:pPr>
        <w:autoSpaceDE w:val="0"/>
        <w:autoSpaceDN w:val="0"/>
        <w:adjustRightInd w:val="0"/>
        <w:spacing w:line="276" w:lineRule="auto"/>
        <w:rPr>
          <w:rFonts w:ascii="Arial" w:hAnsi="Arial" w:cs="Arial"/>
          <w:bCs/>
        </w:rPr>
      </w:pPr>
    </w:p>
    <w:p w14:paraId="72ABA03D" w14:textId="77777777" w:rsidR="000D3DFE" w:rsidRDefault="000D3DFE" w:rsidP="003202A8">
      <w:pPr>
        <w:autoSpaceDE w:val="0"/>
        <w:autoSpaceDN w:val="0"/>
        <w:adjustRightInd w:val="0"/>
        <w:spacing w:line="276" w:lineRule="auto"/>
        <w:rPr>
          <w:rFonts w:ascii="Arial" w:hAnsi="Arial" w:cs="Arial"/>
          <w:bCs/>
        </w:rPr>
      </w:pPr>
      <w:r w:rsidRPr="001F55A0">
        <w:rPr>
          <w:rFonts w:ascii="Arial" w:hAnsi="Arial" w:cs="Arial"/>
          <w:bCs/>
        </w:rPr>
        <w:t>El proyecto de real decreto no es susceptible de introducir elementos que distorsionen la competencia en el mercado. Al contrario, favorecerá la competencia al establecer como principio básico la Ley de Garantía de la Unidad de Mercado.</w:t>
      </w:r>
      <w:r w:rsidRPr="00ED3EE1">
        <w:rPr>
          <w:rFonts w:ascii="Arial" w:hAnsi="Arial" w:cs="Arial"/>
          <w:bCs/>
        </w:rPr>
        <w:t xml:space="preserve"> </w:t>
      </w:r>
    </w:p>
    <w:p w14:paraId="3D2F4AA8" w14:textId="77777777" w:rsidR="000D3DFE" w:rsidRDefault="000D3DFE" w:rsidP="003202A8">
      <w:pPr>
        <w:autoSpaceDE w:val="0"/>
        <w:autoSpaceDN w:val="0"/>
        <w:adjustRightInd w:val="0"/>
        <w:spacing w:line="276" w:lineRule="auto"/>
        <w:rPr>
          <w:rFonts w:ascii="Arial" w:hAnsi="Arial" w:cs="Arial"/>
          <w:bCs/>
        </w:rPr>
      </w:pPr>
    </w:p>
    <w:p w14:paraId="5A4FEAAB" w14:textId="77777777" w:rsidR="000D3DFE" w:rsidRPr="007A6F71" w:rsidRDefault="000D3DFE" w:rsidP="003202A8">
      <w:pPr>
        <w:autoSpaceDE w:val="0"/>
        <w:autoSpaceDN w:val="0"/>
        <w:adjustRightInd w:val="0"/>
        <w:spacing w:line="276" w:lineRule="auto"/>
        <w:rPr>
          <w:rFonts w:ascii="Arial" w:hAnsi="Arial" w:cs="Arial"/>
        </w:rPr>
      </w:pPr>
      <w:r w:rsidRPr="00E66AE8">
        <w:rPr>
          <w:rFonts w:ascii="Arial" w:hAnsi="Arial" w:cs="Arial"/>
          <w:bCs/>
        </w:rPr>
        <w:t xml:space="preserve">En este sentido, la regulación a nivel nacional </w:t>
      </w:r>
      <w:r w:rsidRPr="00E66AE8">
        <w:rPr>
          <w:rFonts w:ascii="Arial" w:hAnsi="Arial" w:cs="Arial"/>
        </w:rPr>
        <w:t>de las denominaciones comerciales y de las denominaciones de alimentos en conserva y preparados aplicables a los productos de la pesca y de la acuicultura, representa un elemento fundamental, al reunir el proyecto normativo una serie de preceptos técnicos que actualmente quedan dispersos en varias normas y, simultáneamente, al ahondar en aspectos hasta ahora no quedaban recogidos por la normativa, garantizando con ello la existencia de unos criterios de mercado claros y uniformes.</w:t>
      </w:r>
    </w:p>
    <w:p w14:paraId="46EA8194" w14:textId="77777777" w:rsidR="000D3DFE" w:rsidRDefault="000D3DFE" w:rsidP="003202A8">
      <w:pPr>
        <w:autoSpaceDE w:val="0"/>
        <w:autoSpaceDN w:val="0"/>
        <w:adjustRightInd w:val="0"/>
        <w:spacing w:line="276" w:lineRule="auto"/>
        <w:rPr>
          <w:rFonts w:ascii="Arial" w:hAnsi="Arial" w:cs="Arial"/>
          <w:bCs/>
        </w:rPr>
      </w:pPr>
    </w:p>
    <w:p w14:paraId="2D79F457" w14:textId="77777777" w:rsidR="000D3DFE" w:rsidRDefault="000D3DFE" w:rsidP="003202A8">
      <w:pPr>
        <w:pStyle w:val="Default"/>
        <w:tabs>
          <w:tab w:val="left" w:pos="1680"/>
        </w:tabs>
        <w:spacing w:line="276" w:lineRule="auto"/>
        <w:jc w:val="both"/>
        <w:rPr>
          <w:b/>
          <w:bCs/>
          <w:iCs/>
          <w:color w:val="auto"/>
        </w:rPr>
      </w:pPr>
      <w:r w:rsidRPr="00ED3EE1">
        <w:rPr>
          <w:b/>
          <w:bCs/>
          <w:iCs/>
          <w:color w:val="auto"/>
        </w:rPr>
        <w:t>3.3.4 ANÁLISIS DE LAS CARGAS ADMINISTRATIVAS.</w:t>
      </w:r>
    </w:p>
    <w:p w14:paraId="3A9F84D3" w14:textId="77777777" w:rsidR="000D3DFE" w:rsidRPr="00ED3EE1" w:rsidRDefault="000D3DFE" w:rsidP="003202A8">
      <w:pPr>
        <w:pStyle w:val="Default"/>
        <w:tabs>
          <w:tab w:val="left" w:pos="1680"/>
        </w:tabs>
        <w:spacing w:line="276" w:lineRule="auto"/>
        <w:jc w:val="both"/>
        <w:rPr>
          <w:b/>
          <w:bCs/>
          <w:iCs/>
          <w:color w:val="auto"/>
        </w:rPr>
      </w:pPr>
    </w:p>
    <w:p w14:paraId="14B7569E" w14:textId="77777777" w:rsidR="000D3DFE" w:rsidRPr="00363185" w:rsidRDefault="000D3DFE" w:rsidP="003202A8">
      <w:pPr>
        <w:autoSpaceDE w:val="0"/>
        <w:autoSpaceDN w:val="0"/>
        <w:adjustRightInd w:val="0"/>
        <w:spacing w:line="276" w:lineRule="auto"/>
        <w:rPr>
          <w:rFonts w:ascii="Arial" w:hAnsi="Arial" w:cs="Arial"/>
          <w:bCs/>
        </w:rPr>
      </w:pPr>
      <w:r w:rsidRPr="00363185">
        <w:rPr>
          <w:rFonts w:ascii="Arial" w:hAnsi="Arial" w:cs="Arial"/>
          <w:iCs/>
        </w:rPr>
        <w:t>Por lo que respecta a la posible generación de cargas administrativas, entendidas éstas como todas aquellas tareas de naturaleza administrativa que deben llevar a cabo las personas físicas y jurídicas para cumplir con las obligaciones derivadas de la norma, debe tenerse en cuenta que los</w:t>
      </w:r>
      <w:r w:rsidRPr="00363185">
        <w:rPr>
          <w:rFonts w:ascii="Arial" w:hAnsi="Arial" w:cs="Arial"/>
          <w:bCs/>
        </w:rPr>
        <w:t xml:space="preserve"> cambios que propugna el proyecto de real decreto suponen un incremento de las mismas, al contemplarse en el artículo 5 del mencionado proyecto la posibilidad de cursar una solicitud de </w:t>
      </w:r>
      <w:r w:rsidRPr="00363185">
        <w:rPr>
          <w:rFonts w:ascii="Arial" w:hAnsi="Arial" w:cs="Arial"/>
        </w:rPr>
        <w:t>inclusión, modificación o eliminación de denominaciones comerciales nacionales o de denominaciones de alimento en conserva o preparado</w:t>
      </w:r>
      <w:r w:rsidRPr="00363185">
        <w:rPr>
          <w:rFonts w:ascii="Arial" w:hAnsi="Arial" w:cs="Arial"/>
          <w:bCs/>
        </w:rPr>
        <w:t xml:space="preserve">. </w:t>
      </w:r>
    </w:p>
    <w:p w14:paraId="58829535" w14:textId="77777777" w:rsidR="000D3DFE" w:rsidRPr="00363185" w:rsidRDefault="000D3DFE" w:rsidP="003202A8">
      <w:pPr>
        <w:autoSpaceDE w:val="0"/>
        <w:autoSpaceDN w:val="0"/>
        <w:adjustRightInd w:val="0"/>
        <w:spacing w:line="276" w:lineRule="auto"/>
        <w:rPr>
          <w:rFonts w:ascii="Arial" w:hAnsi="Arial" w:cs="Arial"/>
          <w:bCs/>
        </w:rPr>
      </w:pPr>
    </w:p>
    <w:p w14:paraId="24A2F9BB" w14:textId="77777777" w:rsidR="000D3DFE" w:rsidRPr="00424895" w:rsidRDefault="000D3DFE" w:rsidP="003202A8">
      <w:pPr>
        <w:autoSpaceDE w:val="0"/>
        <w:autoSpaceDN w:val="0"/>
        <w:adjustRightInd w:val="0"/>
        <w:spacing w:line="276" w:lineRule="auto"/>
        <w:rPr>
          <w:rFonts w:ascii="Arial" w:hAnsi="Arial" w:cs="Arial"/>
          <w:bCs/>
        </w:rPr>
      </w:pPr>
      <w:r w:rsidRPr="00363185">
        <w:rPr>
          <w:rFonts w:ascii="Arial" w:hAnsi="Arial" w:cs="Arial"/>
          <w:bCs/>
        </w:rPr>
        <w:t>En este sentido, y conforme al método simplificado de medición de cargas administrativas, dichas cargas se corresponderían con la categoría o grupo 2, para las que se estima un coste unitario de 5 euros, lo que multiplicado por la población tomada como referencia, en este caso las 30 solicitudes recibidas durante el año 2018, da como resultado un importe estimado de 150 euros.</w:t>
      </w:r>
    </w:p>
    <w:p w14:paraId="1B534EDB" w14:textId="77777777" w:rsidR="000D3DFE" w:rsidRPr="00ED3EE1" w:rsidRDefault="000D3DFE" w:rsidP="003202A8">
      <w:pPr>
        <w:spacing w:line="276" w:lineRule="auto"/>
        <w:rPr>
          <w:rFonts w:ascii="Arial" w:hAnsi="Arial" w:cs="Arial"/>
          <w:bCs/>
          <w:iCs/>
          <w:lang w:val="es-ES_tradnl"/>
        </w:rPr>
      </w:pPr>
    </w:p>
    <w:p w14:paraId="6604EBD1"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3.4 IMPACTO POR RAZÓN DE GÉNERO</w:t>
      </w:r>
    </w:p>
    <w:p w14:paraId="65D79CF8" w14:textId="77777777" w:rsidR="000D3DFE" w:rsidRPr="00ED3EE1" w:rsidRDefault="000D3DFE" w:rsidP="003202A8">
      <w:pPr>
        <w:spacing w:line="276" w:lineRule="auto"/>
        <w:rPr>
          <w:rFonts w:ascii="Arial" w:hAnsi="Arial" w:cs="Arial"/>
        </w:rPr>
      </w:pPr>
    </w:p>
    <w:p w14:paraId="1BADD374" w14:textId="77777777" w:rsidR="000D3DFE" w:rsidRPr="003202A8" w:rsidRDefault="000D3DFE" w:rsidP="003202A8">
      <w:pPr>
        <w:spacing w:line="276" w:lineRule="auto"/>
        <w:rPr>
          <w:rFonts w:ascii="Arial" w:hAnsi="Arial" w:cs="Arial"/>
        </w:rPr>
      </w:pPr>
      <w:r w:rsidRPr="003202A8">
        <w:rPr>
          <w:rFonts w:ascii="Arial" w:hAnsi="Arial" w:cs="Arial"/>
          <w:lang w:val="es-ES_tradnl"/>
        </w:rPr>
        <w:t>El proyecto de real decreto carece de impacto por razón del género a efectos de lo previsto el artículo 26.3 f) de la Ley 50/1997, de 27 de noviembre, del Gobierno por cuanto por cuanto n</w:t>
      </w:r>
      <w:r w:rsidRPr="003202A8">
        <w:rPr>
          <w:rFonts w:ascii="Arial" w:hAnsi="Arial" w:cs="Arial"/>
        </w:rPr>
        <w:t>o hay evidencias que indiquen que en el ámbito de aplicación del proyecto de real decreto, se vulneren los objetivos de las políticas de oportunidades, y en particular, la Ley Orgánica 3/2007, de 22 de marzo, para la igualdad efectiva de mujeres y hombres.</w:t>
      </w:r>
    </w:p>
    <w:p w14:paraId="7695B831" w14:textId="77777777" w:rsidR="000D3DFE" w:rsidRPr="003202A8" w:rsidRDefault="000D3DFE" w:rsidP="003202A8">
      <w:pPr>
        <w:spacing w:line="276" w:lineRule="auto"/>
        <w:rPr>
          <w:rFonts w:ascii="Arial" w:hAnsi="Arial" w:cs="Arial"/>
        </w:rPr>
      </w:pPr>
      <w:r w:rsidRPr="003202A8">
        <w:rPr>
          <w:rFonts w:ascii="Arial" w:hAnsi="Arial" w:cs="Arial"/>
        </w:rPr>
        <w:t xml:space="preserve"> </w:t>
      </w:r>
    </w:p>
    <w:p w14:paraId="68C832B3" w14:textId="77777777" w:rsidR="000D3DFE" w:rsidRPr="005836C9" w:rsidRDefault="000D3DFE" w:rsidP="003202A8">
      <w:pPr>
        <w:spacing w:line="276" w:lineRule="auto"/>
        <w:rPr>
          <w:rFonts w:ascii="Arial" w:hAnsi="Arial" w:cs="Arial"/>
          <w:bCs/>
        </w:rPr>
      </w:pPr>
      <w:r w:rsidRPr="003202A8">
        <w:rPr>
          <w:rFonts w:ascii="Arial" w:hAnsi="Arial" w:cs="Arial"/>
        </w:rPr>
        <w:t>En consecuencia, no permite modular el impacto de género a través de esta norma.</w:t>
      </w:r>
      <w:r w:rsidRPr="005836C9">
        <w:rPr>
          <w:rFonts w:ascii="Arial" w:hAnsi="Arial" w:cs="Arial"/>
        </w:rPr>
        <w:t xml:space="preserve"> </w:t>
      </w:r>
    </w:p>
    <w:p w14:paraId="634DE374" w14:textId="77777777" w:rsidR="000D3DFE" w:rsidRDefault="000D3DFE" w:rsidP="003202A8">
      <w:pPr>
        <w:spacing w:line="276" w:lineRule="auto"/>
        <w:rPr>
          <w:rFonts w:ascii="Arial" w:hAnsi="Arial" w:cs="Arial"/>
        </w:rPr>
      </w:pPr>
    </w:p>
    <w:p w14:paraId="3E1BBE98" w14:textId="77777777" w:rsidR="000D3DFE" w:rsidRPr="00ED3EE1" w:rsidRDefault="000D3DFE" w:rsidP="005B052D">
      <w:pPr>
        <w:spacing w:line="276" w:lineRule="auto"/>
        <w:rPr>
          <w:rFonts w:ascii="Arial" w:hAnsi="Arial" w:cs="Arial"/>
        </w:rPr>
      </w:pPr>
    </w:p>
    <w:p w14:paraId="496BA4CF" w14:textId="77777777" w:rsidR="000D3DFE" w:rsidRPr="00ED3EE1" w:rsidRDefault="000D3DFE" w:rsidP="005B052D">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 xml:space="preserve">3.5 </w:t>
      </w:r>
      <w:r>
        <w:rPr>
          <w:rFonts w:ascii="Arial" w:hAnsi="Arial" w:cs="Arial"/>
          <w:b/>
        </w:rPr>
        <w:t>IMPACTO SOBRE LA FAMILIA</w:t>
      </w:r>
    </w:p>
    <w:p w14:paraId="419E8000" w14:textId="77777777" w:rsidR="000D3DFE" w:rsidRPr="00ED3EE1" w:rsidRDefault="000D3DFE" w:rsidP="005B052D">
      <w:pPr>
        <w:spacing w:line="276" w:lineRule="auto"/>
        <w:rPr>
          <w:rFonts w:ascii="Arial" w:hAnsi="Arial" w:cs="Arial"/>
        </w:rPr>
      </w:pPr>
    </w:p>
    <w:p w14:paraId="78A161EE" w14:textId="77777777" w:rsidR="000D3DFE" w:rsidRDefault="000D3DFE" w:rsidP="005B052D">
      <w:pPr>
        <w:spacing w:line="276" w:lineRule="auto"/>
        <w:rPr>
          <w:rFonts w:ascii="Arial" w:hAnsi="Arial" w:cs="Arial"/>
        </w:rPr>
      </w:pPr>
      <w:r>
        <w:rPr>
          <w:rFonts w:ascii="Arial" w:hAnsi="Arial" w:cs="Arial"/>
        </w:rPr>
        <w:t xml:space="preserve">La norma carece de impacto sobre la familia conforme </w:t>
      </w:r>
      <w:r w:rsidRPr="005B052D">
        <w:rPr>
          <w:rFonts w:ascii="Arial" w:hAnsi="Arial" w:cs="Arial"/>
        </w:rPr>
        <w:t>la disposición adicional décima de la Ley</w:t>
      </w:r>
      <w:r>
        <w:rPr>
          <w:rFonts w:ascii="Arial" w:hAnsi="Arial" w:cs="Arial"/>
        </w:rPr>
        <w:t xml:space="preserve"> </w:t>
      </w:r>
      <w:r w:rsidRPr="005B052D">
        <w:rPr>
          <w:rFonts w:ascii="Arial" w:hAnsi="Arial" w:cs="Arial"/>
        </w:rPr>
        <w:t>40/2003, de 18 de noviembre, de protección a las familias numerosas, introducida</w:t>
      </w:r>
      <w:r>
        <w:rPr>
          <w:rFonts w:ascii="Arial" w:hAnsi="Arial" w:cs="Arial"/>
        </w:rPr>
        <w:t xml:space="preserve"> </w:t>
      </w:r>
      <w:r w:rsidRPr="005B052D">
        <w:rPr>
          <w:rFonts w:ascii="Arial" w:hAnsi="Arial" w:cs="Arial"/>
        </w:rPr>
        <w:t>por la disposición final quinta de la Ley 26/2015, de 28 de julio, de modificación</w:t>
      </w:r>
      <w:r>
        <w:rPr>
          <w:rFonts w:ascii="Arial" w:hAnsi="Arial" w:cs="Arial"/>
        </w:rPr>
        <w:t xml:space="preserve"> </w:t>
      </w:r>
      <w:r w:rsidRPr="005B052D">
        <w:rPr>
          <w:rFonts w:ascii="Arial" w:hAnsi="Arial" w:cs="Arial"/>
        </w:rPr>
        <w:t>del sistema de protección a la infancia y a la adolescencia</w:t>
      </w:r>
      <w:r>
        <w:rPr>
          <w:rFonts w:ascii="Arial" w:hAnsi="Arial" w:cs="Arial"/>
        </w:rPr>
        <w:t>.</w:t>
      </w:r>
    </w:p>
    <w:p w14:paraId="6236D0CF" w14:textId="77777777" w:rsidR="000D3DFE" w:rsidRDefault="000D3DFE" w:rsidP="005B052D">
      <w:pPr>
        <w:spacing w:line="276" w:lineRule="auto"/>
        <w:rPr>
          <w:rFonts w:ascii="Arial" w:hAnsi="Arial" w:cs="Arial"/>
        </w:rPr>
      </w:pPr>
    </w:p>
    <w:p w14:paraId="6BF57E06" w14:textId="77777777" w:rsidR="000D3DFE" w:rsidRPr="00ED3EE1" w:rsidRDefault="000D3DFE" w:rsidP="003202A8">
      <w:pPr>
        <w:spacing w:line="276" w:lineRule="auto"/>
        <w:rPr>
          <w:rFonts w:ascii="Arial" w:hAnsi="Arial" w:cs="Arial"/>
        </w:rPr>
      </w:pPr>
    </w:p>
    <w:p w14:paraId="43F08A71" w14:textId="77777777" w:rsidR="000D3DFE" w:rsidRPr="00ED3EE1" w:rsidRDefault="000D3DFE" w:rsidP="003202A8">
      <w:pPr>
        <w:pBdr>
          <w:top w:val="single" w:sz="4" w:space="1" w:color="auto"/>
          <w:left w:val="single" w:sz="4" w:space="4" w:color="auto"/>
          <w:bottom w:val="single" w:sz="4" w:space="1" w:color="auto"/>
          <w:right w:val="single" w:sz="4" w:space="4" w:color="auto"/>
        </w:pBdr>
        <w:shd w:val="clear" w:color="auto" w:fill="003366"/>
        <w:spacing w:line="276" w:lineRule="auto"/>
        <w:rPr>
          <w:rFonts w:ascii="Arial" w:hAnsi="Arial" w:cs="Arial"/>
          <w:b/>
        </w:rPr>
      </w:pPr>
      <w:r w:rsidRPr="00ED3EE1">
        <w:rPr>
          <w:rFonts w:ascii="Arial" w:hAnsi="Arial" w:cs="Arial"/>
          <w:b/>
        </w:rPr>
        <w:t>3.</w:t>
      </w:r>
      <w:r>
        <w:rPr>
          <w:rFonts w:ascii="Arial" w:hAnsi="Arial" w:cs="Arial"/>
          <w:b/>
        </w:rPr>
        <w:t>6</w:t>
      </w:r>
      <w:r w:rsidRPr="00ED3EE1">
        <w:rPr>
          <w:rFonts w:ascii="Arial" w:hAnsi="Arial" w:cs="Arial"/>
          <w:b/>
        </w:rPr>
        <w:t xml:space="preserve"> </w:t>
      </w:r>
      <w:r>
        <w:rPr>
          <w:rFonts w:ascii="Arial" w:hAnsi="Arial" w:cs="Arial"/>
          <w:b/>
        </w:rPr>
        <w:t>IMPACTO SOBRE LA INFANCIA Y LA ADOLESCENCIA</w:t>
      </w:r>
    </w:p>
    <w:p w14:paraId="7DFBD801" w14:textId="77777777" w:rsidR="000D3DFE" w:rsidRPr="00ED3EE1" w:rsidRDefault="000D3DFE" w:rsidP="003202A8">
      <w:pPr>
        <w:spacing w:line="276" w:lineRule="auto"/>
        <w:rPr>
          <w:rFonts w:ascii="Arial" w:hAnsi="Arial" w:cs="Arial"/>
        </w:rPr>
      </w:pPr>
    </w:p>
    <w:p w14:paraId="419A9F17" w14:textId="77777777" w:rsidR="000D3DFE" w:rsidRPr="00ED3EE1" w:rsidRDefault="000D3DFE" w:rsidP="00AA43BF">
      <w:pPr>
        <w:autoSpaceDE w:val="0"/>
        <w:autoSpaceDN w:val="0"/>
        <w:adjustRightInd w:val="0"/>
        <w:spacing w:line="276" w:lineRule="auto"/>
        <w:rPr>
          <w:rFonts w:ascii="Arial" w:hAnsi="Arial" w:cs="Arial"/>
        </w:rPr>
      </w:pPr>
      <w:r>
        <w:rPr>
          <w:rFonts w:ascii="Arial" w:hAnsi="Arial" w:cs="Arial"/>
        </w:rPr>
        <w:t>Conforme al</w:t>
      </w:r>
      <w:r w:rsidRPr="00AA43BF">
        <w:rPr>
          <w:rFonts w:ascii="Arial" w:hAnsi="Arial" w:cs="Arial"/>
        </w:rPr>
        <w:t xml:space="preserve"> artículo 22 </w:t>
      </w:r>
      <w:r w:rsidRPr="009E33D0">
        <w:rPr>
          <w:rFonts w:ascii="Arial" w:hAnsi="Arial" w:cs="Arial"/>
          <w:i/>
        </w:rPr>
        <w:t>quinquies</w:t>
      </w:r>
      <w:r w:rsidRPr="00AA43BF">
        <w:rPr>
          <w:rFonts w:ascii="Arial" w:hAnsi="Arial" w:cs="Arial"/>
        </w:rPr>
        <w:t xml:space="preserve"> de la Ley Orgánica</w:t>
      </w:r>
      <w:r>
        <w:rPr>
          <w:rFonts w:ascii="Arial" w:hAnsi="Arial" w:cs="Arial"/>
        </w:rPr>
        <w:t xml:space="preserve"> </w:t>
      </w:r>
      <w:r w:rsidRPr="00AA43BF">
        <w:rPr>
          <w:rFonts w:ascii="Arial" w:hAnsi="Arial" w:cs="Arial"/>
        </w:rPr>
        <w:t>1/1996, de 15 de enero, de Protección Jurídica del Menor, de modificación parcial</w:t>
      </w:r>
      <w:r>
        <w:rPr>
          <w:rFonts w:ascii="Arial" w:hAnsi="Arial" w:cs="Arial"/>
        </w:rPr>
        <w:t xml:space="preserve"> </w:t>
      </w:r>
      <w:r w:rsidRPr="00AA43BF">
        <w:rPr>
          <w:rFonts w:ascii="Arial" w:hAnsi="Arial" w:cs="Arial"/>
        </w:rPr>
        <w:t>del Código Civil y de la Ley de Enjuiciamiento Civil, en la redacción dada por la</w:t>
      </w:r>
      <w:r>
        <w:rPr>
          <w:rFonts w:ascii="Arial" w:hAnsi="Arial" w:cs="Arial"/>
        </w:rPr>
        <w:t xml:space="preserve"> </w:t>
      </w:r>
      <w:r w:rsidRPr="00AA43BF">
        <w:rPr>
          <w:rFonts w:ascii="Arial" w:hAnsi="Arial" w:cs="Arial"/>
        </w:rPr>
        <w:t>Ley 26/2015, de 28 de julio, de modificación del sistema de protección a la</w:t>
      </w:r>
      <w:r>
        <w:rPr>
          <w:rFonts w:ascii="Arial" w:hAnsi="Arial" w:cs="Arial"/>
        </w:rPr>
        <w:t xml:space="preserve"> </w:t>
      </w:r>
      <w:r w:rsidRPr="00AA43BF">
        <w:rPr>
          <w:rFonts w:ascii="Arial" w:hAnsi="Arial" w:cs="Arial"/>
        </w:rPr>
        <w:t>infancia y a la adolescencia</w:t>
      </w:r>
      <w:r>
        <w:rPr>
          <w:rFonts w:ascii="Arial" w:hAnsi="Arial" w:cs="Arial"/>
        </w:rPr>
        <w:t>, la norma carece de tal impacto.</w:t>
      </w:r>
    </w:p>
    <w:sectPr w:rsidR="000D3DFE" w:rsidRPr="00ED3EE1" w:rsidSect="006E3AA7">
      <w:headerReference w:type="default" r:id="rId12"/>
      <w:footerReference w:type="even" r:id="rId13"/>
      <w:footerReference w:type="default" r:id="rId14"/>
      <w:pgSz w:w="11906" w:h="16838"/>
      <w:pgMar w:top="1418" w:right="1826" w:bottom="1701"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8CC17" w14:textId="77777777" w:rsidR="00EA10DA" w:rsidRDefault="00EA10DA">
      <w:r>
        <w:separator/>
      </w:r>
    </w:p>
  </w:endnote>
  <w:endnote w:type="continuationSeparator" w:id="0">
    <w:p w14:paraId="154FD142" w14:textId="77777777" w:rsidR="00EA10DA" w:rsidRDefault="00EA1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egrit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18D5" w14:textId="77777777" w:rsidR="000D3DFE" w:rsidRDefault="000D3DFE" w:rsidP="00E127D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7C908C" w14:textId="77777777" w:rsidR="000D3DFE" w:rsidRDefault="000D3DFE" w:rsidP="00435DD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CD80" w14:textId="77777777" w:rsidR="000D3DFE" w:rsidRDefault="000D3DFE" w:rsidP="00E127D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F2D43">
      <w:rPr>
        <w:rStyle w:val="Nmerodepgina"/>
        <w:noProof/>
      </w:rPr>
      <w:t>1</w:t>
    </w:r>
    <w:r>
      <w:rPr>
        <w:rStyle w:val="Nmerodepgina"/>
      </w:rPr>
      <w:fldChar w:fldCharType="end"/>
    </w:r>
  </w:p>
  <w:p w14:paraId="4FC6ABE6" w14:textId="77777777" w:rsidR="000D3DFE" w:rsidRPr="0082564D" w:rsidRDefault="000D3DFE" w:rsidP="0082564D">
    <w:pPr>
      <w:pStyle w:val="Piedepgina"/>
      <w:pBdr>
        <w:top w:val="single" w:sz="4" w:space="1" w:color="auto"/>
      </w:pBdr>
      <w:ind w:right="360"/>
      <w:jc w:val="left"/>
      <w:rPr>
        <w:i/>
        <w:sz w:val="20"/>
        <w:szCs w:val="20"/>
      </w:rPr>
    </w:pPr>
    <w:r w:rsidRPr="0082564D">
      <w:rPr>
        <w:i/>
        <w:sz w:val="20"/>
        <w:szCs w:val="20"/>
      </w:rPr>
      <w:t>Memoria del Análisis de Impacto Normativo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95853" w14:textId="77777777" w:rsidR="00EA10DA" w:rsidRDefault="00EA10DA">
      <w:r>
        <w:separator/>
      </w:r>
    </w:p>
  </w:footnote>
  <w:footnote w:type="continuationSeparator" w:id="0">
    <w:p w14:paraId="1DE4C799" w14:textId="77777777" w:rsidR="00EA10DA" w:rsidRDefault="00EA1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3A8C" w14:textId="77777777" w:rsidR="000D3DFE" w:rsidRPr="003E633A" w:rsidRDefault="000D3DFE" w:rsidP="00851023">
    <w:pPr>
      <w:pStyle w:val="Encabezado"/>
      <w:pBdr>
        <w:bottom w:val="single" w:sz="4" w:space="1" w:color="auto"/>
      </w:pBdr>
      <w:jc w:val="right"/>
      <w:rPr>
        <w:i/>
        <w:sz w:val="20"/>
        <w:szCs w:val="20"/>
      </w:rPr>
    </w:pPr>
    <w:r w:rsidRPr="00294F4B">
      <w:rPr>
        <w:i/>
        <w:sz w:val="20"/>
        <w:szCs w:val="20"/>
      </w:rPr>
      <w:t xml:space="preserve">Fecha </w:t>
    </w:r>
    <w:r>
      <w:rPr>
        <w:i/>
        <w:sz w:val="20"/>
        <w:szCs w:val="20"/>
      </w:rPr>
      <w:t>23/06/2020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A2870DA"/>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1C0A27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0C2195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2B2D0B7D"/>
    <w:multiLevelType w:val="hybridMultilevel"/>
    <w:tmpl w:val="FF3AD7D2"/>
    <w:lvl w:ilvl="0" w:tplc="90464B44">
      <w:start w:val="3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C140AE"/>
    <w:multiLevelType w:val="multilevel"/>
    <w:tmpl w:val="2060849E"/>
    <w:lvl w:ilvl="0">
      <w:start w:val="2"/>
      <w:numFmt w:val="decimal"/>
      <w:lvlText w:val="%1"/>
      <w:lvlJc w:val="left"/>
      <w:pPr>
        <w:ind w:left="525" w:hanging="525"/>
      </w:pPr>
      <w:rPr>
        <w:rFonts w:cs="Times New Roman" w:hint="default"/>
      </w:rPr>
    </w:lvl>
    <w:lvl w:ilvl="1">
      <w:start w:val="2"/>
      <w:numFmt w:val="decimal"/>
      <w:lvlText w:val="%1.%2"/>
      <w:lvlJc w:val="left"/>
      <w:pPr>
        <w:ind w:left="525" w:hanging="525"/>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6ECE13F9"/>
    <w:multiLevelType w:val="hybridMultilevel"/>
    <w:tmpl w:val="CE067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27656FC"/>
    <w:multiLevelType w:val="hybridMultilevel"/>
    <w:tmpl w:val="6DDCFA4C"/>
    <w:lvl w:ilvl="0" w:tplc="0C0A0005">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7E2D6D"/>
    <w:multiLevelType w:val="hybridMultilevel"/>
    <w:tmpl w:val="FDA8D7CE"/>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16cid:durableId="1053653843">
    <w:abstractNumId w:val="2"/>
  </w:num>
  <w:num w:numId="2" w16cid:durableId="755715279">
    <w:abstractNumId w:val="1"/>
  </w:num>
  <w:num w:numId="3" w16cid:durableId="1834761756">
    <w:abstractNumId w:val="0"/>
  </w:num>
  <w:num w:numId="4" w16cid:durableId="1545825312">
    <w:abstractNumId w:val="2"/>
  </w:num>
  <w:num w:numId="5" w16cid:durableId="2026247459">
    <w:abstractNumId w:val="1"/>
  </w:num>
  <w:num w:numId="6" w16cid:durableId="1427530395">
    <w:abstractNumId w:val="0"/>
  </w:num>
  <w:num w:numId="7" w16cid:durableId="2065594536">
    <w:abstractNumId w:val="2"/>
  </w:num>
  <w:num w:numId="8" w16cid:durableId="1074351419">
    <w:abstractNumId w:val="1"/>
  </w:num>
  <w:num w:numId="9" w16cid:durableId="1908226257">
    <w:abstractNumId w:val="0"/>
  </w:num>
  <w:num w:numId="10" w16cid:durableId="327751343">
    <w:abstractNumId w:val="2"/>
  </w:num>
  <w:num w:numId="11" w16cid:durableId="800421278">
    <w:abstractNumId w:val="1"/>
  </w:num>
  <w:num w:numId="12" w16cid:durableId="238834521">
    <w:abstractNumId w:val="0"/>
  </w:num>
  <w:num w:numId="13" w16cid:durableId="1132939015">
    <w:abstractNumId w:val="6"/>
  </w:num>
  <w:num w:numId="14" w16cid:durableId="1334840674">
    <w:abstractNumId w:val="7"/>
  </w:num>
  <w:num w:numId="15" w16cid:durableId="1741829210">
    <w:abstractNumId w:val="3"/>
  </w:num>
  <w:num w:numId="16" w16cid:durableId="1252471134">
    <w:abstractNumId w:val="4"/>
  </w:num>
  <w:num w:numId="17" w16cid:durableId="122259606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D5C"/>
    <w:rsid w:val="00002819"/>
    <w:rsid w:val="00003667"/>
    <w:rsid w:val="00005595"/>
    <w:rsid w:val="00005EE2"/>
    <w:rsid w:val="00010AB2"/>
    <w:rsid w:val="0001239F"/>
    <w:rsid w:val="0001409E"/>
    <w:rsid w:val="00020C93"/>
    <w:rsid w:val="0002448F"/>
    <w:rsid w:val="00026250"/>
    <w:rsid w:val="00027174"/>
    <w:rsid w:val="00027209"/>
    <w:rsid w:val="000306C8"/>
    <w:rsid w:val="00030ACF"/>
    <w:rsid w:val="00034DD6"/>
    <w:rsid w:val="00034F55"/>
    <w:rsid w:val="00041420"/>
    <w:rsid w:val="00044403"/>
    <w:rsid w:val="00046D6A"/>
    <w:rsid w:val="000477CE"/>
    <w:rsid w:val="00047F67"/>
    <w:rsid w:val="00047FAC"/>
    <w:rsid w:val="00051E75"/>
    <w:rsid w:val="0005449C"/>
    <w:rsid w:val="000558E7"/>
    <w:rsid w:val="00056B57"/>
    <w:rsid w:val="00060147"/>
    <w:rsid w:val="000608BA"/>
    <w:rsid w:val="00060A2F"/>
    <w:rsid w:val="000637A3"/>
    <w:rsid w:val="00064C27"/>
    <w:rsid w:val="00067210"/>
    <w:rsid w:val="00071097"/>
    <w:rsid w:val="000712E0"/>
    <w:rsid w:val="00074138"/>
    <w:rsid w:val="00074FB7"/>
    <w:rsid w:val="0007586E"/>
    <w:rsid w:val="00076474"/>
    <w:rsid w:val="00080A66"/>
    <w:rsid w:val="00080DC0"/>
    <w:rsid w:val="00084CFD"/>
    <w:rsid w:val="00086192"/>
    <w:rsid w:val="00087C77"/>
    <w:rsid w:val="00091E68"/>
    <w:rsid w:val="00093648"/>
    <w:rsid w:val="00093F06"/>
    <w:rsid w:val="0009566C"/>
    <w:rsid w:val="000A10B2"/>
    <w:rsid w:val="000A1DDC"/>
    <w:rsid w:val="000A5D0F"/>
    <w:rsid w:val="000A5E43"/>
    <w:rsid w:val="000A69F1"/>
    <w:rsid w:val="000A6BAE"/>
    <w:rsid w:val="000A7536"/>
    <w:rsid w:val="000B0F4F"/>
    <w:rsid w:val="000B54E2"/>
    <w:rsid w:val="000B7F43"/>
    <w:rsid w:val="000C3DF1"/>
    <w:rsid w:val="000C4D12"/>
    <w:rsid w:val="000C5FCA"/>
    <w:rsid w:val="000C7237"/>
    <w:rsid w:val="000D0EF1"/>
    <w:rsid w:val="000D1CAD"/>
    <w:rsid w:val="000D3DFE"/>
    <w:rsid w:val="000D548E"/>
    <w:rsid w:val="000D6D8D"/>
    <w:rsid w:val="000E2250"/>
    <w:rsid w:val="000E35C0"/>
    <w:rsid w:val="000E475C"/>
    <w:rsid w:val="000E5279"/>
    <w:rsid w:val="000F1857"/>
    <w:rsid w:val="000F2198"/>
    <w:rsid w:val="000F22D8"/>
    <w:rsid w:val="000F23D5"/>
    <w:rsid w:val="000F2CE7"/>
    <w:rsid w:val="000F433A"/>
    <w:rsid w:val="000F4D33"/>
    <w:rsid w:val="000F5312"/>
    <w:rsid w:val="000F556A"/>
    <w:rsid w:val="000F5DE9"/>
    <w:rsid w:val="000F6387"/>
    <w:rsid w:val="0010293E"/>
    <w:rsid w:val="00105AE6"/>
    <w:rsid w:val="00105BA6"/>
    <w:rsid w:val="001061D2"/>
    <w:rsid w:val="00111BDD"/>
    <w:rsid w:val="001153BB"/>
    <w:rsid w:val="001155A8"/>
    <w:rsid w:val="001176DA"/>
    <w:rsid w:val="00122FF8"/>
    <w:rsid w:val="00123653"/>
    <w:rsid w:val="00124DBD"/>
    <w:rsid w:val="00126A5E"/>
    <w:rsid w:val="00127558"/>
    <w:rsid w:val="00131E80"/>
    <w:rsid w:val="00134718"/>
    <w:rsid w:val="00136665"/>
    <w:rsid w:val="001417FB"/>
    <w:rsid w:val="00142167"/>
    <w:rsid w:val="001432D2"/>
    <w:rsid w:val="001449F8"/>
    <w:rsid w:val="00147223"/>
    <w:rsid w:val="00150A2C"/>
    <w:rsid w:val="00151481"/>
    <w:rsid w:val="001534B2"/>
    <w:rsid w:val="00153CD3"/>
    <w:rsid w:val="001602F2"/>
    <w:rsid w:val="00162859"/>
    <w:rsid w:val="00164C3D"/>
    <w:rsid w:val="00165341"/>
    <w:rsid w:val="00165A98"/>
    <w:rsid w:val="001722BB"/>
    <w:rsid w:val="00174B69"/>
    <w:rsid w:val="001803C5"/>
    <w:rsid w:val="00182127"/>
    <w:rsid w:val="00182C4C"/>
    <w:rsid w:val="00183D3C"/>
    <w:rsid w:val="0018445D"/>
    <w:rsid w:val="00185621"/>
    <w:rsid w:val="00185675"/>
    <w:rsid w:val="001857CB"/>
    <w:rsid w:val="0019037B"/>
    <w:rsid w:val="0019037E"/>
    <w:rsid w:val="001928E4"/>
    <w:rsid w:val="001932A2"/>
    <w:rsid w:val="00193EC9"/>
    <w:rsid w:val="001946EE"/>
    <w:rsid w:val="00195A12"/>
    <w:rsid w:val="001967DB"/>
    <w:rsid w:val="0019726E"/>
    <w:rsid w:val="001A0E2F"/>
    <w:rsid w:val="001A1032"/>
    <w:rsid w:val="001A34AD"/>
    <w:rsid w:val="001A5E23"/>
    <w:rsid w:val="001A6218"/>
    <w:rsid w:val="001B0AE6"/>
    <w:rsid w:val="001B4F9D"/>
    <w:rsid w:val="001B5585"/>
    <w:rsid w:val="001B7892"/>
    <w:rsid w:val="001C0AEC"/>
    <w:rsid w:val="001C1B0D"/>
    <w:rsid w:val="001C1C20"/>
    <w:rsid w:val="001C3740"/>
    <w:rsid w:val="001C3D55"/>
    <w:rsid w:val="001C559C"/>
    <w:rsid w:val="001C63EC"/>
    <w:rsid w:val="001C6C09"/>
    <w:rsid w:val="001C6E19"/>
    <w:rsid w:val="001E2C81"/>
    <w:rsid w:val="001E5317"/>
    <w:rsid w:val="001E5E32"/>
    <w:rsid w:val="001F1F42"/>
    <w:rsid w:val="001F292A"/>
    <w:rsid w:val="001F2D43"/>
    <w:rsid w:val="001F4330"/>
    <w:rsid w:val="001F55A0"/>
    <w:rsid w:val="001F7F92"/>
    <w:rsid w:val="00201173"/>
    <w:rsid w:val="0020279E"/>
    <w:rsid w:val="00202F71"/>
    <w:rsid w:val="00203A24"/>
    <w:rsid w:val="00203E09"/>
    <w:rsid w:val="00204268"/>
    <w:rsid w:val="00206A48"/>
    <w:rsid w:val="00210E6F"/>
    <w:rsid w:val="00212C62"/>
    <w:rsid w:val="00213754"/>
    <w:rsid w:val="002155EF"/>
    <w:rsid w:val="00215739"/>
    <w:rsid w:val="00221581"/>
    <w:rsid w:val="00225139"/>
    <w:rsid w:val="002278A3"/>
    <w:rsid w:val="00231D15"/>
    <w:rsid w:val="002321DC"/>
    <w:rsid w:val="00233D0A"/>
    <w:rsid w:val="0023462F"/>
    <w:rsid w:val="0023516C"/>
    <w:rsid w:val="002405C4"/>
    <w:rsid w:val="0024521F"/>
    <w:rsid w:val="00247D45"/>
    <w:rsid w:val="00250C7D"/>
    <w:rsid w:val="00251A9E"/>
    <w:rsid w:val="00252620"/>
    <w:rsid w:val="002540E3"/>
    <w:rsid w:val="00257137"/>
    <w:rsid w:val="002601B2"/>
    <w:rsid w:val="002624BC"/>
    <w:rsid w:val="00262978"/>
    <w:rsid w:val="00262D43"/>
    <w:rsid w:val="002648BD"/>
    <w:rsid w:val="00264C7B"/>
    <w:rsid w:val="00264F9F"/>
    <w:rsid w:val="002713E4"/>
    <w:rsid w:val="00272FAF"/>
    <w:rsid w:val="00274993"/>
    <w:rsid w:val="0027667D"/>
    <w:rsid w:val="002779A4"/>
    <w:rsid w:val="002805AB"/>
    <w:rsid w:val="00281107"/>
    <w:rsid w:val="00281582"/>
    <w:rsid w:val="002842C3"/>
    <w:rsid w:val="00287370"/>
    <w:rsid w:val="0029001D"/>
    <w:rsid w:val="0029071E"/>
    <w:rsid w:val="002912BC"/>
    <w:rsid w:val="00294F4B"/>
    <w:rsid w:val="0029693C"/>
    <w:rsid w:val="00297568"/>
    <w:rsid w:val="002A73D1"/>
    <w:rsid w:val="002A7894"/>
    <w:rsid w:val="002A79B7"/>
    <w:rsid w:val="002B1790"/>
    <w:rsid w:val="002B1C53"/>
    <w:rsid w:val="002B27F2"/>
    <w:rsid w:val="002B4149"/>
    <w:rsid w:val="002B51A8"/>
    <w:rsid w:val="002C08D2"/>
    <w:rsid w:val="002C15BB"/>
    <w:rsid w:val="002C252D"/>
    <w:rsid w:val="002C49D8"/>
    <w:rsid w:val="002C4CBE"/>
    <w:rsid w:val="002C6814"/>
    <w:rsid w:val="002C7720"/>
    <w:rsid w:val="002C7CC8"/>
    <w:rsid w:val="002D0513"/>
    <w:rsid w:val="002D0639"/>
    <w:rsid w:val="002D0FCC"/>
    <w:rsid w:val="002D29CF"/>
    <w:rsid w:val="002D2ABB"/>
    <w:rsid w:val="002D3668"/>
    <w:rsid w:val="002E0EBD"/>
    <w:rsid w:val="002E1418"/>
    <w:rsid w:val="002E16E1"/>
    <w:rsid w:val="002E2B8E"/>
    <w:rsid w:val="002E2F1E"/>
    <w:rsid w:val="002E397B"/>
    <w:rsid w:val="002E4B55"/>
    <w:rsid w:val="002E4D67"/>
    <w:rsid w:val="002E750F"/>
    <w:rsid w:val="002E7DC4"/>
    <w:rsid w:val="002F22BC"/>
    <w:rsid w:val="002F2BF7"/>
    <w:rsid w:val="002F43B8"/>
    <w:rsid w:val="003007E2"/>
    <w:rsid w:val="00302C40"/>
    <w:rsid w:val="00302C62"/>
    <w:rsid w:val="00307480"/>
    <w:rsid w:val="00315037"/>
    <w:rsid w:val="00315BE4"/>
    <w:rsid w:val="00316848"/>
    <w:rsid w:val="00317598"/>
    <w:rsid w:val="00317EF1"/>
    <w:rsid w:val="003202A8"/>
    <w:rsid w:val="00321519"/>
    <w:rsid w:val="00321553"/>
    <w:rsid w:val="00323410"/>
    <w:rsid w:val="00324128"/>
    <w:rsid w:val="00324445"/>
    <w:rsid w:val="00326814"/>
    <w:rsid w:val="00326C6A"/>
    <w:rsid w:val="003276C2"/>
    <w:rsid w:val="0032794F"/>
    <w:rsid w:val="00330355"/>
    <w:rsid w:val="00335266"/>
    <w:rsid w:val="00335A7A"/>
    <w:rsid w:val="0033769B"/>
    <w:rsid w:val="00340AAC"/>
    <w:rsid w:val="00340F23"/>
    <w:rsid w:val="00341994"/>
    <w:rsid w:val="00343A7A"/>
    <w:rsid w:val="00345407"/>
    <w:rsid w:val="0034588B"/>
    <w:rsid w:val="003462BD"/>
    <w:rsid w:val="00346AF6"/>
    <w:rsid w:val="00347007"/>
    <w:rsid w:val="00347619"/>
    <w:rsid w:val="00350468"/>
    <w:rsid w:val="00350507"/>
    <w:rsid w:val="00351BC7"/>
    <w:rsid w:val="003521DE"/>
    <w:rsid w:val="0035306D"/>
    <w:rsid w:val="00353A17"/>
    <w:rsid w:val="00353C86"/>
    <w:rsid w:val="00353CAF"/>
    <w:rsid w:val="0035492B"/>
    <w:rsid w:val="0035799B"/>
    <w:rsid w:val="00357B15"/>
    <w:rsid w:val="00357BF1"/>
    <w:rsid w:val="00357C9C"/>
    <w:rsid w:val="00361A23"/>
    <w:rsid w:val="00363185"/>
    <w:rsid w:val="003648B8"/>
    <w:rsid w:val="00364E69"/>
    <w:rsid w:val="00367F65"/>
    <w:rsid w:val="00371A23"/>
    <w:rsid w:val="0037367E"/>
    <w:rsid w:val="00376587"/>
    <w:rsid w:val="00376AFB"/>
    <w:rsid w:val="00376D57"/>
    <w:rsid w:val="00377676"/>
    <w:rsid w:val="00377B10"/>
    <w:rsid w:val="003803A7"/>
    <w:rsid w:val="003811EB"/>
    <w:rsid w:val="00381B70"/>
    <w:rsid w:val="00383C52"/>
    <w:rsid w:val="00384866"/>
    <w:rsid w:val="00385659"/>
    <w:rsid w:val="00386454"/>
    <w:rsid w:val="0039303A"/>
    <w:rsid w:val="0039489D"/>
    <w:rsid w:val="00394961"/>
    <w:rsid w:val="00397ABA"/>
    <w:rsid w:val="003A1E05"/>
    <w:rsid w:val="003A213D"/>
    <w:rsid w:val="003A437A"/>
    <w:rsid w:val="003A55FF"/>
    <w:rsid w:val="003A5667"/>
    <w:rsid w:val="003A70C4"/>
    <w:rsid w:val="003A734C"/>
    <w:rsid w:val="003B0D8E"/>
    <w:rsid w:val="003B23AD"/>
    <w:rsid w:val="003B2962"/>
    <w:rsid w:val="003B46AF"/>
    <w:rsid w:val="003B6971"/>
    <w:rsid w:val="003C5010"/>
    <w:rsid w:val="003D00DD"/>
    <w:rsid w:val="003D0D1B"/>
    <w:rsid w:val="003D15F0"/>
    <w:rsid w:val="003D2AC4"/>
    <w:rsid w:val="003D435A"/>
    <w:rsid w:val="003D4B29"/>
    <w:rsid w:val="003D4EE1"/>
    <w:rsid w:val="003E031E"/>
    <w:rsid w:val="003E035D"/>
    <w:rsid w:val="003E057E"/>
    <w:rsid w:val="003E11FE"/>
    <w:rsid w:val="003E3D3C"/>
    <w:rsid w:val="003E633A"/>
    <w:rsid w:val="003E7092"/>
    <w:rsid w:val="003F179D"/>
    <w:rsid w:val="003F79CB"/>
    <w:rsid w:val="00404D6D"/>
    <w:rsid w:val="004053C8"/>
    <w:rsid w:val="00406507"/>
    <w:rsid w:val="00407202"/>
    <w:rsid w:val="00410F7E"/>
    <w:rsid w:val="00412225"/>
    <w:rsid w:val="00412EC2"/>
    <w:rsid w:val="0041409C"/>
    <w:rsid w:val="004140D4"/>
    <w:rsid w:val="004158BD"/>
    <w:rsid w:val="00420CDC"/>
    <w:rsid w:val="00424895"/>
    <w:rsid w:val="00425B77"/>
    <w:rsid w:val="004265CA"/>
    <w:rsid w:val="00426BF6"/>
    <w:rsid w:val="00427FAA"/>
    <w:rsid w:val="00430141"/>
    <w:rsid w:val="00431077"/>
    <w:rsid w:val="0043396A"/>
    <w:rsid w:val="00435DD8"/>
    <w:rsid w:val="00435FAA"/>
    <w:rsid w:val="00436BB1"/>
    <w:rsid w:val="00437F05"/>
    <w:rsid w:val="004400CE"/>
    <w:rsid w:val="0044221F"/>
    <w:rsid w:val="00444240"/>
    <w:rsid w:val="00444D5C"/>
    <w:rsid w:val="004458C8"/>
    <w:rsid w:val="00445A34"/>
    <w:rsid w:val="00445B88"/>
    <w:rsid w:val="00456B5E"/>
    <w:rsid w:val="00461E8D"/>
    <w:rsid w:val="0046257A"/>
    <w:rsid w:val="00464553"/>
    <w:rsid w:val="0046701C"/>
    <w:rsid w:val="00471A36"/>
    <w:rsid w:val="004723B0"/>
    <w:rsid w:val="00472C2A"/>
    <w:rsid w:val="0047346C"/>
    <w:rsid w:val="004758B6"/>
    <w:rsid w:val="00477D94"/>
    <w:rsid w:val="004806B8"/>
    <w:rsid w:val="004809D0"/>
    <w:rsid w:val="0048458B"/>
    <w:rsid w:val="00485AF9"/>
    <w:rsid w:val="004936A8"/>
    <w:rsid w:val="004947B9"/>
    <w:rsid w:val="00494BB3"/>
    <w:rsid w:val="00494C1D"/>
    <w:rsid w:val="00494FD0"/>
    <w:rsid w:val="00495B64"/>
    <w:rsid w:val="00495E4B"/>
    <w:rsid w:val="0049681A"/>
    <w:rsid w:val="00496876"/>
    <w:rsid w:val="004A3B08"/>
    <w:rsid w:val="004A4061"/>
    <w:rsid w:val="004A4352"/>
    <w:rsid w:val="004A5E44"/>
    <w:rsid w:val="004A63C9"/>
    <w:rsid w:val="004A66CE"/>
    <w:rsid w:val="004A7B66"/>
    <w:rsid w:val="004B0DE5"/>
    <w:rsid w:val="004B1F83"/>
    <w:rsid w:val="004B2EF7"/>
    <w:rsid w:val="004B5E4E"/>
    <w:rsid w:val="004B73DB"/>
    <w:rsid w:val="004C19D7"/>
    <w:rsid w:val="004C2DFF"/>
    <w:rsid w:val="004C3888"/>
    <w:rsid w:val="004D0124"/>
    <w:rsid w:val="004D3149"/>
    <w:rsid w:val="004D3371"/>
    <w:rsid w:val="004D3CA5"/>
    <w:rsid w:val="004D740B"/>
    <w:rsid w:val="004D7E24"/>
    <w:rsid w:val="004E05DC"/>
    <w:rsid w:val="004E1ABE"/>
    <w:rsid w:val="004E2159"/>
    <w:rsid w:val="004E240D"/>
    <w:rsid w:val="004E387D"/>
    <w:rsid w:val="004E5A82"/>
    <w:rsid w:val="004E75F3"/>
    <w:rsid w:val="004F0AF5"/>
    <w:rsid w:val="004F3E81"/>
    <w:rsid w:val="004F4D94"/>
    <w:rsid w:val="00500234"/>
    <w:rsid w:val="00500C98"/>
    <w:rsid w:val="00500D90"/>
    <w:rsid w:val="00501070"/>
    <w:rsid w:val="00502A64"/>
    <w:rsid w:val="00505694"/>
    <w:rsid w:val="00505F10"/>
    <w:rsid w:val="005065C9"/>
    <w:rsid w:val="00506B70"/>
    <w:rsid w:val="005118FD"/>
    <w:rsid w:val="0051410A"/>
    <w:rsid w:val="005152D4"/>
    <w:rsid w:val="00515729"/>
    <w:rsid w:val="00516D0C"/>
    <w:rsid w:val="00517AFC"/>
    <w:rsid w:val="00521A84"/>
    <w:rsid w:val="005222FA"/>
    <w:rsid w:val="00522B56"/>
    <w:rsid w:val="00523021"/>
    <w:rsid w:val="005233C4"/>
    <w:rsid w:val="005246DB"/>
    <w:rsid w:val="005313E0"/>
    <w:rsid w:val="00531A6E"/>
    <w:rsid w:val="0053334A"/>
    <w:rsid w:val="0053383A"/>
    <w:rsid w:val="005344FE"/>
    <w:rsid w:val="00535A2B"/>
    <w:rsid w:val="00536674"/>
    <w:rsid w:val="00536F29"/>
    <w:rsid w:val="0053793C"/>
    <w:rsid w:val="005415C6"/>
    <w:rsid w:val="00542746"/>
    <w:rsid w:val="00542AC8"/>
    <w:rsid w:val="00543770"/>
    <w:rsid w:val="00543C43"/>
    <w:rsid w:val="005440B8"/>
    <w:rsid w:val="005444EC"/>
    <w:rsid w:val="00550DA7"/>
    <w:rsid w:val="0055164F"/>
    <w:rsid w:val="00554F30"/>
    <w:rsid w:val="005563F1"/>
    <w:rsid w:val="00556975"/>
    <w:rsid w:val="00557B1E"/>
    <w:rsid w:val="00557E38"/>
    <w:rsid w:val="00557E46"/>
    <w:rsid w:val="00560270"/>
    <w:rsid w:val="00561789"/>
    <w:rsid w:val="005624D9"/>
    <w:rsid w:val="00565EDE"/>
    <w:rsid w:val="00571D6D"/>
    <w:rsid w:val="0057604B"/>
    <w:rsid w:val="00576C2C"/>
    <w:rsid w:val="0057715B"/>
    <w:rsid w:val="00580E2B"/>
    <w:rsid w:val="00583300"/>
    <w:rsid w:val="005836C9"/>
    <w:rsid w:val="00586189"/>
    <w:rsid w:val="00586D06"/>
    <w:rsid w:val="00590741"/>
    <w:rsid w:val="005933A1"/>
    <w:rsid w:val="005954B1"/>
    <w:rsid w:val="00596EE6"/>
    <w:rsid w:val="00597E81"/>
    <w:rsid w:val="005A1EC5"/>
    <w:rsid w:val="005A3BD1"/>
    <w:rsid w:val="005A5762"/>
    <w:rsid w:val="005A69D7"/>
    <w:rsid w:val="005A7A6A"/>
    <w:rsid w:val="005B00D3"/>
    <w:rsid w:val="005B052D"/>
    <w:rsid w:val="005B0990"/>
    <w:rsid w:val="005B21F9"/>
    <w:rsid w:val="005B4914"/>
    <w:rsid w:val="005B60CC"/>
    <w:rsid w:val="005C27FF"/>
    <w:rsid w:val="005C430B"/>
    <w:rsid w:val="005C46CE"/>
    <w:rsid w:val="005C63F3"/>
    <w:rsid w:val="005C65CB"/>
    <w:rsid w:val="005C6983"/>
    <w:rsid w:val="005C788E"/>
    <w:rsid w:val="005D09A2"/>
    <w:rsid w:val="005D30CE"/>
    <w:rsid w:val="005D50FC"/>
    <w:rsid w:val="005D593A"/>
    <w:rsid w:val="005D68E9"/>
    <w:rsid w:val="005D6DCE"/>
    <w:rsid w:val="005E31DF"/>
    <w:rsid w:val="005E7905"/>
    <w:rsid w:val="005F1D2F"/>
    <w:rsid w:val="005F2DDA"/>
    <w:rsid w:val="005F3C69"/>
    <w:rsid w:val="005F7ECD"/>
    <w:rsid w:val="00601F95"/>
    <w:rsid w:val="00603DF5"/>
    <w:rsid w:val="00606B4F"/>
    <w:rsid w:val="006075AA"/>
    <w:rsid w:val="00612373"/>
    <w:rsid w:val="00613BC1"/>
    <w:rsid w:val="00615B03"/>
    <w:rsid w:val="00616FF7"/>
    <w:rsid w:val="00621DD2"/>
    <w:rsid w:val="00622E89"/>
    <w:rsid w:val="00623C1A"/>
    <w:rsid w:val="00625303"/>
    <w:rsid w:val="006257E0"/>
    <w:rsid w:val="00625D44"/>
    <w:rsid w:val="00625EE2"/>
    <w:rsid w:val="0062668F"/>
    <w:rsid w:val="006267B0"/>
    <w:rsid w:val="00626D22"/>
    <w:rsid w:val="00630188"/>
    <w:rsid w:val="006305C9"/>
    <w:rsid w:val="0063066B"/>
    <w:rsid w:val="006307C5"/>
    <w:rsid w:val="00631251"/>
    <w:rsid w:val="00631EA2"/>
    <w:rsid w:val="00632D6E"/>
    <w:rsid w:val="006334FA"/>
    <w:rsid w:val="00633744"/>
    <w:rsid w:val="006354BB"/>
    <w:rsid w:val="00636BBC"/>
    <w:rsid w:val="00637DAF"/>
    <w:rsid w:val="00640903"/>
    <w:rsid w:val="00640F0E"/>
    <w:rsid w:val="00642210"/>
    <w:rsid w:val="006445C1"/>
    <w:rsid w:val="006458DB"/>
    <w:rsid w:val="00645D42"/>
    <w:rsid w:val="006508E1"/>
    <w:rsid w:val="00650F33"/>
    <w:rsid w:val="006520BA"/>
    <w:rsid w:val="00654E2C"/>
    <w:rsid w:val="00660703"/>
    <w:rsid w:val="006625EE"/>
    <w:rsid w:val="006731D9"/>
    <w:rsid w:val="006734B2"/>
    <w:rsid w:val="0067356D"/>
    <w:rsid w:val="00673C66"/>
    <w:rsid w:val="00674B1C"/>
    <w:rsid w:val="00676696"/>
    <w:rsid w:val="00676FD8"/>
    <w:rsid w:val="00676FE4"/>
    <w:rsid w:val="006802B8"/>
    <w:rsid w:val="006804C5"/>
    <w:rsid w:val="0068052B"/>
    <w:rsid w:val="00680C8E"/>
    <w:rsid w:val="00680EAF"/>
    <w:rsid w:val="00682B9C"/>
    <w:rsid w:val="00685499"/>
    <w:rsid w:val="0068797E"/>
    <w:rsid w:val="006925D6"/>
    <w:rsid w:val="00692F64"/>
    <w:rsid w:val="00693BD4"/>
    <w:rsid w:val="006959B0"/>
    <w:rsid w:val="006967C1"/>
    <w:rsid w:val="00696802"/>
    <w:rsid w:val="00697F54"/>
    <w:rsid w:val="006A1207"/>
    <w:rsid w:val="006A29A0"/>
    <w:rsid w:val="006A6146"/>
    <w:rsid w:val="006A73CE"/>
    <w:rsid w:val="006A7E40"/>
    <w:rsid w:val="006B05DA"/>
    <w:rsid w:val="006B086F"/>
    <w:rsid w:val="006B283B"/>
    <w:rsid w:val="006B3A3B"/>
    <w:rsid w:val="006B615E"/>
    <w:rsid w:val="006B760D"/>
    <w:rsid w:val="006B7636"/>
    <w:rsid w:val="006C0F77"/>
    <w:rsid w:val="006C1009"/>
    <w:rsid w:val="006C26A2"/>
    <w:rsid w:val="006C38A4"/>
    <w:rsid w:val="006C3E9E"/>
    <w:rsid w:val="006D07E8"/>
    <w:rsid w:val="006D0E9C"/>
    <w:rsid w:val="006D2C83"/>
    <w:rsid w:val="006D50ED"/>
    <w:rsid w:val="006D5345"/>
    <w:rsid w:val="006D7025"/>
    <w:rsid w:val="006E13B9"/>
    <w:rsid w:val="006E1966"/>
    <w:rsid w:val="006E19A0"/>
    <w:rsid w:val="006E2417"/>
    <w:rsid w:val="006E29BA"/>
    <w:rsid w:val="006E3AA7"/>
    <w:rsid w:val="006E4F7A"/>
    <w:rsid w:val="006E50B1"/>
    <w:rsid w:val="006E7B18"/>
    <w:rsid w:val="006F33D0"/>
    <w:rsid w:val="006F3A0A"/>
    <w:rsid w:val="006F537C"/>
    <w:rsid w:val="006F5DA1"/>
    <w:rsid w:val="006F5F52"/>
    <w:rsid w:val="006F78BE"/>
    <w:rsid w:val="007005FD"/>
    <w:rsid w:val="00700DE0"/>
    <w:rsid w:val="007014FE"/>
    <w:rsid w:val="00702B61"/>
    <w:rsid w:val="00703DA2"/>
    <w:rsid w:val="007045C2"/>
    <w:rsid w:val="00705AC7"/>
    <w:rsid w:val="007075AA"/>
    <w:rsid w:val="00711035"/>
    <w:rsid w:val="00711F75"/>
    <w:rsid w:val="0071343B"/>
    <w:rsid w:val="00713ADB"/>
    <w:rsid w:val="0071564F"/>
    <w:rsid w:val="00716331"/>
    <w:rsid w:val="00716D26"/>
    <w:rsid w:val="007207DE"/>
    <w:rsid w:val="00720C96"/>
    <w:rsid w:val="00722910"/>
    <w:rsid w:val="0072387C"/>
    <w:rsid w:val="00727748"/>
    <w:rsid w:val="00730C0D"/>
    <w:rsid w:val="00733410"/>
    <w:rsid w:val="007338AE"/>
    <w:rsid w:val="007347B3"/>
    <w:rsid w:val="00735692"/>
    <w:rsid w:val="00741710"/>
    <w:rsid w:val="00742614"/>
    <w:rsid w:val="00743297"/>
    <w:rsid w:val="007448D2"/>
    <w:rsid w:val="00744EC4"/>
    <w:rsid w:val="007463AE"/>
    <w:rsid w:val="00746F70"/>
    <w:rsid w:val="00751931"/>
    <w:rsid w:val="00751F9F"/>
    <w:rsid w:val="00752286"/>
    <w:rsid w:val="00754F41"/>
    <w:rsid w:val="007556F6"/>
    <w:rsid w:val="00760444"/>
    <w:rsid w:val="00762122"/>
    <w:rsid w:val="00766C0C"/>
    <w:rsid w:val="00771AC5"/>
    <w:rsid w:val="0077251F"/>
    <w:rsid w:val="00774E03"/>
    <w:rsid w:val="007766D8"/>
    <w:rsid w:val="00777DB2"/>
    <w:rsid w:val="00782E29"/>
    <w:rsid w:val="0078406F"/>
    <w:rsid w:val="00785B7E"/>
    <w:rsid w:val="00787A94"/>
    <w:rsid w:val="0079088D"/>
    <w:rsid w:val="00791003"/>
    <w:rsid w:val="00791C88"/>
    <w:rsid w:val="00791E48"/>
    <w:rsid w:val="00792D4C"/>
    <w:rsid w:val="00792E08"/>
    <w:rsid w:val="00792F78"/>
    <w:rsid w:val="00796E02"/>
    <w:rsid w:val="007A1719"/>
    <w:rsid w:val="007A2B83"/>
    <w:rsid w:val="007A6B85"/>
    <w:rsid w:val="007A6F71"/>
    <w:rsid w:val="007B01AC"/>
    <w:rsid w:val="007B0570"/>
    <w:rsid w:val="007B1725"/>
    <w:rsid w:val="007B29DD"/>
    <w:rsid w:val="007B3AAC"/>
    <w:rsid w:val="007B5624"/>
    <w:rsid w:val="007B61DC"/>
    <w:rsid w:val="007B7587"/>
    <w:rsid w:val="007B7B27"/>
    <w:rsid w:val="007C230E"/>
    <w:rsid w:val="007C72E0"/>
    <w:rsid w:val="007D02D0"/>
    <w:rsid w:val="007D0859"/>
    <w:rsid w:val="007D2087"/>
    <w:rsid w:val="007D3F96"/>
    <w:rsid w:val="007D50C2"/>
    <w:rsid w:val="007D6C47"/>
    <w:rsid w:val="007D7744"/>
    <w:rsid w:val="007E1643"/>
    <w:rsid w:val="007E50E2"/>
    <w:rsid w:val="007F1F11"/>
    <w:rsid w:val="007F38B1"/>
    <w:rsid w:val="007F3B9B"/>
    <w:rsid w:val="007F6C6F"/>
    <w:rsid w:val="00802395"/>
    <w:rsid w:val="00802D95"/>
    <w:rsid w:val="00804E02"/>
    <w:rsid w:val="00812D3D"/>
    <w:rsid w:val="008149F7"/>
    <w:rsid w:val="00817E95"/>
    <w:rsid w:val="008229D4"/>
    <w:rsid w:val="00822F22"/>
    <w:rsid w:val="00823049"/>
    <w:rsid w:val="0082564D"/>
    <w:rsid w:val="00826486"/>
    <w:rsid w:val="008271AA"/>
    <w:rsid w:val="0082745D"/>
    <w:rsid w:val="008326B4"/>
    <w:rsid w:val="00835450"/>
    <w:rsid w:val="00835529"/>
    <w:rsid w:val="00836CAF"/>
    <w:rsid w:val="00837627"/>
    <w:rsid w:val="0084252F"/>
    <w:rsid w:val="00844A6E"/>
    <w:rsid w:val="00844E3F"/>
    <w:rsid w:val="00845392"/>
    <w:rsid w:val="00845BA7"/>
    <w:rsid w:val="008500EC"/>
    <w:rsid w:val="00851023"/>
    <w:rsid w:val="00860A36"/>
    <w:rsid w:val="008616E5"/>
    <w:rsid w:val="00863803"/>
    <w:rsid w:val="00863A33"/>
    <w:rsid w:val="00867338"/>
    <w:rsid w:val="0087020F"/>
    <w:rsid w:val="00871228"/>
    <w:rsid w:val="0087197C"/>
    <w:rsid w:val="008736CB"/>
    <w:rsid w:val="00873C45"/>
    <w:rsid w:val="00873D0A"/>
    <w:rsid w:val="008756C3"/>
    <w:rsid w:val="00880166"/>
    <w:rsid w:val="00881439"/>
    <w:rsid w:val="0088560E"/>
    <w:rsid w:val="00890DC6"/>
    <w:rsid w:val="00891836"/>
    <w:rsid w:val="008928CD"/>
    <w:rsid w:val="0089316D"/>
    <w:rsid w:val="00894E22"/>
    <w:rsid w:val="00895C9F"/>
    <w:rsid w:val="00895D8E"/>
    <w:rsid w:val="00897587"/>
    <w:rsid w:val="008A12A5"/>
    <w:rsid w:val="008A1A60"/>
    <w:rsid w:val="008A2880"/>
    <w:rsid w:val="008A2B14"/>
    <w:rsid w:val="008A2D71"/>
    <w:rsid w:val="008A2F96"/>
    <w:rsid w:val="008A355C"/>
    <w:rsid w:val="008A41C5"/>
    <w:rsid w:val="008A42F3"/>
    <w:rsid w:val="008A5550"/>
    <w:rsid w:val="008A7087"/>
    <w:rsid w:val="008B0EB0"/>
    <w:rsid w:val="008B22A9"/>
    <w:rsid w:val="008B390F"/>
    <w:rsid w:val="008B5718"/>
    <w:rsid w:val="008B7FD7"/>
    <w:rsid w:val="008C0983"/>
    <w:rsid w:val="008C2A18"/>
    <w:rsid w:val="008C5649"/>
    <w:rsid w:val="008C638D"/>
    <w:rsid w:val="008C6749"/>
    <w:rsid w:val="008C7B7B"/>
    <w:rsid w:val="008D0A2B"/>
    <w:rsid w:val="008D1504"/>
    <w:rsid w:val="008D31E2"/>
    <w:rsid w:val="008D3255"/>
    <w:rsid w:val="008D32E8"/>
    <w:rsid w:val="008D3524"/>
    <w:rsid w:val="008D4302"/>
    <w:rsid w:val="008D6973"/>
    <w:rsid w:val="008D722F"/>
    <w:rsid w:val="008D7E8F"/>
    <w:rsid w:val="008E22B0"/>
    <w:rsid w:val="008E24FA"/>
    <w:rsid w:val="008E34A2"/>
    <w:rsid w:val="008E519E"/>
    <w:rsid w:val="008E5862"/>
    <w:rsid w:val="008E7931"/>
    <w:rsid w:val="008F3F67"/>
    <w:rsid w:val="008F5C24"/>
    <w:rsid w:val="00907DBB"/>
    <w:rsid w:val="00910626"/>
    <w:rsid w:val="00912059"/>
    <w:rsid w:val="00914F6E"/>
    <w:rsid w:val="009154EB"/>
    <w:rsid w:val="00915F1F"/>
    <w:rsid w:val="00916CF1"/>
    <w:rsid w:val="00916E10"/>
    <w:rsid w:val="00917022"/>
    <w:rsid w:val="00921464"/>
    <w:rsid w:val="00921BDA"/>
    <w:rsid w:val="00922128"/>
    <w:rsid w:val="00922663"/>
    <w:rsid w:val="00922EB3"/>
    <w:rsid w:val="009230DA"/>
    <w:rsid w:val="0092332C"/>
    <w:rsid w:val="00923E6A"/>
    <w:rsid w:val="00925660"/>
    <w:rsid w:val="00925CBA"/>
    <w:rsid w:val="00930051"/>
    <w:rsid w:val="00931770"/>
    <w:rsid w:val="009332B0"/>
    <w:rsid w:val="00934ADD"/>
    <w:rsid w:val="00937D72"/>
    <w:rsid w:val="00941A70"/>
    <w:rsid w:val="00941D6F"/>
    <w:rsid w:val="0094210B"/>
    <w:rsid w:val="00945944"/>
    <w:rsid w:val="009469BC"/>
    <w:rsid w:val="00946CD1"/>
    <w:rsid w:val="00947A70"/>
    <w:rsid w:val="0095006E"/>
    <w:rsid w:val="009506C6"/>
    <w:rsid w:val="009519A2"/>
    <w:rsid w:val="00955C1A"/>
    <w:rsid w:val="00956DCC"/>
    <w:rsid w:val="00960050"/>
    <w:rsid w:val="00965373"/>
    <w:rsid w:val="009664F1"/>
    <w:rsid w:val="00970375"/>
    <w:rsid w:val="00970DA7"/>
    <w:rsid w:val="00971039"/>
    <w:rsid w:val="009746D7"/>
    <w:rsid w:val="00975950"/>
    <w:rsid w:val="009771CE"/>
    <w:rsid w:val="009808C6"/>
    <w:rsid w:val="00981873"/>
    <w:rsid w:val="0098311A"/>
    <w:rsid w:val="00983A61"/>
    <w:rsid w:val="009841C3"/>
    <w:rsid w:val="0098538E"/>
    <w:rsid w:val="00985432"/>
    <w:rsid w:val="00985C2B"/>
    <w:rsid w:val="0099197B"/>
    <w:rsid w:val="00993857"/>
    <w:rsid w:val="00995498"/>
    <w:rsid w:val="00996704"/>
    <w:rsid w:val="00997DE5"/>
    <w:rsid w:val="009A0A59"/>
    <w:rsid w:val="009A0DA4"/>
    <w:rsid w:val="009A1962"/>
    <w:rsid w:val="009A37E4"/>
    <w:rsid w:val="009A3B59"/>
    <w:rsid w:val="009A43DE"/>
    <w:rsid w:val="009A4778"/>
    <w:rsid w:val="009A5E25"/>
    <w:rsid w:val="009A7086"/>
    <w:rsid w:val="009B0535"/>
    <w:rsid w:val="009B2D4F"/>
    <w:rsid w:val="009B413B"/>
    <w:rsid w:val="009B489B"/>
    <w:rsid w:val="009B6FC3"/>
    <w:rsid w:val="009C1B63"/>
    <w:rsid w:val="009C2C8E"/>
    <w:rsid w:val="009C2E53"/>
    <w:rsid w:val="009C3828"/>
    <w:rsid w:val="009C4A14"/>
    <w:rsid w:val="009C4BB8"/>
    <w:rsid w:val="009D22FE"/>
    <w:rsid w:val="009D2704"/>
    <w:rsid w:val="009D297F"/>
    <w:rsid w:val="009D2A66"/>
    <w:rsid w:val="009D3D21"/>
    <w:rsid w:val="009D3F95"/>
    <w:rsid w:val="009D6E34"/>
    <w:rsid w:val="009E279C"/>
    <w:rsid w:val="009E304E"/>
    <w:rsid w:val="009E33D0"/>
    <w:rsid w:val="009E78BD"/>
    <w:rsid w:val="009E7B29"/>
    <w:rsid w:val="009F2AFB"/>
    <w:rsid w:val="009F352B"/>
    <w:rsid w:val="009F3F5D"/>
    <w:rsid w:val="009F66EF"/>
    <w:rsid w:val="009F7E70"/>
    <w:rsid w:val="00A004E1"/>
    <w:rsid w:val="00A0290E"/>
    <w:rsid w:val="00A052E7"/>
    <w:rsid w:val="00A07D6C"/>
    <w:rsid w:val="00A07D81"/>
    <w:rsid w:val="00A10634"/>
    <w:rsid w:val="00A10DCB"/>
    <w:rsid w:val="00A11857"/>
    <w:rsid w:val="00A12277"/>
    <w:rsid w:val="00A13600"/>
    <w:rsid w:val="00A14615"/>
    <w:rsid w:val="00A14F0E"/>
    <w:rsid w:val="00A155B0"/>
    <w:rsid w:val="00A179D3"/>
    <w:rsid w:val="00A211CE"/>
    <w:rsid w:val="00A219C7"/>
    <w:rsid w:val="00A21C38"/>
    <w:rsid w:val="00A21F77"/>
    <w:rsid w:val="00A22777"/>
    <w:rsid w:val="00A24C87"/>
    <w:rsid w:val="00A26454"/>
    <w:rsid w:val="00A264B1"/>
    <w:rsid w:val="00A26505"/>
    <w:rsid w:val="00A27284"/>
    <w:rsid w:val="00A27A1E"/>
    <w:rsid w:val="00A309B8"/>
    <w:rsid w:val="00A30C77"/>
    <w:rsid w:val="00A30D8D"/>
    <w:rsid w:val="00A31732"/>
    <w:rsid w:val="00A35779"/>
    <w:rsid w:val="00A37028"/>
    <w:rsid w:val="00A37231"/>
    <w:rsid w:val="00A40B40"/>
    <w:rsid w:val="00A41BE4"/>
    <w:rsid w:val="00A42CCF"/>
    <w:rsid w:val="00A43A0C"/>
    <w:rsid w:val="00A44061"/>
    <w:rsid w:val="00A4413B"/>
    <w:rsid w:val="00A45200"/>
    <w:rsid w:val="00A51B6E"/>
    <w:rsid w:val="00A531EC"/>
    <w:rsid w:val="00A53372"/>
    <w:rsid w:val="00A57DD9"/>
    <w:rsid w:val="00A6053E"/>
    <w:rsid w:val="00A6203B"/>
    <w:rsid w:val="00A62666"/>
    <w:rsid w:val="00A63E7E"/>
    <w:rsid w:val="00A66D3F"/>
    <w:rsid w:val="00A6715F"/>
    <w:rsid w:val="00A70FE1"/>
    <w:rsid w:val="00A71E2E"/>
    <w:rsid w:val="00A76855"/>
    <w:rsid w:val="00A77B67"/>
    <w:rsid w:val="00A77E48"/>
    <w:rsid w:val="00A80243"/>
    <w:rsid w:val="00A82020"/>
    <w:rsid w:val="00A82EFA"/>
    <w:rsid w:val="00A83084"/>
    <w:rsid w:val="00A83CE1"/>
    <w:rsid w:val="00A8512D"/>
    <w:rsid w:val="00A87829"/>
    <w:rsid w:val="00A90CD0"/>
    <w:rsid w:val="00A90D64"/>
    <w:rsid w:val="00A91AB2"/>
    <w:rsid w:val="00A94849"/>
    <w:rsid w:val="00A94EFE"/>
    <w:rsid w:val="00A95F44"/>
    <w:rsid w:val="00AA008D"/>
    <w:rsid w:val="00AA0E53"/>
    <w:rsid w:val="00AA2CB8"/>
    <w:rsid w:val="00AA2DE8"/>
    <w:rsid w:val="00AA43BF"/>
    <w:rsid w:val="00AA5B43"/>
    <w:rsid w:val="00AB0D9F"/>
    <w:rsid w:val="00AB126A"/>
    <w:rsid w:val="00AB1E19"/>
    <w:rsid w:val="00AB21E3"/>
    <w:rsid w:val="00AB4708"/>
    <w:rsid w:val="00AC10A9"/>
    <w:rsid w:val="00AC1E74"/>
    <w:rsid w:val="00AC5700"/>
    <w:rsid w:val="00AC6545"/>
    <w:rsid w:val="00AC6DAC"/>
    <w:rsid w:val="00AD0080"/>
    <w:rsid w:val="00AD12ED"/>
    <w:rsid w:val="00AD1BE7"/>
    <w:rsid w:val="00AD223F"/>
    <w:rsid w:val="00AD3C4D"/>
    <w:rsid w:val="00AD5AEA"/>
    <w:rsid w:val="00AD6827"/>
    <w:rsid w:val="00AD713B"/>
    <w:rsid w:val="00AE0023"/>
    <w:rsid w:val="00AE1217"/>
    <w:rsid w:val="00AE4CC8"/>
    <w:rsid w:val="00AE642E"/>
    <w:rsid w:val="00AF08A3"/>
    <w:rsid w:val="00AF190C"/>
    <w:rsid w:val="00AF1A4B"/>
    <w:rsid w:val="00AF1F81"/>
    <w:rsid w:val="00AF3629"/>
    <w:rsid w:val="00AF5763"/>
    <w:rsid w:val="00AF60DB"/>
    <w:rsid w:val="00AF761C"/>
    <w:rsid w:val="00B00994"/>
    <w:rsid w:val="00B00F71"/>
    <w:rsid w:val="00B04B21"/>
    <w:rsid w:val="00B0590E"/>
    <w:rsid w:val="00B05A2C"/>
    <w:rsid w:val="00B065F3"/>
    <w:rsid w:val="00B07B66"/>
    <w:rsid w:val="00B11100"/>
    <w:rsid w:val="00B142E1"/>
    <w:rsid w:val="00B21BDD"/>
    <w:rsid w:val="00B22E1E"/>
    <w:rsid w:val="00B311DA"/>
    <w:rsid w:val="00B33DA5"/>
    <w:rsid w:val="00B34660"/>
    <w:rsid w:val="00B36A57"/>
    <w:rsid w:val="00B37780"/>
    <w:rsid w:val="00B404AD"/>
    <w:rsid w:val="00B428BA"/>
    <w:rsid w:val="00B42AB2"/>
    <w:rsid w:val="00B430FA"/>
    <w:rsid w:val="00B46A61"/>
    <w:rsid w:val="00B46F95"/>
    <w:rsid w:val="00B47708"/>
    <w:rsid w:val="00B47ABB"/>
    <w:rsid w:val="00B52480"/>
    <w:rsid w:val="00B52624"/>
    <w:rsid w:val="00B533E4"/>
    <w:rsid w:val="00B54972"/>
    <w:rsid w:val="00B54C09"/>
    <w:rsid w:val="00B608FA"/>
    <w:rsid w:val="00B636C5"/>
    <w:rsid w:val="00B6424C"/>
    <w:rsid w:val="00B65845"/>
    <w:rsid w:val="00B66568"/>
    <w:rsid w:val="00B67BAA"/>
    <w:rsid w:val="00B7133B"/>
    <w:rsid w:val="00B716AB"/>
    <w:rsid w:val="00B72981"/>
    <w:rsid w:val="00B73D90"/>
    <w:rsid w:val="00B74C6D"/>
    <w:rsid w:val="00B74D86"/>
    <w:rsid w:val="00B752CB"/>
    <w:rsid w:val="00B82C05"/>
    <w:rsid w:val="00B8417B"/>
    <w:rsid w:val="00B84524"/>
    <w:rsid w:val="00B847A6"/>
    <w:rsid w:val="00B84AC3"/>
    <w:rsid w:val="00B869F7"/>
    <w:rsid w:val="00B878F3"/>
    <w:rsid w:val="00B937E6"/>
    <w:rsid w:val="00B949C3"/>
    <w:rsid w:val="00B974D9"/>
    <w:rsid w:val="00B97B5E"/>
    <w:rsid w:val="00BA45D9"/>
    <w:rsid w:val="00BA5E17"/>
    <w:rsid w:val="00BB0CB4"/>
    <w:rsid w:val="00BB1AEF"/>
    <w:rsid w:val="00BB1C62"/>
    <w:rsid w:val="00BB2145"/>
    <w:rsid w:val="00BB29EB"/>
    <w:rsid w:val="00BB4D96"/>
    <w:rsid w:val="00BB5372"/>
    <w:rsid w:val="00BB5D4A"/>
    <w:rsid w:val="00BB708F"/>
    <w:rsid w:val="00BB7851"/>
    <w:rsid w:val="00BC0CAA"/>
    <w:rsid w:val="00BC1455"/>
    <w:rsid w:val="00BC23D2"/>
    <w:rsid w:val="00BD08DA"/>
    <w:rsid w:val="00BD1ACA"/>
    <w:rsid w:val="00BD20BB"/>
    <w:rsid w:val="00BD37CC"/>
    <w:rsid w:val="00BD4A54"/>
    <w:rsid w:val="00BD4C04"/>
    <w:rsid w:val="00BD5149"/>
    <w:rsid w:val="00BE0587"/>
    <w:rsid w:val="00BE0C93"/>
    <w:rsid w:val="00BE22F6"/>
    <w:rsid w:val="00BE404D"/>
    <w:rsid w:val="00BE48A5"/>
    <w:rsid w:val="00BE562C"/>
    <w:rsid w:val="00BF1749"/>
    <w:rsid w:val="00BF2377"/>
    <w:rsid w:val="00BF388D"/>
    <w:rsid w:val="00BF45B9"/>
    <w:rsid w:val="00BF6AB5"/>
    <w:rsid w:val="00BF7E3A"/>
    <w:rsid w:val="00C0034C"/>
    <w:rsid w:val="00C03BFD"/>
    <w:rsid w:val="00C050F9"/>
    <w:rsid w:val="00C071FD"/>
    <w:rsid w:val="00C07E4B"/>
    <w:rsid w:val="00C12164"/>
    <w:rsid w:val="00C13E13"/>
    <w:rsid w:val="00C13E97"/>
    <w:rsid w:val="00C140C9"/>
    <w:rsid w:val="00C1439D"/>
    <w:rsid w:val="00C2651F"/>
    <w:rsid w:val="00C27569"/>
    <w:rsid w:val="00C305AD"/>
    <w:rsid w:val="00C3135C"/>
    <w:rsid w:val="00C31AA1"/>
    <w:rsid w:val="00C3304A"/>
    <w:rsid w:val="00C34BB6"/>
    <w:rsid w:val="00C35DD9"/>
    <w:rsid w:val="00C4368A"/>
    <w:rsid w:val="00C44EC4"/>
    <w:rsid w:val="00C45A19"/>
    <w:rsid w:val="00C45CB1"/>
    <w:rsid w:val="00C45D89"/>
    <w:rsid w:val="00C46584"/>
    <w:rsid w:val="00C46759"/>
    <w:rsid w:val="00C474A9"/>
    <w:rsid w:val="00C502A7"/>
    <w:rsid w:val="00C51351"/>
    <w:rsid w:val="00C52334"/>
    <w:rsid w:val="00C528FB"/>
    <w:rsid w:val="00C5291A"/>
    <w:rsid w:val="00C52E21"/>
    <w:rsid w:val="00C536A8"/>
    <w:rsid w:val="00C54BF1"/>
    <w:rsid w:val="00C54F7F"/>
    <w:rsid w:val="00C55421"/>
    <w:rsid w:val="00C55EC9"/>
    <w:rsid w:val="00C56915"/>
    <w:rsid w:val="00C577BD"/>
    <w:rsid w:val="00C57831"/>
    <w:rsid w:val="00C603F2"/>
    <w:rsid w:val="00C639A3"/>
    <w:rsid w:val="00C63FF3"/>
    <w:rsid w:val="00C64687"/>
    <w:rsid w:val="00C72291"/>
    <w:rsid w:val="00C73099"/>
    <w:rsid w:val="00C7349F"/>
    <w:rsid w:val="00C74276"/>
    <w:rsid w:val="00C759FC"/>
    <w:rsid w:val="00C764A3"/>
    <w:rsid w:val="00C76B60"/>
    <w:rsid w:val="00C8681E"/>
    <w:rsid w:val="00C913AE"/>
    <w:rsid w:val="00C93264"/>
    <w:rsid w:val="00C95230"/>
    <w:rsid w:val="00CA1BEF"/>
    <w:rsid w:val="00CA482A"/>
    <w:rsid w:val="00CA6326"/>
    <w:rsid w:val="00CB0307"/>
    <w:rsid w:val="00CB42EF"/>
    <w:rsid w:val="00CB4C27"/>
    <w:rsid w:val="00CB5262"/>
    <w:rsid w:val="00CB608A"/>
    <w:rsid w:val="00CB75E3"/>
    <w:rsid w:val="00CB7988"/>
    <w:rsid w:val="00CC1836"/>
    <w:rsid w:val="00CC3FEA"/>
    <w:rsid w:val="00CC40BC"/>
    <w:rsid w:val="00CC4B9F"/>
    <w:rsid w:val="00CC4F75"/>
    <w:rsid w:val="00CC63DB"/>
    <w:rsid w:val="00CC7D89"/>
    <w:rsid w:val="00CD1FBD"/>
    <w:rsid w:val="00CD2562"/>
    <w:rsid w:val="00CD393B"/>
    <w:rsid w:val="00CD3EFD"/>
    <w:rsid w:val="00CD4702"/>
    <w:rsid w:val="00CD50EC"/>
    <w:rsid w:val="00CD5742"/>
    <w:rsid w:val="00CD793B"/>
    <w:rsid w:val="00CE19C4"/>
    <w:rsid w:val="00CE3C55"/>
    <w:rsid w:val="00CE5322"/>
    <w:rsid w:val="00CF1786"/>
    <w:rsid w:val="00CF1FE8"/>
    <w:rsid w:val="00CF27D4"/>
    <w:rsid w:val="00CF2EAB"/>
    <w:rsid w:val="00CF6450"/>
    <w:rsid w:val="00D00A7F"/>
    <w:rsid w:val="00D05440"/>
    <w:rsid w:val="00D054F8"/>
    <w:rsid w:val="00D065EE"/>
    <w:rsid w:val="00D11D3E"/>
    <w:rsid w:val="00D1462B"/>
    <w:rsid w:val="00D1483A"/>
    <w:rsid w:val="00D14B2F"/>
    <w:rsid w:val="00D14EC8"/>
    <w:rsid w:val="00D15E5C"/>
    <w:rsid w:val="00D16A59"/>
    <w:rsid w:val="00D176F3"/>
    <w:rsid w:val="00D2192C"/>
    <w:rsid w:val="00D2278A"/>
    <w:rsid w:val="00D24B74"/>
    <w:rsid w:val="00D26FF5"/>
    <w:rsid w:val="00D31406"/>
    <w:rsid w:val="00D315F3"/>
    <w:rsid w:val="00D321A1"/>
    <w:rsid w:val="00D3252E"/>
    <w:rsid w:val="00D33231"/>
    <w:rsid w:val="00D342EB"/>
    <w:rsid w:val="00D40770"/>
    <w:rsid w:val="00D42DF8"/>
    <w:rsid w:val="00D42EFB"/>
    <w:rsid w:val="00D43C6E"/>
    <w:rsid w:val="00D445C1"/>
    <w:rsid w:val="00D44FA7"/>
    <w:rsid w:val="00D47E32"/>
    <w:rsid w:val="00D50409"/>
    <w:rsid w:val="00D51040"/>
    <w:rsid w:val="00D5217D"/>
    <w:rsid w:val="00D5283C"/>
    <w:rsid w:val="00D56444"/>
    <w:rsid w:val="00D5766A"/>
    <w:rsid w:val="00D60745"/>
    <w:rsid w:val="00D61163"/>
    <w:rsid w:val="00D623D2"/>
    <w:rsid w:val="00D71C1B"/>
    <w:rsid w:val="00D72605"/>
    <w:rsid w:val="00D7261F"/>
    <w:rsid w:val="00D7288B"/>
    <w:rsid w:val="00D72917"/>
    <w:rsid w:val="00D72BD1"/>
    <w:rsid w:val="00D7490E"/>
    <w:rsid w:val="00D80C7F"/>
    <w:rsid w:val="00D8225A"/>
    <w:rsid w:val="00D86F16"/>
    <w:rsid w:val="00D87DCD"/>
    <w:rsid w:val="00DA0CC6"/>
    <w:rsid w:val="00DA6500"/>
    <w:rsid w:val="00DB0056"/>
    <w:rsid w:val="00DB0730"/>
    <w:rsid w:val="00DB10B8"/>
    <w:rsid w:val="00DB2375"/>
    <w:rsid w:val="00DB299C"/>
    <w:rsid w:val="00DB4479"/>
    <w:rsid w:val="00DB492E"/>
    <w:rsid w:val="00DC0390"/>
    <w:rsid w:val="00DC08C0"/>
    <w:rsid w:val="00DC17DA"/>
    <w:rsid w:val="00DC2A3C"/>
    <w:rsid w:val="00DC30B3"/>
    <w:rsid w:val="00DC3ADF"/>
    <w:rsid w:val="00DC45E2"/>
    <w:rsid w:val="00DC70B0"/>
    <w:rsid w:val="00DD0C8B"/>
    <w:rsid w:val="00DD18D2"/>
    <w:rsid w:val="00DD303E"/>
    <w:rsid w:val="00DD3C2A"/>
    <w:rsid w:val="00DD590C"/>
    <w:rsid w:val="00DE24E1"/>
    <w:rsid w:val="00DE397F"/>
    <w:rsid w:val="00DE4A61"/>
    <w:rsid w:val="00DE50A7"/>
    <w:rsid w:val="00DE67ED"/>
    <w:rsid w:val="00DF07E5"/>
    <w:rsid w:val="00DF1492"/>
    <w:rsid w:val="00DF4046"/>
    <w:rsid w:val="00DF5CD5"/>
    <w:rsid w:val="00E004A7"/>
    <w:rsid w:val="00E01924"/>
    <w:rsid w:val="00E0441D"/>
    <w:rsid w:val="00E05529"/>
    <w:rsid w:val="00E059B7"/>
    <w:rsid w:val="00E06569"/>
    <w:rsid w:val="00E06B27"/>
    <w:rsid w:val="00E104AC"/>
    <w:rsid w:val="00E127D2"/>
    <w:rsid w:val="00E1618C"/>
    <w:rsid w:val="00E215F1"/>
    <w:rsid w:val="00E21630"/>
    <w:rsid w:val="00E23A42"/>
    <w:rsid w:val="00E23E9B"/>
    <w:rsid w:val="00E2436E"/>
    <w:rsid w:val="00E25ACF"/>
    <w:rsid w:val="00E261E1"/>
    <w:rsid w:val="00E300B5"/>
    <w:rsid w:val="00E3359B"/>
    <w:rsid w:val="00E34875"/>
    <w:rsid w:val="00E34B34"/>
    <w:rsid w:val="00E34D91"/>
    <w:rsid w:val="00E36FFE"/>
    <w:rsid w:val="00E4216A"/>
    <w:rsid w:val="00E42FD4"/>
    <w:rsid w:val="00E45B4A"/>
    <w:rsid w:val="00E4661E"/>
    <w:rsid w:val="00E53611"/>
    <w:rsid w:val="00E5476A"/>
    <w:rsid w:val="00E57BB1"/>
    <w:rsid w:val="00E60AED"/>
    <w:rsid w:val="00E634C2"/>
    <w:rsid w:val="00E66AE8"/>
    <w:rsid w:val="00E66BF6"/>
    <w:rsid w:val="00E7097B"/>
    <w:rsid w:val="00E70FE8"/>
    <w:rsid w:val="00E716F7"/>
    <w:rsid w:val="00E828B0"/>
    <w:rsid w:val="00E84795"/>
    <w:rsid w:val="00E84E81"/>
    <w:rsid w:val="00E8673E"/>
    <w:rsid w:val="00E86D27"/>
    <w:rsid w:val="00E90CC8"/>
    <w:rsid w:val="00E93B78"/>
    <w:rsid w:val="00E93BA9"/>
    <w:rsid w:val="00EA10DA"/>
    <w:rsid w:val="00EA4997"/>
    <w:rsid w:val="00EA49C2"/>
    <w:rsid w:val="00EA4AF5"/>
    <w:rsid w:val="00EA4B4C"/>
    <w:rsid w:val="00EA6B8F"/>
    <w:rsid w:val="00EB0F94"/>
    <w:rsid w:val="00EB70D8"/>
    <w:rsid w:val="00EB71FC"/>
    <w:rsid w:val="00EC081C"/>
    <w:rsid w:val="00EC1C77"/>
    <w:rsid w:val="00EC484C"/>
    <w:rsid w:val="00EC4CA8"/>
    <w:rsid w:val="00EC4F66"/>
    <w:rsid w:val="00EC5AAE"/>
    <w:rsid w:val="00ED09CE"/>
    <w:rsid w:val="00ED0F73"/>
    <w:rsid w:val="00ED3C4A"/>
    <w:rsid w:val="00ED3EE1"/>
    <w:rsid w:val="00ED592D"/>
    <w:rsid w:val="00ED5D2B"/>
    <w:rsid w:val="00ED68CE"/>
    <w:rsid w:val="00EE2948"/>
    <w:rsid w:val="00EE4CFA"/>
    <w:rsid w:val="00EE676A"/>
    <w:rsid w:val="00EE73DC"/>
    <w:rsid w:val="00EF1183"/>
    <w:rsid w:val="00EF17B7"/>
    <w:rsid w:val="00EF2E29"/>
    <w:rsid w:val="00EF2FD2"/>
    <w:rsid w:val="00EF593E"/>
    <w:rsid w:val="00EF6685"/>
    <w:rsid w:val="00EF7C4F"/>
    <w:rsid w:val="00EF7E86"/>
    <w:rsid w:val="00F03161"/>
    <w:rsid w:val="00F05056"/>
    <w:rsid w:val="00F06F4B"/>
    <w:rsid w:val="00F078AE"/>
    <w:rsid w:val="00F10169"/>
    <w:rsid w:val="00F105E5"/>
    <w:rsid w:val="00F1318D"/>
    <w:rsid w:val="00F149D2"/>
    <w:rsid w:val="00F15FAA"/>
    <w:rsid w:val="00F175E0"/>
    <w:rsid w:val="00F17663"/>
    <w:rsid w:val="00F20C36"/>
    <w:rsid w:val="00F214BF"/>
    <w:rsid w:val="00F217E7"/>
    <w:rsid w:val="00F22028"/>
    <w:rsid w:val="00F2458B"/>
    <w:rsid w:val="00F24FA4"/>
    <w:rsid w:val="00F26284"/>
    <w:rsid w:val="00F308E9"/>
    <w:rsid w:val="00F321A8"/>
    <w:rsid w:val="00F34218"/>
    <w:rsid w:val="00F35E4C"/>
    <w:rsid w:val="00F36E78"/>
    <w:rsid w:val="00F37E69"/>
    <w:rsid w:val="00F44F27"/>
    <w:rsid w:val="00F465A3"/>
    <w:rsid w:val="00F515FE"/>
    <w:rsid w:val="00F51808"/>
    <w:rsid w:val="00F54980"/>
    <w:rsid w:val="00F55175"/>
    <w:rsid w:val="00F56CC7"/>
    <w:rsid w:val="00F6058C"/>
    <w:rsid w:val="00F623F0"/>
    <w:rsid w:val="00F62C48"/>
    <w:rsid w:val="00F63084"/>
    <w:rsid w:val="00F63506"/>
    <w:rsid w:val="00F65E20"/>
    <w:rsid w:val="00F65F36"/>
    <w:rsid w:val="00F71681"/>
    <w:rsid w:val="00F733AD"/>
    <w:rsid w:val="00F73822"/>
    <w:rsid w:val="00F73E0B"/>
    <w:rsid w:val="00F75A3D"/>
    <w:rsid w:val="00F75B5D"/>
    <w:rsid w:val="00F75DB8"/>
    <w:rsid w:val="00F76015"/>
    <w:rsid w:val="00F76EDA"/>
    <w:rsid w:val="00F81603"/>
    <w:rsid w:val="00F835F7"/>
    <w:rsid w:val="00F84554"/>
    <w:rsid w:val="00F85760"/>
    <w:rsid w:val="00F87949"/>
    <w:rsid w:val="00F90D48"/>
    <w:rsid w:val="00F92DDC"/>
    <w:rsid w:val="00F9338E"/>
    <w:rsid w:val="00F9701A"/>
    <w:rsid w:val="00FA1220"/>
    <w:rsid w:val="00FA204F"/>
    <w:rsid w:val="00FA4A2F"/>
    <w:rsid w:val="00FA6217"/>
    <w:rsid w:val="00FA67EE"/>
    <w:rsid w:val="00FA7511"/>
    <w:rsid w:val="00FA7B6B"/>
    <w:rsid w:val="00FB00B7"/>
    <w:rsid w:val="00FB27F5"/>
    <w:rsid w:val="00FB52AA"/>
    <w:rsid w:val="00FB6400"/>
    <w:rsid w:val="00FB6698"/>
    <w:rsid w:val="00FB783B"/>
    <w:rsid w:val="00FB7EED"/>
    <w:rsid w:val="00FC04E7"/>
    <w:rsid w:val="00FC0ECF"/>
    <w:rsid w:val="00FC2824"/>
    <w:rsid w:val="00FC467F"/>
    <w:rsid w:val="00FC5F59"/>
    <w:rsid w:val="00FC759E"/>
    <w:rsid w:val="00FC776F"/>
    <w:rsid w:val="00FD0627"/>
    <w:rsid w:val="00FD0A63"/>
    <w:rsid w:val="00FD0EEE"/>
    <w:rsid w:val="00FD23D1"/>
    <w:rsid w:val="00FD2D08"/>
    <w:rsid w:val="00FD4227"/>
    <w:rsid w:val="00FD6AFC"/>
    <w:rsid w:val="00FD6F1A"/>
    <w:rsid w:val="00FD7012"/>
    <w:rsid w:val="00FD7627"/>
    <w:rsid w:val="00FE0506"/>
    <w:rsid w:val="00FE14D0"/>
    <w:rsid w:val="00FE3997"/>
    <w:rsid w:val="00FE4976"/>
    <w:rsid w:val="00FE4B87"/>
    <w:rsid w:val="00FE6BB8"/>
    <w:rsid w:val="00FE6D9F"/>
    <w:rsid w:val="00FE7100"/>
    <w:rsid w:val="00FE78BC"/>
    <w:rsid w:val="00FE7F52"/>
    <w:rsid w:val="00FF06C2"/>
    <w:rsid w:val="00FF4AB4"/>
    <w:rsid w:val="00FF527D"/>
    <w:rsid w:val="00FF743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A1D65F"/>
  <w15:docId w15:val="{B7674809-5B48-44A5-8565-9B3D659A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875"/>
    <w:pPr>
      <w:jc w:val="both"/>
    </w:pPr>
    <w:rPr>
      <w:rFonts w:ascii="CG Times" w:hAnsi="CG Times"/>
      <w:sz w:val="24"/>
      <w:szCs w:val="24"/>
      <w:lang w:val="es-ES" w:eastAsia="es-ES"/>
    </w:rPr>
  </w:style>
  <w:style w:type="paragraph" w:styleId="Ttulo1">
    <w:name w:val="heading 1"/>
    <w:basedOn w:val="Normal"/>
    <w:next w:val="Normal"/>
    <w:link w:val="Ttulo1Car"/>
    <w:autoRedefine/>
    <w:uiPriority w:val="99"/>
    <w:qFormat/>
    <w:rsid w:val="00BF6AB5"/>
    <w:pPr>
      <w:keepNext/>
      <w:tabs>
        <w:tab w:val="left" w:pos="567"/>
      </w:tabs>
      <w:outlineLvl w:val="0"/>
    </w:pPr>
    <w:rPr>
      <w:rFonts w:cs="Arial"/>
      <w:b/>
      <w:bCs/>
      <w:caps/>
      <w:kern w:val="32"/>
    </w:rPr>
  </w:style>
  <w:style w:type="paragraph" w:styleId="Ttulo2">
    <w:name w:val="heading 2"/>
    <w:basedOn w:val="Normal"/>
    <w:next w:val="Normal"/>
    <w:link w:val="Ttulo2Car"/>
    <w:autoRedefine/>
    <w:uiPriority w:val="99"/>
    <w:qFormat/>
    <w:rsid w:val="00BF6AB5"/>
    <w:pPr>
      <w:keepNext/>
      <w:tabs>
        <w:tab w:val="left" w:pos="540"/>
      </w:tabs>
      <w:outlineLvl w:val="1"/>
    </w:pPr>
    <w:rPr>
      <w:rFonts w:cs="Arial"/>
      <w:b/>
      <w:bCs/>
      <w:iCs/>
    </w:rPr>
  </w:style>
  <w:style w:type="paragraph" w:styleId="Ttulo3">
    <w:name w:val="heading 3"/>
    <w:basedOn w:val="Normal"/>
    <w:next w:val="Normal"/>
    <w:link w:val="Ttulo3Car"/>
    <w:autoRedefine/>
    <w:uiPriority w:val="99"/>
    <w:qFormat/>
    <w:rsid w:val="00BF6AB5"/>
    <w:pPr>
      <w:keepNext/>
      <w:tabs>
        <w:tab w:val="left" w:pos="992"/>
        <w:tab w:val="left" w:pos="1134"/>
      </w:tabs>
      <w:outlineLvl w:val="2"/>
    </w:pPr>
    <w:rPr>
      <w:rFonts w:cs="Arial"/>
      <w:bCs/>
      <w:u w:val="single"/>
    </w:rPr>
  </w:style>
  <w:style w:type="paragraph" w:styleId="Ttulo4">
    <w:name w:val="heading 4"/>
    <w:basedOn w:val="Normal"/>
    <w:next w:val="Normal"/>
    <w:link w:val="Ttulo4Car"/>
    <w:uiPriority w:val="99"/>
    <w:qFormat/>
    <w:rsid w:val="00BF6AB5"/>
    <w:pPr>
      <w:keepNext/>
      <w:tabs>
        <w:tab w:val="left" w:pos="1276"/>
      </w:tabs>
      <w:outlineLvl w:val="3"/>
    </w:pPr>
    <w:rPr>
      <w:bCs/>
      <w:i/>
    </w:rPr>
  </w:style>
  <w:style w:type="paragraph" w:styleId="Ttulo5">
    <w:name w:val="heading 5"/>
    <w:basedOn w:val="Ttulo4"/>
    <w:next w:val="Normal"/>
    <w:link w:val="Ttulo5Car"/>
    <w:uiPriority w:val="99"/>
    <w:qFormat/>
    <w:rsid w:val="00BF6AB5"/>
    <w:pPr>
      <w:outlineLvl w:val="4"/>
    </w:pPr>
    <w:rPr>
      <w:bCs w:val="0"/>
      <w:iCs/>
    </w:rPr>
  </w:style>
  <w:style w:type="paragraph" w:styleId="Ttulo6">
    <w:name w:val="heading 6"/>
    <w:basedOn w:val="Normal"/>
    <w:next w:val="Normal"/>
    <w:link w:val="Ttulo6Car"/>
    <w:uiPriority w:val="99"/>
    <w:qFormat/>
    <w:rsid w:val="00BF6AB5"/>
    <w:pPr>
      <w:keepNext/>
      <w:jc w:val="center"/>
      <w:outlineLvl w:val="5"/>
    </w:pPr>
    <w:rPr>
      <w:b/>
      <w:bCs/>
    </w:rPr>
  </w:style>
  <w:style w:type="paragraph" w:styleId="Ttulo7">
    <w:name w:val="heading 7"/>
    <w:basedOn w:val="Normal"/>
    <w:next w:val="Normal"/>
    <w:link w:val="Ttulo7Car"/>
    <w:uiPriority w:val="99"/>
    <w:qFormat/>
    <w:rsid w:val="00BF6AB5"/>
    <w:pPr>
      <w:keepNext/>
      <w:jc w:val="center"/>
      <w:outlineLvl w:val="6"/>
    </w:pPr>
    <w:rPr>
      <w:b/>
      <w:bCs/>
      <w:sz w:val="20"/>
    </w:rPr>
  </w:style>
  <w:style w:type="paragraph" w:styleId="Ttulo8">
    <w:name w:val="heading 8"/>
    <w:basedOn w:val="Normal"/>
    <w:next w:val="Normal"/>
    <w:link w:val="Ttulo8Car"/>
    <w:uiPriority w:val="99"/>
    <w:qFormat/>
    <w:rsid w:val="00BF6AB5"/>
    <w:pPr>
      <w:keepNext/>
      <w:outlineLvl w:val="7"/>
    </w:pPr>
    <w:rPr>
      <w:b/>
      <w:bCs/>
      <w:sz w:val="20"/>
    </w:rPr>
  </w:style>
  <w:style w:type="paragraph" w:styleId="Ttulo9">
    <w:name w:val="heading 9"/>
    <w:basedOn w:val="Normal"/>
    <w:next w:val="Normal"/>
    <w:link w:val="Ttulo9Car"/>
    <w:uiPriority w:val="99"/>
    <w:qFormat/>
    <w:rsid w:val="00BF6AB5"/>
    <w:pPr>
      <w:keepNext/>
      <w:jc w:val="center"/>
      <w:outlineLvl w:val="8"/>
    </w:pPr>
    <w:rPr>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EF2E29"/>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EF2E29"/>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EF2E29"/>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EF2E29"/>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EF2E29"/>
    <w:rPr>
      <w:rFonts w:ascii="Calibri" w:hAnsi="Calibri" w:cs="Times New Roman"/>
      <w:b/>
      <w:bCs/>
      <w:i/>
      <w:iCs/>
      <w:sz w:val="26"/>
      <w:szCs w:val="26"/>
    </w:rPr>
  </w:style>
  <w:style w:type="character" w:customStyle="1" w:styleId="Ttulo6Car">
    <w:name w:val="Título 6 Car"/>
    <w:basedOn w:val="Fuentedeprrafopredeter"/>
    <w:link w:val="Ttulo6"/>
    <w:uiPriority w:val="99"/>
    <w:semiHidden/>
    <w:locked/>
    <w:rsid w:val="00EF2E29"/>
    <w:rPr>
      <w:rFonts w:ascii="Calibri" w:hAnsi="Calibri" w:cs="Times New Roman"/>
      <w:b/>
      <w:bCs/>
    </w:rPr>
  </w:style>
  <w:style w:type="character" w:customStyle="1" w:styleId="Ttulo7Car">
    <w:name w:val="Título 7 Car"/>
    <w:basedOn w:val="Fuentedeprrafopredeter"/>
    <w:link w:val="Ttulo7"/>
    <w:uiPriority w:val="99"/>
    <w:semiHidden/>
    <w:locked/>
    <w:rsid w:val="00EF2E29"/>
    <w:rPr>
      <w:rFonts w:ascii="Calibri" w:hAnsi="Calibri" w:cs="Times New Roman"/>
      <w:sz w:val="24"/>
      <w:szCs w:val="24"/>
    </w:rPr>
  </w:style>
  <w:style w:type="character" w:customStyle="1" w:styleId="Ttulo8Car">
    <w:name w:val="Título 8 Car"/>
    <w:basedOn w:val="Fuentedeprrafopredeter"/>
    <w:link w:val="Ttulo8"/>
    <w:uiPriority w:val="99"/>
    <w:semiHidden/>
    <w:locked/>
    <w:rsid w:val="00EF2E29"/>
    <w:rPr>
      <w:rFonts w:ascii="Calibri" w:hAnsi="Calibri" w:cs="Times New Roman"/>
      <w:i/>
      <w:iCs/>
      <w:sz w:val="24"/>
      <w:szCs w:val="24"/>
    </w:rPr>
  </w:style>
  <w:style w:type="character" w:customStyle="1" w:styleId="Ttulo9Car">
    <w:name w:val="Título 9 Car"/>
    <w:basedOn w:val="Fuentedeprrafopredeter"/>
    <w:link w:val="Ttulo9"/>
    <w:uiPriority w:val="99"/>
    <w:semiHidden/>
    <w:locked/>
    <w:rsid w:val="00EF2E29"/>
    <w:rPr>
      <w:rFonts w:ascii="Cambria" w:hAnsi="Cambria" w:cs="Times New Roman"/>
    </w:rPr>
  </w:style>
  <w:style w:type="paragraph" w:styleId="Sangradetextonormal">
    <w:name w:val="Body Text Indent"/>
    <w:basedOn w:val="Normal"/>
    <w:link w:val="SangradetextonormalCar"/>
    <w:uiPriority w:val="99"/>
    <w:rsid w:val="00BF6AB5"/>
    <w:pPr>
      <w:ind w:left="656"/>
    </w:pPr>
    <w:rPr>
      <w:sz w:val="20"/>
    </w:rPr>
  </w:style>
  <w:style w:type="character" w:customStyle="1" w:styleId="SangradetextonormalCar">
    <w:name w:val="Sangría de texto normal Car"/>
    <w:basedOn w:val="Fuentedeprrafopredeter"/>
    <w:link w:val="Sangradetextonormal"/>
    <w:uiPriority w:val="99"/>
    <w:semiHidden/>
    <w:locked/>
    <w:rsid w:val="00EF2E29"/>
    <w:rPr>
      <w:rFonts w:ascii="CG Times" w:hAnsi="CG Times" w:cs="Times New Roman"/>
      <w:sz w:val="24"/>
      <w:szCs w:val="24"/>
    </w:rPr>
  </w:style>
  <w:style w:type="paragraph" w:styleId="Sangra2detindependiente">
    <w:name w:val="Body Text Indent 2"/>
    <w:basedOn w:val="Normal"/>
    <w:link w:val="Sangra2detindependienteCar"/>
    <w:uiPriority w:val="99"/>
    <w:rsid w:val="00BF6AB5"/>
    <w:pPr>
      <w:spacing w:before="120"/>
      <w:ind w:left="673" w:firstLine="2"/>
    </w:pPr>
    <w:rPr>
      <w:sz w:val="20"/>
    </w:rPr>
  </w:style>
  <w:style w:type="character" w:customStyle="1" w:styleId="Sangra2detindependienteCar">
    <w:name w:val="Sangría 2 de t. independiente Car"/>
    <w:basedOn w:val="Fuentedeprrafopredeter"/>
    <w:link w:val="Sangra2detindependiente"/>
    <w:uiPriority w:val="99"/>
    <w:semiHidden/>
    <w:locked/>
    <w:rsid w:val="00EF2E29"/>
    <w:rPr>
      <w:rFonts w:ascii="CG Times" w:hAnsi="CG Times" w:cs="Times New Roman"/>
      <w:sz w:val="24"/>
      <w:szCs w:val="24"/>
    </w:rPr>
  </w:style>
  <w:style w:type="paragraph" w:styleId="Sangra3detindependiente">
    <w:name w:val="Body Text Indent 3"/>
    <w:basedOn w:val="Normal"/>
    <w:link w:val="Sangra3detindependienteCar"/>
    <w:uiPriority w:val="99"/>
    <w:rsid w:val="00BF6AB5"/>
    <w:pPr>
      <w:ind w:left="673"/>
    </w:pPr>
    <w:rPr>
      <w:sz w:val="20"/>
    </w:rPr>
  </w:style>
  <w:style w:type="character" w:customStyle="1" w:styleId="Sangra3detindependienteCar">
    <w:name w:val="Sangría 3 de t. independiente Car"/>
    <w:basedOn w:val="Fuentedeprrafopredeter"/>
    <w:link w:val="Sangra3detindependiente"/>
    <w:uiPriority w:val="99"/>
    <w:semiHidden/>
    <w:locked/>
    <w:rsid w:val="00EF2E29"/>
    <w:rPr>
      <w:rFonts w:ascii="CG Times" w:hAnsi="CG Times" w:cs="Times New Roman"/>
      <w:sz w:val="16"/>
      <w:szCs w:val="16"/>
    </w:rPr>
  </w:style>
  <w:style w:type="paragraph" w:styleId="Textoindependiente">
    <w:name w:val="Body Text"/>
    <w:basedOn w:val="Normal"/>
    <w:link w:val="TextoindependienteCar"/>
    <w:uiPriority w:val="99"/>
    <w:rsid w:val="00BF6AB5"/>
    <w:pPr>
      <w:jc w:val="center"/>
    </w:pPr>
    <w:rPr>
      <w:b/>
      <w:bCs/>
    </w:rPr>
  </w:style>
  <w:style w:type="character" w:customStyle="1" w:styleId="TextoindependienteCar">
    <w:name w:val="Texto independiente Car"/>
    <w:basedOn w:val="Fuentedeprrafopredeter"/>
    <w:link w:val="Textoindependiente"/>
    <w:uiPriority w:val="99"/>
    <w:semiHidden/>
    <w:locked/>
    <w:rsid w:val="00EF2E29"/>
    <w:rPr>
      <w:rFonts w:ascii="CG Times" w:hAnsi="CG Times" w:cs="Times New Roman"/>
      <w:sz w:val="24"/>
      <w:szCs w:val="24"/>
    </w:rPr>
  </w:style>
  <w:style w:type="paragraph" w:styleId="Textoindependiente2">
    <w:name w:val="Body Text 2"/>
    <w:basedOn w:val="Normal"/>
    <w:link w:val="Textoindependiente2Car"/>
    <w:uiPriority w:val="99"/>
    <w:rsid w:val="00BF6AB5"/>
    <w:pPr>
      <w:spacing w:before="60"/>
    </w:pPr>
    <w:rPr>
      <w:sz w:val="20"/>
    </w:rPr>
  </w:style>
  <w:style w:type="character" w:customStyle="1" w:styleId="Textoindependiente2Car">
    <w:name w:val="Texto independiente 2 Car"/>
    <w:basedOn w:val="Fuentedeprrafopredeter"/>
    <w:link w:val="Textoindependiente2"/>
    <w:uiPriority w:val="99"/>
    <w:semiHidden/>
    <w:locked/>
    <w:rsid w:val="00EF2E29"/>
    <w:rPr>
      <w:rFonts w:ascii="CG Times" w:hAnsi="CG Times" w:cs="Times New Roman"/>
      <w:sz w:val="24"/>
      <w:szCs w:val="24"/>
    </w:rPr>
  </w:style>
  <w:style w:type="paragraph" w:styleId="TDC1">
    <w:name w:val="toc 1"/>
    <w:basedOn w:val="Normal"/>
    <w:next w:val="Normal"/>
    <w:autoRedefine/>
    <w:uiPriority w:val="99"/>
    <w:semiHidden/>
    <w:rsid w:val="00B36A57"/>
    <w:pPr>
      <w:tabs>
        <w:tab w:val="left" w:pos="540"/>
        <w:tab w:val="right" w:leader="dot" w:pos="9060"/>
      </w:tabs>
      <w:spacing w:line="360" w:lineRule="auto"/>
    </w:pPr>
    <w:rPr>
      <w:noProof/>
    </w:rPr>
  </w:style>
  <w:style w:type="paragraph" w:styleId="TDC2">
    <w:name w:val="toc 2"/>
    <w:basedOn w:val="Normal"/>
    <w:next w:val="Normal"/>
    <w:autoRedefine/>
    <w:uiPriority w:val="99"/>
    <w:semiHidden/>
    <w:rsid w:val="00BF6AB5"/>
    <w:pPr>
      <w:ind w:left="240"/>
    </w:pPr>
  </w:style>
  <w:style w:type="paragraph" w:styleId="TDC3">
    <w:name w:val="toc 3"/>
    <w:basedOn w:val="Normal"/>
    <w:next w:val="Normal"/>
    <w:autoRedefine/>
    <w:uiPriority w:val="99"/>
    <w:semiHidden/>
    <w:rsid w:val="00BF6AB5"/>
    <w:pPr>
      <w:ind w:left="480"/>
    </w:pPr>
  </w:style>
  <w:style w:type="paragraph" w:styleId="TDC4">
    <w:name w:val="toc 4"/>
    <w:basedOn w:val="Normal"/>
    <w:next w:val="Normal"/>
    <w:autoRedefine/>
    <w:uiPriority w:val="99"/>
    <w:semiHidden/>
    <w:rsid w:val="00BF6AB5"/>
    <w:pPr>
      <w:ind w:left="720"/>
    </w:pPr>
  </w:style>
  <w:style w:type="paragraph" w:styleId="TDC5">
    <w:name w:val="toc 5"/>
    <w:basedOn w:val="Normal"/>
    <w:next w:val="Normal"/>
    <w:autoRedefine/>
    <w:uiPriority w:val="99"/>
    <w:semiHidden/>
    <w:rsid w:val="00BF6AB5"/>
    <w:pPr>
      <w:ind w:left="960"/>
    </w:pPr>
  </w:style>
  <w:style w:type="paragraph" w:styleId="TDC6">
    <w:name w:val="toc 6"/>
    <w:basedOn w:val="Normal"/>
    <w:next w:val="Normal"/>
    <w:autoRedefine/>
    <w:uiPriority w:val="99"/>
    <w:semiHidden/>
    <w:rsid w:val="00BF6AB5"/>
    <w:pPr>
      <w:ind w:left="1200"/>
    </w:pPr>
  </w:style>
  <w:style w:type="paragraph" w:styleId="TDC7">
    <w:name w:val="toc 7"/>
    <w:basedOn w:val="Normal"/>
    <w:next w:val="Normal"/>
    <w:autoRedefine/>
    <w:uiPriority w:val="99"/>
    <w:semiHidden/>
    <w:rsid w:val="00BF6AB5"/>
    <w:pPr>
      <w:ind w:left="1440"/>
    </w:pPr>
  </w:style>
  <w:style w:type="paragraph" w:styleId="TDC8">
    <w:name w:val="toc 8"/>
    <w:basedOn w:val="Normal"/>
    <w:next w:val="Normal"/>
    <w:autoRedefine/>
    <w:uiPriority w:val="99"/>
    <w:semiHidden/>
    <w:rsid w:val="00BF6AB5"/>
    <w:pPr>
      <w:ind w:left="1680"/>
    </w:pPr>
  </w:style>
  <w:style w:type="paragraph" w:styleId="TDC9">
    <w:name w:val="toc 9"/>
    <w:basedOn w:val="Normal"/>
    <w:next w:val="Normal"/>
    <w:autoRedefine/>
    <w:uiPriority w:val="99"/>
    <w:semiHidden/>
    <w:rsid w:val="00BF6AB5"/>
    <w:pPr>
      <w:ind w:left="1920"/>
    </w:pPr>
  </w:style>
  <w:style w:type="character" w:styleId="Hipervnculo">
    <w:name w:val="Hyperlink"/>
    <w:basedOn w:val="Fuentedeprrafopredeter"/>
    <w:uiPriority w:val="99"/>
    <w:rsid w:val="00BF6AB5"/>
    <w:rPr>
      <w:rFonts w:cs="Times New Roman"/>
      <w:color w:val="0000FF"/>
      <w:u w:val="single"/>
    </w:rPr>
  </w:style>
  <w:style w:type="paragraph" w:styleId="Encabezado">
    <w:name w:val="header"/>
    <w:basedOn w:val="Normal"/>
    <w:link w:val="EncabezadoCar"/>
    <w:uiPriority w:val="99"/>
    <w:rsid w:val="00BF6AB5"/>
    <w:pPr>
      <w:tabs>
        <w:tab w:val="center" w:pos="4252"/>
        <w:tab w:val="right" w:pos="8504"/>
      </w:tabs>
    </w:pPr>
  </w:style>
  <w:style w:type="character" w:customStyle="1" w:styleId="EncabezadoCar">
    <w:name w:val="Encabezado Car"/>
    <w:basedOn w:val="Fuentedeprrafopredeter"/>
    <w:link w:val="Encabezado"/>
    <w:uiPriority w:val="99"/>
    <w:semiHidden/>
    <w:locked/>
    <w:rsid w:val="00EF2E29"/>
    <w:rPr>
      <w:rFonts w:ascii="CG Times" w:hAnsi="CG Times" w:cs="Times New Roman"/>
      <w:sz w:val="24"/>
      <w:szCs w:val="24"/>
    </w:rPr>
  </w:style>
  <w:style w:type="paragraph" w:styleId="Piedepgina">
    <w:name w:val="footer"/>
    <w:basedOn w:val="Normal"/>
    <w:link w:val="PiedepginaCar"/>
    <w:uiPriority w:val="99"/>
    <w:rsid w:val="00BF6AB5"/>
    <w:pPr>
      <w:tabs>
        <w:tab w:val="center" w:pos="4252"/>
        <w:tab w:val="right" w:pos="8504"/>
      </w:tabs>
    </w:pPr>
  </w:style>
  <w:style w:type="character" w:customStyle="1" w:styleId="PiedepginaCar">
    <w:name w:val="Pie de página Car"/>
    <w:basedOn w:val="Fuentedeprrafopredeter"/>
    <w:link w:val="Piedepgina"/>
    <w:uiPriority w:val="99"/>
    <w:semiHidden/>
    <w:locked/>
    <w:rsid w:val="00EF2E29"/>
    <w:rPr>
      <w:rFonts w:ascii="CG Times" w:hAnsi="CG Times" w:cs="Times New Roman"/>
      <w:sz w:val="24"/>
      <w:szCs w:val="24"/>
    </w:rPr>
  </w:style>
  <w:style w:type="paragraph" w:customStyle="1" w:styleId="indent0">
    <w:name w:val="indent0"/>
    <w:basedOn w:val="Normal"/>
    <w:uiPriority w:val="99"/>
    <w:rsid w:val="0010293E"/>
    <w:pPr>
      <w:tabs>
        <w:tab w:val="left" w:pos="-720"/>
      </w:tabs>
      <w:suppressAutoHyphens/>
      <w:spacing w:after="120"/>
    </w:pPr>
    <w:rPr>
      <w:rFonts w:ascii="Book Antiqua" w:hAnsi="Book Antiqua"/>
      <w:spacing w:val="-2"/>
      <w:szCs w:val="20"/>
      <w:lang w:val="es-ES_tradnl"/>
    </w:rPr>
  </w:style>
  <w:style w:type="character" w:styleId="Textoennegrita">
    <w:name w:val="Strong"/>
    <w:basedOn w:val="Fuentedeprrafopredeter"/>
    <w:uiPriority w:val="99"/>
    <w:qFormat/>
    <w:rsid w:val="002E4B55"/>
    <w:rPr>
      <w:rFonts w:cs="Times New Roman"/>
      <w:b/>
      <w:bCs/>
    </w:rPr>
  </w:style>
  <w:style w:type="paragraph" w:customStyle="1" w:styleId="Default">
    <w:name w:val="Default"/>
    <w:uiPriority w:val="99"/>
    <w:rsid w:val="005E31DF"/>
    <w:pPr>
      <w:autoSpaceDE w:val="0"/>
      <w:autoSpaceDN w:val="0"/>
      <w:adjustRightInd w:val="0"/>
    </w:pPr>
    <w:rPr>
      <w:rFonts w:ascii="Arial" w:hAnsi="Arial" w:cs="Arial"/>
      <w:color w:val="000000"/>
      <w:sz w:val="24"/>
      <w:szCs w:val="24"/>
      <w:lang w:val="es-ES" w:eastAsia="es-ES"/>
    </w:rPr>
  </w:style>
  <w:style w:type="character" w:styleId="nfasis">
    <w:name w:val="Emphasis"/>
    <w:basedOn w:val="Fuentedeprrafopredeter"/>
    <w:uiPriority w:val="99"/>
    <w:qFormat/>
    <w:rsid w:val="00A264B1"/>
    <w:rPr>
      <w:rFonts w:cs="Times New Roman"/>
      <w:b/>
      <w:bCs/>
    </w:rPr>
  </w:style>
  <w:style w:type="character" w:styleId="Refdecomentario">
    <w:name w:val="annotation reference"/>
    <w:basedOn w:val="Fuentedeprrafopredeter"/>
    <w:uiPriority w:val="99"/>
    <w:semiHidden/>
    <w:rsid w:val="00E93B78"/>
    <w:rPr>
      <w:rFonts w:cs="Times New Roman"/>
      <w:sz w:val="16"/>
      <w:szCs w:val="16"/>
    </w:rPr>
  </w:style>
  <w:style w:type="paragraph" w:styleId="Textocomentario">
    <w:name w:val="annotation text"/>
    <w:basedOn w:val="Normal"/>
    <w:link w:val="TextocomentarioCar"/>
    <w:uiPriority w:val="99"/>
    <w:semiHidden/>
    <w:rsid w:val="00E93B78"/>
    <w:pPr>
      <w:jc w:val="left"/>
    </w:pPr>
    <w:rPr>
      <w:rFonts w:ascii="Times New Roman" w:hAnsi="Times New Roman"/>
      <w:sz w:val="20"/>
      <w:szCs w:val="20"/>
    </w:rPr>
  </w:style>
  <w:style w:type="character" w:customStyle="1" w:styleId="TextocomentarioCar">
    <w:name w:val="Texto comentario Car"/>
    <w:basedOn w:val="Fuentedeprrafopredeter"/>
    <w:link w:val="Textocomentario"/>
    <w:uiPriority w:val="99"/>
    <w:semiHidden/>
    <w:locked/>
    <w:rsid w:val="00EF2E29"/>
    <w:rPr>
      <w:rFonts w:ascii="CG Times" w:hAnsi="CG Times" w:cs="Times New Roman"/>
      <w:sz w:val="20"/>
      <w:szCs w:val="20"/>
    </w:rPr>
  </w:style>
  <w:style w:type="paragraph" w:styleId="Textodeglobo">
    <w:name w:val="Balloon Text"/>
    <w:basedOn w:val="Normal"/>
    <w:link w:val="TextodegloboCar"/>
    <w:uiPriority w:val="99"/>
    <w:semiHidden/>
    <w:rsid w:val="00E93B78"/>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F2E29"/>
    <w:rPr>
      <w:rFonts w:cs="Times New Roman"/>
      <w:sz w:val="2"/>
    </w:rPr>
  </w:style>
  <w:style w:type="paragraph" w:styleId="Lista">
    <w:name w:val="List"/>
    <w:basedOn w:val="Normal"/>
    <w:uiPriority w:val="99"/>
    <w:rsid w:val="009808C6"/>
    <w:pPr>
      <w:ind w:left="283" w:hanging="283"/>
    </w:pPr>
  </w:style>
  <w:style w:type="paragraph" w:styleId="Lista2">
    <w:name w:val="List 2"/>
    <w:basedOn w:val="Normal"/>
    <w:uiPriority w:val="99"/>
    <w:rsid w:val="009808C6"/>
    <w:pPr>
      <w:ind w:left="566" w:hanging="283"/>
    </w:pPr>
  </w:style>
  <w:style w:type="paragraph" w:styleId="Lista3">
    <w:name w:val="List 3"/>
    <w:basedOn w:val="Normal"/>
    <w:uiPriority w:val="99"/>
    <w:rsid w:val="009808C6"/>
    <w:pPr>
      <w:ind w:left="849" w:hanging="283"/>
    </w:pPr>
  </w:style>
  <w:style w:type="paragraph" w:styleId="Fecha">
    <w:name w:val="Date"/>
    <w:basedOn w:val="Normal"/>
    <w:next w:val="Normal"/>
    <w:link w:val="FechaCar"/>
    <w:uiPriority w:val="99"/>
    <w:rsid w:val="009808C6"/>
  </w:style>
  <w:style w:type="character" w:customStyle="1" w:styleId="FechaCar">
    <w:name w:val="Fecha Car"/>
    <w:basedOn w:val="Fuentedeprrafopredeter"/>
    <w:link w:val="Fecha"/>
    <w:uiPriority w:val="99"/>
    <w:semiHidden/>
    <w:locked/>
    <w:rsid w:val="00EF2E29"/>
    <w:rPr>
      <w:rFonts w:ascii="CG Times" w:hAnsi="CG Times" w:cs="Times New Roman"/>
      <w:sz w:val="24"/>
      <w:szCs w:val="24"/>
    </w:rPr>
  </w:style>
  <w:style w:type="paragraph" w:styleId="Listaconvietas2">
    <w:name w:val="List Bullet 2"/>
    <w:basedOn w:val="Normal"/>
    <w:uiPriority w:val="99"/>
    <w:rsid w:val="009808C6"/>
    <w:pPr>
      <w:numPr>
        <w:numId w:val="1"/>
      </w:numPr>
    </w:pPr>
  </w:style>
  <w:style w:type="paragraph" w:styleId="Listaconvietas3">
    <w:name w:val="List Bullet 3"/>
    <w:basedOn w:val="Normal"/>
    <w:uiPriority w:val="99"/>
    <w:rsid w:val="009808C6"/>
    <w:pPr>
      <w:numPr>
        <w:numId w:val="2"/>
      </w:numPr>
    </w:pPr>
  </w:style>
  <w:style w:type="paragraph" w:styleId="Listaconvietas4">
    <w:name w:val="List Bullet 4"/>
    <w:basedOn w:val="Normal"/>
    <w:uiPriority w:val="99"/>
    <w:rsid w:val="009808C6"/>
    <w:pPr>
      <w:numPr>
        <w:numId w:val="3"/>
      </w:numPr>
    </w:pPr>
  </w:style>
  <w:style w:type="paragraph" w:styleId="Continuarlista">
    <w:name w:val="List Continue"/>
    <w:basedOn w:val="Normal"/>
    <w:uiPriority w:val="99"/>
    <w:rsid w:val="009808C6"/>
    <w:pPr>
      <w:spacing w:after="120"/>
      <w:ind w:left="283"/>
    </w:pPr>
  </w:style>
  <w:style w:type="paragraph" w:styleId="Continuarlista2">
    <w:name w:val="List Continue 2"/>
    <w:basedOn w:val="Normal"/>
    <w:uiPriority w:val="99"/>
    <w:rsid w:val="009808C6"/>
    <w:pPr>
      <w:spacing w:after="120"/>
      <w:ind w:left="566"/>
    </w:pPr>
  </w:style>
  <w:style w:type="paragraph" w:styleId="Continuarlista3">
    <w:name w:val="List Continue 3"/>
    <w:basedOn w:val="Normal"/>
    <w:uiPriority w:val="99"/>
    <w:rsid w:val="009808C6"/>
    <w:pPr>
      <w:spacing w:after="120"/>
      <w:ind w:left="849"/>
    </w:pPr>
  </w:style>
  <w:style w:type="paragraph" w:styleId="Textoindependienteprimerasangra">
    <w:name w:val="Body Text First Indent"/>
    <w:basedOn w:val="Textoindependiente"/>
    <w:link w:val="TextoindependienteprimerasangraCar"/>
    <w:uiPriority w:val="99"/>
    <w:rsid w:val="009808C6"/>
    <w:pPr>
      <w:spacing w:after="120"/>
      <w:ind w:firstLine="210"/>
      <w:jc w:val="both"/>
    </w:pPr>
    <w:rPr>
      <w:b w:val="0"/>
      <w:bCs w:val="0"/>
    </w:rPr>
  </w:style>
  <w:style w:type="character" w:customStyle="1" w:styleId="TextoindependienteprimerasangraCar">
    <w:name w:val="Texto independiente primera sangría Car"/>
    <w:basedOn w:val="TextoindependienteCar"/>
    <w:link w:val="Textoindependienteprimerasangra"/>
    <w:uiPriority w:val="99"/>
    <w:semiHidden/>
    <w:locked/>
    <w:rsid w:val="00EF2E29"/>
    <w:rPr>
      <w:rFonts w:ascii="CG Times" w:hAnsi="CG Times" w:cs="Times New Roman"/>
      <w:sz w:val="24"/>
      <w:szCs w:val="24"/>
    </w:rPr>
  </w:style>
  <w:style w:type="paragraph" w:styleId="Textoindependienteprimerasangra2">
    <w:name w:val="Body Text First Indent 2"/>
    <w:basedOn w:val="Sangradetextonormal"/>
    <w:link w:val="Textoindependienteprimerasangra2Car"/>
    <w:uiPriority w:val="99"/>
    <w:rsid w:val="009808C6"/>
    <w:pPr>
      <w:spacing w:after="120"/>
      <w:ind w:left="283" w:firstLine="210"/>
    </w:pPr>
    <w:rPr>
      <w:sz w:val="24"/>
    </w:rPr>
  </w:style>
  <w:style w:type="character" w:customStyle="1" w:styleId="Textoindependienteprimerasangra2Car">
    <w:name w:val="Texto independiente primera sangría 2 Car"/>
    <w:basedOn w:val="SangradetextonormalCar"/>
    <w:link w:val="Textoindependienteprimerasangra2"/>
    <w:uiPriority w:val="99"/>
    <w:semiHidden/>
    <w:locked/>
    <w:rsid w:val="00EF2E29"/>
    <w:rPr>
      <w:rFonts w:ascii="CG Times" w:hAnsi="CG Times" w:cs="Times New Roman"/>
      <w:sz w:val="24"/>
      <w:szCs w:val="24"/>
    </w:rPr>
  </w:style>
  <w:style w:type="paragraph" w:styleId="NormalWeb">
    <w:name w:val="Normal (Web)"/>
    <w:basedOn w:val="Normal"/>
    <w:uiPriority w:val="99"/>
    <w:rsid w:val="00F05056"/>
    <w:pPr>
      <w:spacing w:before="100" w:beforeAutospacing="1" w:after="100" w:afterAutospacing="1"/>
    </w:pPr>
    <w:rPr>
      <w:rFonts w:ascii="Verdana" w:hAnsi="Verdana"/>
      <w:sz w:val="17"/>
      <w:szCs w:val="17"/>
    </w:rPr>
  </w:style>
  <w:style w:type="character" w:styleId="Nmerodepgina">
    <w:name w:val="page number"/>
    <w:basedOn w:val="Fuentedeprrafopredeter"/>
    <w:uiPriority w:val="99"/>
    <w:rsid w:val="00435DD8"/>
    <w:rPr>
      <w:rFonts w:cs="Times New Roman"/>
    </w:rPr>
  </w:style>
  <w:style w:type="paragraph" w:styleId="Mapadeldocumento">
    <w:name w:val="Document Map"/>
    <w:basedOn w:val="Normal"/>
    <w:link w:val="MapadeldocumentoCar"/>
    <w:uiPriority w:val="99"/>
    <w:semiHidden/>
    <w:rsid w:val="00E90CC8"/>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locked/>
    <w:rsid w:val="00EF2E29"/>
    <w:rPr>
      <w:rFonts w:cs="Times New Roman"/>
      <w:sz w:val="2"/>
    </w:rPr>
  </w:style>
  <w:style w:type="paragraph" w:styleId="Asuntodelcomentario">
    <w:name w:val="annotation subject"/>
    <w:basedOn w:val="Textocomentario"/>
    <w:next w:val="Textocomentario"/>
    <w:link w:val="AsuntodelcomentarioCar"/>
    <w:uiPriority w:val="99"/>
    <w:semiHidden/>
    <w:rsid w:val="000E35C0"/>
    <w:pPr>
      <w:jc w:val="both"/>
    </w:pPr>
    <w:rPr>
      <w:rFonts w:ascii="CG Times" w:hAnsi="CG Times"/>
      <w:b/>
      <w:bCs/>
    </w:rPr>
  </w:style>
  <w:style w:type="character" w:customStyle="1" w:styleId="AsuntodelcomentarioCar">
    <w:name w:val="Asunto del comentario Car"/>
    <w:basedOn w:val="TextocomentarioCar"/>
    <w:link w:val="Asuntodelcomentario"/>
    <w:uiPriority w:val="99"/>
    <w:semiHidden/>
    <w:locked/>
    <w:rsid w:val="00EF2E29"/>
    <w:rPr>
      <w:rFonts w:ascii="CG Times" w:hAnsi="CG Times" w:cs="Times New Roman"/>
      <w:b/>
      <w:bCs/>
      <w:sz w:val="20"/>
      <w:szCs w:val="20"/>
    </w:rPr>
  </w:style>
  <w:style w:type="paragraph" w:customStyle="1" w:styleId="NormalArial">
    <w:name w:val="Normal + Arial"/>
    <w:basedOn w:val="Normal"/>
    <w:uiPriority w:val="99"/>
    <w:rsid w:val="002B51A8"/>
    <w:pPr>
      <w:spacing w:before="120" w:after="120"/>
      <w:ind w:firstLine="709"/>
    </w:pPr>
    <w:rPr>
      <w:rFonts w:ascii="Arial" w:hAnsi="Arial" w:cs="Arial"/>
      <w:spacing w:val="-4"/>
    </w:rPr>
  </w:style>
  <w:style w:type="paragraph" w:customStyle="1" w:styleId="CM22">
    <w:name w:val="CM22"/>
    <w:basedOn w:val="Default"/>
    <w:next w:val="Default"/>
    <w:uiPriority w:val="99"/>
    <w:rsid w:val="002648BD"/>
    <w:pPr>
      <w:widowControl w:val="0"/>
      <w:spacing w:line="276" w:lineRule="atLeast"/>
    </w:pPr>
    <w:rPr>
      <w:rFonts w:cs="Times New Roman"/>
      <w:color w:val="auto"/>
    </w:rPr>
  </w:style>
  <w:style w:type="table" w:styleId="Tablaconcuadrcula">
    <w:name w:val="Table Grid"/>
    <w:basedOn w:val="Tablanormal"/>
    <w:uiPriority w:val="99"/>
    <w:rsid w:val="002648BD"/>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F321A8"/>
    <w:pPr>
      <w:jc w:val="left"/>
    </w:pPr>
    <w:rPr>
      <w:rFonts w:ascii="Times New Roman" w:hAnsi="Times New Roman"/>
      <w:sz w:val="20"/>
      <w:szCs w:val="20"/>
      <w:lang w:val="es-ES_tradnl"/>
    </w:rPr>
  </w:style>
  <w:style w:type="character" w:customStyle="1" w:styleId="TextonotapieCar">
    <w:name w:val="Texto nota pie Car"/>
    <w:basedOn w:val="Fuentedeprrafopredeter"/>
    <w:link w:val="Textonotapie"/>
    <w:uiPriority w:val="99"/>
    <w:semiHidden/>
    <w:locked/>
    <w:rsid w:val="00EF2E29"/>
    <w:rPr>
      <w:rFonts w:ascii="CG Times" w:hAnsi="CG Times" w:cs="Times New Roman"/>
      <w:sz w:val="20"/>
      <w:szCs w:val="20"/>
    </w:rPr>
  </w:style>
  <w:style w:type="paragraph" w:customStyle="1" w:styleId="c20">
    <w:name w:val="c20"/>
    <w:basedOn w:val="Normal"/>
    <w:uiPriority w:val="99"/>
    <w:rsid w:val="002C7720"/>
    <w:pPr>
      <w:spacing w:before="100" w:beforeAutospacing="1" w:after="100" w:afterAutospacing="1"/>
      <w:jc w:val="left"/>
    </w:pPr>
    <w:rPr>
      <w:rFonts w:ascii="Times New Roman" w:hAnsi="Times New Roman"/>
    </w:rPr>
  </w:style>
  <w:style w:type="paragraph" w:styleId="Prrafodelista">
    <w:name w:val="List Paragraph"/>
    <w:basedOn w:val="Normal"/>
    <w:uiPriority w:val="99"/>
    <w:qFormat/>
    <w:rsid w:val="00822F22"/>
    <w:pPr>
      <w:ind w:left="708"/>
      <w:jc w:val="left"/>
    </w:pPr>
    <w:rPr>
      <w:rFonts w:ascii="Arial" w:hAnsi="Arial"/>
    </w:rPr>
  </w:style>
  <w:style w:type="character" w:styleId="Refdenotaalpie">
    <w:name w:val="footnote reference"/>
    <w:aliases w:val="Ref,de nota al pie"/>
    <w:basedOn w:val="Fuentedeprrafopredeter"/>
    <w:uiPriority w:val="99"/>
    <w:semiHidden/>
    <w:rsid w:val="00193EC9"/>
    <w:rPr>
      <w:rFonts w:cs="Times New Roman"/>
      <w:vertAlign w:val="superscript"/>
    </w:rPr>
  </w:style>
  <w:style w:type="character" w:customStyle="1" w:styleId="hps">
    <w:name w:val="hps"/>
    <w:basedOn w:val="Fuentedeprrafopredeter"/>
    <w:uiPriority w:val="99"/>
    <w:rsid w:val="00995498"/>
    <w:rPr>
      <w:rFonts w:cs="Times New Roman"/>
    </w:rPr>
  </w:style>
  <w:style w:type="character" w:customStyle="1" w:styleId="apple-converted-space">
    <w:name w:val="apple-converted-space"/>
    <w:basedOn w:val="Fuentedeprrafopredeter"/>
    <w:uiPriority w:val="99"/>
    <w:rsid w:val="00C764A3"/>
    <w:rPr>
      <w:rFonts w:cs="Times New Roman"/>
    </w:rPr>
  </w:style>
  <w:style w:type="table" w:styleId="Tablavistosa2">
    <w:name w:val="Table Colorful 2"/>
    <w:basedOn w:val="Tablanormal"/>
    <w:uiPriority w:val="99"/>
    <w:rsid w:val="009230DA"/>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parrafo">
    <w:name w:val="parrafo"/>
    <w:basedOn w:val="Normal"/>
    <w:uiPriority w:val="99"/>
    <w:rsid w:val="004A4061"/>
    <w:pPr>
      <w:spacing w:before="100" w:beforeAutospacing="1" w:after="100" w:afterAutospacing="1"/>
      <w:jc w:val="left"/>
    </w:pPr>
    <w:rPr>
      <w:rFonts w:ascii="Times New Roman" w:hAnsi="Times New Roman"/>
    </w:rPr>
  </w:style>
  <w:style w:type="paragraph" w:customStyle="1" w:styleId="Pa6">
    <w:name w:val="Pa6"/>
    <w:basedOn w:val="Default"/>
    <w:next w:val="Default"/>
    <w:uiPriority w:val="99"/>
    <w:rsid w:val="004B1F83"/>
    <w:pPr>
      <w:spacing w:line="201" w:lineRule="atLeast"/>
    </w:pPr>
    <w:rPr>
      <w:rFonts w:cs="Times New Roman"/>
      <w:color w:val="auto"/>
    </w:rPr>
  </w:style>
  <w:style w:type="table" w:customStyle="1" w:styleId="Calendario2">
    <w:name w:val="Calendario 2"/>
    <w:uiPriority w:val="99"/>
    <w:rsid w:val="003E035D"/>
    <w:pPr>
      <w:jc w:val="center"/>
    </w:pPr>
    <w:rPr>
      <w:rFonts w:ascii="Calibri" w:hAnsi="Calibri"/>
      <w:sz w:val="28"/>
      <w:szCs w:val="28"/>
    </w:rPr>
    <w:tblPr>
      <w:tblInd w:w="0" w:type="dxa"/>
      <w:tblBorders>
        <w:insideV w:val="single" w:sz="4" w:space="0" w:color="95B3D7"/>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980166">
      <w:marLeft w:val="0"/>
      <w:marRight w:val="0"/>
      <w:marTop w:val="0"/>
      <w:marBottom w:val="0"/>
      <w:divBdr>
        <w:top w:val="none" w:sz="0" w:space="0" w:color="auto"/>
        <w:left w:val="none" w:sz="0" w:space="0" w:color="auto"/>
        <w:bottom w:val="none" w:sz="0" w:space="0" w:color="auto"/>
        <w:right w:val="none" w:sz="0" w:space="0" w:color="auto"/>
      </w:divBdr>
    </w:div>
    <w:div w:id="430980167">
      <w:marLeft w:val="0"/>
      <w:marRight w:val="0"/>
      <w:marTop w:val="0"/>
      <w:marBottom w:val="0"/>
      <w:divBdr>
        <w:top w:val="none" w:sz="0" w:space="0" w:color="auto"/>
        <w:left w:val="none" w:sz="0" w:space="0" w:color="auto"/>
        <w:bottom w:val="none" w:sz="0" w:space="0" w:color="auto"/>
        <w:right w:val="none" w:sz="0" w:space="0" w:color="auto"/>
      </w:divBdr>
    </w:div>
    <w:div w:id="430980168">
      <w:marLeft w:val="0"/>
      <w:marRight w:val="0"/>
      <w:marTop w:val="0"/>
      <w:marBottom w:val="0"/>
      <w:divBdr>
        <w:top w:val="none" w:sz="0" w:space="0" w:color="auto"/>
        <w:left w:val="none" w:sz="0" w:space="0" w:color="auto"/>
        <w:bottom w:val="none" w:sz="0" w:space="0" w:color="auto"/>
        <w:right w:val="none" w:sz="0" w:space="0" w:color="auto"/>
      </w:divBdr>
    </w:div>
    <w:div w:id="430980169">
      <w:marLeft w:val="0"/>
      <w:marRight w:val="0"/>
      <w:marTop w:val="0"/>
      <w:marBottom w:val="0"/>
      <w:divBdr>
        <w:top w:val="none" w:sz="0" w:space="0" w:color="auto"/>
        <w:left w:val="none" w:sz="0" w:space="0" w:color="auto"/>
        <w:bottom w:val="none" w:sz="0" w:space="0" w:color="auto"/>
        <w:right w:val="none" w:sz="0" w:space="0" w:color="auto"/>
      </w:divBdr>
      <w:divsChild>
        <w:div w:id="430980170">
          <w:marLeft w:val="0"/>
          <w:marRight w:val="0"/>
          <w:marTop w:val="0"/>
          <w:marBottom w:val="0"/>
          <w:divBdr>
            <w:top w:val="none" w:sz="0" w:space="0" w:color="auto"/>
            <w:left w:val="none" w:sz="0" w:space="0" w:color="auto"/>
            <w:bottom w:val="none" w:sz="0" w:space="0" w:color="auto"/>
            <w:right w:val="none" w:sz="0" w:space="0" w:color="auto"/>
          </w:divBdr>
        </w:div>
      </w:divsChild>
    </w:div>
    <w:div w:id="430980171">
      <w:marLeft w:val="0"/>
      <w:marRight w:val="0"/>
      <w:marTop w:val="0"/>
      <w:marBottom w:val="0"/>
      <w:divBdr>
        <w:top w:val="none" w:sz="0" w:space="0" w:color="auto"/>
        <w:left w:val="none" w:sz="0" w:space="0" w:color="auto"/>
        <w:bottom w:val="none" w:sz="0" w:space="0" w:color="auto"/>
        <w:right w:val="none" w:sz="0" w:space="0" w:color="auto"/>
      </w:divBdr>
      <w:divsChild>
        <w:div w:id="430980174">
          <w:marLeft w:val="0"/>
          <w:marRight w:val="0"/>
          <w:marTop w:val="0"/>
          <w:marBottom w:val="0"/>
          <w:divBdr>
            <w:top w:val="none" w:sz="0" w:space="0" w:color="auto"/>
            <w:left w:val="none" w:sz="0" w:space="0" w:color="auto"/>
            <w:bottom w:val="none" w:sz="0" w:space="0" w:color="auto"/>
            <w:right w:val="none" w:sz="0" w:space="0" w:color="auto"/>
          </w:divBdr>
        </w:div>
      </w:divsChild>
    </w:div>
    <w:div w:id="430980172">
      <w:marLeft w:val="180"/>
      <w:marRight w:val="2100"/>
      <w:marTop w:val="3255"/>
      <w:marBottom w:val="525"/>
      <w:divBdr>
        <w:top w:val="none" w:sz="0" w:space="0" w:color="auto"/>
        <w:left w:val="none" w:sz="0" w:space="0" w:color="auto"/>
        <w:bottom w:val="none" w:sz="0" w:space="0" w:color="auto"/>
        <w:right w:val="none" w:sz="0" w:space="0" w:color="auto"/>
      </w:divBdr>
    </w:div>
    <w:div w:id="430980173">
      <w:marLeft w:val="0"/>
      <w:marRight w:val="0"/>
      <w:marTop w:val="0"/>
      <w:marBottom w:val="0"/>
      <w:divBdr>
        <w:top w:val="none" w:sz="0" w:space="0" w:color="auto"/>
        <w:left w:val="none" w:sz="0" w:space="0" w:color="auto"/>
        <w:bottom w:val="none" w:sz="0" w:space="0" w:color="auto"/>
        <w:right w:val="none" w:sz="0" w:space="0" w:color="auto"/>
      </w:divBdr>
    </w:div>
    <w:div w:id="430980175">
      <w:marLeft w:val="0"/>
      <w:marRight w:val="0"/>
      <w:marTop w:val="0"/>
      <w:marBottom w:val="0"/>
      <w:divBdr>
        <w:top w:val="none" w:sz="0" w:space="0" w:color="auto"/>
        <w:left w:val="none" w:sz="0" w:space="0" w:color="auto"/>
        <w:bottom w:val="none" w:sz="0" w:space="0" w:color="auto"/>
        <w:right w:val="none" w:sz="0" w:space="0" w:color="auto"/>
      </w:divBdr>
    </w:div>
    <w:div w:id="430980176">
      <w:marLeft w:val="0"/>
      <w:marRight w:val="0"/>
      <w:marTop w:val="0"/>
      <w:marBottom w:val="0"/>
      <w:divBdr>
        <w:top w:val="none" w:sz="0" w:space="0" w:color="auto"/>
        <w:left w:val="none" w:sz="0" w:space="0" w:color="auto"/>
        <w:bottom w:val="none" w:sz="0" w:space="0" w:color="auto"/>
        <w:right w:val="none" w:sz="0" w:space="0" w:color="auto"/>
      </w:divBdr>
    </w:div>
    <w:div w:id="430980177">
      <w:marLeft w:val="0"/>
      <w:marRight w:val="0"/>
      <w:marTop w:val="0"/>
      <w:marBottom w:val="0"/>
      <w:divBdr>
        <w:top w:val="none" w:sz="0" w:space="0" w:color="auto"/>
        <w:left w:val="none" w:sz="0" w:space="0" w:color="auto"/>
        <w:bottom w:val="none" w:sz="0" w:space="0" w:color="auto"/>
        <w:right w:val="none" w:sz="0" w:space="0" w:color="auto"/>
      </w:divBdr>
    </w:div>
    <w:div w:id="430980178">
      <w:marLeft w:val="0"/>
      <w:marRight w:val="0"/>
      <w:marTop w:val="0"/>
      <w:marBottom w:val="0"/>
      <w:divBdr>
        <w:top w:val="none" w:sz="0" w:space="0" w:color="auto"/>
        <w:left w:val="none" w:sz="0" w:space="0" w:color="auto"/>
        <w:bottom w:val="none" w:sz="0" w:space="0" w:color="auto"/>
        <w:right w:val="none" w:sz="0" w:space="0" w:color="auto"/>
      </w:divBdr>
    </w:div>
    <w:div w:id="430980179">
      <w:marLeft w:val="0"/>
      <w:marRight w:val="0"/>
      <w:marTop w:val="0"/>
      <w:marBottom w:val="0"/>
      <w:divBdr>
        <w:top w:val="none" w:sz="0" w:space="0" w:color="auto"/>
        <w:left w:val="none" w:sz="0" w:space="0" w:color="auto"/>
        <w:bottom w:val="none" w:sz="0" w:space="0" w:color="auto"/>
        <w:right w:val="none" w:sz="0" w:space="0" w:color="auto"/>
      </w:divBdr>
    </w:div>
    <w:div w:id="430980180">
      <w:marLeft w:val="0"/>
      <w:marRight w:val="0"/>
      <w:marTop w:val="0"/>
      <w:marBottom w:val="0"/>
      <w:divBdr>
        <w:top w:val="none" w:sz="0" w:space="0" w:color="auto"/>
        <w:left w:val="none" w:sz="0" w:space="0" w:color="auto"/>
        <w:bottom w:val="none" w:sz="0" w:space="0" w:color="auto"/>
        <w:right w:val="none" w:sz="0" w:space="0" w:color="auto"/>
      </w:divBdr>
    </w:div>
    <w:div w:id="4309801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oticias.juridicas.com/base_datos/Admin/rd1334-1999.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noticias.juridicas.com/base_datos/Admin/rd1334-1999.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6815</Words>
  <Characters>36952</Characters>
  <Application>Microsoft Office Word</Application>
  <DocSecurity>4</DocSecurity>
  <Lines>307</Lines>
  <Paragraphs>87</Paragraphs>
  <ScaleCrop>false</ScaleCrop>
  <HeadingPairs>
    <vt:vector size="2" baseType="variant">
      <vt:variant>
        <vt:lpstr>Título</vt:lpstr>
      </vt:variant>
      <vt:variant>
        <vt:i4>1</vt:i4>
      </vt:variant>
    </vt:vector>
  </HeadingPairs>
  <TitlesOfParts>
    <vt:vector size="1" baseType="lpstr">
      <vt:lpstr>MEMORIA ABREVIADA DEL ANÁLISIS DE IMPACTO NORMATIVO</vt:lpstr>
    </vt:vector>
  </TitlesOfParts>
  <Company>Iberhidra S.L</Company>
  <LinksUpToDate>false</LinksUpToDate>
  <CharactersWithSpaces>43680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ABREVIADA DEL ANÁLISIS DE IMPACTO NORMATIVO</dc:title>
  <dc:subject/>
  <dc:creator>Pilar Fernandez</dc:creator>
  <cp:keywords/>
  <dc:description/>
  <cp:lastModifiedBy>Álvarez Fernández, Marina</cp:lastModifiedBy>
  <cp:revision>2</cp:revision>
  <cp:lastPrinted>2022-07-22T10:27:00Z</cp:lastPrinted>
  <dcterms:created xsi:type="dcterms:W3CDTF">2022-10-19T10:24:00Z</dcterms:created>
  <dcterms:modified xsi:type="dcterms:W3CDTF">2022-10-19T10:24:00Z</dcterms:modified>
</cp:coreProperties>
</file>