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20" w:type="dxa"/>
        <w:jc w:val="center"/>
        <w:tblLayout w:type="fixed"/>
        <w:tblCellMar>
          <w:left w:w="70" w:type="dxa"/>
          <w:right w:w="70" w:type="dxa"/>
        </w:tblCellMar>
        <w:tblLook w:val="0000" w:firstRow="0" w:lastRow="0" w:firstColumn="0" w:lastColumn="0" w:noHBand="0" w:noVBand="0"/>
      </w:tblPr>
      <w:tblGrid>
        <w:gridCol w:w="10820"/>
      </w:tblGrid>
      <w:tr w:rsidR="00C93CCC" w14:paraId="38FF51DE" w14:textId="77777777" w:rsidTr="00546D77">
        <w:trPr>
          <w:trHeight w:hRule="exact" w:val="1884"/>
          <w:jc w:val="center"/>
        </w:trPr>
        <w:tc>
          <w:tcPr>
            <w:tcW w:w="10820" w:type="dxa"/>
            <w:vAlign w:val="center"/>
          </w:tcPr>
          <w:p w14:paraId="4EB9625C" w14:textId="77777777" w:rsidR="00C93CCC" w:rsidRDefault="00C93CCC">
            <w:pPr>
              <w:pStyle w:val="Header"/>
              <w:tabs>
                <w:tab w:val="clear" w:pos="4252"/>
                <w:tab w:val="clear" w:pos="8504"/>
              </w:tabs>
              <w:ind w:left="360" w:right="172"/>
              <w:jc w:val="center"/>
              <w:rPr>
                <w:rFonts w:ascii="Arial" w:hAnsi="Arial"/>
                <w:sz w:val="20"/>
              </w:rPr>
            </w:pPr>
            <w:r>
              <w:rPr>
                <w:rFonts w:ascii="Arial" w:hAnsi="Arial"/>
                <w:sz w:val="20"/>
              </w:rPr>
              <w:t>Svetu ministrov se predlaga odobritev naslednjega osnutka določbe:</w:t>
            </w:r>
          </w:p>
        </w:tc>
      </w:tr>
    </w:tbl>
    <w:p w14:paraId="35F48173" w14:textId="77777777" w:rsidR="00C93CCC" w:rsidRDefault="00C93CCC">
      <w:pPr>
        <w:pStyle w:val="Header"/>
        <w:tabs>
          <w:tab w:val="clear" w:pos="4252"/>
          <w:tab w:val="clear" w:pos="8504"/>
        </w:tabs>
        <w:ind w:left="360" w:right="172"/>
        <w:rPr>
          <w:rFonts w:ascii="Arial" w:hAnsi="Arial"/>
          <w:spacing w:val="40"/>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773"/>
      </w:tblGrid>
      <w:tr w:rsidR="00C93CCC" w14:paraId="0FABBEB3" w14:textId="77777777" w:rsidTr="00546D77">
        <w:trPr>
          <w:trHeight w:hRule="exact" w:val="2220"/>
          <w:jc w:val="center"/>
        </w:trPr>
        <w:tc>
          <w:tcPr>
            <w:tcW w:w="10773" w:type="dxa"/>
            <w:tcBorders>
              <w:bottom w:val="single" w:sz="4" w:space="0" w:color="auto"/>
            </w:tcBorders>
          </w:tcPr>
          <w:p w14:paraId="0016DD6A" w14:textId="77777777" w:rsidR="00C93CCC" w:rsidRPr="00546D77" w:rsidRDefault="00C93CCC">
            <w:pPr>
              <w:pStyle w:val="Header"/>
              <w:tabs>
                <w:tab w:val="clear" w:pos="4252"/>
                <w:tab w:val="clear" w:pos="8504"/>
              </w:tabs>
              <w:ind w:left="461" w:right="172"/>
              <w:jc w:val="both"/>
              <w:rPr>
                <w:rFonts w:ascii="Arial" w:hAnsi="Arial"/>
              </w:rPr>
            </w:pPr>
          </w:p>
          <w:p w14:paraId="0838EDAC" w14:textId="77777777" w:rsidR="00C93CCC" w:rsidRPr="008577E8" w:rsidRDefault="00C93CCC">
            <w:pPr>
              <w:tabs>
                <w:tab w:val="left" w:pos="1080"/>
              </w:tabs>
              <w:spacing w:line="360" w:lineRule="atLeast"/>
              <w:ind w:left="461" w:right="170"/>
              <w:jc w:val="both"/>
              <w:rPr>
                <w:rFonts w:ascii="Arial" w:hAnsi="Arial"/>
              </w:rPr>
            </w:pPr>
          </w:p>
          <w:p w14:paraId="2F91487E" w14:textId="724261EC" w:rsidR="00FD453F" w:rsidRPr="00FD453F" w:rsidRDefault="00FD453F" w:rsidP="00FD453F">
            <w:pPr>
              <w:ind w:left="247" w:right="183"/>
              <w:jc w:val="both"/>
              <w:rPr>
                <w:rFonts w:cs="Calibri"/>
                <w:b/>
              </w:rPr>
            </w:pPr>
            <w:r>
              <w:rPr>
                <w:b/>
              </w:rPr>
              <w:t>Osnutek kraljeve uredbe o spremembi Tehničnega gradbenega zakonika, odobrenega s Kraljevo uredbo št. 314/2006 z dne 17. marca 2006.</w:t>
            </w:r>
          </w:p>
          <w:p w14:paraId="0B02A1E0" w14:textId="77777777" w:rsidR="00C93CCC" w:rsidRDefault="00C93CCC">
            <w:pPr>
              <w:tabs>
                <w:tab w:val="left" w:pos="1080"/>
              </w:tabs>
              <w:spacing w:line="360" w:lineRule="atLeast"/>
              <w:ind w:left="461" w:right="170"/>
              <w:jc w:val="both"/>
              <w:rPr>
                <w:rFonts w:ascii="Arial" w:hAnsi="Arial"/>
              </w:rPr>
            </w:pPr>
          </w:p>
          <w:p w14:paraId="7F08CCF5" w14:textId="77777777" w:rsidR="00C93CCC" w:rsidRDefault="00C93CCC">
            <w:pPr>
              <w:tabs>
                <w:tab w:val="left" w:pos="1080"/>
              </w:tabs>
              <w:spacing w:line="360" w:lineRule="atLeast"/>
              <w:ind w:left="357" w:right="170"/>
              <w:jc w:val="both"/>
              <w:rPr>
                <w:rFonts w:ascii="Arial" w:hAnsi="Arial"/>
                <w:b/>
                <w:sz w:val="28"/>
                <w:lang w:val="es-ES_tradnl"/>
              </w:rPr>
            </w:pPr>
          </w:p>
        </w:tc>
      </w:tr>
    </w:tbl>
    <w:p w14:paraId="4ABF8576" w14:textId="77777777" w:rsidR="00C93CCC" w:rsidRDefault="00C93CCC">
      <w:pPr>
        <w:ind w:left="360" w:right="172"/>
        <w:jc w:val="both"/>
      </w:pPr>
    </w:p>
    <w:p w14:paraId="306FCEB1" w14:textId="77777777" w:rsidR="00C93CCC" w:rsidRDefault="00C93CCC">
      <w:pPr>
        <w:spacing w:line="360" w:lineRule="atLeast"/>
        <w:ind w:left="357" w:right="170"/>
        <w:jc w:val="both"/>
      </w:pPr>
    </w:p>
    <w:p w14:paraId="4C593970" w14:textId="77777777" w:rsidR="008577E8" w:rsidRDefault="008577E8" w:rsidP="008577E8">
      <w:pPr>
        <w:pStyle w:val="FootnoteText"/>
        <w:tabs>
          <w:tab w:val="left" w:pos="-3969"/>
        </w:tabs>
        <w:spacing w:after="120"/>
        <w:ind w:left="567" w:right="55" w:firstLine="533"/>
        <w:jc w:val="both"/>
        <w:rPr>
          <w:rFonts w:ascii="Arial" w:hAnsi="Arial" w:cs="Arial"/>
          <w:sz w:val="24"/>
          <w:szCs w:val="24"/>
          <w:lang w:val="es-ES"/>
        </w:rPr>
      </w:pPr>
    </w:p>
    <w:p w14:paraId="59E0450F" w14:textId="63AAAB00" w:rsidR="000760AB" w:rsidRPr="00CE0018" w:rsidRDefault="000760AB" w:rsidP="000760AB">
      <w:pPr>
        <w:spacing w:after="160" w:line="259" w:lineRule="auto"/>
        <w:jc w:val="both"/>
        <w:rPr>
          <w:rFonts w:ascii="Calibri" w:eastAsia="Calibri" w:hAnsi="Calibri" w:cs="Calibri"/>
          <w:sz w:val="22"/>
          <w:szCs w:val="22"/>
        </w:rPr>
      </w:pPr>
      <w:r>
        <w:rPr>
          <w:rFonts w:ascii="Calibri" w:hAnsi="Calibri"/>
          <w:sz w:val="22"/>
        </w:rPr>
        <w:t>V Zakonu št. 38/1999 z dne 5. novembra 1999 o gradbenih predpisih je Tehnični gradbeni zakonik opredeljen kot regulativni okvir, ki določa osnovne zahteve glede kakovosti stavb in njihovih naprav ter omogoča izpolnjevanje osnovnih zahtev iz člena 3. Tehnični gradbeni zakonik, omenjen v navedenem zakonu, je bil odobren s Kraljevo uredbo št. 314/2006 z dne 17. marca 2006. V osnovnih dokumentih, ki sestavljajo del II Tehničnega gradbenega zakonika, so določene in, kjer je ustrezno, količinsko opredeljene osnovne zahteve iz dela I, in sicer z določitvijo ciljnih ravni ali mejnih vrednosti v zvezi z učinkovitostjo ali drugimi parametri. V osnovnem dokumentu DB-HE o varčevanju z energijo so določene in količinsko opredeljene zahteve glede energetske učinkovitosti, ki jih morajo izpolnjevati novozgrajene stavbe in dela na obstoječih stavbah.</w:t>
      </w:r>
    </w:p>
    <w:p w14:paraId="0BC63921"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30. maja 2018 je bila sprejeta Direktiva (EU) 2018/844 Evropskega parlamenta in Sveta o spremembi Direktive 2010/31/EU o energetski učinkovitosti stavb in Direktive 2012/27/EU o energetski učinkovitosti.</w:t>
      </w:r>
    </w:p>
    <w:p w14:paraId="4E8A50F3"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Ta direktiva spodbuja uvedbo posebnih zahtev za razvoj infrastrukture za polnjenje električnih vozil na parkiriščih znotraj stavb. Gradbeni sektor in sektor mobilnosti sta za razogljičenje gospodarstva strateškega pomena, pri čemer je treba vzpostaviti regulativni okvir, namenjen spodbujanju inovacij, trajnostnosti in energetske učinkovitosti v teh sektorjih.</w:t>
      </w:r>
    </w:p>
    <w:p w14:paraId="2B504954"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Razvoj infrastrukture za inteligentno polnjenje električnih vozil bo prispeval k upravljanju energije in prožnosti, uporabi energije iz obnovljivih virov in izboljšanju kakovosti zraka, energetska učinkovitost te infrastrukture pa bo optimizirana z zagotovitvijo višje ravni digitalizacije stavb in vključevanjem novih tehnologij na to področje.</w:t>
      </w:r>
    </w:p>
    <w:p w14:paraId="4219E732"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V celovitem nacionalnem energetskem in podnebnem načrtu za obdobje 2021–2030, ki ga je Španija predložila Evropski komisiji, je predvideno spodbujanje električne mobilnosti kot ukrepa za zmanjšanje porabe energije in emisij vozil, in sicer s prilagoditvijo predpisov in prenosom zakonodaje Evropske unije z namenom uvedbe infrastrukture za polnjenje električnih vozil v skladu z razvojem elektrifikacije voznega parka, pa tudi z drugimi vrstami spodbud in podpore. </w:t>
      </w:r>
    </w:p>
    <w:p w14:paraId="76C72E2C"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Da bi dosegli te cilje in delno prenesli navedeno direktivo, se na podlagi te kraljeve uredbe v Tehnični gradbeni zakonik uvaja nova osnovna zahteva glede varčevanja z energijo, ki zajema minimalne zmogljivosti v zvezi z infrastrukturo za </w:t>
      </w:r>
      <w:r>
        <w:rPr>
          <w:rFonts w:ascii="Calibri" w:hAnsi="Calibri"/>
          <w:sz w:val="22"/>
        </w:rPr>
        <w:lastRenderedPageBreak/>
        <w:t xml:space="preserve">polnjenje električnih vozil, in sicer v novem oddelku HE 6 „Minimalne zmogljivosti v zvezi z infrastrukturo za polnjenje električnih vozil – osnovnega dokumenta DB HE o varčevanju z energijo“. </w:t>
      </w:r>
    </w:p>
    <w:p w14:paraId="524332FD"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Po drugi strani je treba opozoriti da se Zakon št. 7/2021 z dne 20. maja o podnebnih spremembah in energetskem prehodu v členu 15(10) za ta predpis sklicuje na Tehnični gradbeni zakonik, da se določi minimalne določbe v zvezi z infrastrukturo za polnjenje električnih vozil v obstoječih stavbah, ki se ne uporabljajo za drugo kot za stanovanjsko rabo, in imajo v notranjosti ali na namenski zunanji površini več kot dvajset parkirnih mest, ki bi morale začeti veljati pred 1. januarjem 2023. Vendar so bile te minimalne določbe končno določene s Kraljevim zakonskim odlokom št. 29/2021 z dne 21. decembra 2021 o sprejemu nujnih ukrepov na področju energije za spodbujanje električne mobilnosti, samoporabe in uporabe energije iz obnovljivih virov, kar vključuje to zahtevo v členu 4. </w:t>
      </w:r>
    </w:p>
    <w:p w14:paraId="7707E80D" w14:textId="77777777" w:rsidR="000760AB" w:rsidRPr="000760AB" w:rsidRDefault="000760AB" w:rsidP="000760AB">
      <w:pPr>
        <w:spacing w:after="160" w:line="259" w:lineRule="auto"/>
        <w:jc w:val="both"/>
        <w:rPr>
          <w:rFonts w:ascii="Calibri" w:eastAsia="Calibri" w:hAnsi="Calibri" w:cs="Calibri"/>
          <w:bCs/>
          <w:sz w:val="22"/>
          <w:szCs w:val="22"/>
        </w:rPr>
      </w:pPr>
      <w:r>
        <w:rPr>
          <w:rFonts w:ascii="Calibri" w:hAnsi="Calibri"/>
          <w:sz w:val="22"/>
        </w:rPr>
        <w:t>Z namenom dokončne ureditve področja infrastrukture za polnjenje električnih vozil se spremeni tudi Kraljeva uredba št. 1053/2014 z dne 12. decembra 2014, ki potrjuje novo dopolnilno tehnično navodilo (ITC) BT 52 „Instalacije za posebne namene. Infrastruktura za polnjenje električnih vozil“ Elektrotehničnega predpisa za nizko napetost, odobrenega s Kraljevo uredbo št. 842/2002 z dne 2. avgusta 2002, in druga dopolnilna tehnična navodila te uredbe se spremenijo.</w:t>
      </w:r>
    </w:p>
    <w:p w14:paraId="055E3A41"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Poleg tega je v celovitem nacionalnem energetskem in podnebnem načrtu kot ukrep za spodbujanje uporabe energije iz obnovljivih virov, izboljšanje konkurenčnosti proizvodnih sektorjev in spodbujanje potrošnikov k večjemu vključevanju v upravljanje energije predvideno doseganje samooskrbe z energijo iz obnovljivih virov in porazdeljene proizvodnje na stanovanjskih in poslovnih področjih. </w:t>
      </w:r>
    </w:p>
    <w:p w14:paraId="0AED8916"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V zvezi s tem je odobritev Kraljeve uredbe št. 244/2019 z dne 5. aprila 2019, ki ureja upravne, tehnične in gospodarske pogoje glede samooskrbe z električno energijo, med drugim omogočila kolektivno samooskrbo in zmanjšala upravno breme v zvezi z zagotavljanjem samooskrbe. Sedanji pravni okvir torej omogoča razširitev področja uporabe osnovne zahteve HE 5, ki se nanaša na minimalno proizvodnjo električne energije iz obnovljivih virov energije zasebnih stanovanjskih stavb ter na zmanjšanje mejne vrednosti v zvezi z grajenimi površinami vseh vrst stavb, za katere se zadevna zahteva uporablja. </w:t>
      </w:r>
    </w:p>
    <w:p w14:paraId="55B0D0AE"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Poleg tega se šteje, da je potrebna sprememba nekaterih oddelkov osnovnih dokumentov DB-HE „Varčevanje z energijo“</w:t>
      </w:r>
      <w:bookmarkStart w:id="0" w:name="_Hlk92819359"/>
      <w:bookmarkEnd w:id="0"/>
      <w:r>
        <w:rPr>
          <w:rFonts w:ascii="Calibri" w:hAnsi="Calibri"/>
          <w:sz w:val="22"/>
        </w:rPr>
        <w:t xml:space="preserve"> in DB-HS „Zdravje“, da se olajša njihova uporaba, in posebna sprememba osnovnega dokumenta DB-SUA „Varnost uporabe in dostopnost“ za vključitev merila dostopnosti za polnilne postaje na dostopnih parkirnih mestih.  </w:t>
      </w:r>
    </w:p>
    <w:p w14:paraId="7B428C2F" w14:textId="1C0D714C" w:rsidR="000760AB" w:rsidRPr="000760AB" w:rsidRDefault="000760AB" w:rsidP="000760AB">
      <w:pPr>
        <w:spacing w:after="160" w:line="259" w:lineRule="auto"/>
        <w:jc w:val="both"/>
        <w:rPr>
          <w:rFonts w:ascii="Calibri" w:eastAsia="Calibri" w:hAnsi="Calibri" w:cs="Calibri"/>
          <w:bCs/>
          <w:sz w:val="22"/>
          <w:szCs w:val="22"/>
        </w:rPr>
      </w:pPr>
      <w:r>
        <w:rPr>
          <w:rFonts w:ascii="Calibri" w:hAnsi="Calibri"/>
          <w:sz w:val="22"/>
        </w:rPr>
        <w:t xml:space="preserve">Sprememba Tehničnega zakonika v zvezi z vključitvijo novega oddelka HE 6 – „Minimalne zmogljivosti v zvezi z infrastrukturo za polnjenje električnih vozil“ osnovnega dokumenta DB HE o varčevanju z energijo in sprememba Kraljeve uredbe št. 1053/2014 z dne 12. decembra 2014 o odobritvi novega dopolnilnega tehničnega navodila BT 52, vključenega v prvo končno določbo, sta del pravnih reform, predvidenih v načrtu za obnovo, preoblikovanje in odpornost. Zlasti komponenta 1 načrta za obnovo, preoblikovanje in odpornost, ki zajema „Načrt za trajnostno, varno in povezano mobilnost v mestnih in metropolitanskih okoljih, terja odobritev te kraljeve uredbe, na podlagi katere se bodo navedene regulativne reforme izvajale v okviru reforme C1.R1, ki zajema „Načrt za vzpostavitev polnilne infrastrukture in spodbujanje uporabe električnih vozil“.  Reforma C1.R1 je zasnovana kot zakonski, regulativni in strateški okvir za olajšanje vzpostavitve polnilne infrastrukture z namenom spodbujanja uporabe električnih vozil v Španiji ter temelji na dveh ključnih elementih. Prvega predstavljata Odredba TMA/178/2020 z dne 19. februarja 2020 o spremembi Odredbe z dne 16. decembra 1997 o ureditvi dostopa do državnih cest in servisnih poti ter gradnji servisnih objektov ter Kraljeva uredba z zakonsko močjo št. 23/2020 z dne 23. junija 2020 o odobritvi ukrepov na področju energije in drugih področij za ponovno oživitev gospodarstva. Drug ključni element reforme C1.R1. zajema odobritev te kraljeve uredbe o spremembi Tehničnega gradbenega zakonika in Kraljevo uredbo št. 1053/2014 z dne 12. decembra 2014 o odobritvi novega dopolnilnega tehničnega navodila BT 52.  Časovni mejnik za to reformo je začetek veljavnosti kraljeve uredbe, ki jo ureja pred 30. junijem 2022. Reforma C1.R1 je povezana z naložbo C1.I2, ki </w:t>
      </w:r>
      <w:r>
        <w:rPr>
          <w:rFonts w:ascii="Calibri" w:hAnsi="Calibri"/>
          <w:sz w:val="22"/>
        </w:rPr>
        <w:lastRenderedPageBreak/>
        <w:t xml:space="preserve">se nanaša na načrt spodbud za nameščanje polnilnih mest, nakup električnih vozil in vozil s pogonom na gorivne celice ter inovacije na področju električne mobilnosti, polnilne infrastrukture in zelenega vodika. Ta naložba vključuje mehanizme za zagotavljanje pomoči pri nameščanju polnilnih postaj, določene v Kraljevi uredbi št. 266/2021 z dne 13. aprila 2021 o odobritvi neposredne dodelitve pomoči avtonomnim skupnostim ter mestoma Ceuta in Melilla za izvajanje programov spodbud, povezanih z električno mobilnostjo (MOVES III), v okviru načrta za obnovo, preoblikovanje in odpornost. </w:t>
      </w:r>
    </w:p>
    <w:p w14:paraId="4308D345"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Ta kraljeva uredba izpolnjuje načelo, da se ne škoduje bistveno, ter pogoje glede podnebnega in digitalnega označevanja v skladu z načrtom za obnovo, preoblikovanje in odpornost, Uredbo (EU) 2021/241 Evropskega parlamenta in Sveta z dne 12. februarja 2021 o vzpostavitvi Mehanizma za okrevanje in odpornost ter njeno izvedbeno zakonodajo, zlasti obvestilom Komisije z naslovom Tehnične smernice za uporabo „načela, da se ne škoduje bistveno“ v skladu z uredbo o vzpostavitvi mehanizma za okrevanje in odpornost ter zahtevami iz Izvedbenega sklepa Sveta o odobritvi ocene načrta za okrevanje, preoblikovanje in odpornost za Španijo. To vključuje skladnost s posebnimi pogoji, določenimi v komponenti 1 in reformi 1, v katero je ta kraljeva uredba vključena, tako v zvezi z načelom, da se ne škoduje bistveno, kot v zvezi s podnebnim in digitalnim označevanjem, zlasti pogoji iz oddelkov 3, 6 in 8 dokumenta o načrtu za obnovo, preoblikovanje in odpornost. Naložbe C1.I2 iz načrta za obnovo, preoblikovanje in odpornost, povezane z reformo C1.R1, so prav tako v skladu z načelom, da se okolju ne škoduje bistveno, ter pogoji glede podnebnega in digitalnega označevanja. </w:t>
      </w:r>
    </w:p>
    <w:p w14:paraId="449DE2FF" w14:textId="77777777" w:rsidR="000760AB" w:rsidRPr="000760AB" w:rsidRDefault="000760AB" w:rsidP="000760AB">
      <w:pPr>
        <w:spacing w:after="160" w:line="259" w:lineRule="auto"/>
        <w:ind w:left="13"/>
        <w:jc w:val="both"/>
        <w:rPr>
          <w:rFonts w:ascii="Calibri" w:eastAsia="Calibri" w:hAnsi="Calibri" w:cs="Calibri"/>
          <w:sz w:val="22"/>
          <w:szCs w:val="22"/>
        </w:rPr>
      </w:pPr>
      <w:r>
        <w:rPr>
          <w:rFonts w:ascii="Calibri" w:hAnsi="Calibri"/>
          <w:sz w:val="22"/>
        </w:rPr>
        <w:t>Ta kraljeva uredba je v skladu z načeli nujnosti, smotrnosti, sorazmernosti, pravne varnosti, preglednosti in učinkovitosti iz člena 129 Zakona št. 39/2015 z dne 1. oktobra 2015 o splošnem upravnem postopku javnih uprav. Kar zadeva načeli nujnosti in smotrnosti, zakon ustreza obveznosti prenosa evropskih direktiv v nacionalno zakonodajo in je v skladu s cilji splošnega interesa, kot je prilagoditev stavbne infrastrukture z namenom spodbujanja trajnostne mobilnosti in uporabe energije iz obnovljivih virov. To bo prispevalo k družbeni blaginji in varstvu okolja. Ta kraljeva uredba je v skladu z načelom sorazmernosti, saj zagotavlja potrebna in zadostna sredstva za izvajanje pravnih pooblastil, določenih v direktivi, ne zahteva pa novosti, ki bi bila lahko nepotrebna ali bi lahko presegala zakonske zahteve, ter ne omejuje pravic državljanov. Ta uredba je v skladu z načelom pravne varnosti, ker je bila pripravljena v skladu s postopki iz Vladnega zakona št. 50/1997 z dne 27. novembra 1997, in načelom preglednosti, saj je njen namen jasno opredeljen, njena vsebina pa je v celoti pojasnjena v javno dostopnih pojasnjevalnih opombah. Uredba nazadnje izpolnjuje tudi načelo učinkovitosti, saj ne prinaša nikakršnega upravnega bremena.</w:t>
      </w:r>
    </w:p>
    <w:p w14:paraId="781A1DCF"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Ta splošni ukrep je bil podvržen postopkom predhodnega javnega posvetovanja in javne obravnave ter obveščanja, določenih v členu 26 Zakona št. 50/1997 vlade z dne 27. novembra 1997, kot tudi postopka obveščanja na področju tehničnih predpisov in pravil za storitve informacijske družbe iz Direktive (EU) 2015/1535 Evropskega parlamenta in Sveta z dne 9. septembra 2015 ter Kraljeve uredbe št. 1337/1999 z dne 31. julija 1999.</w:t>
      </w:r>
    </w:p>
    <w:p w14:paraId="1CF691DA" w14:textId="0555DF60"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Na podlagi tega se v skladu s predlogom ministrice za promet, mobilnost in agendo za mesta in ministrice za ekološki prehod in demografske izzive v dogovoru z Državnim svetom in na podlagi razprave Sveta ministrov na seji z dne [...]</w:t>
      </w:r>
    </w:p>
    <w:p w14:paraId="3A461137" w14:textId="77777777" w:rsidR="000760AB" w:rsidRPr="000760AB" w:rsidRDefault="000760AB" w:rsidP="000760AB">
      <w:pPr>
        <w:spacing w:after="160" w:line="259" w:lineRule="auto"/>
        <w:jc w:val="both"/>
        <w:rPr>
          <w:rFonts w:ascii="Calibri" w:eastAsia="Calibri" w:hAnsi="Calibri" w:cs="Calibri"/>
          <w:sz w:val="22"/>
          <w:szCs w:val="22"/>
          <w:lang w:eastAsia="en-US"/>
        </w:rPr>
      </w:pPr>
    </w:p>
    <w:p w14:paraId="2D0F4D96" w14:textId="77777777" w:rsidR="000760AB" w:rsidRPr="000760AB" w:rsidRDefault="000760AB" w:rsidP="000760AB">
      <w:pPr>
        <w:spacing w:after="160" w:line="259" w:lineRule="auto"/>
        <w:jc w:val="center"/>
        <w:rPr>
          <w:rFonts w:ascii="Calibri" w:eastAsia="Calibri" w:hAnsi="Calibri" w:cs="Calibri"/>
          <w:sz w:val="22"/>
          <w:szCs w:val="22"/>
        </w:rPr>
      </w:pPr>
      <w:r>
        <w:rPr>
          <w:rFonts w:ascii="Calibri" w:hAnsi="Calibri"/>
          <w:sz w:val="22"/>
        </w:rPr>
        <w:t>ODREJA:</w:t>
      </w:r>
    </w:p>
    <w:p w14:paraId="3F204ED5"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Edini člen. </w:t>
      </w:r>
      <w:r>
        <w:rPr>
          <w:rFonts w:ascii="Calibri" w:hAnsi="Calibri"/>
          <w:i/>
          <w:sz w:val="22"/>
        </w:rPr>
        <w:t>Sprememba Tehničnega gradbenega zakonika, odobrenega s Kraljevo uredbo št. 314/2006 z dne 17. marca 2006.</w:t>
      </w:r>
    </w:p>
    <w:p w14:paraId="557D04F7"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Tehnični gradbeni zakonik, odobren s Kraljevo uredbo št. 314/2006 z dne 17. marca 2006, se spremeni, kot je določeno v nadaljevanju.</w:t>
      </w:r>
    </w:p>
    <w:p w14:paraId="38344B6D" w14:textId="77777777" w:rsidR="000760AB" w:rsidRPr="000760AB" w:rsidRDefault="000760AB" w:rsidP="000760AB">
      <w:pPr>
        <w:spacing w:after="160" w:line="259" w:lineRule="auto"/>
        <w:ind w:left="567" w:hanging="567"/>
        <w:jc w:val="both"/>
        <w:rPr>
          <w:rFonts w:ascii="Calibri" w:eastAsia="Calibri" w:hAnsi="Calibri" w:cs="Calibri"/>
          <w:sz w:val="22"/>
          <w:szCs w:val="22"/>
        </w:rPr>
      </w:pPr>
      <w:r>
        <w:rPr>
          <w:rFonts w:ascii="Calibri" w:hAnsi="Calibri"/>
          <w:sz w:val="22"/>
        </w:rPr>
        <w:t>Prvič. Kazalo v delu I se spremeni:</w:t>
      </w:r>
    </w:p>
    <w:p w14:paraId="493E6A51"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lastRenderedPageBreak/>
        <w:t xml:space="preserve">Besedilo „15.6 Osnovna zahteva HE 5: minimalna proizvodnja električne energije“ nadomesti z besedilom </w:t>
      </w:r>
    </w:p>
    <w:p w14:paraId="7A817778"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„15.6. Osnovna zahteva HE 5: Minimalna proizvodnja električne energije iz obnovljivih virov“.</w:t>
      </w:r>
    </w:p>
    <w:p w14:paraId="53D132D3"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V sklicu na člen 15 se vstavi dodatna točka, ki se glasi:</w:t>
      </w:r>
    </w:p>
    <w:p w14:paraId="1B97A8CA"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„15.7. Osnovna zahteva HE 6: minimalne zmogljivosti v zvezi z infrastrukturo za polnjenje električnih vozil“. </w:t>
      </w:r>
    </w:p>
    <w:p w14:paraId="24330295" w14:textId="77777777" w:rsidR="000760AB" w:rsidRPr="000760AB" w:rsidRDefault="000760AB" w:rsidP="000760AB">
      <w:pPr>
        <w:spacing w:after="160" w:line="259" w:lineRule="auto"/>
        <w:ind w:left="567" w:hanging="567"/>
        <w:jc w:val="both"/>
        <w:rPr>
          <w:rFonts w:ascii="Calibri" w:eastAsia="Calibri" w:hAnsi="Calibri" w:cs="Calibri"/>
          <w:sz w:val="22"/>
          <w:szCs w:val="22"/>
        </w:rPr>
      </w:pPr>
      <w:r>
        <w:rPr>
          <w:rFonts w:ascii="Calibri" w:hAnsi="Calibri"/>
          <w:sz w:val="22"/>
        </w:rPr>
        <w:t>Drugič. Člen 15 dela I se spremeni:</w:t>
      </w:r>
    </w:p>
    <w:p w14:paraId="53F6E69E"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Točka 15.6 se spremeni in se glasi:</w:t>
      </w:r>
    </w:p>
    <w:p w14:paraId="41FA2918"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„15.6 Osnovna zahteva HE 5: minimalna proizvodnja električne energije iz obnovljivih virov. </w:t>
      </w:r>
    </w:p>
    <w:p w14:paraId="35075490"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Stavbe so opremljene s sistemi za proizvodnjo električne energije iz obnovljivih virov za lasten odjem ali vrnitev energije v omrežje.“</w:t>
      </w:r>
    </w:p>
    <w:p w14:paraId="7543DFCB"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Doda se nov oddelek 15.7 z naslednjo vsebino:</w:t>
      </w:r>
    </w:p>
    <w:p w14:paraId="47ED5386"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„15.7 Osnovna zahteva HE 6: minimalne zmogljivosti v zvezi z infrastrukturo za polnjenje električnih vozil. </w:t>
      </w:r>
    </w:p>
    <w:p w14:paraId="76AA215B"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Stavbe so opremljene z minimalno infrastrukturo, ki omogoča polnjenje električnih vozil.“</w:t>
      </w:r>
    </w:p>
    <w:p w14:paraId="77CE8C8D"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Tretjič. V delu II osnovnega dokumenta DB-HE „Varčevanje z energijo“ se spremeni naslednje:</w:t>
      </w:r>
    </w:p>
    <w:p w14:paraId="49F2FE06" w14:textId="77777777" w:rsidR="000760AB" w:rsidRPr="000760AB" w:rsidRDefault="000760AB" w:rsidP="000760AB">
      <w:pPr>
        <w:numPr>
          <w:ilvl w:val="0"/>
          <w:numId w:val="17"/>
        </w:numPr>
        <w:spacing w:after="162" w:line="259" w:lineRule="auto"/>
        <w:ind w:left="284" w:firstLine="0"/>
        <w:jc w:val="both"/>
        <w:rPr>
          <w:rFonts w:ascii="Calibri" w:eastAsia="Calibri" w:hAnsi="Calibri" w:cs="Calibri"/>
          <w:sz w:val="22"/>
          <w:szCs w:val="22"/>
        </w:rPr>
      </w:pPr>
      <w:r>
        <w:rPr>
          <w:rFonts w:ascii="Calibri" w:hAnsi="Calibri"/>
          <w:sz w:val="22"/>
        </w:rPr>
        <w:t>V prvem pododstavku oddelka I (predmet) se v uvodnem delu v stavku „Oddelki tega osnovnega dokumenta ustrezajo osnovnim zahtevam HE 0 do HE 5“ besedilo „HE 5“ nadomesti z besedilom „HE 6“.</w:t>
      </w:r>
    </w:p>
    <w:p w14:paraId="0A080F50" w14:textId="77777777" w:rsidR="000760AB" w:rsidRPr="000760AB" w:rsidRDefault="000760AB" w:rsidP="000760AB">
      <w:pPr>
        <w:numPr>
          <w:ilvl w:val="0"/>
          <w:numId w:val="17"/>
        </w:numPr>
        <w:spacing w:after="162" w:line="259" w:lineRule="auto"/>
        <w:ind w:left="284" w:firstLine="0"/>
        <w:jc w:val="both"/>
        <w:rPr>
          <w:rFonts w:ascii="Calibri" w:eastAsia="Calibri" w:hAnsi="Calibri" w:cs="Calibri"/>
          <w:sz w:val="22"/>
          <w:szCs w:val="22"/>
        </w:rPr>
      </w:pPr>
      <w:r>
        <w:rPr>
          <w:rFonts w:ascii="Calibri" w:hAnsi="Calibri"/>
          <w:sz w:val="22"/>
        </w:rPr>
        <w:t>V oddelku I (predmet) uvodnega dela se sklic na člen 15.6 dela I Tehničnega gradbenega zakonika spremeni in se glasi:</w:t>
      </w:r>
    </w:p>
    <w:p w14:paraId="72402F73"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„15.6 Osnovna zahteva HE 5: minimalna proizvodnja električne energije iz obnovljivih virov </w:t>
      </w:r>
    </w:p>
    <w:p w14:paraId="2369423E" w14:textId="77777777" w:rsidR="000760AB" w:rsidRPr="000760AB" w:rsidRDefault="000760AB" w:rsidP="000760AB">
      <w:pPr>
        <w:spacing w:after="162" w:line="259" w:lineRule="auto"/>
        <w:ind w:left="284"/>
        <w:jc w:val="both"/>
        <w:rPr>
          <w:rFonts w:ascii="Calibri" w:eastAsia="Calibri" w:hAnsi="Calibri" w:cs="Calibri"/>
          <w:sz w:val="22"/>
          <w:szCs w:val="22"/>
        </w:rPr>
      </w:pPr>
      <w:r>
        <w:rPr>
          <w:rFonts w:ascii="Calibri" w:hAnsi="Calibri"/>
          <w:sz w:val="22"/>
        </w:rPr>
        <w:t>Stavbe so opremljene s sistemi za proizvodnjo električne energije iz obnovljivih virov za lasten odjem ali vrnitev energije v omrežje.“</w:t>
      </w:r>
    </w:p>
    <w:p w14:paraId="181F1AEB" w14:textId="77777777" w:rsidR="000760AB" w:rsidRPr="000760AB" w:rsidRDefault="000760AB" w:rsidP="000760AB">
      <w:pPr>
        <w:numPr>
          <w:ilvl w:val="0"/>
          <w:numId w:val="17"/>
        </w:numPr>
        <w:spacing w:after="162" w:line="259" w:lineRule="auto"/>
        <w:ind w:left="284" w:firstLine="0"/>
        <w:jc w:val="both"/>
        <w:rPr>
          <w:rFonts w:ascii="Calibri" w:eastAsia="Calibri" w:hAnsi="Calibri" w:cs="Calibri"/>
          <w:sz w:val="22"/>
          <w:szCs w:val="22"/>
        </w:rPr>
      </w:pPr>
      <w:r>
        <w:rPr>
          <w:rFonts w:ascii="Calibri" w:hAnsi="Calibri"/>
          <w:sz w:val="22"/>
        </w:rPr>
        <w:t>V oddelku I (predmet) uvodnega dela se v sklic na člen 15 dela I Tehničnega gradbenega zakonika na koncu vstavi dodatna točka, ki se glasi:</w:t>
      </w:r>
    </w:p>
    <w:p w14:paraId="7C586D67"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„15.7. Osnovna zahteva HE 6: minimalne zmogljivosti v zvezi z infrastrukturo za polnjenje električnih vozil. </w:t>
      </w:r>
    </w:p>
    <w:p w14:paraId="676A05EC"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Stavbe so opremljene z minimalno infrastrukturo, ki omogoča polnjenje </w:t>
      </w:r>
      <w:r>
        <w:rPr>
          <w:rFonts w:ascii="Calibri" w:hAnsi="Calibri"/>
          <w:i/>
          <w:sz w:val="22"/>
        </w:rPr>
        <w:t>električnih vozil</w:t>
      </w:r>
      <w:r>
        <w:rPr>
          <w:rFonts w:ascii="Calibri" w:hAnsi="Calibri"/>
          <w:sz w:val="22"/>
        </w:rPr>
        <w:t>.“</w:t>
      </w:r>
    </w:p>
    <w:p w14:paraId="69721229"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V kazalu se naslov oddelka HE 5 spremeni in se glasi:</w:t>
      </w:r>
    </w:p>
    <w:p w14:paraId="582FB085" w14:textId="6A9EA674" w:rsid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„Oddelek HE 5 – Minimalna proizvodnja električne energije iz obnovljivih virov“.</w:t>
      </w:r>
    </w:p>
    <w:p w14:paraId="6364AA7F" w14:textId="77777777" w:rsidR="000760AB" w:rsidRPr="000760AB" w:rsidRDefault="000760AB" w:rsidP="000760AB">
      <w:pPr>
        <w:spacing w:after="160" w:line="259" w:lineRule="auto"/>
        <w:ind w:left="284"/>
        <w:contextualSpacing/>
        <w:jc w:val="both"/>
        <w:rPr>
          <w:rFonts w:ascii="Calibri" w:eastAsia="Calibri" w:hAnsi="Calibri" w:cs="Calibri"/>
          <w:sz w:val="22"/>
          <w:szCs w:val="22"/>
          <w:lang w:eastAsia="en-US"/>
        </w:rPr>
      </w:pPr>
    </w:p>
    <w:p w14:paraId="3893C14C"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V kazalu se v sklic na člen 15 vstavi dodatna točka, ki se glasi:</w:t>
      </w:r>
    </w:p>
    <w:p w14:paraId="176B586E" w14:textId="77777777" w:rsidR="000760AB" w:rsidRPr="000760AB" w:rsidRDefault="000760AB" w:rsidP="000760AB">
      <w:pPr>
        <w:tabs>
          <w:tab w:val="left" w:pos="7938"/>
        </w:tabs>
        <w:spacing w:after="160" w:line="259" w:lineRule="auto"/>
        <w:ind w:left="284"/>
        <w:contextualSpacing/>
        <w:jc w:val="both"/>
        <w:rPr>
          <w:rFonts w:ascii="Calibri" w:eastAsia="Calibri" w:hAnsi="Calibri" w:cs="Calibri"/>
          <w:sz w:val="22"/>
          <w:szCs w:val="22"/>
        </w:rPr>
      </w:pPr>
      <w:r>
        <w:rPr>
          <w:rFonts w:ascii="Calibri" w:hAnsi="Calibri"/>
          <w:sz w:val="22"/>
        </w:rPr>
        <w:t>„Oddelek HE 6 – Minimalne zmogljivosti v zvezi z infrastrukturo za polnjenje električnih vozil</w:t>
      </w:r>
    </w:p>
    <w:p w14:paraId="0C2C22F2" w14:textId="77777777" w:rsidR="000760AB" w:rsidRPr="000760AB" w:rsidRDefault="000760AB" w:rsidP="000760AB">
      <w:pPr>
        <w:numPr>
          <w:ilvl w:val="0"/>
          <w:numId w:val="14"/>
        </w:numPr>
        <w:tabs>
          <w:tab w:val="left" w:pos="567"/>
        </w:tabs>
        <w:spacing w:after="160" w:line="259" w:lineRule="auto"/>
        <w:ind w:left="284" w:firstLine="0"/>
        <w:contextualSpacing/>
        <w:jc w:val="both"/>
        <w:rPr>
          <w:rFonts w:ascii="Calibri" w:eastAsia="Calibri" w:hAnsi="Calibri" w:cs="Calibri"/>
          <w:sz w:val="22"/>
          <w:szCs w:val="22"/>
        </w:rPr>
      </w:pPr>
      <w:r>
        <w:rPr>
          <w:rFonts w:ascii="Calibri" w:hAnsi="Calibri"/>
          <w:sz w:val="22"/>
        </w:rPr>
        <w:t>Področje uporabe</w:t>
      </w:r>
    </w:p>
    <w:p w14:paraId="14454D1F" w14:textId="77777777" w:rsidR="000760AB" w:rsidRPr="000760AB" w:rsidRDefault="000760AB" w:rsidP="000760AB">
      <w:pPr>
        <w:numPr>
          <w:ilvl w:val="0"/>
          <w:numId w:val="14"/>
        </w:numPr>
        <w:tabs>
          <w:tab w:val="left" w:pos="567"/>
        </w:tabs>
        <w:spacing w:after="160" w:line="259" w:lineRule="auto"/>
        <w:ind w:left="284" w:firstLine="0"/>
        <w:contextualSpacing/>
        <w:jc w:val="both"/>
        <w:rPr>
          <w:rFonts w:ascii="Calibri" w:eastAsia="Calibri" w:hAnsi="Calibri" w:cs="Calibri"/>
          <w:sz w:val="22"/>
          <w:szCs w:val="22"/>
        </w:rPr>
      </w:pPr>
      <w:r>
        <w:rPr>
          <w:rFonts w:ascii="Calibri" w:hAnsi="Calibri"/>
          <w:sz w:val="22"/>
        </w:rPr>
        <w:t>Opis zahteve</w:t>
      </w:r>
    </w:p>
    <w:p w14:paraId="41AC625F" w14:textId="77777777" w:rsidR="000760AB" w:rsidRPr="000760AB" w:rsidRDefault="000760AB" w:rsidP="000760AB">
      <w:pPr>
        <w:numPr>
          <w:ilvl w:val="0"/>
          <w:numId w:val="14"/>
        </w:numPr>
        <w:tabs>
          <w:tab w:val="left" w:pos="567"/>
        </w:tabs>
        <w:spacing w:after="160" w:line="259" w:lineRule="auto"/>
        <w:ind w:left="284" w:firstLine="0"/>
        <w:contextualSpacing/>
        <w:jc w:val="both"/>
        <w:rPr>
          <w:rFonts w:ascii="Calibri" w:eastAsia="Calibri" w:hAnsi="Calibri" w:cs="Calibri"/>
          <w:sz w:val="22"/>
          <w:szCs w:val="22"/>
        </w:rPr>
      </w:pPr>
      <w:r>
        <w:rPr>
          <w:rFonts w:ascii="Calibri" w:hAnsi="Calibri"/>
          <w:sz w:val="22"/>
        </w:rPr>
        <w:t>Količinska opredelitev zahteve</w:t>
      </w:r>
    </w:p>
    <w:p w14:paraId="0D46B4A0" w14:textId="77777777" w:rsidR="000760AB" w:rsidRPr="000760AB" w:rsidRDefault="000760AB" w:rsidP="000760AB">
      <w:pPr>
        <w:numPr>
          <w:ilvl w:val="0"/>
          <w:numId w:val="14"/>
        </w:numPr>
        <w:tabs>
          <w:tab w:val="left" w:pos="567"/>
        </w:tabs>
        <w:spacing w:after="160" w:line="259" w:lineRule="auto"/>
        <w:ind w:left="284" w:firstLine="0"/>
        <w:contextualSpacing/>
        <w:jc w:val="both"/>
        <w:rPr>
          <w:rFonts w:ascii="Calibri" w:eastAsia="Calibri" w:hAnsi="Calibri" w:cs="Calibri"/>
          <w:sz w:val="22"/>
          <w:szCs w:val="22"/>
        </w:rPr>
      </w:pPr>
      <w:r>
        <w:rPr>
          <w:rFonts w:ascii="Calibri" w:hAnsi="Calibri"/>
          <w:sz w:val="22"/>
        </w:rPr>
        <w:t>Utemeljitev zahteve</w:t>
      </w:r>
    </w:p>
    <w:p w14:paraId="6C8C16FE" w14:textId="77777777" w:rsidR="000760AB" w:rsidRPr="000760AB" w:rsidRDefault="000760AB" w:rsidP="000760AB">
      <w:pPr>
        <w:numPr>
          <w:ilvl w:val="0"/>
          <w:numId w:val="14"/>
        </w:numPr>
        <w:tabs>
          <w:tab w:val="left" w:pos="567"/>
        </w:tabs>
        <w:spacing w:after="160" w:line="259" w:lineRule="auto"/>
        <w:ind w:left="284" w:firstLine="0"/>
        <w:contextualSpacing/>
        <w:jc w:val="both"/>
        <w:rPr>
          <w:rFonts w:ascii="Calibri" w:eastAsia="Calibri" w:hAnsi="Calibri" w:cs="Calibri"/>
          <w:sz w:val="22"/>
          <w:szCs w:val="22"/>
        </w:rPr>
      </w:pPr>
      <w:r>
        <w:rPr>
          <w:rFonts w:ascii="Calibri" w:hAnsi="Calibri"/>
          <w:sz w:val="22"/>
        </w:rPr>
        <w:t>Gradnja, vzdrževanje in ohranjanje</w:t>
      </w:r>
    </w:p>
    <w:p w14:paraId="555B094E" w14:textId="77777777" w:rsidR="000760AB" w:rsidRPr="000760AB" w:rsidRDefault="000760AB" w:rsidP="000760AB">
      <w:pPr>
        <w:tabs>
          <w:tab w:val="left" w:pos="993"/>
        </w:tabs>
        <w:spacing w:after="160" w:line="259" w:lineRule="auto"/>
        <w:ind w:left="284"/>
        <w:contextualSpacing/>
        <w:jc w:val="both"/>
        <w:rPr>
          <w:rFonts w:ascii="Calibri" w:eastAsia="Calibri" w:hAnsi="Calibri" w:cs="Calibri"/>
          <w:sz w:val="22"/>
          <w:szCs w:val="22"/>
        </w:rPr>
      </w:pPr>
      <w:r>
        <w:rPr>
          <w:rFonts w:ascii="Calibri" w:hAnsi="Calibri"/>
          <w:sz w:val="22"/>
        </w:rPr>
        <w:t>5.1</w:t>
      </w:r>
      <w:r>
        <w:rPr>
          <w:rFonts w:ascii="Calibri" w:hAnsi="Calibri"/>
          <w:sz w:val="22"/>
        </w:rPr>
        <w:tab/>
        <w:t>Izvedba</w:t>
      </w:r>
    </w:p>
    <w:p w14:paraId="2080D911" w14:textId="77777777" w:rsidR="000760AB" w:rsidRPr="000760AB" w:rsidRDefault="000760AB" w:rsidP="000760AB">
      <w:pPr>
        <w:tabs>
          <w:tab w:val="left" w:pos="993"/>
        </w:tabs>
        <w:spacing w:after="160" w:line="259" w:lineRule="auto"/>
        <w:ind w:left="284"/>
        <w:contextualSpacing/>
        <w:jc w:val="both"/>
        <w:rPr>
          <w:rFonts w:ascii="Calibri" w:eastAsia="Calibri" w:hAnsi="Calibri" w:cs="Calibri"/>
          <w:sz w:val="22"/>
          <w:szCs w:val="22"/>
        </w:rPr>
      </w:pPr>
      <w:r>
        <w:rPr>
          <w:rFonts w:ascii="Calibri" w:hAnsi="Calibri"/>
          <w:sz w:val="22"/>
        </w:rPr>
        <w:lastRenderedPageBreak/>
        <w:t>5.2</w:t>
      </w:r>
      <w:r>
        <w:rPr>
          <w:rFonts w:ascii="Calibri" w:hAnsi="Calibri"/>
          <w:sz w:val="22"/>
        </w:rPr>
        <w:tab/>
        <w:t>Spremljanje izvajanja del</w:t>
      </w:r>
    </w:p>
    <w:p w14:paraId="0A1431F4" w14:textId="77777777" w:rsidR="000760AB" w:rsidRPr="000760AB" w:rsidRDefault="000760AB" w:rsidP="000760AB">
      <w:pPr>
        <w:tabs>
          <w:tab w:val="left" w:pos="993"/>
        </w:tabs>
        <w:spacing w:after="160" w:line="259" w:lineRule="auto"/>
        <w:ind w:left="284"/>
        <w:contextualSpacing/>
        <w:jc w:val="both"/>
        <w:rPr>
          <w:rFonts w:ascii="Calibri" w:eastAsia="Calibri" w:hAnsi="Calibri" w:cs="Calibri"/>
          <w:sz w:val="22"/>
          <w:szCs w:val="22"/>
        </w:rPr>
      </w:pPr>
      <w:r>
        <w:rPr>
          <w:rFonts w:ascii="Calibri" w:hAnsi="Calibri"/>
          <w:sz w:val="22"/>
        </w:rPr>
        <w:t>5.3</w:t>
      </w:r>
      <w:r>
        <w:rPr>
          <w:rFonts w:ascii="Calibri" w:hAnsi="Calibri"/>
          <w:sz w:val="22"/>
        </w:rPr>
        <w:tab/>
        <w:t>Preverjanje zaključenih del</w:t>
      </w:r>
    </w:p>
    <w:p w14:paraId="43CD09C6" w14:textId="77777777" w:rsidR="000760AB" w:rsidRPr="000760AB" w:rsidRDefault="000760AB" w:rsidP="000760AB">
      <w:pPr>
        <w:tabs>
          <w:tab w:val="left" w:pos="993"/>
        </w:tabs>
        <w:spacing w:after="160" w:line="259" w:lineRule="auto"/>
        <w:ind w:left="284"/>
        <w:contextualSpacing/>
        <w:jc w:val="both"/>
        <w:rPr>
          <w:rFonts w:ascii="Calibri" w:eastAsia="Calibri" w:hAnsi="Calibri" w:cs="Calibri"/>
          <w:sz w:val="22"/>
          <w:szCs w:val="22"/>
        </w:rPr>
      </w:pPr>
      <w:r>
        <w:rPr>
          <w:rFonts w:ascii="Calibri" w:hAnsi="Calibri"/>
          <w:sz w:val="22"/>
        </w:rPr>
        <w:t>5.4</w:t>
      </w:r>
      <w:r>
        <w:rPr>
          <w:rFonts w:ascii="Calibri" w:hAnsi="Calibri"/>
          <w:sz w:val="22"/>
        </w:rPr>
        <w:tab/>
        <w:t>Vzdrževanje in ohranjanje stavbe“</w:t>
      </w:r>
    </w:p>
    <w:p w14:paraId="2BFCCA3F"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V odstavku 1 oddelka 1 Področje uporabe razdelka HE 0 se besedilo: „... če skupna razširjena uporabna površina presega 50 m</w:t>
      </w:r>
      <w:r>
        <w:rPr>
          <w:rFonts w:ascii="Calibri" w:hAnsi="Calibri"/>
          <w:sz w:val="22"/>
          <w:vertAlign w:val="superscript"/>
        </w:rPr>
        <w:t>2</w:t>
      </w:r>
      <w:r>
        <w:rPr>
          <w:rFonts w:ascii="Calibri" w:hAnsi="Calibri"/>
          <w:sz w:val="22"/>
        </w:rPr>
        <w:t>;“ nadomesti z „... če razširjena uporabna površina presega 50 m</w:t>
      </w:r>
      <w:r>
        <w:rPr>
          <w:rFonts w:ascii="Calibri" w:hAnsi="Calibri"/>
          <w:sz w:val="22"/>
          <w:vertAlign w:val="superscript"/>
        </w:rPr>
        <w:t>2</w:t>
      </w:r>
      <w:r>
        <w:rPr>
          <w:rFonts w:ascii="Calibri" w:hAnsi="Calibri"/>
          <w:sz w:val="22"/>
        </w:rPr>
        <w:t>;“.</w:t>
      </w:r>
    </w:p>
    <w:p w14:paraId="1BE79A25"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V odstavku 1 pododdelka 3.1 Poraba primarne energije iz neobnovljivih virov oddelka 3 Količinska opredelitev zahteve</w:t>
      </w:r>
      <w:bookmarkStart w:id="1" w:name="_Hlk96944651"/>
      <w:bookmarkEnd w:id="1"/>
      <w:r>
        <w:rPr>
          <w:rFonts w:ascii="Calibri" w:hAnsi="Calibri"/>
          <w:sz w:val="22"/>
        </w:rPr>
        <w:t xml:space="preserve"> razdelka HE 0 </w:t>
      </w:r>
      <w:bookmarkStart w:id="2" w:name="_Hlk96943118"/>
      <w:r>
        <w:rPr>
          <w:rFonts w:ascii="Calibri" w:hAnsi="Calibri"/>
          <w:sz w:val="22"/>
        </w:rPr>
        <w:t>se izraz „Cep,nren“ nadomesti z izrazom „C</w:t>
      </w:r>
      <w:r>
        <w:rPr>
          <w:rFonts w:ascii="Calibri" w:hAnsi="Calibri"/>
          <w:sz w:val="22"/>
          <w:vertAlign w:val="subscript"/>
        </w:rPr>
        <w:t>ep,nren</w:t>
      </w:r>
      <w:r>
        <w:rPr>
          <w:rFonts w:ascii="Calibri" w:hAnsi="Calibri"/>
          <w:sz w:val="22"/>
        </w:rPr>
        <w:t>“, izraz „Cep,nren,lim“ pa se nadomesti z izrazom „C</w:t>
      </w:r>
      <w:r>
        <w:rPr>
          <w:rFonts w:ascii="Calibri" w:hAnsi="Calibri"/>
          <w:sz w:val="22"/>
          <w:vertAlign w:val="subscript"/>
        </w:rPr>
        <w:t>ep,nren,lim</w:t>
      </w:r>
      <w:r>
        <w:rPr>
          <w:rFonts w:ascii="Calibri" w:hAnsi="Calibri"/>
          <w:sz w:val="22"/>
        </w:rPr>
        <w:t>“.</w:t>
      </w:r>
      <w:bookmarkEnd w:id="2"/>
    </w:p>
    <w:p w14:paraId="1F114D51"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V odstavku 2 pododdelka 3.1 Poraba primarne energije iz neobnovljivih virov oddelka 3 Količinska opredelitev zahteve razdelka HE 0 se izraz „Cep,nren,lim“ nadomesti z izrazom „C</w:t>
      </w:r>
      <w:r>
        <w:rPr>
          <w:rFonts w:ascii="Calibri" w:hAnsi="Calibri"/>
          <w:sz w:val="22"/>
          <w:vertAlign w:val="subscript"/>
        </w:rPr>
        <w:t>ep,nren,lim</w:t>
      </w:r>
      <w:r>
        <w:rPr>
          <w:rFonts w:ascii="Calibri" w:hAnsi="Calibri"/>
          <w:sz w:val="22"/>
        </w:rPr>
        <w:t>“.</w:t>
      </w:r>
    </w:p>
    <w:p w14:paraId="75CFE807" w14:textId="616002F6"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V odstavku 1 pododdelka 3.2 Skupna poraba primarne energije oddelka 3 Količinska opredelitev zahteve razdelka HE 0 se izraz „Cep,tot“ nadomesti z izrazom „C</w:t>
      </w:r>
      <w:r>
        <w:rPr>
          <w:rFonts w:ascii="Calibri" w:hAnsi="Calibri"/>
          <w:sz w:val="22"/>
          <w:vertAlign w:val="subscript"/>
        </w:rPr>
        <w:t>ep,tot</w:t>
      </w:r>
      <w:r>
        <w:rPr>
          <w:rFonts w:ascii="Calibri" w:hAnsi="Calibri"/>
          <w:sz w:val="22"/>
        </w:rPr>
        <w:t>“.</w:t>
      </w:r>
    </w:p>
    <w:p w14:paraId="440538F2"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V odstavku 2 pododdelka 3.2 Skupna poraba primarne energije oddelka 3 Količinska opredelitev zahteve razdelka HE 0 se izraz „Cep,tot,lim“ nadomesti z izrazom „C</w:t>
      </w:r>
      <w:r>
        <w:rPr>
          <w:rFonts w:ascii="Calibri" w:hAnsi="Calibri"/>
          <w:sz w:val="22"/>
          <w:vertAlign w:val="subscript"/>
        </w:rPr>
        <w:t>ep,tot,lim</w:t>
      </w:r>
      <w:r>
        <w:rPr>
          <w:rFonts w:ascii="Calibri" w:hAnsi="Calibri"/>
          <w:sz w:val="22"/>
        </w:rPr>
        <w:t>“.</w:t>
      </w:r>
    </w:p>
    <w:p w14:paraId="1766850B"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V oddelku 3 Količinska opredelitev zahteve razdelka HE 0 mora biti izraz „</w:t>
      </w:r>
      <w:r>
        <w:rPr>
          <w:rFonts w:ascii="Calibri" w:hAnsi="Calibri"/>
          <w:i/>
          <w:sz w:val="22"/>
        </w:rPr>
        <w:t>zasebna stanovanjska uporaba“</w:t>
      </w:r>
      <w:r>
        <w:rPr>
          <w:rFonts w:ascii="Calibri" w:hAnsi="Calibri"/>
          <w:sz w:val="22"/>
        </w:rPr>
        <w:t xml:space="preserve"> v poševnem tisku.</w:t>
      </w:r>
    </w:p>
    <w:p w14:paraId="530AA467"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V odstavku 9 pododdelka 4.1 Postopek izračuna razdelka HE 0 se besedilo „priznani dokument“ nadomesti z besedilom „priznani dokument za energetsko certifikacijo stavb“.</w:t>
      </w:r>
    </w:p>
    <w:p w14:paraId="5A51E01A" w14:textId="77777777" w:rsidR="000760AB" w:rsidRPr="000760AB" w:rsidRDefault="000760AB" w:rsidP="000760AB">
      <w:pPr>
        <w:numPr>
          <w:ilvl w:val="0"/>
          <w:numId w:val="17"/>
        </w:numPr>
        <w:spacing w:after="160" w:line="259" w:lineRule="auto"/>
        <w:ind w:left="284" w:hanging="11"/>
        <w:jc w:val="both"/>
        <w:rPr>
          <w:rFonts w:ascii="Calibri" w:eastAsia="Calibri" w:hAnsi="Calibri" w:cs="Calibri"/>
          <w:sz w:val="22"/>
          <w:szCs w:val="22"/>
        </w:rPr>
      </w:pPr>
      <w:r>
        <w:rPr>
          <w:rFonts w:ascii="Calibri" w:hAnsi="Calibri"/>
          <w:sz w:val="22"/>
        </w:rPr>
        <w:t>V pododdelku 4.1 Postopek izračuna razdelka HE 0 odstavek 9 postane odstavek 11 in dodata se naslednja pododstavka:</w:t>
      </w:r>
    </w:p>
    <w:p w14:paraId="120F39BD"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„9.</w:t>
      </w:r>
      <w:r>
        <w:rPr>
          <w:rFonts w:ascii="Calibri" w:hAnsi="Calibri"/>
          <w:sz w:val="22"/>
        </w:rPr>
        <w:tab/>
        <w:t xml:space="preserve">Izračun energetske bilance, ki je potreben za preverjanje izpolnjevanja zahtev tega osnovnega dokumenta, se izvede v skladu s standardom UNE-EN ISO 52000-1:2019: </w:t>
      </w:r>
      <w:r>
        <w:rPr>
          <w:rFonts w:ascii="Calibri" w:hAnsi="Calibri"/>
          <w:i/>
          <w:sz w:val="22"/>
        </w:rPr>
        <w:t>Splošna ocena energetske učinkovitosti stavb Del 1: splošni okvir in postopki</w:t>
      </w:r>
      <w:r>
        <w:rPr>
          <w:rFonts w:ascii="Calibri" w:hAnsi="Calibri"/>
          <w:sz w:val="22"/>
        </w:rPr>
        <w:t xml:space="preserve"> z uporabo izvoznega faktorja K</w:t>
      </w:r>
      <w:r>
        <w:rPr>
          <w:rFonts w:ascii="Calibri" w:hAnsi="Calibri"/>
          <w:sz w:val="22"/>
          <w:vertAlign w:val="subscript"/>
        </w:rPr>
        <w:t>exp</w:t>
      </w:r>
      <w:r>
        <w:rPr>
          <w:rFonts w:ascii="Calibri" w:hAnsi="Calibri"/>
          <w:sz w:val="22"/>
        </w:rPr>
        <w:t xml:space="preserve"> = 0.“</w:t>
      </w:r>
    </w:p>
    <w:p w14:paraId="6D26B789" w14:textId="3B1081FB"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„10.</w:t>
      </w:r>
      <w:r>
        <w:rPr>
          <w:rFonts w:ascii="Calibri" w:hAnsi="Calibri"/>
          <w:sz w:val="22"/>
        </w:rPr>
        <w:tab/>
        <w:t>Za namene dodeljevanja različnim storitvam se distribucija električne energije, proizvedene na kraju samem, v posameznih časovnih intervalih izračuna sorazmerno s porabo električne energije na zadevnem področju (ogrevanje, hlajenje, prezračevanje, gospodinjska topla voda in v okviru terciarne porabe tudi razsvetljava).“</w:t>
      </w:r>
    </w:p>
    <w:p w14:paraId="015C0599"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Izraz „</w:t>
      </w:r>
      <w:r>
        <w:rPr>
          <w:rFonts w:ascii="Calibri" w:hAnsi="Calibri"/>
          <w:i/>
          <w:sz w:val="22"/>
        </w:rPr>
        <w:t>zasebna stanovanjska uporaba</w:t>
      </w:r>
      <w:r>
        <w:rPr>
          <w:rFonts w:ascii="Calibri" w:hAnsi="Calibri"/>
          <w:sz w:val="22"/>
        </w:rPr>
        <w:t>“ iz odstavka 2 pododdelka 4.3 Notranje zahteve in operativni pogoji razdelka HE 0 se označi s poševnim tiskom.</w:t>
      </w:r>
    </w:p>
    <w:p w14:paraId="424F77C1" w14:textId="77777777" w:rsidR="000760AB" w:rsidRPr="000760AB" w:rsidRDefault="000760AB" w:rsidP="000760AB">
      <w:pPr>
        <w:spacing w:before="200" w:after="100"/>
        <w:ind w:left="284"/>
        <w:jc w:val="both"/>
        <w:rPr>
          <w:rFonts w:ascii="Calibri" w:eastAsia="Arial" w:hAnsi="Calibri" w:cs="Calibri"/>
          <w:kern w:val="2"/>
          <w:sz w:val="22"/>
          <w:szCs w:val="22"/>
        </w:rPr>
      </w:pPr>
      <w:r>
        <w:rPr>
          <w:rFonts w:ascii="Calibri" w:hAnsi="Calibri"/>
          <w:sz w:val="22"/>
        </w:rPr>
        <w:t>ñ) Izraz „</w:t>
      </w:r>
      <w:r>
        <w:rPr>
          <w:rFonts w:ascii="Calibri" w:hAnsi="Calibri"/>
          <w:i/>
          <w:sz w:val="22"/>
        </w:rPr>
        <w:t>zasebna stanovanjska uporaba</w:t>
      </w:r>
      <w:r>
        <w:rPr>
          <w:rFonts w:ascii="Calibri" w:hAnsi="Calibri"/>
          <w:sz w:val="22"/>
        </w:rPr>
        <w:t>“ iz odstavka 1 in naslova pododdelka 4.5 razdelka HE 0 Referenčni sistemi na področju zasebne stanovanjske uporabe se označi s poševnim tiskom.</w:t>
      </w:r>
    </w:p>
    <w:p w14:paraId="7DB1F14A"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 xml:space="preserve">V pododdelku 3.1.1 Prepustnost </w:t>
      </w:r>
      <w:r>
        <w:rPr>
          <w:rFonts w:ascii="Calibri" w:hAnsi="Calibri"/>
          <w:i/>
          <w:iCs/>
          <w:sz w:val="22"/>
        </w:rPr>
        <w:t>toplotnega ovoja</w:t>
      </w:r>
      <w:r>
        <w:rPr>
          <w:rFonts w:ascii="Calibri" w:hAnsi="Calibri"/>
          <w:sz w:val="22"/>
        </w:rPr>
        <w:t xml:space="preserve"> oddelka 3 Količinska opredelitev zahteve razdelka HE 1 se izraz „kompaktnost“ v preglednicah 3.1.1.b-HE1 in 3.1.1.c-HE1 označi v poševnem tisku.</w:t>
      </w:r>
    </w:p>
    <w:p w14:paraId="2E82A8CF"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 xml:space="preserve">V pododdelku 3.1.1 Prepustnost </w:t>
      </w:r>
      <w:r>
        <w:rPr>
          <w:rFonts w:ascii="Calibri" w:hAnsi="Calibri"/>
          <w:i/>
          <w:iCs/>
          <w:sz w:val="22"/>
        </w:rPr>
        <w:t>toplotnega ovoja</w:t>
      </w:r>
      <w:r>
        <w:rPr>
          <w:rFonts w:ascii="Calibri" w:hAnsi="Calibri"/>
          <w:sz w:val="22"/>
        </w:rPr>
        <w:t xml:space="preserve"> oddelka 3 Količinska opredelitev zahteve razdelka HE 1 se izraz „kompaktnost“ v opombah k preglednici 3.1.1.b-HE1 in preglednici 3.1.1.c-HE1 ter izraz „kompaktnost“ v opombah k preglednici 3.1.1.c-HE1 označi v poševnem tisku.</w:t>
      </w:r>
    </w:p>
    <w:p w14:paraId="6592C9AA"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lastRenderedPageBreak/>
        <w:t xml:space="preserve">V pododdelku 3.1.1 Prepustnost </w:t>
      </w:r>
      <w:r>
        <w:rPr>
          <w:rFonts w:ascii="Calibri" w:hAnsi="Calibri"/>
          <w:i/>
          <w:iCs/>
          <w:sz w:val="22"/>
        </w:rPr>
        <w:t>toplotnega ovoja</w:t>
      </w:r>
      <w:r>
        <w:rPr>
          <w:rFonts w:ascii="Calibri" w:hAnsi="Calibri"/>
          <w:sz w:val="22"/>
        </w:rPr>
        <w:t xml:space="preserve"> oddelka 3 Količinska opredelitev zahteve razdelka HE 1 se izraz „</w:t>
      </w:r>
      <w:r>
        <w:rPr>
          <w:rFonts w:ascii="Calibri" w:hAnsi="Calibri"/>
          <w:i/>
          <w:sz w:val="22"/>
        </w:rPr>
        <w:t>zasebna stanovanjska uporaba</w:t>
      </w:r>
      <w:r>
        <w:rPr>
          <w:rFonts w:ascii="Calibri" w:hAnsi="Calibri"/>
          <w:sz w:val="22"/>
        </w:rPr>
        <w:t>“ v odstavku 3 in preglednici 3.1.1.b-HE1 označi s poševnim tiskom.</w:t>
      </w:r>
    </w:p>
    <w:p w14:paraId="4B4F6F00"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 xml:space="preserve">V pododdelku 3.1.1 Prepustnost </w:t>
      </w:r>
      <w:r>
        <w:rPr>
          <w:rFonts w:ascii="Calibri" w:hAnsi="Calibri"/>
          <w:i/>
          <w:iCs/>
          <w:sz w:val="22"/>
        </w:rPr>
        <w:t>toplotnega ovoja</w:t>
      </w:r>
      <w:r>
        <w:rPr>
          <w:rFonts w:ascii="Calibri" w:hAnsi="Calibri"/>
          <w:sz w:val="22"/>
        </w:rPr>
        <w:t xml:space="preserve"> oddelka 3 Količinska opredelitev zahteve razdelka HE 1 se izraz „toplotna ovojnica“ v preglednicah 3.1.1.b-HE1 in 3.1.1.c-HE1 navede v poševnem tisku.</w:t>
      </w:r>
    </w:p>
    <w:p w14:paraId="41623096"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 xml:space="preserve">V pododdelku 3.1.1 </w:t>
      </w:r>
      <w:r>
        <w:rPr>
          <w:rFonts w:ascii="Calibri" w:hAnsi="Calibri"/>
          <w:i/>
          <w:iCs/>
          <w:sz w:val="22"/>
        </w:rPr>
        <w:t>Prepustnost toplotnega ovoja</w:t>
      </w:r>
      <w:r>
        <w:rPr>
          <w:rFonts w:ascii="Calibri" w:hAnsi="Calibri"/>
          <w:sz w:val="22"/>
        </w:rPr>
        <w:t xml:space="preserve"> oddelka 3 Količinska opredelitev zahteve razdelka HE 1 se doda naslednji odstavek:</w:t>
      </w:r>
    </w:p>
    <w:p w14:paraId="6EEEBF4F"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„6. Druga možnost je, da se stavbe ali – v primeru delnih posegov na obstoječih stavbah – deli stavb, na katerih se izvajajo posegi in katerih potrebe po ogrevanju in hlajenju znašajo manj kot 15 kWh/m</w:t>
      </w:r>
      <w:r>
        <w:rPr>
          <w:rFonts w:ascii="Calibri" w:hAnsi="Calibri"/>
          <w:sz w:val="22"/>
          <w:vertAlign w:val="superscript"/>
        </w:rPr>
        <w:t>2</w:t>
      </w:r>
      <w:r>
        <w:rPr>
          <w:rFonts w:ascii="Calibri" w:hAnsi="Calibri"/>
          <w:sz w:val="22"/>
        </w:rPr>
        <w:t xml:space="preserve">, izvzamejo iz zahteve glede zagotavljanja </w:t>
      </w:r>
      <w:r>
        <w:rPr>
          <w:rFonts w:ascii="Calibri" w:hAnsi="Calibri"/>
          <w:i/>
          <w:iCs/>
          <w:sz w:val="22"/>
        </w:rPr>
        <w:t>skupnega koeficienta prenosa toplote prek toplotne ovojnice</w:t>
      </w:r>
      <w:r>
        <w:rPr>
          <w:rFonts w:ascii="Calibri" w:hAnsi="Calibri"/>
          <w:sz w:val="22"/>
        </w:rPr>
        <w:t xml:space="preserve"> (K).“</w:t>
      </w:r>
    </w:p>
    <w:p w14:paraId="582E2B37"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V pododdelku 3.1.2 Solarna regulacija toplotnega ovoja oddelka 3 Količinska opredelitev zahteve razdelka HE 1 se besedilo: „preglednica 3.1.2-HE1 Mejna vrednost parametra solarne regulacije qsol;jul,lim [kWh/m</w:t>
      </w:r>
      <w:r>
        <w:rPr>
          <w:rFonts w:ascii="Calibri" w:hAnsi="Calibri"/>
          <w:sz w:val="22"/>
          <w:vertAlign w:val="superscript"/>
        </w:rPr>
        <w:t>2</w:t>
      </w:r>
      <w:r>
        <w:rPr>
          <w:rFonts w:ascii="Calibri" w:hAnsi="Calibri"/>
          <w:sz w:val="22"/>
        </w:rPr>
        <w:t>·mes]“ se nadomesti z: „preglednica 3.1.2-HE1 Mejna vrednost parametra solarne regulacije q</w:t>
      </w:r>
      <w:r>
        <w:rPr>
          <w:rFonts w:ascii="Calibri" w:hAnsi="Calibri"/>
          <w:sz w:val="22"/>
          <w:vertAlign w:val="subscript"/>
        </w:rPr>
        <w:t>sol;jul,lim</w:t>
      </w:r>
      <w:r>
        <w:rPr>
          <w:rFonts w:ascii="Calibri" w:hAnsi="Calibri"/>
          <w:sz w:val="22"/>
        </w:rPr>
        <w:t xml:space="preserve"> [kWh/m</w:t>
      </w:r>
      <w:r>
        <w:rPr>
          <w:rFonts w:ascii="Calibri" w:hAnsi="Calibri"/>
          <w:sz w:val="22"/>
          <w:vertAlign w:val="superscript"/>
        </w:rPr>
        <w:t>2</w:t>
      </w:r>
      <w:r>
        <w:rPr>
          <w:rFonts w:ascii="Calibri" w:hAnsi="Calibri"/>
          <w:sz w:val="22"/>
        </w:rPr>
        <w:t>·mes]“.</w:t>
      </w:r>
    </w:p>
    <w:p w14:paraId="7E3CBE02"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V pododdelku 3.1.3 Zračna prepustnost toplotnega ovoja oddelka 3 Količinska opredelitev zahteve razdelka HE 1 se izraz „toplotna ovojnica“ navede v poševnem tisku v naslovu oddelka in naslovu preglednice 3.1.3.a-HE1.</w:t>
      </w:r>
    </w:p>
    <w:p w14:paraId="7B525B8B" w14:textId="77777777" w:rsidR="000760AB" w:rsidRPr="000760AB" w:rsidRDefault="000760AB" w:rsidP="000760AB">
      <w:pPr>
        <w:numPr>
          <w:ilvl w:val="0"/>
          <w:numId w:val="17"/>
        </w:numPr>
        <w:spacing w:after="160" w:line="259" w:lineRule="auto"/>
        <w:ind w:left="284" w:firstLine="0"/>
        <w:contextualSpacing/>
        <w:jc w:val="both"/>
        <w:rPr>
          <w:rFonts w:ascii="Calibri" w:eastAsia="Calibri" w:hAnsi="Calibri" w:cs="Calibri"/>
          <w:sz w:val="22"/>
          <w:szCs w:val="22"/>
        </w:rPr>
      </w:pPr>
      <w:r>
        <w:rPr>
          <w:rFonts w:ascii="Calibri" w:hAnsi="Calibri"/>
          <w:sz w:val="22"/>
        </w:rPr>
        <w:t xml:space="preserve">V pododdelku 3.1.3 Zračna prepustnost </w:t>
      </w:r>
      <w:r>
        <w:rPr>
          <w:rFonts w:ascii="Calibri" w:hAnsi="Calibri"/>
          <w:i/>
          <w:iCs/>
          <w:sz w:val="22"/>
        </w:rPr>
        <w:t>toplotnega ovoja</w:t>
      </w:r>
      <w:r>
        <w:rPr>
          <w:rFonts w:ascii="Calibri" w:hAnsi="Calibri"/>
          <w:sz w:val="22"/>
        </w:rPr>
        <w:t xml:space="preserve"> oddelka 3 Količinska opredelitev zahteve razdelka HE 1 se doda odstavek 3, ki se glasi:</w:t>
      </w:r>
    </w:p>
    <w:p w14:paraId="218ED76A" w14:textId="77777777" w:rsidR="000760AB" w:rsidRPr="000760AB" w:rsidRDefault="000760AB" w:rsidP="000760AB">
      <w:pPr>
        <w:spacing w:after="160" w:line="259" w:lineRule="auto"/>
        <w:ind w:left="284"/>
        <w:contextualSpacing/>
        <w:jc w:val="both"/>
        <w:rPr>
          <w:rFonts w:ascii="Calibri" w:eastAsia="Calibri" w:hAnsi="Calibri" w:cs="Calibri"/>
          <w:sz w:val="22"/>
          <w:szCs w:val="22"/>
          <w:lang w:eastAsia="en-US"/>
        </w:rPr>
      </w:pPr>
    </w:p>
    <w:p w14:paraId="7FEAB0FB"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 xml:space="preserve">„3. V primeru sprememb se zgornja preglednica 3.1.3.a-HE1 uporablja samo za tiste elemente </w:t>
      </w:r>
      <w:r>
        <w:rPr>
          <w:rFonts w:ascii="Calibri" w:hAnsi="Calibri"/>
          <w:i/>
          <w:iCs/>
          <w:sz w:val="22"/>
        </w:rPr>
        <w:t>toplotnega ovoja</w:t>
      </w:r>
      <w:r>
        <w:rPr>
          <w:rFonts w:ascii="Calibri" w:hAnsi="Calibri"/>
          <w:sz w:val="22"/>
        </w:rPr>
        <w:t>, ki so bili nadomeščeni, dodani ali bistveno spremenjeni;“.</w:t>
      </w:r>
    </w:p>
    <w:p w14:paraId="69948537" w14:textId="77777777" w:rsidR="000760AB" w:rsidRPr="000760AB" w:rsidRDefault="000760AB" w:rsidP="000760AB">
      <w:pPr>
        <w:spacing w:after="160" w:line="259" w:lineRule="auto"/>
        <w:ind w:left="567"/>
        <w:contextualSpacing/>
        <w:jc w:val="both"/>
        <w:rPr>
          <w:rFonts w:ascii="Calibri" w:eastAsia="Calibri" w:hAnsi="Calibri" w:cs="Calibri"/>
          <w:sz w:val="22"/>
          <w:szCs w:val="22"/>
          <w:lang w:eastAsia="en-US"/>
        </w:rPr>
      </w:pPr>
    </w:p>
    <w:p w14:paraId="01C78EE3"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Sedanja odstavka 3 in 4 pododdelka 3.1.3 – zračna prepustnost </w:t>
      </w:r>
      <w:r>
        <w:rPr>
          <w:rFonts w:ascii="Calibri" w:hAnsi="Calibri"/>
          <w:i/>
          <w:iCs/>
          <w:sz w:val="22"/>
        </w:rPr>
        <w:t>toplotnega ovoja</w:t>
      </w:r>
      <w:r>
        <w:rPr>
          <w:rFonts w:ascii="Calibri" w:hAnsi="Calibri"/>
          <w:sz w:val="22"/>
        </w:rPr>
        <w:t> – se preštevilčita v odstavka 4 oziroma 5.</w:t>
      </w:r>
    </w:p>
    <w:p w14:paraId="5FC15043"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 xml:space="preserve">V pododdelku 3.1.3 Zračna prepustnost </w:t>
      </w:r>
      <w:r>
        <w:rPr>
          <w:rFonts w:ascii="Calibri" w:hAnsi="Calibri"/>
          <w:i/>
          <w:iCs/>
          <w:sz w:val="22"/>
        </w:rPr>
        <w:t>toplotnega ovoja</w:t>
      </w:r>
      <w:r>
        <w:rPr>
          <w:rFonts w:ascii="Calibri" w:hAnsi="Calibri"/>
          <w:sz w:val="22"/>
        </w:rPr>
        <w:t xml:space="preserve"> oddelka 3 Količinska opredelitev zahteve razdelka HE 1 se izraz „kompaktnost“ v preglednicah 3.1.3.b-HE1 in 3.1.3.b-HE1 ter izraz „zasebna stanovanjska uporaba“ v odstavku 3 označita s poševnim tiskom.</w:t>
      </w:r>
    </w:p>
    <w:p w14:paraId="16310438"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 xml:space="preserve">V preglednici 3.1.3.b-HE1 pododdelka 3.1.3 Zračna prepustnost </w:t>
      </w:r>
      <w:r>
        <w:rPr>
          <w:rFonts w:ascii="Calibri" w:hAnsi="Calibri"/>
          <w:i/>
          <w:iCs/>
          <w:sz w:val="22"/>
        </w:rPr>
        <w:t>toplotnega ovoja</w:t>
      </w:r>
      <w:r>
        <w:rPr>
          <w:rFonts w:ascii="Calibri" w:hAnsi="Calibri"/>
          <w:sz w:val="22"/>
        </w:rPr>
        <w:t xml:space="preserve"> oddelka 3 Količinska opredelitev zahteve razdelka HE 1 se besedilo „m</w:t>
      </w:r>
      <w:r>
        <w:rPr>
          <w:rFonts w:ascii="Calibri" w:hAnsi="Calibri"/>
          <w:sz w:val="22"/>
          <w:vertAlign w:val="superscript"/>
        </w:rPr>
        <w:t>3</w:t>
      </w:r>
      <w:r>
        <w:rPr>
          <w:rFonts w:ascii="Calibri" w:hAnsi="Calibri"/>
          <w:sz w:val="22"/>
        </w:rPr>
        <w:t>/m2“ glasi „m</w:t>
      </w:r>
      <w:r>
        <w:rPr>
          <w:rFonts w:ascii="Calibri" w:hAnsi="Calibri"/>
          <w:sz w:val="22"/>
          <w:vertAlign w:val="superscript"/>
        </w:rPr>
        <w:t>3</w:t>
      </w:r>
      <w:r>
        <w:rPr>
          <w:rFonts w:ascii="Calibri" w:hAnsi="Calibri"/>
          <w:sz w:val="22"/>
        </w:rPr>
        <w:t>/m</w:t>
      </w:r>
      <w:r>
        <w:rPr>
          <w:rFonts w:ascii="Calibri" w:hAnsi="Calibri"/>
          <w:sz w:val="22"/>
          <w:vertAlign w:val="superscript"/>
        </w:rPr>
        <w:t>2</w:t>
      </w:r>
      <w:r>
        <w:rPr>
          <w:rFonts w:ascii="Calibri" w:hAnsi="Calibri"/>
          <w:sz w:val="22"/>
        </w:rPr>
        <w:t xml:space="preserve">“, kjer se 2 navede kot nadpis. </w:t>
      </w:r>
    </w:p>
    <w:p w14:paraId="717B95B5"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V pododdelku 4 (utemeljitev zahteve) oddelka HE 1 se izraz „kompaktnost“ iz pododdelka 4.1.b) in izraz „zasebna stanovanjska uporaba“ iz pododdelka 4.1.g) označita s poševnim tiskom.</w:t>
      </w:r>
    </w:p>
    <w:p w14:paraId="2D2B37E4" w14:textId="77777777" w:rsidR="000760AB" w:rsidRPr="000760AB" w:rsidRDefault="000760AB" w:rsidP="000760AB">
      <w:pPr>
        <w:numPr>
          <w:ilvl w:val="0"/>
          <w:numId w:val="17"/>
        </w:numPr>
        <w:spacing w:after="160" w:line="257" w:lineRule="auto"/>
        <w:ind w:left="284" w:firstLine="0"/>
        <w:jc w:val="both"/>
        <w:rPr>
          <w:rFonts w:ascii="Calibri" w:eastAsia="Calibri" w:hAnsi="Calibri" w:cs="Calibri"/>
          <w:sz w:val="22"/>
          <w:szCs w:val="22"/>
        </w:rPr>
      </w:pPr>
      <w:r>
        <w:rPr>
          <w:rFonts w:ascii="Calibri" w:hAnsi="Calibri"/>
          <w:sz w:val="22"/>
        </w:rPr>
        <w:t>V preglednici 3.1-HE3 Mejna vrednost učinkovitosti naprave (VEEI</w:t>
      </w:r>
      <w:r>
        <w:rPr>
          <w:rFonts w:ascii="Calibri" w:hAnsi="Calibri"/>
          <w:sz w:val="22"/>
          <w:vertAlign w:val="subscript"/>
        </w:rPr>
        <w:t>lim</w:t>
      </w:r>
      <w:r>
        <w:rPr>
          <w:rFonts w:ascii="Calibri" w:hAnsi="Calibri"/>
          <w:sz w:val="22"/>
        </w:rPr>
        <w:t>) razdelka HE 3 se besedilo „Trgovine in majhne prodajalne“ nadomesti z besedilom „Trgovine in majhne prodajalne</w:t>
      </w:r>
      <w:r>
        <w:rPr>
          <w:rFonts w:ascii="Calibri" w:hAnsi="Calibri"/>
          <w:sz w:val="22"/>
          <w:vertAlign w:val="superscript"/>
        </w:rPr>
        <w:t xml:space="preserve"> (10)</w:t>
      </w:r>
      <w:r>
        <w:rPr>
          <w:rFonts w:ascii="Calibri" w:hAnsi="Calibri"/>
          <w:sz w:val="22"/>
        </w:rPr>
        <w:t>“ in vstavi se naslednja opomba:</w:t>
      </w:r>
    </w:p>
    <w:p w14:paraId="6E0BF879" w14:textId="77777777" w:rsidR="000760AB" w:rsidRPr="000760AB" w:rsidRDefault="000760AB" w:rsidP="000760AB">
      <w:pPr>
        <w:spacing w:after="160" w:line="257" w:lineRule="auto"/>
        <w:ind w:left="284"/>
        <w:jc w:val="both"/>
        <w:rPr>
          <w:rFonts w:ascii="Calibri" w:eastAsia="Arial" w:hAnsi="Calibri" w:cs="Calibri"/>
          <w:kern w:val="2"/>
          <w:sz w:val="22"/>
        </w:rPr>
      </w:pPr>
      <w:r>
        <w:rPr>
          <w:rFonts w:ascii="Calibri" w:hAnsi="Calibri"/>
          <w:sz w:val="22"/>
        </w:rPr>
        <w:t>„</w:t>
      </w:r>
      <w:r>
        <w:rPr>
          <w:rFonts w:ascii="Calibri" w:hAnsi="Calibri"/>
          <w:sz w:val="22"/>
          <w:vertAlign w:val="superscript"/>
        </w:rPr>
        <w:t>(10)</w:t>
      </w:r>
      <w:r>
        <w:rPr>
          <w:rFonts w:ascii="Calibri" w:hAnsi="Calibri"/>
          <w:sz w:val="22"/>
        </w:rPr>
        <w:t xml:space="preserve"> Izraz trgovina se nanaša na majhne neodvisne trgovine in del za komercialno uporabo, ki se običajno ne uporablja v nakupovalnih centrih.“</w:t>
      </w:r>
    </w:p>
    <w:p w14:paraId="5C482135" w14:textId="77777777" w:rsidR="000760AB" w:rsidRPr="000760AB" w:rsidRDefault="000760AB" w:rsidP="000760AB">
      <w:pPr>
        <w:numPr>
          <w:ilvl w:val="0"/>
          <w:numId w:val="17"/>
        </w:numPr>
        <w:spacing w:after="160" w:line="257" w:lineRule="auto"/>
        <w:ind w:left="284" w:firstLine="0"/>
        <w:contextualSpacing/>
        <w:jc w:val="both"/>
        <w:rPr>
          <w:rFonts w:ascii="Calibri" w:eastAsia="Arial" w:hAnsi="Calibri" w:cs="Calibri"/>
          <w:kern w:val="2"/>
          <w:sz w:val="22"/>
        </w:rPr>
      </w:pPr>
      <w:r>
        <w:rPr>
          <w:rFonts w:ascii="Calibri" w:hAnsi="Calibri"/>
          <w:sz w:val="22"/>
        </w:rPr>
        <w:t xml:space="preserve">V odstavku 2 oddelka 3.3 Sistemi nadzora in regulacije razdelka HE 3, ki se glasi „... se lahko nadomesti z eno od naslednjih dveh možnosti: </w:t>
      </w:r>
    </w:p>
    <w:p w14:paraId="562ED3C8" w14:textId="77777777" w:rsidR="000760AB" w:rsidRPr="000760AB" w:rsidRDefault="000760AB" w:rsidP="000760AB">
      <w:pPr>
        <w:spacing w:after="160" w:line="257" w:lineRule="auto"/>
        <w:ind w:left="284"/>
        <w:contextualSpacing/>
        <w:jc w:val="both"/>
        <w:rPr>
          <w:rFonts w:ascii="Calibri" w:eastAsia="Arial" w:hAnsi="Calibri" w:cs="Calibri"/>
          <w:kern w:val="2"/>
          <w:sz w:val="22"/>
        </w:rPr>
      </w:pPr>
      <w:r>
        <w:rPr>
          <w:rFonts w:ascii="Calibri" w:hAnsi="Calibri"/>
          <w:sz w:val="22"/>
        </w:rPr>
        <w:t xml:space="preserve">— nadzorom vklopa in izklopa s sistemom za časovno zaznavanje prisotnosti; ali </w:t>
      </w:r>
    </w:p>
    <w:p w14:paraId="5D7F7E37" w14:textId="77777777" w:rsidR="000760AB" w:rsidRPr="000760AB" w:rsidRDefault="000760AB" w:rsidP="000760AB">
      <w:pPr>
        <w:spacing w:line="257" w:lineRule="auto"/>
        <w:ind w:left="284"/>
        <w:contextualSpacing/>
        <w:jc w:val="both"/>
        <w:rPr>
          <w:rFonts w:ascii="Calibri" w:eastAsia="Arial" w:hAnsi="Calibri" w:cs="Calibri"/>
          <w:kern w:val="2"/>
          <w:sz w:val="22"/>
        </w:rPr>
      </w:pPr>
      <w:r>
        <w:rPr>
          <w:rFonts w:ascii="Calibri" w:hAnsi="Calibri"/>
          <w:sz w:val="22"/>
        </w:rPr>
        <w:t>— časovnim sistemom potisnih gumbov.“</w:t>
      </w:r>
    </w:p>
    <w:p w14:paraId="7F19E6A8" w14:textId="77777777" w:rsidR="000760AB" w:rsidRPr="000760AB" w:rsidRDefault="000760AB" w:rsidP="000760AB">
      <w:pPr>
        <w:spacing w:line="257" w:lineRule="auto"/>
        <w:ind w:left="284"/>
        <w:jc w:val="both"/>
        <w:rPr>
          <w:rFonts w:ascii="Calibri" w:eastAsia="Arial" w:hAnsi="Calibri" w:cs="Calibri"/>
          <w:kern w:val="2"/>
          <w:sz w:val="22"/>
        </w:rPr>
      </w:pPr>
      <w:r>
        <w:rPr>
          <w:rFonts w:ascii="Calibri" w:hAnsi="Calibri"/>
          <w:sz w:val="22"/>
        </w:rPr>
        <w:t xml:space="preserve">se nadomesti z „... se lahko nadomesti z eno od naslednjih dveh možnosti: </w:t>
      </w:r>
    </w:p>
    <w:p w14:paraId="1FB2C3B4" w14:textId="77777777" w:rsidR="000760AB" w:rsidRPr="000760AB" w:rsidRDefault="000760AB" w:rsidP="000760AB">
      <w:pPr>
        <w:spacing w:line="257" w:lineRule="auto"/>
        <w:ind w:left="284"/>
        <w:jc w:val="both"/>
        <w:rPr>
          <w:rFonts w:ascii="Calibri" w:eastAsia="Arial" w:hAnsi="Calibri" w:cs="Calibri"/>
          <w:kern w:val="2"/>
          <w:sz w:val="22"/>
        </w:rPr>
      </w:pPr>
      <w:r>
        <w:rPr>
          <w:rFonts w:ascii="Calibri" w:hAnsi="Calibri"/>
          <w:sz w:val="22"/>
        </w:rPr>
        <w:lastRenderedPageBreak/>
        <w:t xml:space="preserve">— nadzorom vklopa in izklopa s </w:t>
      </w:r>
      <w:r>
        <w:rPr>
          <w:rFonts w:ascii="Calibri" w:hAnsi="Calibri"/>
          <w:i/>
          <w:sz w:val="22"/>
        </w:rPr>
        <w:t>sistemom za časovno zaznavanje prisotnosti</w:t>
      </w:r>
      <w:r>
        <w:rPr>
          <w:rFonts w:ascii="Calibri" w:hAnsi="Calibri"/>
          <w:sz w:val="22"/>
        </w:rPr>
        <w:t xml:space="preserve">; ali </w:t>
      </w:r>
    </w:p>
    <w:p w14:paraId="280A8FDB" w14:textId="77777777" w:rsidR="000760AB" w:rsidRPr="000760AB" w:rsidRDefault="000760AB" w:rsidP="000760AB">
      <w:pPr>
        <w:spacing w:line="257" w:lineRule="auto"/>
        <w:ind w:left="284"/>
        <w:jc w:val="both"/>
        <w:rPr>
          <w:rFonts w:ascii="Calibri" w:eastAsia="Arial" w:hAnsi="Calibri" w:cs="Calibri"/>
          <w:kern w:val="2"/>
          <w:sz w:val="22"/>
        </w:rPr>
      </w:pPr>
      <w:r>
        <w:rPr>
          <w:rFonts w:ascii="Calibri" w:hAnsi="Calibri"/>
          <w:sz w:val="22"/>
        </w:rPr>
        <w:t xml:space="preserve">— </w:t>
      </w:r>
      <w:r>
        <w:rPr>
          <w:rFonts w:ascii="Calibri" w:hAnsi="Calibri"/>
          <w:i/>
          <w:iCs/>
          <w:sz w:val="22"/>
        </w:rPr>
        <w:t>časovnim sistemom</w:t>
      </w:r>
      <w:r>
        <w:rPr>
          <w:rFonts w:ascii="Calibri" w:hAnsi="Calibri"/>
          <w:sz w:val="22"/>
        </w:rPr>
        <w:t xml:space="preserve"> s pritiskom na potisni gumb.“</w:t>
      </w:r>
    </w:p>
    <w:p w14:paraId="383D98A1" w14:textId="77777777" w:rsidR="000760AB" w:rsidRPr="000760AB" w:rsidRDefault="000760AB" w:rsidP="000760AB">
      <w:pPr>
        <w:spacing w:line="257" w:lineRule="auto"/>
        <w:ind w:left="284"/>
        <w:jc w:val="both"/>
        <w:rPr>
          <w:rFonts w:ascii="Calibri" w:eastAsia="Arial" w:hAnsi="Calibri" w:cs="Calibri"/>
          <w:kern w:val="2"/>
          <w:sz w:val="22"/>
          <w:lang w:eastAsia="zh-CN" w:bidi="hi-IN"/>
        </w:rPr>
      </w:pPr>
    </w:p>
    <w:p w14:paraId="2E152AB0" w14:textId="77777777" w:rsidR="000760AB" w:rsidRPr="000760AB" w:rsidRDefault="000760AB" w:rsidP="000760AB">
      <w:pPr>
        <w:numPr>
          <w:ilvl w:val="0"/>
          <w:numId w:val="17"/>
        </w:numPr>
        <w:spacing w:after="160" w:line="257" w:lineRule="auto"/>
        <w:ind w:left="284" w:firstLine="0"/>
        <w:contextualSpacing/>
        <w:jc w:val="both"/>
        <w:rPr>
          <w:rFonts w:ascii="Calibri" w:eastAsia="Arial" w:hAnsi="Calibri" w:cs="Calibri"/>
          <w:kern w:val="2"/>
          <w:sz w:val="22"/>
        </w:rPr>
      </w:pPr>
      <w:r>
        <w:rPr>
          <w:rFonts w:ascii="Calibri" w:hAnsi="Calibri"/>
          <w:sz w:val="22"/>
        </w:rPr>
        <w:t xml:space="preserve">V odstavku 1(b) oddelka 4 Utemeljitev zahteve razdelka HE 3 se besedilo „...učinkovitost uporabljenih </w:t>
      </w:r>
      <w:r>
        <w:rPr>
          <w:rFonts w:ascii="Calibri" w:hAnsi="Calibri"/>
          <w:i/>
          <w:iCs/>
          <w:sz w:val="22"/>
        </w:rPr>
        <w:t>svetilk</w:t>
      </w:r>
      <w:r>
        <w:rPr>
          <w:rFonts w:ascii="Calibri" w:hAnsi="Calibri"/>
          <w:sz w:val="22"/>
        </w:rPr>
        <w:t xml:space="preserve"> (v lum/W)“ glasi „...učinkovitost uporabljenih </w:t>
      </w:r>
      <w:r>
        <w:rPr>
          <w:rFonts w:ascii="Calibri" w:hAnsi="Calibri"/>
          <w:i/>
          <w:iCs/>
          <w:sz w:val="22"/>
        </w:rPr>
        <w:t>svetilk</w:t>
      </w:r>
      <w:r>
        <w:rPr>
          <w:rFonts w:ascii="Calibri" w:hAnsi="Calibri"/>
          <w:sz w:val="22"/>
        </w:rPr>
        <w:t xml:space="preserve"> (v lm/W)“.</w:t>
      </w:r>
    </w:p>
    <w:p w14:paraId="7D135F60" w14:textId="77777777" w:rsidR="000760AB" w:rsidRPr="000760AB" w:rsidRDefault="000760AB" w:rsidP="000760AB">
      <w:pPr>
        <w:spacing w:after="160" w:line="257" w:lineRule="auto"/>
        <w:ind w:left="284"/>
        <w:contextualSpacing/>
        <w:jc w:val="both"/>
        <w:rPr>
          <w:rFonts w:ascii="Calibri" w:eastAsia="Arial" w:hAnsi="Calibri" w:cs="Calibri"/>
          <w:kern w:val="2"/>
          <w:sz w:val="22"/>
          <w:lang w:eastAsia="zh-CN" w:bidi="hi-IN"/>
        </w:rPr>
      </w:pPr>
    </w:p>
    <w:p w14:paraId="6B3EE3FA" w14:textId="77777777" w:rsidR="000760AB" w:rsidRPr="000760AB" w:rsidRDefault="000760AB" w:rsidP="000760AB">
      <w:pPr>
        <w:numPr>
          <w:ilvl w:val="0"/>
          <w:numId w:val="17"/>
        </w:numPr>
        <w:spacing w:after="160" w:line="257" w:lineRule="auto"/>
        <w:ind w:left="284" w:firstLine="0"/>
        <w:contextualSpacing/>
        <w:jc w:val="both"/>
        <w:rPr>
          <w:rFonts w:ascii="Calibri" w:eastAsia="Arial" w:hAnsi="Calibri" w:cs="Calibri"/>
          <w:kern w:val="2"/>
          <w:sz w:val="22"/>
        </w:rPr>
      </w:pPr>
      <w:r>
        <w:rPr>
          <w:rFonts w:ascii="Calibri" w:hAnsi="Calibri"/>
          <w:sz w:val="22"/>
        </w:rPr>
        <w:t>V oddelku 2 Opis zahtev razdelka HE 4 se odstavek 1 glasi:</w:t>
      </w:r>
    </w:p>
    <w:p w14:paraId="66BCE2A2" w14:textId="77777777" w:rsidR="000760AB" w:rsidRPr="000760AB" w:rsidRDefault="000760AB" w:rsidP="000760AB">
      <w:pPr>
        <w:spacing w:after="160" w:line="257" w:lineRule="auto"/>
        <w:ind w:left="709"/>
        <w:contextualSpacing/>
        <w:jc w:val="both"/>
        <w:rPr>
          <w:rFonts w:ascii="Calibri" w:eastAsia="Arial" w:hAnsi="Calibri" w:cs="Calibri"/>
          <w:kern w:val="2"/>
          <w:sz w:val="22"/>
          <w:lang w:eastAsia="zh-CN" w:bidi="hi-IN"/>
        </w:rPr>
      </w:pPr>
    </w:p>
    <w:p w14:paraId="774F4195" w14:textId="77777777" w:rsidR="000760AB" w:rsidRPr="000760AB" w:rsidRDefault="000760AB" w:rsidP="000760AB">
      <w:pPr>
        <w:spacing w:after="160" w:line="257" w:lineRule="auto"/>
        <w:ind w:left="284"/>
        <w:jc w:val="both"/>
        <w:rPr>
          <w:rFonts w:ascii="Calibri" w:eastAsia="Arial" w:hAnsi="Calibri" w:cs="Calibri"/>
          <w:kern w:val="2"/>
          <w:sz w:val="22"/>
        </w:rPr>
      </w:pPr>
      <w:r>
        <w:rPr>
          <w:rFonts w:ascii="Calibri" w:hAnsi="Calibri"/>
          <w:sz w:val="22"/>
        </w:rPr>
        <w:t xml:space="preserve">„1. Stavbe bodo svoje potrebe po ogrevanju sanitarne vode in vode za ogrevanje notranjih bazenov zadovoljevale v veliki meri z </w:t>
      </w:r>
      <w:r>
        <w:rPr>
          <w:rFonts w:ascii="Calibri" w:hAnsi="Calibri"/>
          <w:i/>
          <w:iCs/>
          <w:sz w:val="22"/>
        </w:rPr>
        <w:t>energijo iz obnovljivih virov</w:t>
      </w:r>
      <w:r>
        <w:rPr>
          <w:rFonts w:ascii="Calibri" w:hAnsi="Calibri"/>
          <w:sz w:val="22"/>
        </w:rPr>
        <w:t xml:space="preserve"> ali procesov obnovljive soproizvodnje; bodisi v sami stavbi ali s priključitvijo na </w:t>
      </w:r>
      <w:r>
        <w:rPr>
          <w:rFonts w:ascii="Calibri" w:hAnsi="Calibri"/>
          <w:i/>
          <w:iCs/>
          <w:sz w:val="22"/>
        </w:rPr>
        <w:t>sistem daljinskega ogrevanja</w:t>
      </w:r>
      <w:r>
        <w:rPr>
          <w:rFonts w:ascii="Calibri" w:hAnsi="Calibri"/>
          <w:sz w:val="22"/>
        </w:rPr>
        <w:t>.“</w:t>
      </w:r>
    </w:p>
    <w:p w14:paraId="3693DE13"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 xml:space="preserve"> V odstavku 4 pododdelka 3.1 Minimalni prispevek iz obnovljivih virov za ogrevanje sanitarne vode in/ali bazenov oddelka 3 Količinska opredelitev zahteve razdelka HE 4 se besedilo: </w:t>
      </w:r>
      <w:bookmarkStart w:id="3" w:name="_Hlk96945986"/>
      <w:r>
        <w:rPr>
          <w:rFonts w:ascii="Calibri" w:hAnsi="Calibri"/>
          <w:sz w:val="22"/>
        </w:rPr>
        <w:t xml:space="preserve">„... </w:t>
      </w:r>
      <w:bookmarkEnd w:id="3"/>
      <w:r>
        <w:rPr>
          <w:rFonts w:ascii="Calibri" w:hAnsi="Calibri"/>
          <w:sz w:val="22"/>
        </w:rPr>
        <w:t>večjo od 2,5, če se električno aktivirajo, in večjo od 1,15, če se aktivirajo s toplotno energijo ...“ nadomesti z besedilom „... enako ali večjo od 2,5, če se električno aktivirajo, in enako ali večjo od 1,15, če se aktivirajo s toplotno energijo ...“.</w:t>
      </w:r>
    </w:p>
    <w:p w14:paraId="61BB5CF0"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 xml:space="preserve">V odstavku 5 pododdelka 3.1 Minimalni prispevek iz obnovljivih virov za ogrevanje sanitarne vode in/ali bazenov oddelka 3 Količinska opredelitev zahteve razdelka HE 4 se besedilo: „... stanovanjske stavbe...“ nadomesti z besedilom „... stavbe za </w:t>
      </w:r>
      <w:r>
        <w:rPr>
          <w:rFonts w:ascii="Calibri" w:hAnsi="Calibri"/>
          <w:i/>
          <w:sz w:val="22"/>
        </w:rPr>
        <w:t>zasebno stanovanjsko rabo</w:t>
      </w:r>
      <w:r>
        <w:rPr>
          <w:rFonts w:ascii="Calibri" w:hAnsi="Calibri"/>
          <w:sz w:val="22"/>
        </w:rPr>
        <w:t>...“.</w:t>
      </w:r>
    </w:p>
    <w:p w14:paraId="6BE93B73"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 xml:space="preserve">V razdelku HE 5 se pred pododdelkom 5.1 (izvajanje) vstavi naslov, ki se glasi: „5. Gradnja, vzdrževanje in ohranjanje“. </w:t>
      </w:r>
    </w:p>
    <w:p w14:paraId="6D9AA9EE"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 xml:space="preserve">V razdelku HE 5 se naslov „Razdelek HE 5 Minimalna proizvodnja električne energije“ nadomesti z „Razdelek HE 5 </w:t>
      </w:r>
      <w:bookmarkStart w:id="4" w:name="_Hlk92123384"/>
      <w:r>
        <w:rPr>
          <w:rFonts w:ascii="Calibri" w:hAnsi="Calibri"/>
          <w:sz w:val="22"/>
        </w:rPr>
        <w:t>Minimalna proizvodnja električne energije</w:t>
      </w:r>
      <w:bookmarkEnd w:id="4"/>
      <w:r>
        <w:t xml:space="preserve"> </w:t>
      </w:r>
      <w:r>
        <w:rPr>
          <w:rFonts w:ascii="Calibri" w:hAnsi="Calibri"/>
          <w:sz w:val="22"/>
        </w:rPr>
        <w:t>iz obnovljivih virov“.</w:t>
      </w:r>
    </w:p>
    <w:p w14:paraId="6175F2BD"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 xml:space="preserve">Odstavek 1 Področje uporabe oddelka HE 5 se glasi: </w:t>
      </w:r>
    </w:p>
    <w:p w14:paraId="04EE306E"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„1. Ta oddelek se uporablja za: </w:t>
      </w:r>
    </w:p>
    <w:p w14:paraId="40C4916D"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a) novozgrajene stavbe, katerih zgrajena površina presega 1 000 m</w:t>
      </w:r>
      <w:r>
        <w:rPr>
          <w:rFonts w:ascii="Calibri" w:hAnsi="Calibri"/>
          <w:sz w:val="22"/>
          <w:vertAlign w:val="superscript"/>
        </w:rPr>
        <w:t>2</w:t>
      </w:r>
      <w:r>
        <w:rPr>
          <w:rFonts w:ascii="Calibri" w:hAnsi="Calibri"/>
          <w:sz w:val="22"/>
        </w:rPr>
        <w:t>;</w:t>
      </w:r>
    </w:p>
    <w:p w14:paraId="500BD58B"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b) razširitve obstoječih stavb, katerih zgrajena površina se poveča za več kot 1 000 m</w:t>
      </w:r>
      <w:r>
        <w:rPr>
          <w:rFonts w:ascii="Calibri" w:hAnsi="Calibri"/>
          <w:sz w:val="22"/>
          <w:vertAlign w:val="superscript"/>
        </w:rPr>
        <w:t>2</w:t>
      </w:r>
      <w:r>
        <w:rPr>
          <w:rFonts w:ascii="Calibri" w:hAnsi="Calibri"/>
          <w:sz w:val="22"/>
        </w:rPr>
        <w:t>;</w:t>
      </w:r>
    </w:p>
    <w:p w14:paraId="710C1241"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c) obstoječe stavbe, ki se popolnoma prenovijo ali pri katerih pride do spremembe namembnosti ter katerih zgrajena površina presega 1 000 m</w:t>
      </w:r>
      <w:r>
        <w:rPr>
          <w:rFonts w:ascii="Calibri" w:hAnsi="Calibri"/>
          <w:sz w:val="22"/>
          <w:vertAlign w:val="superscript"/>
        </w:rPr>
        <w:t>2</w:t>
      </w:r>
      <w:r>
        <w:rPr>
          <w:rFonts w:ascii="Calibri" w:hAnsi="Calibri"/>
          <w:sz w:val="22"/>
        </w:rPr>
        <w:t>.</w:t>
      </w:r>
    </w:p>
    <w:p w14:paraId="772542DE"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Šteje se, da zgrajena površina vključuje površino parkirnih mest v stavbi, ne pa skupnih zunanjih območij.“ </w:t>
      </w:r>
    </w:p>
    <w:p w14:paraId="6B833735"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Prvi pododstavek pododdelka 2 „Opredelitev zahteve“ razdelka HE 5 se glasi:</w:t>
      </w:r>
    </w:p>
    <w:p w14:paraId="23E9D023"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 Stavbe so opremljene s sistemi za proizvodnjo električne energije iz obnovljivih virov za lasten odjem ali vrnitev energije v omrežje.“</w:t>
      </w:r>
    </w:p>
    <w:p w14:paraId="5BE28722" w14:textId="77777777" w:rsidR="000760AB" w:rsidRPr="000760AB" w:rsidRDefault="000760AB" w:rsidP="000760AB">
      <w:pPr>
        <w:numPr>
          <w:ilvl w:val="0"/>
          <w:numId w:val="17"/>
        </w:numPr>
        <w:spacing w:after="160" w:line="259" w:lineRule="auto"/>
        <w:ind w:left="284" w:firstLine="0"/>
        <w:contextualSpacing/>
        <w:jc w:val="both"/>
        <w:rPr>
          <w:rFonts w:ascii="Calibri" w:eastAsia="Calibri" w:hAnsi="Calibri" w:cs="Calibri"/>
          <w:sz w:val="22"/>
          <w:szCs w:val="22"/>
        </w:rPr>
      </w:pPr>
      <w:r>
        <w:rPr>
          <w:rFonts w:ascii="Calibri" w:hAnsi="Calibri"/>
          <w:sz w:val="22"/>
        </w:rPr>
        <w:t xml:space="preserve"> Odstavek 3 „Količinska opredelitev zahteve“ razdelka HE 5 se glasi:</w:t>
      </w:r>
    </w:p>
    <w:p w14:paraId="1C671AF1" w14:textId="77777777" w:rsidR="000760AB" w:rsidRPr="000760AB" w:rsidRDefault="000760AB" w:rsidP="000760AB">
      <w:pPr>
        <w:spacing w:before="60" w:after="160" w:line="259" w:lineRule="auto"/>
        <w:ind w:left="284"/>
        <w:jc w:val="both"/>
        <w:rPr>
          <w:rFonts w:ascii="Calibri" w:eastAsia="Arial" w:hAnsi="Calibri" w:cs="Calibri"/>
          <w:kern w:val="2"/>
          <w:sz w:val="22"/>
        </w:rPr>
      </w:pPr>
      <w:r>
        <w:rPr>
          <w:rFonts w:ascii="Calibri" w:hAnsi="Calibri"/>
          <w:sz w:val="22"/>
        </w:rPr>
        <w:t xml:space="preserve">„1. </w:t>
      </w:r>
      <w:r>
        <w:rPr>
          <w:rFonts w:ascii="Calibri" w:hAnsi="Calibri"/>
          <w:i/>
          <w:iCs/>
          <w:sz w:val="22"/>
        </w:rPr>
        <w:t>Najmanjša inštalirana moč</w:t>
      </w:r>
      <w:r>
        <w:rPr>
          <w:rFonts w:ascii="Calibri" w:hAnsi="Calibri"/>
          <w:sz w:val="22"/>
        </w:rPr>
        <w:t> – P</w:t>
      </w:r>
      <w:r>
        <w:rPr>
          <w:rFonts w:ascii="Calibri" w:hAnsi="Calibri"/>
          <w:sz w:val="22"/>
          <w:vertAlign w:val="subscript"/>
        </w:rPr>
        <w:t>min</w:t>
      </w:r>
      <w:r>
        <w:rPr>
          <w:rFonts w:ascii="Calibri" w:hAnsi="Calibri"/>
          <w:sz w:val="22"/>
        </w:rPr>
        <w:t xml:space="preserve"> je nižja vrednost med rezultatoma naslednjih dveh enačb: </w:t>
      </w:r>
    </w:p>
    <w:p w14:paraId="3A813F22" w14:textId="77777777" w:rsidR="000760AB" w:rsidRPr="000760AB" w:rsidRDefault="000760AB" w:rsidP="000760AB">
      <w:pPr>
        <w:spacing w:before="60" w:after="160" w:line="259" w:lineRule="auto"/>
        <w:ind w:left="284"/>
        <w:jc w:val="both"/>
        <w:rPr>
          <w:rFonts w:ascii="Calibri" w:eastAsia="Arial" w:hAnsi="Calibri" w:cs="Calibri"/>
          <w:kern w:val="2"/>
          <w:sz w:val="22"/>
        </w:rPr>
      </w:pPr>
      <w:r>
        <w:rPr>
          <w:rFonts w:ascii="Calibri" w:hAnsi="Calibri"/>
          <w:sz w:val="22"/>
        </w:rPr>
        <w:t>P</w:t>
      </w:r>
      <w:r>
        <w:rPr>
          <w:rFonts w:ascii="Calibri" w:hAnsi="Calibri"/>
          <w:sz w:val="22"/>
          <w:vertAlign w:val="subscript"/>
        </w:rPr>
        <w:t>1</w:t>
      </w:r>
      <w:r>
        <w:rPr>
          <w:rFonts w:ascii="Calibri" w:hAnsi="Calibri"/>
          <w:sz w:val="22"/>
        </w:rPr>
        <w:t xml:space="preserve"> = F</w:t>
      </w:r>
      <w:r>
        <w:rPr>
          <w:rFonts w:ascii="Calibri" w:hAnsi="Calibri"/>
          <w:sz w:val="22"/>
          <w:vertAlign w:val="subscript"/>
        </w:rPr>
        <w:t>pr;el</w:t>
      </w:r>
      <w:r>
        <w:rPr>
          <w:rFonts w:ascii="Calibri" w:hAnsi="Calibri"/>
          <w:sz w:val="22"/>
        </w:rPr>
        <w:t xml:space="preserve"> · S</w:t>
      </w:r>
    </w:p>
    <w:p w14:paraId="0B5FBBF1" w14:textId="77777777" w:rsidR="000760AB" w:rsidRPr="000760AB" w:rsidRDefault="000760AB" w:rsidP="000760AB">
      <w:pPr>
        <w:spacing w:before="60" w:after="160" w:line="259" w:lineRule="auto"/>
        <w:ind w:left="284"/>
        <w:jc w:val="both"/>
        <w:rPr>
          <w:rFonts w:ascii="Calibri" w:eastAsia="Arial" w:hAnsi="Calibri" w:cs="Calibri"/>
          <w:kern w:val="2"/>
          <w:sz w:val="22"/>
        </w:rPr>
      </w:pPr>
      <w:r>
        <w:rPr>
          <w:rFonts w:ascii="Calibri" w:hAnsi="Calibri"/>
          <w:sz w:val="22"/>
        </w:rPr>
        <w:t>P</w:t>
      </w:r>
      <w:r>
        <w:rPr>
          <w:rFonts w:ascii="Calibri" w:hAnsi="Calibri"/>
          <w:sz w:val="22"/>
          <w:vertAlign w:val="subscript"/>
        </w:rPr>
        <w:t>2</w:t>
      </w:r>
      <w:r>
        <w:rPr>
          <w:rFonts w:ascii="Calibri" w:hAnsi="Calibri"/>
          <w:sz w:val="22"/>
        </w:rPr>
        <w:t xml:space="preserve"> = 0,1 · (0,5 · S</w:t>
      </w:r>
      <w:r>
        <w:rPr>
          <w:rFonts w:ascii="Calibri" w:hAnsi="Calibri"/>
          <w:sz w:val="22"/>
          <w:vertAlign w:val="subscript"/>
        </w:rPr>
        <w:t>c</w:t>
      </w:r>
      <w:r>
        <w:rPr>
          <w:rFonts w:ascii="Calibri" w:hAnsi="Calibri"/>
          <w:sz w:val="22"/>
        </w:rPr>
        <w:t xml:space="preserve"> - S</w:t>
      </w:r>
      <w:r>
        <w:rPr>
          <w:rFonts w:ascii="Calibri" w:hAnsi="Calibri"/>
          <w:sz w:val="22"/>
          <w:vertAlign w:val="subscript"/>
        </w:rPr>
        <w:t>oc</w:t>
      </w:r>
      <w:r>
        <w:rPr>
          <w:rFonts w:ascii="Calibri" w:hAnsi="Calibri"/>
          <w:sz w:val="22"/>
        </w:rPr>
        <w:t>)</w:t>
      </w:r>
    </w:p>
    <w:p w14:paraId="72B9D60D" w14:textId="77777777" w:rsidR="000760AB" w:rsidRPr="000760AB" w:rsidRDefault="000760AB" w:rsidP="000760AB">
      <w:pPr>
        <w:spacing w:before="60" w:after="160" w:line="259" w:lineRule="auto"/>
        <w:ind w:left="284"/>
        <w:jc w:val="both"/>
        <w:rPr>
          <w:rFonts w:ascii="Calibri" w:eastAsia="Arial" w:hAnsi="Calibri" w:cs="Calibri"/>
          <w:kern w:val="2"/>
          <w:sz w:val="22"/>
        </w:rPr>
      </w:pPr>
      <w:r>
        <w:rPr>
          <w:rFonts w:ascii="Calibri" w:hAnsi="Calibri"/>
          <w:sz w:val="22"/>
        </w:rPr>
        <w:t>pri čemer je:</w:t>
      </w:r>
    </w:p>
    <w:p w14:paraId="5E55B831" w14:textId="77777777" w:rsidR="000760AB" w:rsidRPr="000760AB" w:rsidRDefault="000760AB" w:rsidP="000760AB">
      <w:pPr>
        <w:spacing w:before="60" w:after="160" w:line="259" w:lineRule="auto"/>
        <w:ind w:left="284"/>
        <w:contextualSpacing/>
        <w:jc w:val="both"/>
        <w:rPr>
          <w:rFonts w:ascii="Calibri" w:eastAsia="Arial" w:hAnsi="Calibri" w:cs="Calibri"/>
          <w:kern w:val="2"/>
          <w:sz w:val="22"/>
        </w:rPr>
      </w:pPr>
      <w:r>
        <w:rPr>
          <w:rFonts w:ascii="Calibri" w:hAnsi="Calibri"/>
          <w:sz w:val="22"/>
        </w:rPr>
        <w:lastRenderedPageBreak/>
        <w:t>P</w:t>
      </w:r>
      <w:r>
        <w:rPr>
          <w:rFonts w:ascii="Calibri" w:hAnsi="Calibri"/>
          <w:sz w:val="22"/>
          <w:vertAlign w:val="subscript"/>
        </w:rPr>
        <w:t>min</w:t>
      </w:r>
      <w:r>
        <w:rPr>
          <w:rFonts w:ascii="Calibri" w:hAnsi="Calibri"/>
          <w:sz w:val="22"/>
        </w:rPr>
        <w:tab/>
      </w:r>
      <w:r>
        <w:rPr>
          <w:rFonts w:ascii="Calibri" w:hAnsi="Calibri"/>
          <w:i/>
          <w:sz w:val="22"/>
        </w:rPr>
        <w:t>inštalirana moč</w:t>
      </w:r>
      <w:r>
        <w:rPr>
          <w:rFonts w:ascii="Calibri" w:hAnsi="Calibri"/>
          <w:sz w:val="22"/>
        </w:rPr>
        <w:t xml:space="preserve"> [kW];</w:t>
      </w:r>
    </w:p>
    <w:p w14:paraId="1988193A" w14:textId="77777777" w:rsidR="000760AB" w:rsidRPr="000760AB" w:rsidRDefault="000760AB" w:rsidP="000760AB">
      <w:pPr>
        <w:spacing w:before="60" w:after="160" w:line="259" w:lineRule="auto"/>
        <w:ind w:left="284"/>
        <w:contextualSpacing/>
        <w:jc w:val="both"/>
        <w:rPr>
          <w:rFonts w:ascii="Calibri" w:eastAsia="Arial" w:hAnsi="Calibri" w:cs="Calibri"/>
          <w:kern w:val="2"/>
          <w:sz w:val="22"/>
        </w:rPr>
      </w:pPr>
      <w:r>
        <w:rPr>
          <w:rFonts w:ascii="Calibri" w:hAnsi="Calibri"/>
          <w:sz w:val="22"/>
        </w:rPr>
        <w:t>F</w:t>
      </w:r>
      <w:r>
        <w:rPr>
          <w:rFonts w:ascii="Calibri" w:hAnsi="Calibri"/>
          <w:sz w:val="22"/>
          <w:vertAlign w:val="subscript"/>
        </w:rPr>
        <w:t>pr;e</w:t>
      </w:r>
      <w:r>
        <w:rPr>
          <w:rFonts w:ascii="Calibri" w:hAnsi="Calibri"/>
          <w:sz w:val="22"/>
        </w:rPr>
        <w:t>l</w:t>
      </w:r>
      <w:r>
        <w:rPr>
          <w:rFonts w:ascii="Calibri" w:hAnsi="Calibri"/>
          <w:sz w:val="22"/>
        </w:rPr>
        <w:tab/>
        <w:t>faktor proizvodnje električne energije, ki vključuje vrednost 0,005 za zasebno stanovanjsko rabo in vrednost 0,010 za druge namene [kW/m</w:t>
      </w:r>
      <w:r>
        <w:rPr>
          <w:rFonts w:ascii="Calibri" w:hAnsi="Calibri"/>
          <w:sz w:val="22"/>
          <w:vertAlign w:val="superscript"/>
        </w:rPr>
        <w:t>2</w:t>
      </w:r>
      <w:r>
        <w:rPr>
          <w:rFonts w:ascii="Calibri" w:hAnsi="Calibri"/>
          <w:sz w:val="22"/>
        </w:rPr>
        <w:t>];</w:t>
      </w:r>
    </w:p>
    <w:p w14:paraId="153C8F5A" w14:textId="77777777" w:rsidR="000760AB" w:rsidRPr="000760AB" w:rsidRDefault="000760AB" w:rsidP="000760AB">
      <w:pPr>
        <w:spacing w:before="60" w:after="160" w:line="259" w:lineRule="auto"/>
        <w:ind w:left="284"/>
        <w:contextualSpacing/>
        <w:jc w:val="both"/>
        <w:rPr>
          <w:rFonts w:ascii="Calibri" w:eastAsia="Arial" w:hAnsi="Calibri" w:cs="Calibri"/>
          <w:kern w:val="2"/>
          <w:sz w:val="22"/>
        </w:rPr>
      </w:pPr>
      <w:r>
        <w:rPr>
          <w:rFonts w:ascii="Calibri" w:hAnsi="Calibri"/>
          <w:sz w:val="22"/>
        </w:rPr>
        <w:t>S</w:t>
      </w:r>
      <w:r>
        <w:rPr>
          <w:rFonts w:ascii="Calibri" w:hAnsi="Calibri"/>
          <w:sz w:val="22"/>
        </w:rPr>
        <w:tab/>
        <w:t>zgrajena površina stavbe [m</w:t>
      </w:r>
      <w:r>
        <w:rPr>
          <w:rFonts w:ascii="Calibri" w:hAnsi="Calibri"/>
          <w:sz w:val="22"/>
          <w:vertAlign w:val="superscript"/>
        </w:rPr>
        <w:t>2</w:t>
      </w:r>
      <w:r>
        <w:rPr>
          <w:rFonts w:ascii="Calibri" w:hAnsi="Calibri"/>
          <w:sz w:val="22"/>
        </w:rPr>
        <w:t>];</w:t>
      </w:r>
    </w:p>
    <w:p w14:paraId="4F543BE6" w14:textId="77777777" w:rsidR="000760AB" w:rsidRPr="000760AB" w:rsidRDefault="000760AB" w:rsidP="000760AB">
      <w:pPr>
        <w:spacing w:before="60" w:after="160" w:line="259" w:lineRule="auto"/>
        <w:ind w:left="284"/>
        <w:contextualSpacing/>
        <w:jc w:val="both"/>
        <w:rPr>
          <w:rFonts w:ascii="Calibri" w:eastAsia="Calibri" w:hAnsi="Calibri" w:cs="Calibri"/>
          <w:sz w:val="22"/>
          <w:szCs w:val="22"/>
        </w:rPr>
      </w:pPr>
      <w:r>
        <w:rPr>
          <w:rFonts w:ascii="Calibri" w:hAnsi="Calibri"/>
          <w:sz w:val="22"/>
        </w:rPr>
        <w:t>S</w:t>
      </w:r>
      <w:r>
        <w:rPr>
          <w:rFonts w:ascii="Calibri" w:hAnsi="Calibri"/>
          <w:sz w:val="22"/>
          <w:vertAlign w:val="subscript"/>
        </w:rPr>
        <w:t>c</w:t>
      </w:r>
      <w:r>
        <w:rPr>
          <w:rFonts w:ascii="Calibri" w:hAnsi="Calibri"/>
          <w:sz w:val="22"/>
        </w:rPr>
        <w:tab/>
        <w:t>površina strehe, ki ni dostopna ali je dostopna le za vzdrževanje [m</w:t>
      </w:r>
      <w:r>
        <w:rPr>
          <w:rFonts w:ascii="Calibri" w:hAnsi="Calibri"/>
          <w:sz w:val="22"/>
          <w:vertAlign w:val="superscript"/>
        </w:rPr>
        <w:t>2</w:t>
      </w:r>
      <w:r>
        <w:rPr>
          <w:rFonts w:ascii="Calibri" w:hAnsi="Calibri"/>
          <w:sz w:val="22"/>
        </w:rPr>
        <w:t>];</w:t>
      </w:r>
    </w:p>
    <w:p w14:paraId="6D8AB5FA" w14:textId="77777777" w:rsidR="000760AB" w:rsidRPr="000760AB" w:rsidRDefault="000760AB" w:rsidP="000760AB">
      <w:pPr>
        <w:spacing w:before="60" w:after="160" w:line="259" w:lineRule="auto"/>
        <w:ind w:left="284"/>
        <w:jc w:val="both"/>
        <w:rPr>
          <w:rFonts w:ascii="Calibri" w:eastAsia="Arial" w:hAnsi="Calibri" w:cs="Calibri"/>
          <w:kern w:val="2"/>
          <w:sz w:val="22"/>
        </w:rPr>
      </w:pPr>
      <w:r>
        <w:rPr>
          <w:rFonts w:ascii="Calibri" w:hAnsi="Calibri"/>
          <w:sz w:val="22"/>
        </w:rPr>
        <w:t>S</w:t>
      </w:r>
      <w:r>
        <w:rPr>
          <w:rFonts w:ascii="Calibri" w:hAnsi="Calibri"/>
          <w:sz w:val="22"/>
          <w:vertAlign w:val="subscript"/>
        </w:rPr>
        <w:t>oc</w:t>
      </w:r>
      <w:r>
        <w:rPr>
          <w:rFonts w:ascii="Calibri" w:hAnsi="Calibri"/>
          <w:sz w:val="22"/>
        </w:rPr>
        <w:tab/>
        <w:t>površina strehe, ki ni dostopna ali je dostopna le za vzdrževanje sončnih kolektorjev [m</w:t>
      </w:r>
      <w:r>
        <w:rPr>
          <w:rFonts w:ascii="Calibri" w:hAnsi="Calibri"/>
          <w:sz w:val="22"/>
          <w:vertAlign w:val="superscript"/>
        </w:rPr>
        <w:t>2</w:t>
      </w:r>
      <w:r>
        <w:rPr>
          <w:rFonts w:ascii="Calibri" w:hAnsi="Calibri"/>
          <w:sz w:val="22"/>
        </w:rPr>
        <w:t>].</w:t>
      </w:r>
    </w:p>
    <w:p w14:paraId="7D742656" w14:textId="77777777" w:rsidR="000760AB" w:rsidRPr="000760AB" w:rsidRDefault="000760AB" w:rsidP="000760AB">
      <w:pPr>
        <w:spacing w:after="160" w:line="259" w:lineRule="auto"/>
        <w:ind w:left="284"/>
        <w:jc w:val="both"/>
        <w:rPr>
          <w:rFonts w:ascii="Calibri" w:eastAsia="Arial" w:hAnsi="Calibri" w:cs="Calibri"/>
          <w:kern w:val="2"/>
          <w:sz w:val="22"/>
        </w:rPr>
      </w:pPr>
      <w:r>
        <w:rPr>
          <w:rFonts w:ascii="Calibri" w:hAnsi="Calibri"/>
          <w:sz w:val="22"/>
        </w:rPr>
        <w:t>2.</w:t>
      </w:r>
      <w:r>
        <w:rPr>
          <w:rFonts w:ascii="Calibri" w:hAnsi="Calibri"/>
          <w:sz w:val="22"/>
        </w:rPr>
        <w:tab/>
        <w:t xml:space="preserve">V primeru stavb, v zvezi s katerimi iz urbanističnih ali arhitekturnih razlogov ali njihovega statusa uradno zaščitenih stavb, ki ga je podelil zadevni organ, ki opredeli njihove nespremenljive elemente, ni mogoče doseči najmanjše </w:t>
      </w:r>
      <w:r>
        <w:rPr>
          <w:rFonts w:ascii="Calibri" w:hAnsi="Calibri"/>
          <w:i/>
          <w:sz w:val="22"/>
        </w:rPr>
        <w:t>inštalirane moči</w:t>
      </w:r>
      <w:r>
        <w:rPr>
          <w:rFonts w:ascii="Calibri" w:hAnsi="Calibri"/>
          <w:sz w:val="22"/>
        </w:rPr>
        <w:t>, se ta nezmožnost utemelji z analizo različnih alternativ in sprejme se rešitev, ki zagotavlja največjo možno inštalirano moč.“</w:t>
      </w:r>
    </w:p>
    <w:p w14:paraId="6BEFAE72" w14:textId="77777777" w:rsidR="000760AB" w:rsidRPr="000760AB" w:rsidRDefault="000760AB" w:rsidP="000760AB">
      <w:pPr>
        <w:numPr>
          <w:ilvl w:val="0"/>
          <w:numId w:val="17"/>
        </w:numPr>
        <w:spacing w:before="60" w:after="160" w:line="259" w:lineRule="auto"/>
        <w:ind w:left="284" w:firstLine="0"/>
        <w:contextualSpacing/>
        <w:jc w:val="both"/>
        <w:rPr>
          <w:rFonts w:ascii="Calibri" w:eastAsia="Arial" w:hAnsi="Calibri" w:cs="Calibri"/>
          <w:kern w:val="2"/>
          <w:sz w:val="22"/>
        </w:rPr>
      </w:pPr>
      <w:r>
        <w:rPr>
          <w:rFonts w:ascii="Calibri" w:hAnsi="Calibri"/>
          <w:sz w:val="22"/>
        </w:rPr>
        <w:t>V odstavku 4 „Utemeljitev zahteve“ razdelka HE 5 se doda naslednje besedilo:</w:t>
      </w:r>
    </w:p>
    <w:p w14:paraId="65043955" w14:textId="77777777" w:rsidR="000760AB" w:rsidRPr="000760AB" w:rsidRDefault="000760AB" w:rsidP="000760AB">
      <w:pPr>
        <w:spacing w:after="160" w:line="259" w:lineRule="auto"/>
        <w:ind w:left="284"/>
        <w:jc w:val="both"/>
        <w:rPr>
          <w:rFonts w:ascii="Calibri" w:eastAsia="Arial" w:hAnsi="Calibri" w:cs="Calibri"/>
          <w:kern w:val="2"/>
          <w:sz w:val="22"/>
        </w:rPr>
      </w:pPr>
      <w:r>
        <w:rPr>
          <w:rFonts w:ascii="Calibri" w:hAnsi="Calibri"/>
          <w:sz w:val="22"/>
        </w:rPr>
        <w:t xml:space="preserve">„c) kadar je to primerno, razloge, ki preprečujejo, da bi bila dosežena najmanjša zahtevana </w:t>
      </w:r>
      <w:r>
        <w:rPr>
          <w:rFonts w:ascii="Calibri" w:hAnsi="Calibri"/>
          <w:i/>
          <w:sz w:val="22"/>
        </w:rPr>
        <w:t>inštalirana moč</w:t>
      </w:r>
      <w:r>
        <w:rPr>
          <w:rFonts w:ascii="Calibri" w:hAnsi="Calibri"/>
          <w:sz w:val="22"/>
        </w:rPr>
        <w:t>, analizo alternativ in rešitve, sprejete za zagotovitev največje možne inštalirane moči.“</w:t>
      </w:r>
    </w:p>
    <w:p w14:paraId="6E185DB3"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ll) Osnovni dokument DB-HE „Varčevanje z energijo“ je vključen v razdelek HE 6 z naslovom „Minimalne </w:t>
      </w:r>
      <w:r>
        <w:rPr>
          <w:rFonts w:ascii="Calibri" w:hAnsi="Calibri"/>
          <w:i/>
          <w:iCs/>
          <w:sz w:val="22"/>
        </w:rPr>
        <w:t>določbe za infrastrukturo za polnjenje električnih vozil</w:t>
      </w:r>
      <w:r>
        <w:rPr>
          <w:rFonts w:ascii="Calibri" w:hAnsi="Calibri"/>
          <w:sz w:val="22"/>
        </w:rPr>
        <w:t xml:space="preserve">“ z naslednjo vsebino: </w:t>
      </w:r>
    </w:p>
    <w:p w14:paraId="1807669A" w14:textId="77FE9144" w:rsidR="000760AB" w:rsidRPr="000760AB" w:rsidRDefault="000760AB" w:rsidP="000760AB">
      <w:pPr>
        <w:keepNext/>
        <w:ind w:left="284"/>
        <w:outlineLvl w:val="0"/>
        <w:rPr>
          <w:rFonts w:ascii="Calibri" w:eastAsia="Arial" w:hAnsi="Calibri" w:cs="Calibri"/>
          <w:kern w:val="2"/>
          <w:sz w:val="22"/>
          <w:szCs w:val="22"/>
        </w:rPr>
      </w:pPr>
      <w:bookmarkStart w:id="5" w:name="_Toc530396161"/>
      <w:bookmarkStart w:id="6" w:name="_Toc530395282"/>
      <w:r>
        <w:rPr>
          <w:rFonts w:ascii="Calibri" w:hAnsi="Calibri"/>
          <w:sz w:val="22"/>
        </w:rPr>
        <w:t>„Razdelek HE 6</w:t>
      </w:r>
      <w:r>
        <w:rPr>
          <w:rFonts w:ascii="Calibri" w:hAnsi="Calibri"/>
          <w:sz w:val="22"/>
        </w:rPr>
        <w:br/>
        <w:t xml:space="preserve">Minimalne </w:t>
      </w:r>
      <w:r>
        <w:rPr>
          <w:rFonts w:ascii="Calibri" w:hAnsi="Calibri"/>
          <w:i/>
          <w:iCs/>
          <w:sz w:val="22"/>
        </w:rPr>
        <w:t>določbe za infrastrukturo za polnjenje električnih vozil</w:t>
      </w:r>
      <w:r>
        <w:rPr>
          <w:rFonts w:ascii="Calibri" w:hAnsi="Calibri"/>
          <w:sz w:val="22"/>
        </w:rPr>
        <w:br/>
      </w:r>
      <w:bookmarkEnd w:id="5"/>
      <w:bookmarkEnd w:id="6"/>
      <w:r>
        <w:rPr>
          <w:i/>
        </w:rPr>
        <w:t>s</w:t>
      </w:r>
    </w:p>
    <w:p w14:paraId="6EF7E441" w14:textId="77777777" w:rsidR="000760AB" w:rsidRPr="000760AB" w:rsidRDefault="000760AB" w:rsidP="000760AB">
      <w:pPr>
        <w:keepNext/>
        <w:widowControl w:val="0"/>
        <w:suppressAutoHyphens/>
        <w:spacing w:before="300" w:after="100"/>
        <w:ind w:left="284"/>
        <w:textAlignment w:val="baseline"/>
        <w:outlineLvl w:val="1"/>
        <w:rPr>
          <w:rFonts w:ascii="Calibri" w:eastAsia="Noto Sans CJK SC Regular" w:hAnsi="Calibri" w:cs="Calibri"/>
          <w:kern w:val="2"/>
          <w:sz w:val="22"/>
          <w:szCs w:val="22"/>
        </w:rPr>
      </w:pPr>
      <w:bookmarkStart w:id="7" w:name="_Toc530396162"/>
      <w:bookmarkStart w:id="8" w:name="_Toc530395283"/>
      <w:r>
        <w:rPr>
          <w:rFonts w:ascii="Calibri" w:hAnsi="Calibri"/>
          <w:sz w:val="22"/>
        </w:rPr>
        <w:t>1 Področje uporabe</w:t>
      </w:r>
      <w:bookmarkEnd w:id="7"/>
      <w:bookmarkEnd w:id="8"/>
    </w:p>
    <w:p w14:paraId="36FC884D" w14:textId="77777777" w:rsidR="000760AB" w:rsidRPr="000760AB" w:rsidRDefault="000760AB" w:rsidP="000760AB">
      <w:pPr>
        <w:spacing w:before="60" w:after="60"/>
        <w:ind w:left="284"/>
        <w:jc w:val="both"/>
        <w:rPr>
          <w:rFonts w:ascii="Calibri" w:eastAsia="Arial" w:hAnsi="Calibri" w:cs="Calibri"/>
          <w:kern w:val="2"/>
          <w:sz w:val="22"/>
          <w:szCs w:val="22"/>
        </w:rPr>
      </w:pPr>
      <w:r>
        <w:rPr>
          <w:rFonts w:ascii="Calibri" w:hAnsi="Calibri"/>
          <w:sz w:val="22"/>
        </w:rPr>
        <w:t>1</w:t>
      </w:r>
      <w:r>
        <w:rPr>
          <w:rFonts w:ascii="Calibri" w:hAnsi="Calibri"/>
          <w:sz w:val="22"/>
        </w:rPr>
        <w:tab/>
        <w:t>Zahteve iz tega oddelka se uporabljajo za stavbe, ki imajo parkirno mesto, bodisi znotraj bodisi zunaj stavbe, v naslednjih primerih:</w:t>
      </w:r>
    </w:p>
    <w:p w14:paraId="1105C106"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a) novogradnje;</w:t>
      </w:r>
    </w:p>
    <w:p w14:paraId="24CACEDC"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b) obstoječe stavbe, v naslednjem primeru:</w:t>
      </w:r>
    </w:p>
    <w:p w14:paraId="136E92EF" w14:textId="77777777" w:rsidR="000760AB" w:rsidRPr="000760AB" w:rsidRDefault="000760AB" w:rsidP="00FD453F">
      <w:pPr>
        <w:numPr>
          <w:ilvl w:val="0"/>
          <w:numId w:val="33"/>
        </w:numPr>
        <w:suppressAutoHyphens/>
        <w:spacing w:before="60" w:after="60" w:line="259" w:lineRule="auto"/>
        <w:ind w:left="284" w:firstLine="0"/>
        <w:jc w:val="both"/>
        <w:textAlignment w:val="baseline"/>
        <w:rPr>
          <w:rFonts w:ascii="Calibri" w:eastAsia="Arial" w:hAnsi="Calibri" w:cs="Calibri"/>
          <w:kern w:val="2"/>
          <w:sz w:val="22"/>
          <w:szCs w:val="22"/>
        </w:rPr>
      </w:pPr>
      <w:r>
        <w:rPr>
          <w:rFonts w:ascii="Calibri" w:hAnsi="Calibri"/>
          <w:sz w:val="22"/>
        </w:rPr>
        <w:t>spremembe namenske rabe stavbe;</w:t>
      </w:r>
    </w:p>
    <w:p w14:paraId="14079978" w14:textId="77777777" w:rsidR="000760AB" w:rsidRPr="000760AB" w:rsidRDefault="000760AB" w:rsidP="00FD453F">
      <w:pPr>
        <w:numPr>
          <w:ilvl w:val="0"/>
          <w:numId w:val="33"/>
        </w:numPr>
        <w:suppressAutoHyphens/>
        <w:spacing w:before="60" w:after="60" w:line="259" w:lineRule="auto"/>
        <w:ind w:left="284" w:firstLine="0"/>
        <w:jc w:val="both"/>
        <w:textAlignment w:val="baseline"/>
        <w:rPr>
          <w:rFonts w:ascii="Calibri" w:eastAsia="Arial" w:hAnsi="Calibri" w:cs="Calibri"/>
          <w:kern w:val="2"/>
          <w:sz w:val="22"/>
          <w:szCs w:val="22"/>
        </w:rPr>
      </w:pPr>
      <w:r>
        <w:rPr>
          <w:rFonts w:ascii="Calibri" w:hAnsi="Calibri"/>
          <w:sz w:val="22"/>
        </w:rPr>
        <w:t xml:space="preserve">prizidki, v primerih, ko so posegi vključeni v parkirišče in se pozidana površina ali prostornina enote ali </w:t>
      </w:r>
      <w:r>
        <w:rPr>
          <w:rFonts w:ascii="Calibri" w:hAnsi="Calibri"/>
          <w:i/>
          <w:iCs/>
          <w:sz w:val="22"/>
        </w:rPr>
        <w:t>enot rabe</w:t>
      </w:r>
      <w:r>
        <w:rPr>
          <w:rFonts w:ascii="Calibri" w:hAnsi="Calibri"/>
          <w:sz w:val="22"/>
        </w:rPr>
        <w:t>, na kateri se izvaja poseg, poveča za več kot 10 %, poveča pa se tudi uporabna površina za več kot 50 m</w:t>
      </w:r>
      <w:r>
        <w:rPr>
          <w:rFonts w:ascii="Calibri" w:hAnsi="Calibri"/>
          <w:sz w:val="22"/>
          <w:vertAlign w:val="superscript"/>
        </w:rPr>
        <w:t>2</w:t>
      </w:r>
      <w:r>
        <w:rPr>
          <w:rFonts w:ascii="Calibri" w:hAnsi="Calibri"/>
          <w:sz w:val="22"/>
        </w:rPr>
        <w:t>;</w:t>
      </w:r>
    </w:p>
    <w:p w14:paraId="02973E61" w14:textId="77777777" w:rsidR="000760AB" w:rsidRPr="000760AB" w:rsidRDefault="000760AB" w:rsidP="00FD453F">
      <w:pPr>
        <w:numPr>
          <w:ilvl w:val="0"/>
          <w:numId w:val="33"/>
        </w:numPr>
        <w:suppressAutoHyphens/>
        <w:spacing w:before="60" w:after="60" w:line="259" w:lineRule="auto"/>
        <w:ind w:left="284" w:firstLine="0"/>
        <w:jc w:val="both"/>
        <w:textAlignment w:val="baseline"/>
        <w:rPr>
          <w:rFonts w:ascii="Calibri" w:eastAsia="Arial" w:hAnsi="Calibri" w:cs="Calibri"/>
          <w:kern w:val="2"/>
          <w:sz w:val="22"/>
          <w:szCs w:val="22"/>
        </w:rPr>
      </w:pPr>
      <w:r>
        <w:rPr>
          <w:rFonts w:ascii="Calibri" w:hAnsi="Calibri"/>
          <w:sz w:val="22"/>
        </w:rPr>
        <w:t xml:space="preserve">prenove, ki vključujejo posege v parkirišče in pri katerih se obnovi več kot 25 % skupne površine končnega </w:t>
      </w:r>
      <w:r>
        <w:rPr>
          <w:rFonts w:ascii="Calibri" w:hAnsi="Calibri"/>
          <w:i/>
          <w:iCs/>
          <w:sz w:val="22"/>
        </w:rPr>
        <w:t>toplotnega ovoja</w:t>
      </w:r>
      <w:r>
        <w:rPr>
          <w:rFonts w:ascii="Calibri" w:hAnsi="Calibri"/>
          <w:sz w:val="22"/>
        </w:rPr>
        <w:t xml:space="preserve"> objekta;</w:t>
      </w:r>
    </w:p>
    <w:p w14:paraId="7F40C209" w14:textId="77777777" w:rsidR="000760AB" w:rsidRPr="000760AB" w:rsidRDefault="000760AB" w:rsidP="00FD453F">
      <w:pPr>
        <w:numPr>
          <w:ilvl w:val="0"/>
          <w:numId w:val="33"/>
        </w:numPr>
        <w:suppressAutoHyphens/>
        <w:spacing w:before="60" w:after="60" w:line="259" w:lineRule="auto"/>
        <w:ind w:left="284" w:firstLine="0"/>
        <w:jc w:val="both"/>
        <w:textAlignment w:val="baseline"/>
        <w:rPr>
          <w:rFonts w:ascii="Calibri" w:eastAsia="Arial" w:hAnsi="Calibri" w:cs="Calibri"/>
          <w:kern w:val="2"/>
          <w:sz w:val="22"/>
          <w:szCs w:val="22"/>
        </w:rPr>
      </w:pPr>
      <w:r>
        <w:rPr>
          <w:rFonts w:ascii="Calibri" w:hAnsi="Calibri"/>
          <w:sz w:val="22"/>
        </w:rPr>
        <w:t>posegi v elektroinštalacije objekta, ki vplivajo na več kot 50 % moči, inštalirane v objektu pred posegom, v primerih, ko se parkirišče nahaja znotraj objekta</w:t>
      </w:r>
      <w:r>
        <w:rPr>
          <w:rFonts w:ascii="Calibri" w:hAnsi="Calibri"/>
          <w:sz w:val="22"/>
          <w:u w:color="FF0000"/>
        </w:rPr>
        <w:t>, pod pogojem, da ima nosilec projekta, ki izvaja tak poseg, pravico do izvedbe del v objektu</w:t>
      </w:r>
      <w:r>
        <w:rPr>
          <w:rFonts w:ascii="Calibri" w:hAnsi="Calibri"/>
          <w:sz w:val="22"/>
        </w:rPr>
        <w:t>;</w:t>
      </w:r>
    </w:p>
    <w:p w14:paraId="7260D951" w14:textId="77777777" w:rsidR="000760AB" w:rsidRPr="000760AB" w:rsidRDefault="000760AB" w:rsidP="00FD453F">
      <w:pPr>
        <w:numPr>
          <w:ilvl w:val="0"/>
          <w:numId w:val="33"/>
        </w:numPr>
        <w:suppressAutoHyphens/>
        <w:spacing w:before="60" w:after="60" w:line="259" w:lineRule="auto"/>
        <w:ind w:left="284" w:firstLine="0"/>
        <w:jc w:val="both"/>
        <w:textAlignment w:val="baseline"/>
        <w:rPr>
          <w:rFonts w:ascii="Calibri" w:eastAsia="Arial" w:hAnsi="Calibri" w:cs="Calibri"/>
          <w:strike/>
          <w:kern w:val="2"/>
          <w:sz w:val="22"/>
          <w:szCs w:val="22"/>
        </w:rPr>
      </w:pPr>
      <w:r>
        <w:rPr>
          <w:rFonts w:ascii="Calibri" w:hAnsi="Calibri"/>
          <w:sz w:val="22"/>
        </w:rPr>
        <w:t>posegi v električno inštalacijo parkirišča, ki vplivajo na več kot 50 % moči, nameščene na parkirišču pred posegom.</w:t>
      </w:r>
    </w:p>
    <w:p w14:paraId="087DE78C" w14:textId="77777777" w:rsidR="000760AB" w:rsidRPr="000760AB" w:rsidRDefault="000760AB" w:rsidP="00FD453F">
      <w:pPr>
        <w:numPr>
          <w:ilvl w:val="0"/>
          <w:numId w:val="34"/>
        </w:numPr>
        <w:suppressAutoHyphens/>
        <w:spacing w:before="60" w:after="60" w:line="259" w:lineRule="auto"/>
        <w:ind w:left="284" w:firstLine="0"/>
        <w:jc w:val="both"/>
        <w:textAlignment w:val="baseline"/>
        <w:rPr>
          <w:rFonts w:ascii="Calibri" w:eastAsia="Arial" w:hAnsi="Calibri" w:cs="Calibri"/>
          <w:kern w:val="2"/>
          <w:sz w:val="22"/>
          <w:szCs w:val="22"/>
        </w:rPr>
      </w:pPr>
      <w:r>
        <w:rPr>
          <w:rFonts w:ascii="Calibri" w:hAnsi="Calibri"/>
          <w:sz w:val="22"/>
        </w:rPr>
        <w:t>Naslednje ne spada v področje uporabe:</w:t>
      </w:r>
    </w:p>
    <w:p w14:paraId="6128A7B8" w14:textId="77777777" w:rsidR="000760AB" w:rsidRPr="000760AB" w:rsidRDefault="000760AB" w:rsidP="00FD453F">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a) stavbe za uporabo, ki ni zasebna stanovanjska, s parkirno površino z 10 ali manj parkirnimi mesti;</w:t>
      </w:r>
    </w:p>
    <w:p w14:paraId="6FB73115" w14:textId="77777777" w:rsidR="000760AB" w:rsidRPr="000760AB" w:rsidRDefault="000760AB" w:rsidP="00FD453F">
      <w:pPr>
        <w:spacing w:before="60" w:after="60"/>
        <w:ind w:left="284"/>
        <w:jc w:val="both"/>
        <w:rPr>
          <w:rFonts w:ascii="Calibri" w:hAnsi="Calibri" w:cs="Calibri"/>
          <w:sz w:val="22"/>
          <w:szCs w:val="22"/>
        </w:rPr>
      </w:pPr>
      <w:r>
        <w:rPr>
          <w:rFonts w:ascii="Calibri" w:hAnsi="Calibri"/>
          <w:sz w:val="22"/>
        </w:rPr>
        <w:t xml:space="preserve">b) obstoječe stavbe za uporabo, ki ni zasebna stanovanjska uporaba, s parkirno površino 20 mest ali manj, in obstoječe stavbe za </w:t>
      </w:r>
      <w:r>
        <w:rPr>
          <w:rFonts w:ascii="Calibri" w:hAnsi="Calibri"/>
          <w:i/>
          <w:iCs/>
          <w:sz w:val="22"/>
        </w:rPr>
        <w:t>zasebno stanovanjsko rabo</w:t>
      </w:r>
      <w:r>
        <w:rPr>
          <w:rFonts w:ascii="Calibri" w:hAnsi="Calibri"/>
          <w:sz w:val="22"/>
        </w:rPr>
        <w:t xml:space="preserve">, kadar v obeh primerih stroški, ki izhajajo iz skladnosti s tem oddelkom, presegajo 7 % stroškov razširitve, spremembe namembnosti ali prenove, ki povzroči obveznost </w:t>
      </w:r>
      <w:r>
        <w:rPr>
          <w:rFonts w:ascii="Calibri" w:hAnsi="Calibri"/>
          <w:sz w:val="22"/>
        </w:rPr>
        <w:lastRenderedPageBreak/>
        <w:t>skladnosti. Za določitev stroškov omenjenih posegov se bodo upoštevali njihovi realni in efektivni stroški, ki se razumejo kot njihovi fizični stroški gradnje;</w:t>
      </w:r>
    </w:p>
    <w:p w14:paraId="61E2DA67" w14:textId="77777777" w:rsidR="000760AB" w:rsidRPr="000760AB" w:rsidRDefault="000760AB" w:rsidP="00FD453F">
      <w:pPr>
        <w:spacing w:before="60" w:after="60"/>
        <w:ind w:left="284"/>
        <w:jc w:val="both"/>
        <w:rPr>
          <w:rFonts w:ascii="Calibri" w:hAnsi="Calibri" w:cs="Calibri"/>
          <w:sz w:val="22"/>
          <w:szCs w:val="22"/>
        </w:rPr>
      </w:pPr>
      <w:r>
        <w:rPr>
          <w:rFonts w:ascii="Calibri" w:hAnsi="Calibri"/>
          <w:sz w:val="22"/>
        </w:rPr>
        <w:t>c) stavbe, ki so uradno zaščitene kot del zaščitenega okolja ali zaradi svojega posebnega arhitekturnega ali zgodovinskega pomena, so izključene iz teh obveznosti, če bi izpolnjevanje zahtev iz tega oddelka nesprejemljivo spremenilo njihov značaj ali videz, pri čemer uradni organ za zaščito opredeli nespremenljive elemente.</w:t>
      </w:r>
      <w:bookmarkStart w:id="9" w:name="_Toc530396163"/>
      <w:bookmarkStart w:id="10" w:name="_Toc530395284"/>
    </w:p>
    <w:p w14:paraId="56E19149" w14:textId="77777777" w:rsidR="000760AB" w:rsidRPr="000760AB" w:rsidRDefault="000760AB" w:rsidP="000760AB">
      <w:pPr>
        <w:spacing w:before="60" w:after="60"/>
        <w:ind w:left="567"/>
        <w:jc w:val="both"/>
        <w:rPr>
          <w:rFonts w:ascii="Calibri" w:hAnsi="Calibri" w:cs="Calibri"/>
          <w:sz w:val="22"/>
          <w:szCs w:val="22"/>
        </w:rPr>
      </w:pPr>
    </w:p>
    <w:p w14:paraId="268F7EA1" w14:textId="77777777" w:rsidR="000760AB" w:rsidRPr="000760AB" w:rsidRDefault="000760AB" w:rsidP="000760AB">
      <w:pPr>
        <w:spacing w:before="60" w:after="60"/>
        <w:ind w:left="284"/>
        <w:jc w:val="both"/>
        <w:rPr>
          <w:rFonts w:ascii="Calibri" w:hAnsi="Calibri" w:cs="Calibri"/>
          <w:sz w:val="22"/>
          <w:szCs w:val="22"/>
        </w:rPr>
      </w:pPr>
      <w:r>
        <w:rPr>
          <w:rFonts w:ascii="Calibri" w:hAnsi="Calibri"/>
          <w:sz w:val="22"/>
        </w:rPr>
        <w:t>2.</w:t>
      </w:r>
      <w:r>
        <w:rPr>
          <w:rFonts w:ascii="Calibri" w:hAnsi="Calibri"/>
          <w:sz w:val="22"/>
        </w:rPr>
        <w:tab/>
        <w:t>Opis zahteve</w:t>
      </w:r>
      <w:bookmarkEnd w:id="9"/>
      <w:bookmarkEnd w:id="10"/>
    </w:p>
    <w:p w14:paraId="69F9A98C" w14:textId="77777777" w:rsidR="000760AB" w:rsidRPr="000760AB" w:rsidRDefault="000760AB" w:rsidP="000760AB">
      <w:pPr>
        <w:keepNext/>
        <w:widowControl w:val="0"/>
        <w:tabs>
          <w:tab w:val="left" w:pos="709"/>
        </w:tabs>
        <w:suppressAutoHyphens/>
        <w:spacing w:before="120" w:after="60"/>
        <w:ind w:left="284"/>
        <w:jc w:val="both"/>
        <w:textAlignment w:val="baseline"/>
        <w:outlineLvl w:val="1"/>
        <w:rPr>
          <w:rFonts w:ascii="Calibri" w:eastAsia="Noto Sans CJK SC Regular" w:hAnsi="Calibri" w:cs="Calibri"/>
          <w:kern w:val="2"/>
          <w:sz w:val="22"/>
          <w:szCs w:val="22"/>
        </w:rPr>
      </w:pPr>
      <w:r>
        <w:rPr>
          <w:rFonts w:ascii="Calibri" w:hAnsi="Calibri"/>
          <w:sz w:val="22"/>
        </w:rPr>
        <w:t>1</w:t>
      </w:r>
      <w:r>
        <w:rPr>
          <w:rFonts w:ascii="Calibri" w:hAnsi="Calibri"/>
          <w:sz w:val="22"/>
        </w:rPr>
        <w:tab/>
        <w:t xml:space="preserve">Stavbe so opremljene z minimalno infrastrukturo, ki omogoča polnjenje </w:t>
      </w:r>
      <w:r>
        <w:rPr>
          <w:rFonts w:ascii="Calibri" w:hAnsi="Calibri"/>
          <w:i/>
          <w:iCs/>
          <w:sz w:val="22"/>
        </w:rPr>
        <w:t>električnih vozil</w:t>
      </w:r>
      <w:r>
        <w:rPr>
          <w:rFonts w:ascii="Calibri" w:hAnsi="Calibri"/>
          <w:sz w:val="22"/>
        </w:rPr>
        <w:t>.</w:t>
      </w:r>
    </w:p>
    <w:p w14:paraId="29EA4F81" w14:textId="77777777" w:rsidR="000760AB" w:rsidRPr="000760AB" w:rsidRDefault="000760AB" w:rsidP="000760AB">
      <w:pPr>
        <w:keepNext/>
        <w:widowControl w:val="0"/>
        <w:tabs>
          <w:tab w:val="left" w:pos="709"/>
        </w:tabs>
        <w:suppressAutoHyphens/>
        <w:spacing w:before="120" w:after="60"/>
        <w:ind w:left="284"/>
        <w:jc w:val="both"/>
        <w:textAlignment w:val="baseline"/>
        <w:outlineLvl w:val="1"/>
        <w:rPr>
          <w:rFonts w:ascii="Calibri" w:eastAsia="Noto Sans CJK SC Regular" w:hAnsi="Calibri" w:cs="Calibri"/>
          <w:kern w:val="2"/>
          <w:sz w:val="22"/>
          <w:szCs w:val="22"/>
        </w:rPr>
      </w:pPr>
      <w:r>
        <w:rPr>
          <w:rFonts w:ascii="Calibri" w:hAnsi="Calibri"/>
          <w:sz w:val="22"/>
        </w:rPr>
        <w:t xml:space="preserve">Ta </w:t>
      </w:r>
      <w:r>
        <w:rPr>
          <w:rFonts w:ascii="Calibri" w:hAnsi="Calibri"/>
          <w:i/>
          <w:iCs/>
          <w:sz w:val="22"/>
        </w:rPr>
        <w:t>infrastruktura za polnjenje električnih vozil</w:t>
      </w:r>
      <w:r>
        <w:rPr>
          <w:rFonts w:ascii="Calibri" w:hAnsi="Calibri"/>
          <w:sz w:val="22"/>
        </w:rPr>
        <w:t xml:space="preserve"> bo v skladu z določbami veljavne uredbe o nizkonapetostni elektrotehniki in njenih dopolnilnih tehničnih navodil (ITC) BT 52 „Naprave za posebne namene. Infrastruktura za polnjenje </w:t>
      </w:r>
      <w:r>
        <w:rPr>
          <w:rFonts w:ascii="Calibri" w:hAnsi="Calibri"/>
          <w:i/>
          <w:sz w:val="22"/>
        </w:rPr>
        <w:t>električnih vozil</w:t>
      </w:r>
      <w:r>
        <w:rPr>
          <w:rFonts w:ascii="Calibri" w:hAnsi="Calibri"/>
          <w:sz w:val="22"/>
        </w:rPr>
        <w:t>“.</w:t>
      </w:r>
      <w:bookmarkStart w:id="11" w:name="_Toc530396164"/>
      <w:bookmarkStart w:id="12" w:name="_Toc530395285"/>
    </w:p>
    <w:p w14:paraId="1CF8D411" w14:textId="77777777" w:rsidR="000760AB" w:rsidRPr="000760AB" w:rsidRDefault="000760AB" w:rsidP="000760AB">
      <w:pPr>
        <w:keepNext/>
        <w:widowControl w:val="0"/>
        <w:tabs>
          <w:tab w:val="left" w:pos="709"/>
        </w:tabs>
        <w:suppressAutoHyphens/>
        <w:spacing w:before="120" w:after="60"/>
        <w:ind w:left="284"/>
        <w:jc w:val="both"/>
        <w:textAlignment w:val="baseline"/>
        <w:outlineLvl w:val="1"/>
        <w:rPr>
          <w:rFonts w:ascii="Calibri" w:eastAsia="Noto Sans CJK SC Regular" w:hAnsi="Calibri" w:cs="Calibri"/>
          <w:kern w:val="2"/>
          <w:sz w:val="22"/>
          <w:szCs w:val="22"/>
          <w:lang w:eastAsia="zh-CN" w:bidi="hi-IN"/>
        </w:rPr>
      </w:pPr>
    </w:p>
    <w:p w14:paraId="10EC5F9A" w14:textId="77777777" w:rsidR="000760AB" w:rsidRPr="000760AB" w:rsidRDefault="000760AB" w:rsidP="000760AB">
      <w:pPr>
        <w:keepNext/>
        <w:widowControl w:val="0"/>
        <w:tabs>
          <w:tab w:val="left" w:pos="709"/>
        </w:tabs>
        <w:suppressAutoHyphens/>
        <w:spacing w:before="120" w:after="60"/>
        <w:ind w:left="284"/>
        <w:jc w:val="both"/>
        <w:textAlignment w:val="baseline"/>
        <w:outlineLvl w:val="1"/>
        <w:rPr>
          <w:rFonts w:ascii="Calibri" w:eastAsia="Noto Sans CJK SC Regular" w:hAnsi="Calibri" w:cs="Calibri"/>
          <w:kern w:val="2"/>
          <w:sz w:val="22"/>
          <w:szCs w:val="22"/>
        </w:rPr>
      </w:pPr>
      <w:r>
        <w:rPr>
          <w:rFonts w:ascii="Calibri" w:hAnsi="Calibri"/>
          <w:sz w:val="22"/>
        </w:rPr>
        <w:t>3</w:t>
      </w:r>
      <w:r>
        <w:rPr>
          <w:rFonts w:ascii="Calibri" w:hAnsi="Calibri"/>
          <w:sz w:val="22"/>
        </w:rPr>
        <w:tab/>
        <w:t>Količinska opredelitev zahteve</w:t>
      </w:r>
      <w:bookmarkEnd w:id="11"/>
      <w:bookmarkEnd w:id="12"/>
    </w:p>
    <w:p w14:paraId="571C5F1A"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1</w:t>
      </w:r>
      <w:r>
        <w:rPr>
          <w:rFonts w:ascii="Calibri" w:hAnsi="Calibri"/>
          <w:sz w:val="22"/>
        </w:rPr>
        <w:tab/>
        <w:t xml:space="preserve">V stavbah za </w:t>
      </w:r>
      <w:r>
        <w:rPr>
          <w:rFonts w:ascii="Calibri" w:hAnsi="Calibri"/>
          <w:i/>
          <w:iCs/>
          <w:sz w:val="22"/>
        </w:rPr>
        <w:t>zasebno stanovanjsko rabo</w:t>
      </w:r>
      <w:r>
        <w:rPr>
          <w:rFonts w:ascii="Calibri" w:hAnsi="Calibri"/>
          <w:sz w:val="22"/>
        </w:rPr>
        <w:t xml:space="preserve"> bodo nameščeni kabelski prevodni sistemi, ki bodo omogočili oskrbo </w:t>
      </w:r>
      <w:r>
        <w:rPr>
          <w:rFonts w:ascii="Calibri" w:hAnsi="Calibri"/>
          <w:i/>
          <w:iCs/>
          <w:sz w:val="22"/>
        </w:rPr>
        <w:t>polnilnih postaj</w:t>
      </w:r>
      <w:r>
        <w:rPr>
          <w:rFonts w:ascii="Calibri" w:hAnsi="Calibri"/>
          <w:sz w:val="22"/>
        </w:rPr>
        <w:t xml:space="preserve"> za 100 % parkirnih mest.</w:t>
      </w:r>
    </w:p>
    <w:p w14:paraId="76793F36"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2.</w:t>
      </w:r>
      <w:r>
        <w:rPr>
          <w:rFonts w:ascii="Calibri" w:hAnsi="Calibri"/>
          <w:sz w:val="22"/>
        </w:rPr>
        <w:tab/>
        <w:t xml:space="preserve">V stavbah, ki niso zasebne stanovanjske, bodo nameščeni kabelski prevodni sistemi, ki bodo omogočali prihodnjo oskrbo </w:t>
      </w:r>
      <w:r>
        <w:rPr>
          <w:rFonts w:ascii="Calibri" w:hAnsi="Calibri"/>
          <w:i/>
          <w:iCs/>
          <w:sz w:val="22"/>
        </w:rPr>
        <w:t>polnilnih postaj</w:t>
      </w:r>
      <w:r>
        <w:rPr>
          <w:rFonts w:ascii="Calibri" w:hAnsi="Calibri"/>
          <w:sz w:val="22"/>
        </w:rPr>
        <w:t xml:space="preserve"> za vsaj 20 % parkirnih mest.</w:t>
      </w:r>
    </w:p>
    <w:p w14:paraId="247AE17F"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 xml:space="preserve">Poleg tega bo na vsakih 40 parkirnih mest ali njihov del nameščena </w:t>
      </w:r>
      <w:r>
        <w:rPr>
          <w:rFonts w:ascii="Calibri" w:hAnsi="Calibri"/>
          <w:i/>
          <w:iCs/>
          <w:sz w:val="22"/>
        </w:rPr>
        <w:t>polnilna postaja</w:t>
      </w:r>
      <w:r>
        <w:rPr>
          <w:rFonts w:ascii="Calibri" w:hAnsi="Calibri"/>
          <w:sz w:val="22"/>
        </w:rPr>
        <w:t>.</w:t>
      </w:r>
    </w:p>
    <w:p w14:paraId="192987C0"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V stavbah, ki niso zasebne stanovanjske in so v lasti splošne državne uprave ali javnih organov, ki so z njo povezani ali od nje odvisni, bo določba večja od</w:t>
      </w:r>
      <w:r>
        <w:rPr>
          <w:rFonts w:ascii="Calibri" w:hAnsi="Calibri"/>
          <w:color w:val="1F497D"/>
          <w:sz w:val="22"/>
        </w:rPr>
        <w:t xml:space="preserve"> </w:t>
      </w:r>
      <w:r>
        <w:rPr>
          <w:rFonts w:ascii="Calibri" w:hAnsi="Calibri"/>
          <w:sz w:val="22"/>
        </w:rPr>
        <w:t xml:space="preserve">splošne, </w:t>
      </w:r>
      <w:r>
        <w:rPr>
          <w:rFonts w:ascii="Calibri" w:hAnsi="Calibri"/>
          <w:i/>
          <w:iCs/>
          <w:sz w:val="22"/>
        </w:rPr>
        <w:t>polnilna postaja</w:t>
      </w:r>
      <w:r>
        <w:rPr>
          <w:rFonts w:ascii="Calibri" w:hAnsi="Calibri"/>
          <w:sz w:val="22"/>
        </w:rPr>
        <w:t xml:space="preserve"> pa mora biti nameščena na vsakih 20 parkirnih mest ali njihov del.</w:t>
      </w:r>
    </w:p>
    <w:p w14:paraId="69499695"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 xml:space="preserve">V primeru, da imajo parkirišča dostopna parkirna mesta, kot je določeno v osnovnem dokumentu o varnosti pri uporabi in dostopnosti (DB SUA), se na vsakih pet dostopnih parkirnih mest postavi ena </w:t>
      </w:r>
      <w:r>
        <w:rPr>
          <w:rFonts w:ascii="Calibri" w:hAnsi="Calibri"/>
          <w:i/>
          <w:iCs/>
          <w:sz w:val="22"/>
        </w:rPr>
        <w:t>polnilna postaja</w:t>
      </w:r>
      <w:r>
        <w:rPr>
          <w:rFonts w:ascii="Calibri" w:hAnsi="Calibri"/>
          <w:sz w:val="22"/>
        </w:rPr>
        <w:t xml:space="preserve">. </w:t>
      </w:r>
      <w:r>
        <w:rPr>
          <w:rFonts w:ascii="Calibri" w:hAnsi="Calibri"/>
          <w:i/>
          <w:iCs/>
          <w:sz w:val="22"/>
        </w:rPr>
        <w:t>Polnilne postaje</w:t>
      </w:r>
      <w:r>
        <w:rPr>
          <w:rFonts w:ascii="Calibri" w:hAnsi="Calibri"/>
          <w:sz w:val="22"/>
        </w:rPr>
        <w:t xml:space="preserve"> teh lokacij bodo izračunane za namene skladnosti s količinsko opredelitvijo zahteve.</w:t>
      </w:r>
    </w:p>
    <w:p w14:paraId="4722B70F"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3</w:t>
      </w:r>
      <w:r>
        <w:rPr>
          <w:rFonts w:ascii="Calibri" w:hAnsi="Calibri"/>
          <w:sz w:val="22"/>
        </w:rPr>
        <w:tab/>
        <w:t xml:space="preserve">V stavbah, ki imajo enote za </w:t>
      </w:r>
      <w:r>
        <w:rPr>
          <w:rFonts w:ascii="Calibri" w:hAnsi="Calibri"/>
          <w:i/>
          <w:iCs/>
          <w:sz w:val="22"/>
        </w:rPr>
        <w:t>zasebno stanovanjsko rabo</w:t>
      </w:r>
      <w:r>
        <w:rPr>
          <w:rFonts w:ascii="Calibri" w:hAnsi="Calibri"/>
          <w:sz w:val="22"/>
        </w:rPr>
        <w:t xml:space="preserve"> skupaj z drugimi za različne rabe, v katerih parkirne površine, vezane na posamezno rabo, niso jasno ločene, se uporablja merilo, ki ustreza značilni rabi stavbe.</w:t>
      </w:r>
      <w:bookmarkStart w:id="13" w:name="_Toc530396167"/>
      <w:bookmarkStart w:id="14" w:name="_Toc530395288"/>
    </w:p>
    <w:p w14:paraId="19D587A1" w14:textId="77777777" w:rsidR="000760AB" w:rsidRPr="000760AB" w:rsidRDefault="000760AB" w:rsidP="000760AB">
      <w:pPr>
        <w:spacing w:before="120" w:after="60"/>
        <w:ind w:left="567"/>
        <w:jc w:val="both"/>
        <w:rPr>
          <w:rFonts w:ascii="Calibri" w:hAnsi="Calibri" w:cs="Calibri"/>
          <w:sz w:val="22"/>
          <w:szCs w:val="22"/>
        </w:rPr>
      </w:pPr>
    </w:p>
    <w:p w14:paraId="2FC0E269"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4</w:t>
      </w:r>
      <w:r>
        <w:rPr>
          <w:rFonts w:ascii="Calibri" w:hAnsi="Calibri"/>
          <w:sz w:val="22"/>
        </w:rPr>
        <w:tab/>
        <w:t>Utemeljitev zahteve</w:t>
      </w:r>
      <w:bookmarkEnd w:id="13"/>
      <w:bookmarkEnd w:id="14"/>
    </w:p>
    <w:p w14:paraId="15BAB575" w14:textId="77777777" w:rsidR="000760AB" w:rsidRPr="000760AB" w:rsidRDefault="000760AB" w:rsidP="000760AB">
      <w:pPr>
        <w:spacing w:before="240" w:after="100"/>
        <w:ind w:left="284"/>
        <w:jc w:val="both"/>
        <w:rPr>
          <w:rFonts w:ascii="Calibri" w:eastAsia="Arial" w:hAnsi="Calibri" w:cs="Calibri"/>
          <w:kern w:val="2"/>
          <w:sz w:val="22"/>
          <w:szCs w:val="22"/>
        </w:rPr>
      </w:pPr>
      <w:r>
        <w:rPr>
          <w:rFonts w:ascii="Calibri" w:hAnsi="Calibri"/>
          <w:sz w:val="22"/>
        </w:rPr>
        <w:t>1</w:t>
      </w:r>
      <w:r>
        <w:rPr>
          <w:rFonts w:ascii="Calibri" w:hAnsi="Calibri"/>
          <w:sz w:val="22"/>
        </w:rPr>
        <w:tab/>
        <w:t>Za utemeljitev, da stavba izpolnjuje zahteve tega osnovnega dokumenta, morajo projektni dokumenti vsebovati naslednje informacije o stavbi ali njenem ustreznem delu:</w:t>
      </w:r>
    </w:p>
    <w:p w14:paraId="36CFFEC7"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a) diagram ožičenja, uporabljen za dimenzioniranje, kot je opisano v nizkonapetostnem elektrotehničnem pravilniku;</w:t>
      </w:r>
    </w:p>
    <w:p w14:paraId="646DF7C0"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b) opis glavnega voda in zagotovljenih kanalov z navedbo odstotka parkirnih mest, ki imajo kabelske prevodne sisteme, in najmanjši zahtevani odstotek;</w:t>
      </w:r>
    </w:p>
    <w:p w14:paraId="69C66A52"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 xml:space="preserve">c) število nameščenih </w:t>
      </w:r>
      <w:r>
        <w:rPr>
          <w:rFonts w:ascii="Calibri" w:hAnsi="Calibri"/>
          <w:i/>
          <w:iCs/>
          <w:sz w:val="22"/>
        </w:rPr>
        <w:t>polnilnih postaj</w:t>
      </w:r>
      <w:r>
        <w:rPr>
          <w:rFonts w:ascii="Calibri" w:hAnsi="Calibri"/>
          <w:sz w:val="22"/>
        </w:rPr>
        <w:t xml:space="preserve"> in najmanjše število, ki izhaja iz količinske opredelitve zahteve;</w:t>
      </w:r>
    </w:p>
    <w:p w14:paraId="7BE9C95E"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 xml:space="preserve">d) vrste </w:t>
      </w:r>
      <w:r>
        <w:rPr>
          <w:rFonts w:ascii="Calibri" w:hAnsi="Calibri"/>
          <w:i/>
          <w:iCs/>
          <w:sz w:val="22"/>
        </w:rPr>
        <w:t>polnilnih postaj</w:t>
      </w:r>
      <w:r>
        <w:rPr>
          <w:rFonts w:ascii="Calibri" w:hAnsi="Calibri"/>
          <w:sz w:val="22"/>
        </w:rPr>
        <w:t xml:space="preserve"> in njihove nazivne moči.</w:t>
      </w:r>
      <w:bookmarkStart w:id="15" w:name="_Toc530396168"/>
      <w:bookmarkStart w:id="16" w:name="_Toc530395289"/>
    </w:p>
    <w:p w14:paraId="52DF0579" w14:textId="77777777" w:rsidR="000760AB" w:rsidRPr="000760AB" w:rsidRDefault="000760AB" w:rsidP="000760AB">
      <w:pPr>
        <w:suppressAutoHyphens/>
        <w:spacing w:before="60" w:after="60"/>
        <w:ind w:left="567"/>
        <w:jc w:val="both"/>
        <w:textAlignment w:val="baseline"/>
        <w:rPr>
          <w:rFonts w:ascii="Calibri" w:eastAsia="Arial" w:hAnsi="Calibri" w:cs="Calibri"/>
          <w:kern w:val="2"/>
          <w:sz w:val="22"/>
          <w:szCs w:val="22"/>
          <w:lang w:eastAsia="zh-CN" w:bidi="hi-IN"/>
        </w:rPr>
      </w:pPr>
    </w:p>
    <w:p w14:paraId="50E1C334"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lastRenderedPageBreak/>
        <w:t>5</w:t>
      </w:r>
      <w:r>
        <w:rPr>
          <w:rFonts w:ascii="Calibri" w:hAnsi="Calibri"/>
          <w:sz w:val="22"/>
        </w:rPr>
        <w:tab/>
        <w:t>Gradnja, vzdrževanje in ohranjanje</w:t>
      </w:r>
      <w:bookmarkEnd w:id="15"/>
      <w:bookmarkEnd w:id="16"/>
    </w:p>
    <w:p w14:paraId="000A9057" w14:textId="77777777" w:rsidR="000760AB" w:rsidRPr="000760AB" w:rsidRDefault="000760AB" w:rsidP="000760AB">
      <w:pPr>
        <w:keepNext/>
        <w:spacing w:before="200" w:after="100"/>
        <w:ind w:left="284"/>
        <w:jc w:val="both"/>
        <w:outlineLvl w:val="2"/>
        <w:rPr>
          <w:rFonts w:ascii="Calibri" w:eastAsia="Arial" w:hAnsi="Calibri" w:cs="Calibri"/>
          <w:kern w:val="2"/>
          <w:sz w:val="22"/>
          <w:szCs w:val="22"/>
        </w:rPr>
      </w:pPr>
      <w:bookmarkStart w:id="17" w:name="_Toc530396169"/>
      <w:bookmarkStart w:id="18" w:name="_Toc530395290"/>
      <w:r>
        <w:rPr>
          <w:rFonts w:ascii="Calibri" w:hAnsi="Calibri"/>
          <w:sz w:val="22"/>
        </w:rPr>
        <w:t>5.1 Izvedba</w:t>
      </w:r>
      <w:bookmarkEnd w:id="17"/>
      <w:bookmarkEnd w:id="18"/>
    </w:p>
    <w:p w14:paraId="3050030B" w14:textId="77777777" w:rsidR="000760AB" w:rsidRPr="000760AB" w:rsidRDefault="000760AB" w:rsidP="000760AB">
      <w:pPr>
        <w:spacing w:before="60" w:after="60"/>
        <w:ind w:left="284"/>
        <w:jc w:val="both"/>
        <w:rPr>
          <w:rFonts w:ascii="Calibri" w:eastAsia="Arial" w:hAnsi="Calibri" w:cs="Calibri"/>
          <w:kern w:val="2"/>
          <w:sz w:val="22"/>
          <w:szCs w:val="22"/>
        </w:rPr>
      </w:pPr>
      <w:r>
        <w:rPr>
          <w:rFonts w:ascii="Calibri" w:hAnsi="Calibri"/>
          <w:sz w:val="22"/>
        </w:rPr>
        <w:t>1</w:t>
      </w:r>
      <w:r>
        <w:rPr>
          <w:rFonts w:ascii="Calibri" w:hAnsi="Calibri"/>
          <w:sz w:val="22"/>
        </w:rPr>
        <w:tab/>
        <w:t xml:space="preserve">Gradbena dela na objektu se izvedejo v skladu s projektom in njegovimi spremembami, ki jih odobri vodja gradnje s predhodnim soglasjem nosilca projekta, v skladu z veljavno zakonodajo, specifikacijami predpisov o nizkonapetostni elektrotehniki in njegovim dopolnilnim tehničnim navodilom ITC BT-52 „Naprave za posebne namene. Infrastruktura za polnjenje </w:t>
      </w:r>
      <w:r>
        <w:rPr>
          <w:rFonts w:ascii="Calibri" w:hAnsi="Calibri"/>
          <w:i/>
          <w:iCs/>
          <w:sz w:val="22"/>
        </w:rPr>
        <w:t>električnih vozil</w:t>
      </w:r>
      <w:r>
        <w:rPr>
          <w:rFonts w:ascii="Calibri" w:hAnsi="Calibri"/>
          <w:sz w:val="22"/>
        </w:rPr>
        <w:t>", standardom dobre gradbene prakse ter navodili vodje gradnje in vodje izvedbe del, kot je navedeno v členu 7 dela I CTE.</w:t>
      </w:r>
    </w:p>
    <w:p w14:paraId="089181A3" w14:textId="77777777" w:rsidR="000760AB" w:rsidRPr="000760AB" w:rsidRDefault="000760AB" w:rsidP="000760AB">
      <w:pPr>
        <w:keepNext/>
        <w:spacing w:before="200" w:after="100"/>
        <w:ind w:left="284"/>
        <w:jc w:val="both"/>
        <w:outlineLvl w:val="2"/>
        <w:rPr>
          <w:rFonts w:ascii="Calibri" w:eastAsia="Arial" w:hAnsi="Calibri" w:cs="Calibri"/>
          <w:kern w:val="2"/>
          <w:sz w:val="22"/>
          <w:szCs w:val="22"/>
        </w:rPr>
      </w:pPr>
      <w:bookmarkStart w:id="19" w:name="_Toc530396170"/>
      <w:bookmarkStart w:id="20" w:name="_Toc530395291"/>
      <w:r>
        <w:rPr>
          <w:rFonts w:ascii="Calibri" w:hAnsi="Calibri"/>
          <w:sz w:val="22"/>
        </w:rPr>
        <w:t>5.2 Spremljanje izvajanja del</w:t>
      </w:r>
      <w:bookmarkEnd w:id="19"/>
      <w:bookmarkEnd w:id="20"/>
    </w:p>
    <w:p w14:paraId="5126F3A6" w14:textId="77777777" w:rsidR="000760AB" w:rsidRPr="000760AB" w:rsidRDefault="000760AB" w:rsidP="000760AB">
      <w:pPr>
        <w:spacing w:before="120" w:after="60"/>
        <w:ind w:left="284"/>
        <w:jc w:val="both"/>
        <w:rPr>
          <w:rFonts w:ascii="Calibri" w:eastAsia="Arial" w:hAnsi="Calibri" w:cs="Calibri"/>
          <w:kern w:val="2"/>
          <w:sz w:val="22"/>
          <w:szCs w:val="22"/>
        </w:rPr>
      </w:pPr>
      <w:r>
        <w:rPr>
          <w:rFonts w:ascii="Calibri" w:hAnsi="Calibri"/>
          <w:sz w:val="22"/>
        </w:rPr>
        <w:t>1</w:t>
      </w:r>
      <w:r>
        <w:rPr>
          <w:rFonts w:ascii="Calibri" w:hAnsi="Calibri"/>
          <w:sz w:val="22"/>
        </w:rPr>
        <w:tab/>
        <w:t>Nadzor nad izvajanjem</w:t>
      </w:r>
      <w:r>
        <w:rPr>
          <w:rFonts w:ascii="Calibri" w:hAnsi="Calibri"/>
          <w:color w:val="FF0000"/>
          <w:sz w:val="22"/>
        </w:rPr>
        <w:t xml:space="preserve"> </w:t>
      </w:r>
      <w:r>
        <w:rPr>
          <w:rFonts w:ascii="Calibri" w:hAnsi="Calibri"/>
          <w:sz w:val="22"/>
        </w:rPr>
        <w:t>del se bo izvajal v skladu s specifikacijo projekta, njegovih prilog in sprememb, ki jih odobri vodja gradnje, in navodili vodje izvedbe del, kot je določeno v predpisih o nizkonapetostni elektrotehniki, v skladu z določbami člena 7(3) dela I CTE in drugimi veljavnimi predpisi.</w:t>
      </w:r>
    </w:p>
    <w:p w14:paraId="5E5E124D" w14:textId="77777777" w:rsidR="000760AB" w:rsidRPr="000760AB" w:rsidRDefault="000760AB" w:rsidP="000760AB">
      <w:pPr>
        <w:spacing w:before="120" w:after="60"/>
        <w:ind w:left="284"/>
        <w:jc w:val="both"/>
        <w:rPr>
          <w:rFonts w:ascii="Calibri" w:eastAsia="Arial" w:hAnsi="Calibri" w:cs="Calibri"/>
          <w:kern w:val="2"/>
          <w:sz w:val="22"/>
          <w:szCs w:val="22"/>
        </w:rPr>
      </w:pPr>
      <w:r>
        <w:rPr>
          <w:rFonts w:ascii="Calibri" w:hAnsi="Calibri"/>
          <w:sz w:val="22"/>
        </w:rPr>
        <w:t>2.</w:t>
      </w:r>
      <w:r>
        <w:rPr>
          <w:rFonts w:ascii="Calibri" w:hAnsi="Calibri"/>
          <w:sz w:val="22"/>
        </w:rPr>
        <w:tab/>
        <w:t>Izvedba dela se preveri, da se zagotovi, da se inšpekcijski pregledi izvajajo tako pogosto, kot je določeno v specifikacijah projekta.</w:t>
      </w:r>
    </w:p>
    <w:p w14:paraId="59F0FC7F" w14:textId="77777777" w:rsidR="000760AB" w:rsidRPr="000760AB" w:rsidRDefault="000760AB" w:rsidP="000760AB">
      <w:pPr>
        <w:spacing w:before="120" w:after="60"/>
        <w:ind w:left="284"/>
        <w:jc w:val="both"/>
        <w:rPr>
          <w:rFonts w:ascii="Calibri" w:eastAsia="Arial" w:hAnsi="Calibri" w:cs="Calibri"/>
          <w:kern w:val="2"/>
          <w:sz w:val="22"/>
          <w:szCs w:val="22"/>
        </w:rPr>
      </w:pPr>
      <w:r>
        <w:rPr>
          <w:rFonts w:ascii="Calibri" w:hAnsi="Calibri"/>
          <w:sz w:val="22"/>
        </w:rPr>
        <w:t>3</w:t>
      </w:r>
      <w:r>
        <w:rPr>
          <w:rFonts w:ascii="Calibri" w:hAnsi="Calibri"/>
          <w:sz w:val="22"/>
        </w:rPr>
        <w:tab/>
        <w:t>Vse spremembe, izvedene med izvedbo gradenj, se zabeležijo v dokumentaciji o izvedenih delih in v vsakem primeru morajo biti izpolnjeni minimalni pogoji, navedeni v tem osnovnem dokumentu.</w:t>
      </w:r>
    </w:p>
    <w:p w14:paraId="0D137CE4" w14:textId="77777777" w:rsidR="000760AB" w:rsidRPr="000760AB" w:rsidRDefault="000760AB" w:rsidP="000760AB">
      <w:pPr>
        <w:spacing w:before="120" w:after="60"/>
        <w:ind w:left="284"/>
        <w:jc w:val="both"/>
        <w:rPr>
          <w:rFonts w:ascii="Calibri" w:eastAsia="Arial" w:hAnsi="Calibri" w:cs="Calibri"/>
          <w:kern w:val="2"/>
          <w:sz w:val="22"/>
          <w:szCs w:val="22"/>
        </w:rPr>
      </w:pPr>
      <w:r>
        <w:rPr>
          <w:rFonts w:ascii="Calibri" w:hAnsi="Calibri"/>
          <w:sz w:val="22"/>
        </w:rPr>
        <w:t>4</w:t>
      </w:r>
      <w:r>
        <w:rPr>
          <w:rFonts w:ascii="Calibri" w:hAnsi="Calibri"/>
          <w:sz w:val="22"/>
        </w:rPr>
        <w:tab/>
        <w:t>Dokumentacija, ki se nanaša na značilnosti izdelkov, opreme in sistemov, vključenih v gradnjo, bo vključena v knjigo stavbe.</w:t>
      </w:r>
    </w:p>
    <w:p w14:paraId="3FAAE7C2" w14:textId="77777777" w:rsidR="000760AB" w:rsidRPr="000760AB" w:rsidRDefault="000760AB" w:rsidP="00FD453F">
      <w:pPr>
        <w:keepNext/>
        <w:spacing w:before="200" w:after="100"/>
        <w:ind w:left="284"/>
        <w:jc w:val="both"/>
        <w:outlineLvl w:val="2"/>
        <w:rPr>
          <w:rFonts w:ascii="Calibri" w:eastAsia="Arial" w:hAnsi="Calibri" w:cs="Calibri"/>
          <w:kern w:val="2"/>
          <w:sz w:val="22"/>
          <w:szCs w:val="22"/>
        </w:rPr>
      </w:pPr>
      <w:bookmarkStart w:id="21" w:name="_Toc530396171"/>
      <w:bookmarkStart w:id="22" w:name="_Toc530395292"/>
      <w:r>
        <w:rPr>
          <w:rFonts w:ascii="Calibri" w:hAnsi="Calibri"/>
          <w:sz w:val="22"/>
        </w:rPr>
        <w:t>5.3 Preverjanje zaključenih del</w:t>
      </w:r>
      <w:bookmarkEnd w:id="21"/>
      <w:bookmarkEnd w:id="22"/>
    </w:p>
    <w:p w14:paraId="1A89C868" w14:textId="77777777" w:rsidR="000760AB" w:rsidRPr="000760AB" w:rsidRDefault="000760AB" w:rsidP="00FD453F">
      <w:pPr>
        <w:spacing w:before="120" w:after="60"/>
        <w:ind w:left="284"/>
        <w:jc w:val="both"/>
        <w:rPr>
          <w:rFonts w:ascii="Calibri" w:eastAsia="Arial" w:hAnsi="Calibri" w:cs="Calibri"/>
          <w:kern w:val="2"/>
          <w:sz w:val="22"/>
          <w:szCs w:val="22"/>
        </w:rPr>
      </w:pPr>
      <w:r>
        <w:rPr>
          <w:rFonts w:ascii="Calibri" w:hAnsi="Calibri"/>
          <w:sz w:val="22"/>
        </w:rPr>
        <w:t>1</w:t>
      </w:r>
      <w:r>
        <w:rPr>
          <w:rFonts w:ascii="Calibri" w:hAnsi="Calibri"/>
          <w:sz w:val="22"/>
        </w:rPr>
        <w:tab/>
        <w:t>Inšpekcijski pregled izvedenih del mora izpolnjevati merila iz člena 7(4) dela I CTE.</w:t>
      </w:r>
    </w:p>
    <w:p w14:paraId="32DA09D6" w14:textId="77777777" w:rsidR="000760AB" w:rsidRPr="000760AB" w:rsidRDefault="000760AB" w:rsidP="00FD453F">
      <w:pPr>
        <w:spacing w:before="120" w:after="60"/>
        <w:ind w:left="284"/>
        <w:jc w:val="both"/>
        <w:rPr>
          <w:rFonts w:ascii="Calibri" w:eastAsia="Arial" w:hAnsi="Calibri" w:cs="Calibri"/>
          <w:kern w:val="2"/>
          <w:sz w:val="22"/>
          <w:szCs w:val="22"/>
        </w:rPr>
      </w:pPr>
      <w:r>
        <w:rPr>
          <w:rFonts w:ascii="Calibri" w:hAnsi="Calibri"/>
          <w:sz w:val="22"/>
        </w:rPr>
        <w:t>2.</w:t>
      </w:r>
      <w:r>
        <w:rPr>
          <w:rFonts w:ascii="Calibri" w:hAnsi="Calibri"/>
          <w:sz w:val="22"/>
        </w:rPr>
        <w:tab/>
        <w:t>Ta razdelek osnovnega dokumenta ne predpisuje končnih preskusov.</w:t>
      </w:r>
    </w:p>
    <w:p w14:paraId="71B8183A" w14:textId="77777777" w:rsidR="000760AB" w:rsidRPr="000760AB" w:rsidRDefault="000760AB" w:rsidP="00FD453F">
      <w:pPr>
        <w:keepNext/>
        <w:spacing w:before="200" w:after="100"/>
        <w:ind w:left="284"/>
        <w:jc w:val="both"/>
        <w:outlineLvl w:val="2"/>
        <w:rPr>
          <w:rFonts w:ascii="Calibri" w:eastAsia="Arial" w:hAnsi="Calibri" w:cs="Calibri"/>
          <w:kern w:val="2"/>
          <w:sz w:val="22"/>
          <w:szCs w:val="22"/>
        </w:rPr>
      </w:pPr>
      <w:bookmarkStart w:id="23" w:name="_Toc530396172"/>
      <w:bookmarkStart w:id="24" w:name="_Toc530395293"/>
      <w:r>
        <w:rPr>
          <w:rFonts w:ascii="Calibri" w:hAnsi="Calibri"/>
          <w:sz w:val="22"/>
        </w:rPr>
        <w:t>5.4 Vzdrževanje in ohranjanje stavbe</w:t>
      </w:r>
      <w:bookmarkEnd w:id="23"/>
      <w:bookmarkEnd w:id="24"/>
    </w:p>
    <w:p w14:paraId="3E865FD5" w14:textId="77777777" w:rsidR="000760AB" w:rsidRPr="000760AB" w:rsidRDefault="000760AB" w:rsidP="00FD453F">
      <w:pPr>
        <w:spacing w:before="120" w:after="60"/>
        <w:ind w:left="284"/>
        <w:jc w:val="both"/>
        <w:rPr>
          <w:rFonts w:ascii="Calibri" w:eastAsia="Arial" w:hAnsi="Calibri" w:cs="Calibri"/>
          <w:kern w:val="2"/>
          <w:sz w:val="22"/>
          <w:szCs w:val="22"/>
        </w:rPr>
      </w:pPr>
      <w:r>
        <w:rPr>
          <w:rFonts w:ascii="Calibri" w:hAnsi="Calibri"/>
          <w:sz w:val="22"/>
        </w:rPr>
        <w:t>1</w:t>
      </w:r>
      <w:r>
        <w:rPr>
          <w:rFonts w:ascii="Calibri" w:hAnsi="Calibri"/>
          <w:sz w:val="22"/>
        </w:rPr>
        <w:tab/>
        <w:t xml:space="preserve">Načrt vzdrževanja, vključen v knjigo stavbe, bo vključeval postopke in pogostost, potrebnih za vzdrževanje skozi čas konstrukcijskih parametrov in delovanja infrastrukture za dolgoročno vzdrževanje parametrov zasnove in zmogljivosti </w:t>
      </w:r>
      <w:r>
        <w:rPr>
          <w:rFonts w:ascii="Calibri" w:hAnsi="Calibri"/>
          <w:i/>
          <w:iCs/>
          <w:sz w:val="22"/>
        </w:rPr>
        <w:t>infrastrukture za polnjenje električnih vozil</w:t>
      </w:r>
      <w:r>
        <w:rPr>
          <w:rFonts w:ascii="Calibri" w:hAnsi="Calibri"/>
          <w:sz w:val="22"/>
        </w:rPr>
        <w:t>.</w:t>
      </w:r>
    </w:p>
    <w:p w14:paraId="44174479" w14:textId="77777777" w:rsidR="000760AB" w:rsidRPr="000760AB" w:rsidRDefault="000760AB" w:rsidP="00FD453F">
      <w:pPr>
        <w:spacing w:before="120" w:after="60"/>
        <w:ind w:left="284"/>
        <w:jc w:val="both"/>
        <w:rPr>
          <w:rFonts w:ascii="Calibri" w:eastAsia="Arial" w:hAnsi="Calibri" w:cs="Calibri"/>
          <w:kern w:val="2"/>
          <w:sz w:val="22"/>
          <w:szCs w:val="22"/>
        </w:rPr>
      </w:pPr>
      <w:r>
        <w:rPr>
          <w:rFonts w:ascii="Calibri" w:hAnsi="Calibri"/>
          <w:sz w:val="22"/>
        </w:rPr>
        <w:t>2.</w:t>
      </w:r>
      <w:r>
        <w:rPr>
          <w:rFonts w:ascii="Calibri" w:hAnsi="Calibri"/>
          <w:sz w:val="22"/>
        </w:rPr>
        <w:tab/>
        <w:t>Prav tako bodo v knjigi stavbe dokumentirani vsi posegi, bodisi popravila, prenove ali sanacije, ki so bili izvedeni skozi celotno življenjsko dobo stavbe.“</w:t>
      </w:r>
    </w:p>
    <w:p w14:paraId="4BAAA47B"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mm) V Prilogi A se črtata izraza „Začetna osvetlitev“ in „Odsevnost“.</w:t>
      </w:r>
    </w:p>
    <w:p w14:paraId="6C74EA4F"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nn) V Prilogi A se v opredelitvi pojma „</w:t>
      </w:r>
      <w:r>
        <w:rPr>
          <w:rFonts w:ascii="Calibri" w:hAnsi="Calibri"/>
          <w:i/>
          <w:sz w:val="22"/>
        </w:rPr>
        <w:t>Skupni koeficient toplotne prehodnosti (preko toplotnega ovoja stavbe</w:t>
      </w:r>
      <w:r>
        <w:rPr>
          <w:rFonts w:ascii="Calibri" w:hAnsi="Calibri"/>
          <w:sz w:val="22"/>
        </w:rPr>
        <w:t>) (K)“ glasi: „[...] K = X Hx/Aint...“ se glasi z znaki „x“, „x“ in „int“, napisanimi kot spuščeno besedilo: „[...] K = Σ</w:t>
      </w:r>
      <w:r>
        <w:rPr>
          <w:rFonts w:ascii="Calibri" w:hAnsi="Calibri"/>
          <w:sz w:val="22"/>
          <w:vertAlign w:val="subscript"/>
        </w:rPr>
        <w:t>x</w:t>
      </w:r>
      <w:r>
        <w:rPr>
          <w:rFonts w:ascii="Calibri" w:hAnsi="Calibri"/>
          <w:sz w:val="22"/>
        </w:rPr>
        <w:t xml:space="preserve"> H</w:t>
      </w:r>
      <w:r>
        <w:rPr>
          <w:rFonts w:ascii="Calibri" w:hAnsi="Calibri"/>
          <w:sz w:val="22"/>
          <w:vertAlign w:val="subscript"/>
        </w:rPr>
        <w:t>x</w:t>
      </w:r>
      <w:r>
        <w:rPr>
          <w:rFonts w:ascii="Calibri" w:hAnsi="Calibri"/>
          <w:sz w:val="22"/>
        </w:rPr>
        <w:t xml:space="preserve"> / A</w:t>
      </w:r>
      <w:r>
        <w:rPr>
          <w:rFonts w:ascii="Calibri" w:hAnsi="Calibri"/>
          <w:sz w:val="22"/>
          <w:vertAlign w:val="subscript"/>
        </w:rPr>
        <w:t>int</w:t>
      </w:r>
      <w:r>
        <w:rPr>
          <w:rFonts w:ascii="Calibri" w:hAnsi="Calibri"/>
          <w:sz w:val="22"/>
        </w:rPr>
        <w:t>...“, izraza „parietodinamične stene“ in „Trombejeve stene“ pa v poševnem tisku.</w:t>
      </w:r>
    </w:p>
    <w:p w14:paraId="5C4DBA8E" w14:textId="77777777" w:rsidR="000760AB" w:rsidRPr="000760AB" w:rsidRDefault="000760AB" w:rsidP="000760AB">
      <w:pPr>
        <w:spacing w:after="160" w:line="259" w:lineRule="auto"/>
        <w:ind w:left="567"/>
        <w:contextualSpacing/>
        <w:jc w:val="both"/>
        <w:rPr>
          <w:rFonts w:ascii="Calibri" w:eastAsia="Calibri" w:hAnsi="Calibri" w:cs="Calibri"/>
          <w:sz w:val="22"/>
          <w:szCs w:val="22"/>
          <w:lang w:eastAsia="en-US"/>
        </w:rPr>
      </w:pPr>
    </w:p>
    <w:p w14:paraId="2CFABC1E"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ññ) V Prilogi A v opredelitvi pojma „Kompaktnost“ je izraz „kompaktnost“ v drugem odstavku v poševnem tisku.</w:t>
      </w:r>
    </w:p>
    <w:p w14:paraId="2A0F9F45"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oo) V Prilogi A v opredelitvi pojma „pogoji delovanja“ je izraz „zasebna stanovanjska uporaba“ v poševnem tisku.</w:t>
      </w:r>
    </w:p>
    <w:p w14:paraId="345DE1C6"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pp) V Prilogi A se opredelitev pojma „poraba primarne energije iz neobnovljivih virov“ glasi: „[...] Poraba primarne energije iz neobnovljivih virov [...]“ se nadomesti z besedilom „[...] Poraba primarne energije iz neobnovljivih virov (C</w:t>
      </w:r>
      <w:r>
        <w:rPr>
          <w:rFonts w:ascii="Calibri" w:hAnsi="Calibri"/>
          <w:sz w:val="22"/>
          <w:vertAlign w:val="subscript"/>
        </w:rPr>
        <w:t>ep,nren</w:t>
      </w:r>
      <w:r>
        <w:rPr>
          <w:rFonts w:ascii="Calibri" w:hAnsi="Calibri"/>
          <w:sz w:val="22"/>
        </w:rPr>
        <w:t>) [...]“, pri čemer se besedilo „ep,nren“ zapiše v drobnem tisku pod standardno besedilno ravnjo.</w:t>
      </w:r>
    </w:p>
    <w:p w14:paraId="10AB3C41" w14:textId="77777777" w:rsidR="000760AB" w:rsidRPr="000760AB" w:rsidRDefault="000760AB" w:rsidP="000760AB">
      <w:pPr>
        <w:spacing w:after="160" w:line="259" w:lineRule="auto"/>
        <w:ind w:left="284"/>
        <w:contextualSpacing/>
        <w:jc w:val="both"/>
        <w:rPr>
          <w:rFonts w:ascii="Calibri" w:eastAsia="Calibri" w:hAnsi="Calibri" w:cs="Calibri"/>
          <w:sz w:val="22"/>
          <w:szCs w:val="22"/>
          <w:lang w:eastAsia="en-US"/>
        </w:rPr>
      </w:pPr>
    </w:p>
    <w:p w14:paraId="14333C7E"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lastRenderedPageBreak/>
        <w:t>qq) V Prilogi A se opredelitev „Skupna poraba primarne energije“ glasi: „[...] Skupna poraba primarne energije [...]“ se nadomesti z besedilom „[...] Skupna poraba primarne energije (C</w:t>
      </w:r>
      <w:r>
        <w:rPr>
          <w:rFonts w:ascii="Calibri" w:hAnsi="Calibri"/>
          <w:sz w:val="22"/>
          <w:vertAlign w:val="subscript"/>
        </w:rPr>
        <w:t>ep,tot</w:t>
      </w:r>
      <w:r>
        <w:rPr>
          <w:rFonts w:ascii="Calibri" w:hAnsi="Calibri"/>
          <w:sz w:val="22"/>
        </w:rPr>
        <w:t>) [...]“, pri čemer se besedilo „ep,tot“ zapiše v drobnem tisku pod standardno besedilno ravnjo.</w:t>
      </w:r>
    </w:p>
    <w:p w14:paraId="0CA46E11" w14:textId="77777777" w:rsidR="000760AB" w:rsidRPr="000760AB" w:rsidRDefault="000760AB" w:rsidP="000760AB">
      <w:pPr>
        <w:spacing w:after="160" w:line="259" w:lineRule="auto"/>
        <w:ind w:left="567"/>
        <w:contextualSpacing/>
        <w:jc w:val="both"/>
        <w:rPr>
          <w:rFonts w:ascii="Calibri" w:eastAsia="Calibri" w:hAnsi="Calibri" w:cs="Calibri"/>
          <w:sz w:val="22"/>
          <w:szCs w:val="22"/>
          <w:lang w:eastAsia="en-US"/>
        </w:rPr>
      </w:pPr>
    </w:p>
    <w:p w14:paraId="1B1F2FCF"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rr) v Prilogi A se opredelitev pojma „Sončna kontrola (q</w:t>
      </w:r>
      <w:r>
        <w:rPr>
          <w:rFonts w:ascii="Calibri" w:hAnsi="Calibri"/>
          <w:sz w:val="22"/>
          <w:vertAlign w:val="subscript"/>
        </w:rPr>
        <w:t>sol;jul</w:t>
      </w:r>
      <w:r>
        <w:rPr>
          <w:rFonts w:ascii="Calibri" w:hAnsi="Calibri"/>
          <w:sz w:val="22"/>
        </w:rPr>
        <w:t>)“ glasi: besedilo „[...] uporabna površina prostorov [...]“ se nadomesti z besedilom „[...] uporabna površina bivalnih prostorov [...]“. Pika in nov odstavek na koncu opredelitve pojma komponente formule „Hsol;jul“ se nadomesti s podpičjem in doda se opredelitev druge komponente formule z naslednjim besedilom:</w:t>
      </w:r>
    </w:p>
    <w:p w14:paraId="1679E36E"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t>„A</w:t>
      </w:r>
      <w:r>
        <w:rPr>
          <w:rFonts w:ascii="Calibri" w:hAnsi="Calibri"/>
          <w:sz w:val="22"/>
          <w:vertAlign w:val="subscript"/>
        </w:rPr>
        <w:t>util</w:t>
      </w:r>
      <w:r>
        <w:rPr>
          <w:rFonts w:ascii="Calibri" w:hAnsi="Calibri"/>
          <w:sz w:val="22"/>
        </w:rPr>
        <w:t xml:space="preserve"> površina, za katero se šteje, da je v skladu s pododdelkom 4.6 oddelka HE 0.“</w:t>
      </w:r>
    </w:p>
    <w:p w14:paraId="5D16B486"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ss) V prilogi A se v opredelitvi pojma „Končna energija“ besedilo „pomeni energijo, ki so jo potrošniki kupili v obliki električne energije, goriva ali drugih kuriv, ki se uporabljajo neposredno“ nadomesti z besedilom „pomeni energijo, ki se dobavlja gradbenim sistemom za opravljanje storitev; ta oskrba se običajno zagotavlja z gorivom, proizvodnjo na kraju samem ali posebnimi omrežji (električna energija, plin, daljinsko ogrevanje ali hlajenje itd.)“.</w:t>
      </w:r>
    </w:p>
    <w:p w14:paraId="4B18500C"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tt) V Prilogi A v opredelitvi pojma „Klimatiziran bivalni prostor“ je izraz „zasebna stanovanjska uporaba“ v poševnem tisku.</w:t>
      </w:r>
    </w:p>
    <w:p w14:paraId="7EC3AE41"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uu) V Prilogi A v opredelitvi pojma „Obdobje uporabe“ je izraz „zasebna stanovanjska uporaba“ v poševnem tisku.</w:t>
      </w:r>
    </w:p>
    <w:p w14:paraId="3400E1E9"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vv) V Prilogi A se v opredelitvi pojma „Toplotni prenos (vrednost U)“ na koncu opredelitve doda naslednji stavek:</w:t>
      </w:r>
    </w:p>
    <w:p w14:paraId="20E76982"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t>„Izražena je v W/m</w:t>
      </w:r>
      <w:r>
        <w:rPr>
          <w:rFonts w:ascii="Calibri" w:hAnsi="Calibri"/>
          <w:sz w:val="22"/>
          <w:vertAlign w:val="superscript"/>
        </w:rPr>
        <w:t>2</w:t>
      </w:r>
      <w:r>
        <w:rPr>
          <w:rFonts w:ascii="Calibri" w:hAnsi="Calibri"/>
          <w:sz w:val="22"/>
        </w:rPr>
        <w:t>K.“</w:t>
      </w:r>
    </w:p>
    <w:p w14:paraId="68C76D1A"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t>ww) V Prilogi A v opredelitvi pojma „Vrednost energetske učinkovitosti naprave (VEEI)“ je izraz „zasebna stanovanjska uporaba“ v poševnem tisku.</w:t>
      </w:r>
    </w:p>
    <w:p w14:paraId="45B16639" w14:textId="77777777" w:rsidR="000760AB" w:rsidRPr="000760AB" w:rsidRDefault="000760AB" w:rsidP="000760AB">
      <w:pPr>
        <w:spacing w:after="160" w:line="259" w:lineRule="auto"/>
        <w:ind w:left="567" w:hanging="283"/>
        <w:jc w:val="both"/>
        <w:rPr>
          <w:rFonts w:ascii="Calibri" w:eastAsia="Calibri" w:hAnsi="Calibri" w:cs="Calibri"/>
          <w:sz w:val="22"/>
          <w:szCs w:val="22"/>
        </w:rPr>
      </w:pPr>
      <w:r>
        <w:rPr>
          <w:rFonts w:ascii="Calibri" w:hAnsi="Calibri"/>
          <w:sz w:val="22"/>
        </w:rPr>
        <w:t>xx) V Prilogo A „Terminologija“ se vključijo naslednje opredelitve:</w:t>
      </w:r>
    </w:p>
    <w:p w14:paraId="41AB6223" w14:textId="77777777" w:rsidR="000760AB" w:rsidRPr="000760AB" w:rsidRDefault="000760AB" w:rsidP="00FD453F">
      <w:pPr>
        <w:spacing w:before="200" w:after="120"/>
        <w:ind w:left="284"/>
        <w:jc w:val="both"/>
        <w:rPr>
          <w:rFonts w:ascii="Calibri" w:eastAsia="Arial" w:hAnsi="Calibri" w:cs="Calibri"/>
          <w:kern w:val="2"/>
          <w:sz w:val="22"/>
        </w:rPr>
      </w:pPr>
      <w:r>
        <w:rPr>
          <w:rFonts w:ascii="Calibri" w:hAnsi="Calibri"/>
          <w:sz w:val="22"/>
        </w:rPr>
        <w:t>„</w:t>
      </w:r>
      <w:r>
        <w:rPr>
          <w:rFonts w:ascii="Calibri" w:hAnsi="Calibri"/>
          <w:b/>
          <w:i/>
          <w:sz w:val="22"/>
        </w:rPr>
        <w:t>Pomožna oprema</w:t>
      </w:r>
      <w:r>
        <w:rPr>
          <w:rFonts w:ascii="Calibri" w:hAnsi="Calibri"/>
          <w:b/>
          <w:sz w:val="22"/>
        </w:rPr>
        <w:t xml:space="preserve">: </w:t>
      </w:r>
      <w:r>
        <w:rPr>
          <w:rFonts w:ascii="Calibri" w:hAnsi="Calibri"/>
          <w:sz w:val="22"/>
        </w:rPr>
        <w:t>pomeni električno ali elektronsko opremo, povezano s svetilnimi elementi, ki se razlikuje glede na posamezne vrste svetilnih elementov ter katere funkcija je sprožitev in nadzor pogojev obratovanja. To pomožno opremo sestavljajo zaganjalnik, predstikalna naprava in kondenzator, razen če gre ta elektronsko opremo.“</w:t>
      </w:r>
    </w:p>
    <w:p w14:paraId="66E0B2DA" w14:textId="77777777" w:rsidR="000760AB" w:rsidRPr="000760AB" w:rsidRDefault="000760AB" w:rsidP="00FD453F">
      <w:pPr>
        <w:spacing w:before="200" w:after="100"/>
        <w:ind w:left="284"/>
        <w:jc w:val="both"/>
        <w:rPr>
          <w:rFonts w:ascii="Calibri" w:eastAsia="Arial" w:hAnsi="Calibri" w:cs="Calibri"/>
          <w:bCs/>
          <w:iCs/>
          <w:kern w:val="2"/>
          <w:sz w:val="22"/>
          <w:szCs w:val="22"/>
        </w:rPr>
      </w:pPr>
      <w:r>
        <w:rPr>
          <w:rFonts w:ascii="Calibri" w:hAnsi="Calibri"/>
          <w:sz w:val="22"/>
        </w:rPr>
        <w:t>„</w:t>
      </w:r>
      <w:r>
        <w:rPr>
          <w:rFonts w:ascii="Calibri" w:hAnsi="Calibri"/>
          <w:b/>
          <w:i/>
          <w:sz w:val="22"/>
        </w:rPr>
        <w:t>Polnilna postaja</w:t>
      </w:r>
      <w:r>
        <w:rPr>
          <w:rFonts w:ascii="Calibri" w:hAnsi="Calibri"/>
          <w:b/>
          <w:sz w:val="22"/>
        </w:rPr>
        <w:t xml:space="preserve">: </w:t>
      </w:r>
      <w:r>
        <w:rPr>
          <w:rFonts w:ascii="Calibri" w:hAnsi="Calibri"/>
          <w:sz w:val="22"/>
        </w:rPr>
        <w:t xml:space="preserve">pomeni sklop elementov, potrebnih za priključitev električnega vozila na fiksno električno napravo za polnjenje. </w:t>
      </w:r>
      <w:r>
        <w:rPr>
          <w:rFonts w:ascii="Calibri" w:hAnsi="Calibri"/>
          <w:i/>
          <w:sz w:val="22"/>
        </w:rPr>
        <w:t>Polnilne postaje</w:t>
      </w:r>
      <w:r>
        <w:rPr>
          <w:rFonts w:ascii="Calibri" w:hAnsi="Calibri"/>
          <w:sz w:val="22"/>
        </w:rPr>
        <w:t xml:space="preserve"> se delijo na:</w:t>
      </w:r>
    </w:p>
    <w:p w14:paraId="553A42BD" w14:textId="77777777" w:rsidR="000760AB" w:rsidRPr="000760AB" w:rsidRDefault="000760AB" w:rsidP="00FD453F">
      <w:pPr>
        <w:spacing w:before="200" w:after="100"/>
        <w:ind w:left="284"/>
        <w:jc w:val="both"/>
        <w:rPr>
          <w:rFonts w:ascii="Calibri" w:eastAsia="Arial" w:hAnsi="Calibri" w:cs="Calibri"/>
          <w:bCs/>
          <w:iCs/>
          <w:kern w:val="2"/>
          <w:sz w:val="22"/>
          <w:szCs w:val="22"/>
        </w:rPr>
      </w:pPr>
      <w:r>
        <w:rPr>
          <w:rFonts w:ascii="Calibri" w:hAnsi="Calibri"/>
          <w:sz w:val="22"/>
        </w:rPr>
        <w:t>1.</w:t>
      </w:r>
      <w:r>
        <w:rPr>
          <w:rFonts w:ascii="Calibri" w:hAnsi="Calibri"/>
          <w:sz w:val="22"/>
        </w:rPr>
        <w:tab/>
        <w:t xml:space="preserve">enostavna polnilna mesta, sestavljena iz potrebnih varovalnih elementov, ene ali več vtičnic, ki niso specifične za </w:t>
      </w:r>
      <w:r>
        <w:rPr>
          <w:rFonts w:ascii="Calibri" w:hAnsi="Calibri"/>
          <w:i/>
          <w:sz w:val="22"/>
        </w:rPr>
        <w:t>električno vozilo</w:t>
      </w:r>
      <w:r>
        <w:rPr>
          <w:rFonts w:ascii="Calibri" w:hAnsi="Calibri"/>
          <w:sz w:val="22"/>
        </w:rPr>
        <w:t>, in, kjer je primerno, ohišja;</w:t>
      </w:r>
    </w:p>
    <w:p w14:paraId="371F3BEE" w14:textId="77777777" w:rsidR="000760AB" w:rsidRPr="000760AB" w:rsidRDefault="000760AB" w:rsidP="00FD453F">
      <w:pPr>
        <w:spacing w:before="200" w:after="100"/>
        <w:ind w:left="284"/>
        <w:jc w:val="both"/>
        <w:rPr>
          <w:rFonts w:ascii="Calibri" w:eastAsia="Arial" w:hAnsi="Calibri" w:cs="Calibri"/>
          <w:b/>
          <w:bCs/>
          <w:i/>
          <w:iCs/>
          <w:kern w:val="2"/>
          <w:sz w:val="22"/>
          <w:szCs w:val="22"/>
        </w:rPr>
      </w:pPr>
      <w:r>
        <w:rPr>
          <w:rFonts w:ascii="Calibri" w:hAnsi="Calibri"/>
          <w:sz w:val="22"/>
        </w:rPr>
        <w:t>2.</w:t>
      </w:r>
      <w:r>
        <w:rPr>
          <w:rFonts w:ascii="Calibri" w:hAnsi="Calibri"/>
          <w:sz w:val="22"/>
        </w:rPr>
        <w:tab/>
        <w:t xml:space="preserve">polnilna mesta s </w:t>
      </w:r>
      <w:r>
        <w:rPr>
          <w:rFonts w:ascii="Calibri" w:hAnsi="Calibri"/>
          <w:i/>
          <w:sz w:val="22"/>
        </w:rPr>
        <w:t>posebnim sistemom za oskrbo električnih vozil z energijo</w:t>
      </w:r>
      <w:r>
        <w:rPr>
          <w:rFonts w:ascii="Calibri" w:hAnsi="Calibri"/>
          <w:sz w:val="22"/>
        </w:rPr>
        <w:t>.“</w:t>
      </w:r>
    </w:p>
    <w:p w14:paraId="444AE92F" w14:textId="77777777" w:rsidR="000760AB" w:rsidRPr="000760AB" w:rsidRDefault="000760AB" w:rsidP="00FD453F">
      <w:pPr>
        <w:spacing w:before="200" w:after="100"/>
        <w:ind w:left="284"/>
        <w:jc w:val="both"/>
        <w:rPr>
          <w:rFonts w:ascii="Calibri" w:eastAsia="Arial" w:hAnsi="Calibri" w:cs="Calibri"/>
          <w:kern w:val="2"/>
          <w:sz w:val="22"/>
          <w:szCs w:val="22"/>
        </w:rPr>
      </w:pPr>
      <w:r>
        <w:rPr>
          <w:rFonts w:ascii="Calibri" w:hAnsi="Calibri"/>
          <w:sz w:val="22"/>
        </w:rPr>
        <w:t>„</w:t>
      </w:r>
      <w:r>
        <w:rPr>
          <w:rFonts w:ascii="Calibri" w:hAnsi="Calibri"/>
          <w:b/>
          <w:i/>
          <w:sz w:val="22"/>
        </w:rPr>
        <w:t>Infrastruktura za polnjenje električnih vozil</w:t>
      </w:r>
      <w:r>
        <w:rPr>
          <w:rFonts w:ascii="Calibri" w:hAnsi="Calibri"/>
          <w:b/>
          <w:sz w:val="22"/>
        </w:rPr>
        <w:t xml:space="preserve">: </w:t>
      </w:r>
      <w:r>
        <w:rPr>
          <w:rFonts w:ascii="Calibri" w:hAnsi="Calibri"/>
          <w:sz w:val="22"/>
        </w:rPr>
        <w:t xml:space="preserve">pomeni sklop fizičnih in logičnih naprav, ki so namenjene polnjenju električnih vozil, izpolnjujejo zahteve glede varnosti in razpoložljivosti, ki so za posamezne primere določene v Pravilniku o nizkonapetostnih elektrotehničnih napravah, ter lahko zagotavljajo popolno in celovito storitev polnjenja. Vključujejo </w:t>
      </w:r>
      <w:r>
        <w:rPr>
          <w:rFonts w:ascii="Calibri" w:hAnsi="Calibri"/>
          <w:i/>
          <w:iCs/>
          <w:sz w:val="22"/>
        </w:rPr>
        <w:t>polnilne postaje</w:t>
      </w:r>
      <w:r>
        <w:rPr>
          <w:rFonts w:ascii="Calibri" w:hAnsi="Calibri"/>
          <w:sz w:val="22"/>
        </w:rPr>
        <w:t xml:space="preserve">, krmilni sistem, električne vode, električne krmilne in zaščitne plošče ter merilno opremo, ki je namenjena izključno polnjenju </w:t>
      </w:r>
      <w:r>
        <w:rPr>
          <w:rFonts w:ascii="Calibri" w:hAnsi="Calibri"/>
          <w:i/>
          <w:iCs/>
          <w:sz w:val="22"/>
        </w:rPr>
        <w:t>električnih vozil</w:t>
      </w:r>
      <w:r>
        <w:rPr>
          <w:rFonts w:ascii="Calibri" w:hAnsi="Calibri"/>
          <w:sz w:val="22"/>
        </w:rPr>
        <w:t>.“</w:t>
      </w:r>
    </w:p>
    <w:p w14:paraId="08E0941B" w14:textId="77777777" w:rsidR="000760AB" w:rsidRPr="000760AB" w:rsidRDefault="000760AB" w:rsidP="00FD453F">
      <w:pPr>
        <w:spacing w:before="200" w:after="100"/>
        <w:ind w:left="284"/>
        <w:jc w:val="both"/>
        <w:rPr>
          <w:rFonts w:ascii="Calibri" w:eastAsia="Arial" w:hAnsi="Calibri" w:cs="Calibri"/>
          <w:kern w:val="2"/>
          <w:sz w:val="22"/>
          <w:szCs w:val="22"/>
        </w:rPr>
      </w:pPr>
      <w:r>
        <w:rPr>
          <w:rFonts w:ascii="Calibri" w:hAnsi="Calibri"/>
          <w:sz w:val="22"/>
        </w:rPr>
        <w:t>„</w:t>
      </w:r>
      <w:r>
        <w:rPr>
          <w:rFonts w:ascii="Calibri" w:hAnsi="Calibri"/>
          <w:b/>
          <w:i/>
          <w:sz w:val="22"/>
        </w:rPr>
        <w:t>Posebni sistem za oskrbo električnih vozil z energijo</w:t>
      </w:r>
      <w:r>
        <w:rPr>
          <w:rFonts w:ascii="Calibri" w:hAnsi="Calibri"/>
          <w:b/>
          <w:sz w:val="22"/>
        </w:rPr>
        <w:t>:</w:t>
      </w:r>
      <w:r>
        <w:rPr>
          <w:rFonts w:ascii="Calibri" w:hAnsi="Calibri"/>
          <w:sz w:val="22"/>
        </w:rPr>
        <w:t xml:space="preserve"> pomeni sklop opreme, ki je namenjen oskrbi z električno energijo za polnjenje električnega vozila ter vključuje varovalne elemente polnilne postaje, priključni kabel (s </w:t>
      </w:r>
      <w:r>
        <w:rPr>
          <w:rFonts w:ascii="Calibri" w:hAnsi="Calibri"/>
          <w:sz w:val="22"/>
        </w:rPr>
        <w:lastRenderedPageBreak/>
        <w:t xml:space="preserve">faznimi, nevtralnimi in zaščitnimi vodniki), vtičnico ali priključek in, kjer je primerno, pretvornik za izmenični/enosmerni tok. Ta sistem po potrebi omogoča komunikacijo med </w:t>
      </w:r>
      <w:r>
        <w:rPr>
          <w:rFonts w:ascii="Calibri" w:hAnsi="Calibri"/>
          <w:i/>
          <w:sz w:val="22"/>
        </w:rPr>
        <w:t>električnim vozilom</w:t>
      </w:r>
      <w:r>
        <w:rPr>
          <w:rFonts w:ascii="Calibri" w:hAnsi="Calibri"/>
          <w:sz w:val="22"/>
        </w:rPr>
        <w:t xml:space="preserve"> in fiksno napravo.“</w:t>
      </w:r>
    </w:p>
    <w:p w14:paraId="2A9E9618" w14:textId="77777777" w:rsidR="000760AB" w:rsidRPr="000760AB" w:rsidRDefault="000760AB" w:rsidP="00FD453F">
      <w:pPr>
        <w:spacing w:before="200" w:after="100"/>
        <w:ind w:left="284"/>
        <w:jc w:val="both"/>
        <w:rPr>
          <w:rFonts w:ascii="Calibri" w:eastAsia="Arial" w:hAnsi="Calibri" w:cs="Calibri"/>
          <w:strike/>
          <w:kern w:val="2"/>
          <w:sz w:val="22"/>
          <w:szCs w:val="22"/>
        </w:rPr>
      </w:pPr>
      <w:r>
        <w:rPr>
          <w:rFonts w:ascii="Calibri" w:hAnsi="Calibri"/>
          <w:sz w:val="22"/>
        </w:rPr>
        <w:t>„</w:t>
      </w:r>
      <w:r>
        <w:rPr>
          <w:rFonts w:ascii="Calibri" w:hAnsi="Calibri"/>
          <w:b/>
          <w:i/>
          <w:sz w:val="22"/>
        </w:rPr>
        <w:t>Zasebna stanovanjska uporaba</w:t>
      </w:r>
      <w:r>
        <w:rPr>
          <w:rFonts w:ascii="Calibri" w:hAnsi="Calibri"/>
          <w:sz w:val="22"/>
        </w:rPr>
        <w:t xml:space="preserve">‘ pomeni uporabo stavbe ali območja, namenjenega stalnemu prebivanju, ne glede na vrsto stavbe, ki je lahko samostojna hiša, stanovanjska stavba itd., in ne glede na to, ali gre za zasebno ali javno gradnjo.“ </w:t>
      </w:r>
    </w:p>
    <w:p w14:paraId="20F0D8BC" w14:textId="77777777" w:rsidR="000760AB" w:rsidRPr="000760AB" w:rsidRDefault="000760AB" w:rsidP="00FD453F">
      <w:pPr>
        <w:spacing w:before="200" w:after="100"/>
        <w:ind w:left="284"/>
        <w:jc w:val="both"/>
        <w:rPr>
          <w:rFonts w:ascii="Calibri" w:eastAsia="Arial" w:hAnsi="Calibri" w:cs="Calibri"/>
          <w:kern w:val="2"/>
          <w:sz w:val="22"/>
        </w:rPr>
      </w:pPr>
      <w:r>
        <w:rPr>
          <w:rFonts w:ascii="Calibri" w:hAnsi="Calibri"/>
          <w:sz w:val="22"/>
        </w:rPr>
        <w:t>„</w:t>
      </w:r>
      <w:r>
        <w:rPr>
          <w:rFonts w:ascii="Calibri" w:hAnsi="Calibri"/>
          <w:b/>
          <w:i/>
          <w:sz w:val="22"/>
        </w:rPr>
        <w:t>Električno vozilo</w:t>
      </w:r>
      <w:r>
        <w:rPr>
          <w:rFonts w:ascii="Calibri" w:hAnsi="Calibri"/>
          <w:sz w:val="22"/>
        </w:rPr>
        <w:t>‘ pomeni motorno vozilo, ki je opremljeno s pogonsko enoto z vsaj enim neperifernim električnim mehanizmom, ki deluje kot pretvornik energije, in s sistemom za shranjevanje električne energije z možnostjo ponovnega polnjenja od zunaj.“</w:t>
      </w:r>
    </w:p>
    <w:p w14:paraId="52B758BF" w14:textId="77777777" w:rsidR="000760AB" w:rsidRPr="000760AB" w:rsidRDefault="000760AB" w:rsidP="000760AB">
      <w:pPr>
        <w:spacing w:before="200" w:after="100"/>
        <w:ind w:left="284"/>
        <w:jc w:val="both"/>
        <w:rPr>
          <w:rFonts w:ascii="Calibri" w:eastAsia="Arial" w:hAnsi="Calibri" w:cs="Calibri"/>
          <w:kern w:val="2"/>
          <w:sz w:val="22"/>
          <w:szCs w:val="22"/>
        </w:rPr>
      </w:pPr>
      <w:r>
        <w:rPr>
          <w:rFonts w:ascii="Calibri" w:hAnsi="Calibri"/>
          <w:sz w:val="22"/>
        </w:rPr>
        <w:t>yy) V Prilogi C se izraza „toplotni ovoj“ v naslovu in izraz „prostori, ki niso primerni za bivanje“ v oddelku 1(a) navedeta v poševnem tisku.</w:t>
      </w:r>
    </w:p>
    <w:p w14:paraId="5ED476EB" w14:textId="77777777" w:rsidR="000760AB" w:rsidRPr="000760AB" w:rsidRDefault="000760AB" w:rsidP="000760AB">
      <w:pPr>
        <w:spacing w:before="200" w:after="100"/>
        <w:ind w:left="284"/>
        <w:jc w:val="both"/>
        <w:rPr>
          <w:rFonts w:ascii="Calibri" w:eastAsia="Arial" w:hAnsi="Calibri" w:cs="Calibri"/>
          <w:kern w:val="2"/>
          <w:sz w:val="22"/>
          <w:szCs w:val="22"/>
        </w:rPr>
      </w:pPr>
      <w:r>
        <w:rPr>
          <w:rFonts w:ascii="Calibri" w:hAnsi="Calibri"/>
          <w:sz w:val="22"/>
        </w:rPr>
        <w:t xml:space="preserve">zz) V Prilogi D se izrazi „operativni pogoji“, „profili uporabe“ in „zasebna stanovanjska uporaba“ v naslovu, odstavku 2 ter preglednici A v Prilogi D, preglednici b v Prilogi D in preglednici c v Prilogi D. </w:t>
      </w:r>
    </w:p>
    <w:p w14:paraId="17E305EB" w14:textId="77777777" w:rsidR="000760AB" w:rsidRPr="000760AB" w:rsidRDefault="000760AB" w:rsidP="000760AB">
      <w:pPr>
        <w:spacing w:before="200" w:after="100"/>
        <w:ind w:left="284"/>
        <w:jc w:val="both"/>
        <w:rPr>
          <w:rFonts w:ascii="Calibri" w:eastAsia="Arial" w:hAnsi="Calibri" w:cs="Calibri"/>
          <w:kern w:val="2"/>
          <w:sz w:val="22"/>
          <w:szCs w:val="22"/>
        </w:rPr>
      </w:pPr>
      <w:r>
        <w:rPr>
          <w:rFonts w:ascii="Calibri" w:hAnsi="Calibri"/>
          <w:sz w:val="22"/>
        </w:rPr>
        <w:t xml:space="preserve">aaa) V Prilogi D se odstavek „2. </w:t>
      </w:r>
      <w:r>
        <w:rPr>
          <w:rFonts w:ascii="Calibri" w:hAnsi="Calibri"/>
          <w:i/>
          <w:iCs/>
          <w:sz w:val="22"/>
        </w:rPr>
        <w:t>Pogoji delovanja</w:t>
      </w:r>
      <w:r>
        <w:rPr>
          <w:rFonts w:ascii="Calibri" w:hAnsi="Calibri"/>
          <w:sz w:val="22"/>
        </w:rPr>
        <w:t xml:space="preserve"> in </w:t>
      </w:r>
      <w:r>
        <w:rPr>
          <w:rFonts w:ascii="Calibri" w:hAnsi="Calibri"/>
          <w:i/>
          <w:iCs/>
          <w:sz w:val="22"/>
        </w:rPr>
        <w:t>profil uporabe</w:t>
      </w:r>
      <w:r>
        <w:rPr>
          <w:rFonts w:ascii="Calibri" w:hAnsi="Calibri"/>
          <w:sz w:val="22"/>
        </w:rPr>
        <w:t xml:space="preserve"> ...“ glasi „3. </w:t>
      </w:r>
      <w:r>
        <w:rPr>
          <w:rFonts w:ascii="Calibri" w:hAnsi="Calibri"/>
          <w:i/>
          <w:iCs/>
          <w:sz w:val="22"/>
        </w:rPr>
        <w:t>Pogoji delovanja</w:t>
      </w:r>
      <w:r>
        <w:rPr>
          <w:rFonts w:ascii="Calibri" w:hAnsi="Calibri"/>
          <w:sz w:val="22"/>
        </w:rPr>
        <w:t xml:space="preserve"> in </w:t>
      </w:r>
      <w:r>
        <w:rPr>
          <w:rFonts w:ascii="Calibri" w:hAnsi="Calibri"/>
          <w:i/>
          <w:iCs/>
          <w:sz w:val="22"/>
        </w:rPr>
        <w:t>profil uporabe</w:t>
      </w:r>
      <w:r>
        <w:rPr>
          <w:rFonts w:ascii="Calibri" w:hAnsi="Calibri"/>
          <w:sz w:val="22"/>
        </w:rPr>
        <w:t xml:space="preserve"> ...“</w:t>
      </w:r>
    </w:p>
    <w:p w14:paraId="7B66B51A"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bbb) V odstavku 4 Priloge D se besedilo „Priznani dokument“ nadomesti z besedilom „Priznani dokument za energetsko certifikacijo stavb“.</w:t>
      </w:r>
    </w:p>
    <w:p w14:paraId="2E3E9125"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ccc) V Prilogi E se izraz „zasebna stanovanjska uporaba“ v oddelku 1 navede v poševnem tisku.</w:t>
      </w:r>
    </w:p>
    <w:p w14:paraId="31530518"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ddd) V oddelku 1 in preglednici a iz Priloge F se izraz „zasebna stanovanjska uporaba“ označi s poševnim tiskom.</w:t>
      </w:r>
    </w:p>
    <w:p w14:paraId="58F73C97" w14:textId="77777777" w:rsidR="000760AB" w:rsidRPr="000760AB" w:rsidRDefault="000760AB" w:rsidP="000760AB">
      <w:pPr>
        <w:spacing w:after="160" w:line="259" w:lineRule="auto"/>
        <w:ind w:left="567" w:hanging="283"/>
        <w:jc w:val="both"/>
        <w:rPr>
          <w:rFonts w:ascii="Calibri" w:eastAsia="Arial" w:hAnsi="Calibri" w:cs="Calibri"/>
          <w:kern w:val="2"/>
          <w:sz w:val="22"/>
          <w:szCs w:val="22"/>
        </w:rPr>
      </w:pPr>
      <w:r>
        <w:rPr>
          <w:rFonts w:ascii="Calibri" w:hAnsi="Calibri"/>
          <w:sz w:val="22"/>
        </w:rPr>
        <w:t xml:space="preserve">eee) V Prilogi H se naslednje besedilo vstavi za naslovom razdelka:  </w:t>
      </w:r>
    </w:p>
    <w:p w14:paraId="1FDC42A7"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t xml:space="preserve">„Določanje </w:t>
      </w:r>
      <w:r>
        <w:rPr>
          <w:rFonts w:ascii="Calibri" w:hAnsi="Calibri"/>
          <w:i/>
          <w:iCs/>
          <w:sz w:val="22"/>
        </w:rPr>
        <w:t>zračne prepustnosti</w:t>
      </w:r>
      <w:r>
        <w:rPr>
          <w:rFonts w:ascii="Calibri" w:hAnsi="Calibri"/>
          <w:sz w:val="22"/>
        </w:rPr>
        <w:t xml:space="preserve"> stavbe je treba določiti z eno od spodaj navedenih metod.“ </w:t>
      </w:r>
    </w:p>
    <w:p w14:paraId="5FF5B351"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fff) V Prilogi H se besedilo „Vrednost količnika spremembe zraka pri 50 Pa, n50, se lahko izračuna s preskušanjem v skladu z metodo B iz standarda UNE-EN 13829:2002 – Ugotavljanje tesnosti obodnih konstrukcij. Metoda tlačne razlike z uporabo ventilatorja.“ nadomesti z: „Vrednost </w:t>
      </w:r>
      <w:r>
        <w:rPr>
          <w:rFonts w:ascii="Calibri" w:hAnsi="Calibri"/>
          <w:i/>
          <w:iCs/>
          <w:sz w:val="22"/>
        </w:rPr>
        <w:t>količnika spremembe zraka</w:t>
      </w:r>
      <w:r>
        <w:rPr>
          <w:rFonts w:ascii="Calibri" w:hAnsi="Calibri"/>
          <w:sz w:val="22"/>
        </w:rPr>
        <w:t xml:space="preserve"> pri 50 Pa, n</w:t>
      </w:r>
      <w:r>
        <w:rPr>
          <w:rFonts w:ascii="Calibri" w:hAnsi="Calibri"/>
          <w:sz w:val="22"/>
          <w:vertAlign w:val="subscript"/>
        </w:rPr>
        <w:t>50</w:t>
      </w:r>
      <w:r>
        <w:rPr>
          <w:rFonts w:ascii="Calibri" w:hAnsi="Calibri"/>
          <w:sz w:val="22"/>
        </w:rPr>
        <w:t xml:space="preserve">, s preskušanjem se izračuna v skladu z metodo 1 ali 2 iz standarda UNE-EN ISO 9972: 2019 </w:t>
      </w:r>
      <w:r>
        <w:rPr>
          <w:rFonts w:ascii="Calibri" w:hAnsi="Calibri"/>
          <w:i/>
          <w:sz w:val="22"/>
        </w:rPr>
        <w:t>Toplotne značilnosti stavb. Ugotavljanje prepustnosti za zrak obodnih konstrukcij. Metoda tlačne razlike z uporabo ventilatorja.“.</w:t>
      </w:r>
    </w:p>
    <w:p w14:paraId="6FED2289"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ggg) V oddelku 2 razdelka H se besedilo: „[...] 2. Vrednost količnika spremembe zraka pri 50 Pa, n</w:t>
      </w:r>
      <w:r>
        <w:rPr>
          <w:rFonts w:ascii="Calibri" w:hAnsi="Calibri"/>
          <w:sz w:val="22"/>
          <w:vertAlign w:val="subscript"/>
        </w:rPr>
        <w:t>50</w:t>
      </w:r>
      <w:r>
        <w:rPr>
          <w:rFonts w:ascii="Calibri" w:hAnsi="Calibri"/>
          <w:sz w:val="22"/>
        </w:rPr>
        <w:t xml:space="preserve">, se lahko izračuna z uporabo naslednje enačbe:“ nadomesti z besedilom: „[...] 1. Vrednost </w:t>
      </w:r>
      <w:r>
        <w:rPr>
          <w:rFonts w:ascii="Calibri" w:hAnsi="Calibri"/>
          <w:i/>
          <w:iCs/>
          <w:sz w:val="22"/>
        </w:rPr>
        <w:t>količnika spremembe zraka</w:t>
      </w:r>
      <w:r>
        <w:rPr>
          <w:rFonts w:ascii="Calibri" w:hAnsi="Calibri"/>
          <w:sz w:val="22"/>
        </w:rPr>
        <w:t xml:space="preserve"> pri 50 Pa, n</w:t>
      </w:r>
      <w:r>
        <w:rPr>
          <w:rFonts w:ascii="Calibri" w:hAnsi="Calibri"/>
          <w:sz w:val="22"/>
          <w:vertAlign w:val="subscript"/>
        </w:rPr>
        <w:t>50</w:t>
      </w:r>
      <w:r>
        <w:rPr>
          <w:rFonts w:ascii="Calibri" w:hAnsi="Calibri"/>
          <w:sz w:val="22"/>
        </w:rPr>
        <w:t>, z referenčnimi vrednostmi se izračuna z naslednjo enačbo:“, besedilo „n</w:t>
      </w:r>
      <w:r>
        <w:rPr>
          <w:rFonts w:ascii="Calibri" w:hAnsi="Calibri"/>
          <w:sz w:val="22"/>
          <w:vertAlign w:val="subscript"/>
        </w:rPr>
        <w:t>50</w:t>
      </w:r>
      <w:r>
        <w:rPr>
          <w:rFonts w:ascii="Calibri" w:hAnsi="Calibri"/>
          <w:sz w:val="22"/>
        </w:rPr>
        <w:t xml:space="preserve"> = 0,629 · (C</w:t>
      </w:r>
      <w:r>
        <w:rPr>
          <w:rFonts w:ascii="Calibri" w:hAnsi="Calibri"/>
          <w:sz w:val="22"/>
          <w:vertAlign w:val="subscript"/>
        </w:rPr>
        <w:t>o</w:t>
      </w:r>
      <w:r>
        <w:rPr>
          <w:rFonts w:ascii="Calibri" w:hAnsi="Calibri"/>
          <w:sz w:val="22"/>
        </w:rPr>
        <w:t xml:space="preserve"> · A</w:t>
      </w:r>
      <w:r>
        <w:rPr>
          <w:rFonts w:ascii="Calibri" w:hAnsi="Calibri"/>
          <w:sz w:val="22"/>
          <w:vertAlign w:val="subscript"/>
        </w:rPr>
        <w:t>o</w:t>
      </w:r>
      <w:r>
        <w:rPr>
          <w:rFonts w:ascii="Calibri" w:hAnsi="Calibri"/>
          <w:sz w:val="22"/>
        </w:rPr>
        <w:t xml:space="preserve"> + C</w:t>
      </w:r>
      <w:r>
        <w:rPr>
          <w:rFonts w:ascii="Calibri" w:hAnsi="Calibri"/>
          <w:sz w:val="22"/>
          <w:vertAlign w:val="subscript"/>
        </w:rPr>
        <w:t>h</w:t>
      </w:r>
      <w:r>
        <w:rPr>
          <w:rFonts w:ascii="Calibri" w:hAnsi="Calibri"/>
          <w:sz w:val="22"/>
        </w:rPr>
        <w:t xml:space="preserve"> · A</w:t>
      </w:r>
      <w:r>
        <w:rPr>
          <w:rFonts w:ascii="Calibri" w:hAnsi="Calibri"/>
          <w:sz w:val="22"/>
          <w:vertAlign w:val="subscript"/>
        </w:rPr>
        <w:t>h</w:t>
      </w:r>
      <w:r>
        <w:rPr>
          <w:rFonts w:ascii="Calibri" w:hAnsi="Calibri"/>
          <w:sz w:val="22"/>
        </w:rPr>
        <w:t>) / V“ se nadomesti z besedilom: „n</w:t>
      </w:r>
      <w:r>
        <w:rPr>
          <w:rFonts w:ascii="Calibri" w:hAnsi="Calibri"/>
          <w:sz w:val="22"/>
          <w:vertAlign w:val="subscript"/>
        </w:rPr>
        <w:t>50</w:t>
      </w:r>
      <w:r>
        <w:rPr>
          <w:rFonts w:ascii="Calibri" w:hAnsi="Calibri"/>
          <w:sz w:val="22"/>
        </w:rPr>
        <w:t xml:space="preserve"> = 0,629 · (C</w:t>
      </w:r>
      <w:r>
        <w:rPr>
          <w:rFonts w:ascii="Calibri" w:hAnsi="Calibri"/>
          <w:sz w:val="22"/>
          <w:vertAlign w:val="subscript"/>
        </w:rPr>
        <w:t>o</w:t>
      </w:r>
      <w:r>
        <w:rPr>
          <w:rFonts w:ascii="Calibri" w:hAnsi="Calibri"/>
          <w:sz w:val="22"/>
        </w:rPr>
        <w:t xml:space="preserve"> · A</w:t>
      </w:r>
      <w:r>
        <w:rPr>
          <w:rFonts w:ascii="Calibri" w:hAnsi="Calibri"/>
          <w:sz w:val="22"/>
          <w:vertAlign w:val="subscript"/>
        </w:rPr>
        <w:t>o</w:t>
      </w:r>
      <w:r>
        <w:rPr>
          <w:rFonts w:ascii="Calibri" w:hAnsi="Calibri"/>
          <w:sz w:val="22"/>
        </w:rPr>
        <w:t xml:space="preserve"> + C</w:t>
      </w:r>
      <w:r>
        <w:rPr>
          <w:rFonts w:ascii="Calibri" w:hAnsi="Calibri"/>
          <w:sz w:val="22"/>
          <w:vertAlign w:val="subscript"/>
        </w:rPr>
        <w:t>h</w:t>
      </w:r>
      <w:r>
        <w:rPr>
          <w:rFonts w:ascii="Calibri" w:hAnsi="Calibri"/>
          <w:sz w:val="22"/>
        </w:rPr>
        <w:t xml:space="preserve"> · A</w:t>
      </w:r>
      <w:r>
        <w:rPr>
          <w:rFonts w:ascii="Calibri" w:hAnsi="Calibri"/>
          <w:sz w:val="22"/>
          <w:vertAlign w:val="subscript"/>
        </w:rPr>
        <w:t>h</w:t>
      </w:r>
      <w:r>
        <w:rPr>
          <w:rFonts w:ascii="Calibri" w:hAnsi="Calibri"/>
          <w:sz w:val="22"/>
        </w:rPr>
        <w:t>) / V</w:t>
      </w:r>
      <w:r>
        <w:rPr>
          <w:rFonts w:ascii="Calibri" w:hAnsi="Calibri"/>
          <w:sz w:val="22"/>
          <w:vertAlign w:val="subscript"/>
        </w:rPr>
        <w:t>int</w:t>
      </w:r>
      <w:r>
        <w:rPr>
          <w:rFonts w:ascii="Calibri" w:hAnsi="Calibri"/>
          <w:sz w:val="22"/>
        </w:rPr>
        <w:t>“, besedilo: „V je notranja prostornina toplotnega ovoja v [m</w:t>
      </w:r>
      <w:r>
        <w:rPr>
          <w:rFonts w:ascii="Calibri" w:hAnsi="Calibri"/>
          <w:sz w:val="22"/>
          <w:vertAlign w:val="superscript"/>
        </w:rPr>
        <w:t>3</w:t>
      </w:r>
      <w:r>
        <w:rPr>
          <w:rFonts w:ascii="Calibri" w:hAnsi="Calibri"/>
          <w:sz w:val="22"/>
        </w:rPr>
        <w:t>]“ se nadomesti z besedilom „V</w:t>
      </w:r>
      <w:r>
        <w:rPr>
          <w:rFonts w:ascii="Calibri" w:hAnsi="Calibri"/>
          <w:sz w:val="22"/>
          <w:vertAlign w:val="subscript"/>
        </w:rPr>
        <w:t>int</w:t>
      </w:r>
      <w:r>
        <w:rPr>
          <w:rFonts w:ascii="Calibri" w:hAnsi="Calibri"/>
          <w:sz w:val="22"/>
        </w:rPr>
        <w:t xml:space="preserve"> je notranja prostornina zraka </w:t>
      </w:r>
      <w:r>
        <w:rPr>
          <w:rFonts w:ascii="Calibri" w:hAnsi="Calibri"/>
          <w:i/>
          <w:iCs/>
          <w:sz w:val="22"/>
        </w:rPr>
        <w:t>toplotnega ovoja</w:t>
      </w:r>
      <w:r>
        <w:rPr>
          <w:rFonts w:ascii="Calibri" w:hAnsi="Calibri"/>
          <w:sz w:val="22"/>
        </w:rPr>
        <w:t xml:space="preserve"> v [m</w:t>
      </w:r>
      <w:r>
        <w:rPr>
          <w:rFonts w:ascii="Calibri" w:hAnsi="Calibri"/>
          <w:sz w:val="22"/>
          <w:vertAlign w:val="superscript"/>
        </w:rPr>
        <w:t>3</w:t>
      </w:r>
      <w:r>
        <w:rPr>
          <w:rFonts w:ascii="Calibri" w:hAnsi="Calibri"/>
          <w:sz w:val="22"/>
        </w:rPr>
        <w:t>]“, besedilo „A</w:t>
      </w:r>
      <w:r>
        <w:rPr>
          <w:rFonts w:ascii="Calibri" w:hAnsi="Calibri"/>
          <w:sz w:val="22"/>
          <w:vertAlign w:val="subscript"/>
        </w:rPr>
        <w:t>o</w:t>
      </w:r>
      <w:r>
        <w:rPr>
          <w:rFonts w:ascii="Calibri" w:hAnsi="Calibri"/>
          <w:sz w:val="22"/>
        </w:rPr>
        <w:t xml:space="preserve"> je površina neprosojnega dela </w:t>
      </w:r>
      <w:r>
        <w:rPr>
          <w:rFonts w:ascii="Calibri" w:hAnsi="Calibri"/>
          <w:i/>
          <w:iCs/>
          <w:sz w:val="22"/>
        </w:rPr>
        <w:t>toplotnega ovoja</w:t>
      </w:r>
      <w:r>
        <w:rPr>
          <w:rFonts w:ascii="Calibri" w:hAnsi="Calibri"/>
          <w:sz w:val="22"/>
        </w:rPr>
        <w:t xml:space="preserve"> v [m</w:t>
      </w:r>
      <w:r>
        <w:rPr>
          <w:rFonts w:ascii="Calibri" w:hAnsi="Calibri"/>
          <w:sz w:val="22"/>
          <w:vertAlign w:val="superscript"/>
        </w:rPr>
        <w:t>2</w:t>
      </w:r>
      <w:r>
        <w:rPr>
          <w:rFonts w:ascii="Calibri" w:hAnsi="Calibri"/>
          <w:sz w:val="22"/>
        </w:rPr>
        <w:t>]“ pa se nadomesti z besedilom „A</w:t>
      </w:r>
      <w:r>
        <w:rPr>
          <w:rFonts w:ascii="Calibri" w:hAnsi="Calibri"/>
          <w:sz w:val="22"/>
          <w:vertAlign w:val="subscript"/>
        </w:rPr>
        <w:t>o</w:t>
      </w:r>
      <w:r>
        <w:rPr>
          <w:rFonts w:ascii="Calibri" w:hAnsi="Calibri"/>
          <w:sz w:val="22"/>
        </w:rPr>
        <w:t xml:space="preserve"> je površina neprosojnega dela </w:t>
      </w:r>
      <w:r>
        <w:rPr>
          <w:rFonts w:ascii="Calibri" w:hAnsi="Calibri"/>
          <w:i/>
          <w:iCs/>
          <w:sz w:val="22"/>
        </w:rPr>
        <w:t>toplotnega ovoja</w:t>
      </w:r>
      <w:r>
        <w:rPr>
          <w:rFonts w:ascii="Calibri" w:hAnsi="Calibri"/>
          <w:sz w:val="22"/>
        </w:rPr>
        <w:t xml:space="preserve"> v stiku z zunanjim zrakom pri [m</w:t>
      </w:r>
      <w:r>
        <w:rPr>
          <w:rFonts w:ascii="Calibri" w:hAnsi="Calibri"/>
          <w:sz w:val="22"/>
          <w:vertAlign w:val="superscript"/>
        </w:rPr>
        <w:t>2</w:t>
      </w:r>
      <w:r>
        <w:rPr>
          <w:rFonts w:ascii="Calibri" w:hAnsi="Calibri"/>
          <w:sz w:val="22"/>
        </w:rPr>
        <w:t xml:space="preserve">]“. </w:t>
      </w:r>
    </w:p>
    <w:p w14:paraId="7752C220" w14:textId="77777777" w:rsidR="000760AB" w:rsidRPr="000760AB" w:rsidRDefault="000760AB" w:rsidP="000760AB">
      <w:pPr>
        <w:spacing w:before="200" w:after="100"/>
        <w:ind w:left="284"/>
        <w:jc w:val="both"/>
        <w:rPr>
          <w:rFonts w:ascii="Calibri" w:eastAsia="Arial" w:hAnsi="Calibri" w:cs="Calibri"/>
          <w:kern w:val="2"/>
          <w:sz w:val="22"/>
          <w:szCs w:val="22"/>
        </w:rPr>
      </w:pPr>
      <w:r>
        <w:rPr>
          <w:rFonts w:ascii="Calibri" w:hAnsi="Calibri"/>
          <w:sz w:val="22"/>
        </w:rPr>
        <w:t>hhh) V Prilogi H se izraza „toplotni ovoj“ in „odprtine“ navedejo v poševnem tisku v opisu izrazov C</w:t>
      </w:r>
      <w:r>
        <w:rPr>
          <w:rFonts w:ascii="Calibri" w:hAnsi="Calibri"/>
          <w:sz w:val="22"/>
          <w:vertAlign w:val="subscript"/>
        </w:rPr>
        <w:t>o</w:t>
      </w:r>
      <w:r>
        <w:rPr>
          <w:rFonts w:ascii="Calibri" w:hAnsi="Calibri"/>
          <w:sz w:val="22"/>
        </w:rPr>
        <w:t>, C</w:t>
      </w:r>
      <w:r>
        <w:rPr>
          <w:rFonts w:ascii="Calibri" w:hAnsi="Calibri"/>
          <w:sz w:val="22"/>
          <w:vertAlign w:val="subscript"/>
        </w:rPr>
        <w:t>h</w:t>
      </w:r>
      <w:r>
        <w:rPr>
          <w:rFonts w:ascii="Calibri" w:hAnsi="Calibri"/>
          <w:sz w:val="22"/>
        </w:rPr>
        <w:t>, A</w:t>
      </w:r>
      <w:r>
        <w:rPr>
          <w:rFonts w:ascii="Calibri" w:hAnsi="Calibri"/>
          <w:sz w:val="22"/>
          <w:vertAlign w:val="subscript"/>
        </w:rPr>
        <w:t>h</w:t>
      </w:r>
      <w:r>
        <w:rPr>
          <w:rFonts w:ascii="Calibri" w:hAnsi="Calibri"/>
          <w:sz w:val="22"/>
        </w:rPr>
        <w:t xml:space="preserve"> in v preglednici a iz Priloge H.</w:t>
      </w:r>
    </w:p>
    <w:p w14:paraId="3CEE363E" w14:textId="77777777" w:rsidR="000760AB" w:rsidRPr="000760AB" w:rsidRDefault="000760AB" w:rsidP="00FD453F">
      <w:pPr>
        <w:spacing w:after="160" w:line="259" w:lineRule="auto"/>
        <w:ind w:left="13" w:hanging="13"/>
        <w:jc w:val="both"/>
        <w:rPr>
          <w:rFonts w:ascii="Calibri" w:eastAsia="Calibri" w:hAnsi="Calibri" w:cs="Calibri"/>
          <w:sz w:val="22"/>
          <w:szCs w:val="22"/>
        </w:rPr>
      </w:pPr>
      <w:r>
        <w:rPr>
          <w:rFonts w:ascii="Calibri" w:hAnsi="Calibri"/>
          <w:sz w:val="22"/>
        </w:rPr>
        <w:t>Četrtič.</w:t>
      </w:r>
      <w:r>
        <w:rPr>
          <w:rFonts w:ascii="Calibri" w:hAnsi="Calibri"/>
          <w:b/>
          <w:sz w:val="22"/>
        </w:rPr>
        <w:t xml:space="preserve"> </w:t>
      </w:r>
      <w:r>
        <w:rPr>
          <w:rFonts w:ascii="Calibri" w:hAnsi="Calibri"/>
          <w:sz w:val="22"/>
        </w:rPr>
        <w:t xml:space="preserve">Naslednja sprememba je uvedena v osnovni dokument DB-SUA „Varnost uporabe in dostopnost“, vključen v del II Tehničnega gradbenega zakonika: </w:t>
      </w:r>
    </w:p>
    <w:p w14:paraId="19A3C2AA"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lastRenderedPageBreak/>
        <w:t>V Prilogi A opredelitev „dostopnega parkirnega mesta“ vključuje vezaj z besedilom:</w:t>
      </w:r>
    </w:p>
    <w:p w14:paraId="3A6FBAF1"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t xml:space="preserve">‘- V primeru, da ima </w:t>
      </w:r>
      <w:r>
        <w:rPr>
          <w:rFonts w:ascii="Calibri" w:hAnsi="Calibri"/>
          <w:i/>
          <w:iCs/>
          <w:sz w:val="22"/>
        </w:rPr>
        <w:t>dostopno parkirno mesto</w:t>
      </w:r>
      <w:r>
        <w:rPr>
          <w:rFonts w:ascii="Calibri" w:hAnsi="Calibri"/>
          <w:sz w:val="22"/>
        </w:rPr>
        <w:t xml:space="preserve"> električno polnilno postajo za vozila, mora biti tudi ta polnilna postaja vključena v </w:t>
      </w:r>
      <w:r>
        <w:rPr>
          <w:rFonts w:ascii="Calibri" w:hAnsi="Calibri"/>
          <w:i/>
          <w:iCs/>
          <w:sz w:val="22"/>
        </w:rPr>
        <w:t>dostopni itinerar</w:t>
      </w:r>
      <w:r>
        <w:rPr>
          <w:rFonts w:ascii="Calibri" w:hAnsi="Calibri"/>
          <w:sz w:val="22"/>
        </w:rPr>
        <w:t>. Vtičnice in priključki teh polnilnih postaj so v barvnem kontrastu z okolico, postavljeni so na višini med 80 in 120 cm, od robov pa morajo biti oddaljeni najmanj 35 cm.“</w:t>
      </w:r>
    </w:p>
    <w:p w14:paraId="6B637874" w14:textId="77777777" w:rsidR="000760AB" w:rsidRPr="000760AB" w:rsidRDefault="000760AB" w:rsidP="000760AB">
      <w:pPr>
        <w:spacing w:after="160" w:line="259" w:lineRule="auto"/>
        <w:ind w:left="13"/>
        <w:jc w:val="both"/>
        <w:rPr>
          <w:rFonts w:ascii="Calibri" w:eastAsia="Calibri" w:hAnsi="Calibri" w:cs="Calibri"/>
          <w:sz w:val="22"/>
          <w:szCs w:val="22"/>
        </w:rPr>
      </w:pPr>
      <w:r>
        <w:rPr>
          <w:rFonts w:ascii="Calibri" w:hAnsi="Calibri"/>
          <w:sz w:val="22"/>
        </w:rPr>
        <w:t>Petič. V osnovni dokument DB-HS „Zdravje“ so vključene naslednje spremembe:</w:t>
      </w:r>
    </w:p>
    <w:p w14:paraId="6210F03A"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bookmarkStart w:id="25" w:name="_Hlk103704636"/>
      <w:r>
        <w:rPr>
          <w:rFonts w:ascii="Calibri" w:hAnsi="Calibri"/>
          <w:sz w:val="22"/>
        </w:rPr>
        <w:t>a) V točki 2 pododdelka 3.2.2.1 razdelka HS 4 se besedilo „minimalni prispevek sončne energije k proizvodnji gospodinjske tople vode“ nadomesti z besedilom „minimalni prispevek energije iz obnovljivih virov k pokrivanju potreb po gospodinjski topli vodi“.</w:t>
      </w:r>
    </w:p>
    <w:p w14:paraId="3EDCC51A"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b) V pododdelku 6.2 razdelka 4 HS se besedilo „e) cevi iz polivinilklorida (PVC-C) v skladu s standardi UNE-EN ISO 15874-1:2013, UNE-EN ISO 15874-2:2013 in UNE-EN ISO 15874-3:2013;“ nadomesti z besedilom „e) polivinilkloridne (PVC-C) cevi v skladu s standardi UNE-EN ISO 15877-1:2009 (+ UNE-EN ISO 15877-1:2009/A1): 2011), UNE-EN ISO 15877-2:2009 (+ NE-EN ISO 15877-2:2009/A1: 2011) in UNE-EN ISO 15877-3:2009 (+ NE-EN ISO 15877-3:2009/A1: 2011);“.</w:t>
      </w:r>
    </w:p>
    <w:p w14:paraId="36823CBB"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c) V pododdelku 6.2 razdelka 4 HS se besedilo „h) cevi iz polibutilena (PB) v skladu s standardi UNE-EN ISO 15876-1:2017, UNE-EN ISO 15876-2:2017 in UNE-EN ISO 15876-3:2017;“ nadomesti z besedilom „f) cevi iz polibutena (PB) v skladu s standardi UNE-EN ISO 15876-1:2017, UNE-EN ISO 15876-2:2017 in UNE-EN ISO 15876-3:2017;“.</w:t>
      </w:r>
    </w:p>
    <w:p w14:paraId="3D6093F2"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d) V</w:t>
      </w:r>
      <w:r>
        <w:rPr>
          <w:rFonts w:ascii="Calibri" w:hAnsi="Calibri"/>
          <w:b/>
          <w:sz w:val="22"/>
        </w:rPr>
        <w:t xml:space="preserve"> </w:t>
      </w:r>
      <w:r>
        <w:rPr>
          <w:rFonts w:ascii="Calibri" w:hAnsi="Calibri"/>
          <w:sz w:val="22"/>
        </w:rPr>
        <w:t>Dodatku C razdelka HS 4 se besedilo: „Cevni sistemi iz polimernih materialov za napeljave z vročo in hladno vodo. Polibutilen (PB). 1. del: Splošno“ nadomesti z besedilom „Cevni sistemi iz polimernih materialov za napeljave z vročo in hladno vodo – Polibuten (PB) – 1. del:    Splošno“.</w:t>
      </w:r>
    </w:p>
    <w:p w14:paraId="3D1885BA"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e) V</w:t>
      </w:r>
      <w:r>
        <w:rPr>
          <w:rFonts w:ascii="Calibri" w:hAnsi="Calibri"/>
          <w:b/>
          <w:sz w:val="22"/>
        </w:rPr>
        <w:t xml:space="preserve"> </w:t>
      </w:r>
      <w:r>
        <w:rPr>
          <w:rFonts w:ascii="Calibri" w:hAnsi="Calibri"/>
          <w:sz w:val="22"/>
        </w:rPr>
        <w:t>Dodatku C razdelka HS 4 se besedilo: „Cevni sistemi iz polimernih materialov za napeljave z vročo in hladno vodo. Polibutilen (PB). 2. del: Cevi“ nadomesti z besedilom „Cevni sistemi iz polimernih materialov za napeljave z vročo in hladno vodo – Polibuten (PB) – 2. del:    Cevi“.</w:t>
      </w:r>
    </w:p>
    <w:p w14:paraId="70CF101A"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f) V</w:t>
      </w:r>
      <w:r>
        <w:rPr>
          <w:rFonts w:ascii="Calibri" w:hAnsi="Calibri"/>
          <w:b/>
          <w:sz w:val="22"/>
        </w:rPr>
        <w:t xml:space="preserve"> </w:t>
      </w:r>
      <w:r>
        <w:rPr>
          <w:rFonts w:ascii="Calibri" w:hAnsi="Calibri"/>
          <w:sz w:val="22"/>
        </w:rPr>
        <w:t>Dodatku C razdelka HS 4 se besedilo: „Cevni sistemi iz polimernih materialov za napeljave z vročo in hladno vodo. Polibutilen (PB). 3. del: Fitingi“ nadomesti z besedilom „Cevni sistemi iz polimernih materialov za napeljave z vročo in hladno vodo – Polibuten (PB) – 3. del:    Fitingi.</w:t>
      </w:r>
    </w:p>
    <w:p w14:paraId="52A9A5FD"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g) V Dodatku C razdelka HS 4 se za sklicem na standard „UNE-EN ISO 15876-3: 2017</w:t>
      </w:r>
      <w:r>
        <w:rPr>
          <w:rFonts w:ascii="Calibri" w:hAnsi="Calibri"/>
          <w:sz w:val="22"/>
        </w:rPr>
        <w:tab/>
        <w:t>Cevni sistemi iz polimernih materialov za napeljave z vročo in hladno vodo – Polibuten (PB) – 3. del:   Fitingi“ vstavijo naslednji standardi:</w:t>
      </w:r>
    </w:p>
    <w:p w14:paraId="5151AE28" w14:textId="77777777" w:rsidR="000760AB" w:rsidRPr="000760AB" w:rsidRDefault="000760AB" w:rsidP="000760AB">
      <w:pPr>
        <w:spacing w:after="120" w:line="259" w:lineRule="auto"/>
        <w:ind w:left="284"/>
        <w:contextualSpacing/>
        <w:jc w:val="both"/>
        <w:rPr>
          <w:rFonts w:ascii="Calibri" w:eastAsia="Calibri" w:hAnsi="Calibri"/>
          <w:sz w:val="22"/>
          <w:szCs w:val="22"/>
        </w:rPr>
      </w:pPr>
      <w:r>
        <w:rPr>
          <w:rFonts w:ascii="Calibri" w:hAnsi="Calibri"/>
          <w:sz w:val="22"/>
        </w:rPr>
        <w:t xml:space="preserve">„UNE-EN ISO 15877-1:2009: Cevni sistemi iz polimernih materialov za napeljave z vročo in hladno vodo – Klorirani polivinilklorid (PVC-C) – 1. del:  Splošno (+ UNE-EN ISO 15877-1:2009/A1:2011);  </w:t>
      </w:r>
    </w:p>
    <w:p w14:paraId="459306CD" w14:textId="77777777" w:rsidR="000760AB" w:rsidRPr="000760AB" w:rsidRDefault="000760AB" w:rsidP="000760AB">
      <w:pPr>
        <w:spacing w:after="120" w:line="259" w:lineRule="auto"/>
        <w:ind w:left="284"/>
        <w:contextualSpacing/>
        <w:jc w:val="both"/>
        <w:rPr>
          <w:rFonts w:ascii="Calibri" w:eastAsia="Calibri" w:hAnsi="Calibri"/>
          <w:sz w:val="22"/>
          <w:szCs w:val="22"/>
          <w:lang w:eastAsia="en-US"/>
        </w:rPr>
      </w:pPr>
    </w:p>
    <w:p w14:paraId="3478D13F" w14:textId="77777777" w:rsidR="000760AB" w:rsidRPr="000760AB" w:rsidRDefault="000760AB" w:rsidP="000760AB">
      <w:pPr>
        <w:spacing w:after="120" w:line="259" w:lineRule="auto"/>
        <w:ind w:left="284"/>
        <w:contextualSpacing/>
        <w:jc w:val="both"/>
        <w:rPr>
          <w:rFonts w:ascii="Calibri" w:eastAsia="Calibri" w:hAnsi="Calibri"/>
          <w:sz w:val="22"/>
          <w:szCs w:val="22"/>
        </w:rPr>
      </w:pPr>
      <w:r>
        <w:rPr>
          <w:rFonts w:ascii="Calibri" w:hAnsi="Calibri"/>
          <w:sz w:val="22"/>
        </w:rPr>
        <w:t xml:space="preserve">UNE-EN ISO 15877-2:2009: Cevni sistemi iz polimernih materialov za napeljave z vročo in hladno vodo – Klorirani polivinilklorid (PVC-C) – 2. del:  Cevi. (+ UNE-EN ISO 15877-2:2009/A1:2011); </w:t>
      </w:r>
    </w:p>
    <w:p w14:paraId="1A003182" w14:textId="77777777" w:rsidR="000760AB" w:rsidRPr="000760AB" w:rsidRDefault="000760AB" w:rsidP="000760AB">
      <w:pPr>
        <w:spacing w:after="120" w:line="259" w:lineRule="auto"/>
        <w:ind w:left="284"/>
        <w:contextualSpacing/>
        <w:jc w:val="both"/>
        <w:rPr>
          <w:rFonts w:ascii="Calibri" w:eastAsia="Calibri" w:hAnsi="Calibri"/>
          <w:sz w:val="22"/>
          <w:szCs w:val="22"/>
          <w:lang w:eastAsia="en-US"/>
        </w:rPr>
      </w:pPr>
    </w:p>
    <w:p w14:paraId="147816FB" w14:textId="3B192627" w:rsidR="000760AB" w:rsidRDefault="000760AB" w:rsidP="000760AB">
      <w:pPr>
        <w:spacing w:after="120" w:line="259" w:lineRule="auto"/>
        <w:ind w:left="284"/>
        <w:contextualSpacing/>
        <w:jc w:val="both"/>
        <w:rPr>
          <w:rFonts w:ascii="Calibri" w:eastAsia="Calibri" w:hAnsi="Calibri"/>
          <w:sz w:val="22"/>
          <w:szCs w:val="22"/>
        </w:rPr>
      </w:pPr>
      <w:r>
        <w:rPr>
          <w:rFonts w:ascii="Calibri" w:hAnsi="Calibri"/>
          <w:sz w:val="22"/>
        </w:rPr>
        <w:t>UNE-EN ISO 15877-3:2009: Cevni sistemi iz polimernih materialov za napeljave z vročo in hladno vodo – Klorirani polivinilklorid (PVC-C) – 3. del:  Fitingi. (+ UNE-EN ISO 15877-3:2009/A1:2011)“.</w:t>
      </w:r>
    </w:p>
    <w:p w14:paraId="4ED97A3D" w14:textId="77777777" w:rsidR="00FD453F" w:rsidRPr="000760AB" w:rsidRDefault="00FD453F" w:rsidP="000760AB">
      <w:pPr>
        <w:spacing w:after="120" w:line="259" w:lineRule="auto"/>
        <w:ind w:left="284"/>
        <w:contextualSpacing/>
        <w:jc w:val="both"/>
        <w:rPr>
          <w:rFonts w:ascii="Calibri" w:eastAsia="Calibri" w:hAnsi="Calibri"/>
          <w:sz w:val="22"/>
          <w:szCs w:val="22"/>
          <w:lang w:eastAsia="en-US"/>
        </w:rPr>
      </w:pPr>
    </w:p>
    <w:bookmarkEnd w:id="25"/>
    <w:p w14:paraId="5E164AFD"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Prva prehodna določba. </w:t>
      </w:r>
      <w:r>
        <w:rPr>
          <w:rFonts w:ascii="Calibri" w:hAnsi="Calibri"/>
          <w:i/>
          <w:sz w:val="22"/>
        </w:rPr>
        <w:t>Stavbe, izvzete iz določb te kraljeve uredbe</w:t>
      </w:r>
    </w:p>
    <w:p w14:paraId="1847A168"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lastRenderedPageBreak/>
        <w:t xml:space="preserve">Spremembe Tehničnega gradbenega zakonika, sprejete s to kraljevo uredbo, se ne uporabljajo za nove stavbe in dela na obstoječih stavbah, v zvezi s katerimi je bila ob začetku veljavnosti te kraljeve uredbe že vložena vloga za izdajo občinskega dovoljenja za izvedbo del. </w:t>
      </w:r>
    </w:p>
    <w:p w14:paraId="0F07CFED"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Ta dela se morajo začeti v obdobju veljavnosti navedenega dovoljenja v skladu z ustreznimi predpisi, če to ni mogoče, pa v šestih mesecih po izdaji navedenega dovoljenja. V nasprotnem primeru je treba projekte prilagoditi spremembam Tehničnega gradbenega zakonika, odobrenim s to kraljevo uredbo.</w:t>
      </w:r>
    </w:p>
    <w:p w14:paraId="39C072F7"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Druga prehodna določba. </w:t>
      </w:r>
      <w:r>
        <w:rPr>
          <w:rFonts w:ascii="Calibri" w:hAnsi="Calibri"/>
          <w:i/>
          <w:sz w:val="22"/>
        </w:rPr>
        <w:t>Stavbe, v zvezi s katerimi je uporaba določb te kraljeve uredbe prostovoljna</w:t>
      </w:r>
    </w:p>
    <w:p w14:paraId="27074C97"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Spremembe Tehničnega gradbenega zakonika, sprejete s to kraljevo uredbo, se prostovoljno uporabljajo za nova gradbena dela in dela na obstoječih stavbah, v zvezi s katerimi se vloga za izdajo občinskega dovoljenja za izvedbo del vloži v šestih mesecih po začetku veljavnosti te kraljeve uredbe. </w:t>
      </w:r>
    </w:p>
    <w:p w14:paraId="5E12150B"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Ta dela se morajo začeti v obdobju veljavnosti navedenega dovoljenja v skladu z ustreznimi predpisi, če to ni mogoče, pa v šestih mesecih po izdaji navedenega dovoljenja. V nasprotnem primeru je treba projekte prilagoditi spremembam Tehničnega gradbenega zakonika, odobrenim s to kraljevo uredbo.</w:t>
      </w:r>
    </w:p>
    <w:p w14:paraId="76BE3F2E"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Tretja prehodna določba. </w:t>
      </w:r>
      <w:r>
        <w:rPr>
          <w:rFonts w:ascii="Calibri" w:hAnsi="Calibri"/>
          <w:i/>
          <w:sz w:val="22"/>
        </w:rPr>
        <w:t>Stavbe, v zvezi s katerimi je uporaba določb te kraljeve uredbe obvezna</w:t>
      </w:r>
    </w:p>
    <w:p w14:paraId="7B8AAF09"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Uporaba sprememb Tehničnega gradbenega zakonika, sprejetih s to kraljevo uredbo, je obvezna za nove stavbe in dela na obstoječih stavbah, v zvezi s katerimi se vloga za izdajo občinskega dovoljenja za izvedbo del vloži po več kot devetih mesecih od začetka veljavnosti te uredbe.</w:t>
      </w:r>
    </w:p>
    <w:p w14:paraId="1269D8B2"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Prva končna določba. </w:t>
      </w:r>
      <w:r>
        <w:rPr>
          <w:rFonts w:ascii="Calibri" w:hAnsi="Calibri"/>
          <w:i/>
          <w:sz w:val="22"/>
        </w:rPr>
        <w:t>Sprememba kraljeve uredbe št. 1053/2014 z dne 12. decembra 2014 o odobritvi novega dopolnilnega tehničnega navodila BT 52 – Naprave za posebne namene. Infrastruktura za polnjenje električnih vozil – Pravilnika o nizkonapetostnih elektrotehničnih napravah, odobrenega s Kraljevo uredbo št. 842/2002 z dne 2. avgusta 2002, in spremembah drugih dopolnilnih tehničnih navodil</w:t>
      </w:r>
    </w:p>
    <w:p w14:paraId="01AAD1DA" w14:textId="77777777" w:rsidR="000760AB" w:rsidRPr="000760AB" w:rsidRDefault="000760AB" w:rsidP="000760AB">
      <w:pPr>
        <w:spacing w:after="160" w:line="259" w:lineRule="auto"/>
        <w:jc w:val="both"/>
        <w:rPr>
          <w:rFonts w:ascii="Calibri" w:eastAsia="Calibri" w:hAnsi="Calibri" w:cs="Calibri"/>
          <w:bCs/>
          <w:sz w:val="22"/>
          <w:szCs w:val="22"/>
        </w:rPr>
      </w:pPr>
      <w:r>
        <w:rPr>
          <w:rFonts w:ascii="Calibri" w:hAnsi="Calibri"/>
          <w:sz w:val="22"/>
        </w:rPr>
        <w:t xml:space="preserve">Kraljeva uredba št. 1053/2014 z dne 12. decembra 2014 o odobritvi novega dopolnilnega tehničnega navodila BT 52 „Naprave za posebne namene. Infrastruktura za polnjenje električnih vozil“ Pravilnika o nizkonapetostnih elektrotehničnih napravah, odobrenega s Kraljevo uredbo št. 842/2002 z dne 2. avgusta 2002, in druge dopolnilne tehnična navodila se spremenijo, kot sledi: </w:t>
      </w:r>
    </w:p>
    <w:p w14:paraId="1141399E"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Prvič. Prva dodatna določba se spremeni in se glasi:</w:t>
      </w:r>
    </w:p>
    <w:p w14:paraId="0E4C1654" w14:textId="77777777" w:rsidR="000760AB" w:rsidRPr="000760AB" w:rsidRDefault="000760AB" w:rsidP="000760AB">
      <w:pPr>
        <w:spacing w:after="160" w:line="259" w:lineRule="auto"/>
        <w:ind w:left="284"/>
        <w:jc w:val="both"/>
        <w:rPr>
          <w:rFonts w:ascii="Calibri" w:eastAsia="Calibri" w:hAnsi="Calibri"/>
          <w:sz w:val="22"/>
          <w:szCs w:val="22"/>
        </w:rPr>
      </w:pPr>
      <w:r>
        <w:rPr>
          <w:rFonts w:ascii="Calibri" w:hAnsi="Calibri"/>
          <w:sz w:val="22"/>
        </w:rPr>
        <w:t>„Prva dodatna določba. Minimalne strukturne zmogljivosti za polnjenje električnih vozil na parkiriščih, ki niso povezana s stavbami ter so novozgrajena ali predmet večje prenove, ter na javnih cestah</w:t>
      </w:r>
    </w:p>
    <w:p w14:paraId="18015A47" w14:textId="77777777" w:rsidR="000760AB" w:rsidRPr="000760AB" w:rsidRDefault="000760AB" w:rsidP="000760AB">
      <w:pPr>
        <w:spacing w:after="160" w:line="259" w:lineRule="auto"/>
        <w:ind w:left="284"/>
        <w:jc w:val="both"/>
        <w:rPr>
          <w:rFonts w:ascii="Calibri" w:eastAsia="Calibri" w:hAnsi="Calibri"/>
          <w:sz w:val="22"/>
          <w:szCs w:val="22"/>
        </w:rPr>
      </w:pPr>
      <w:r>
        <w:rPr>
          <w:rFonts w:ascii="Calibri" w:hAnsi="Calibri"/>
          <w:sz w:val="22"/>
        </w:rPr>
        <w:t xml:space="preserve">1. Na novozgrajenih parkiriščih ali parkiriščih v postopku večje prenove, ki se ne nahajajo v stavbi in ne mejijo nanjo ter zato ne spadajo na področje uporabe osnovnega dokumenta o varčevanju z energijo (DB HE) Tehničnega gradbenega zakonika, je treba namestiti vsaj eno polnilno postajo na vsakih 40 parkirnih mest ali njihovih delov. Šteje se, da je parkirišče novozgrajeno, če se gradbeni projekt predloži v obdelavo pristojni javni upravi po začetku veljavnosti te kraljeve uredbe. </w:t>
      </w:r>
    </w:p>
    <w:p w14:paraId="06F10D65" w14:textId="77777777" w:rsidR="000760AB" w:rsidRPr="000760AB" w:rsidRDefault="000760AB" w:rsidP="000760AB">
      <w:pPr>
        <w:spacing w:after="160" w:line="259" w:lineRule="auto"/>
        <w:ind w:left="284"/>
        <w:jc w:val="both"/>
        <w:rPr>
          <w:rFonts w:ascii="Calibri" w:eastAsia="Calibri" w:hAnsi="Calibri"/>
          <w:sz w:val="22"/>
          <w:szCs w:val="22"/>
        </w:rPr>
      </w:pPr>
      <w:r>
        <w:rPr>
          <w:rFonts w:ascii="Calibri" w:hAnsi="Calibri"/>
          <w:sz w:val="22"/>
        </w:rPr>
        <w:t>2. Na javnih cestah je treba namestiti potrebne naprave za napajanje polnilnih postaj na mestih, ki so namenjena električnim vozilom in predvidena v nadobčinskih ali občinskih načrtih trajnostne mobilnosti.“</w:t>
      </w:r>
    </w:p>
    <w:p w14:paraId="689B86A0"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Drugič. Oddelek 3.2 dopolnilnega tehničnega navodila BT-52 se spremeni in se glasi:</w:t>
      </w:r>
    </w:p>
    <w:p w14:paraId="3188850A"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„3.2 Namestitev na parkiriščih ali skupnih parkirnih mestih, ki mejijo na stavbe ali stavbne komplekse </w:t>
      </w:r>
    </w:p>
    <w:p w14:paraId="5D648D19"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lastRenderedPageBreak/>
        <w:t xml:space="preserve">Električne naprave za polnjenje </w:t>
      </w:r>
      <w:r>
        <w:rPr>
          <w:rFonts w:ascii="Calibri" w:hAnsi="Calibri"/>
          <w:color w:val="000000"/>
          <w:sz w:val="22"/>
        </w:rPr>
        <w:t>električnih vozil</w:t>
      </w:r>
      <w:r>
        <w:rPr>
          <w:rFonts w:ascii="Calibri" w:hAnsi="Calibri"/>
          <w:sz w:val="22"/>
        </w:rPr>
        <w:t>, ki se nahajajo na parkiriščih ali parkirnih mestih v stavbah ali stanovanjskih naseljih ali mejijo nanje, morajo biti v skladu z eno od shem, opisanih zgoraj.</w:t>
      </w:r>
      <w:r>
        <w:rPr>
          <w:rFonts w:ascii="Calibri" w:hAnsi="Calibri"/>
          <w:color w:val="000000"/>
          <w:sz w:val="22"/>
        </w:rPr>
        <w:t xml:space="preserve"> </w:t>
      </w:r>
      <w:r>
        <w:rPr>
          <w:rFonts w:ascii="Calibri" w:hAnsi="Calibri"/>
          <w:sz w:val="22"/>
        </w:rPr>
        <w:t>V isti stavbi se lahko uporabljajo različne sheme, če so izpolnjene vse zahteve iz tega dopolnilnega tehničnega navodila BT-52.</w:t>
      </w:r>
    </w:p>
    <w:p w14:paraId="7585E852"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V primeru sheme 4a mora napajalni tokokrog izpolnjevati vse namestitvene pogoje, opisane v dopolnilnem tehničnem navodilu BT-15, pri čemer je treba uporabiti kable in prevodne sisteme enakih vrst in značilnosti kot v primeru posameznega obvoda, presek kablov pa je treba izračunati v skladu s splošnimi zahtevami oddelka 5 tega dopolnilnega tehničnega navodila. Za določitev premera ali prečnih mer prevodnega sistema, ki se bo uporabljal, ni treba predvideti povečanja preseka kablov.</w:t>
      </w:r>
    </w:p>
    <w:p w14:paraId="2D2E95BD"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Shema 4b se uporabi, če je napajalni sistem polnilnih postaj zasnovan kot sestavni del ali dodaten element električne napeljave, ki oskrbuje splošne funkcije garaž.</w:t>
      </w:r>
    </w:p>
    <w:p w14:paraId="6F33488D"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V primeru obstoječih in novih naprav se lahko z namenom olajšanja uporabe izbrane električne sheme plošče s splošno zaščito in drugimi napravami za polnjenje električnih vozil namestijo v prostorih, predvidenih za ta namen, ali v skupnih prostorih.</w:t>
      </w:r>
    </w:p>
    <w:p w14:paraId="1D7341B6"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Predhodna električna napeljava za polnjenje električnih vozil na parkiriščih, ki se nahajajo v stavbah ali stavbnih kompleksih ali mejijo nanje, olajša poznejšo uporabo zadevne namestitvene sheme. To vključuje naslednje elemente: </w:t>
      </w:r>
    </w:p>
    <w:p w14:paraId="69AC9996"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a) namestitev kabelskih prevodnih sistemov iz merilne omarice in po glavnih cestah parkirišč, da bi lahko pozneje napajali polnilne postaje, ki se lahko namestijo na posameznih parkirnih mestih ali parkiriščih. Če je predhodna napeljava načrtovana za vsa parkirna mesta, morajo kabelski prevodni sistemi doseči vsako mesto. Če predhodna napeljava ni načrtovana za vsa parkirna mesta, se opredelijo mesta, ki izpolnjujejo predpise o kabelskih prevodnih sistemih, ti sistemi pa se napeljejo do vsakega od opredeljenih mest.</w:t>
      </w:r>
    </w:p>
    <w:p w14:paraId="1D8D11B8"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b) Dimenzije merilne omarice se določijo v skladu z električnim sistemom, izbranim za polnjenje električnega vozila, in v skladu z dopolnilnim tehničnim navodilom BT-16. Rezervni moduli se namestijo za najmanj 20 % garažnih prostorov, ki niso povezani s stanovanjem; v primeru, da so vsi prostori povezani s stanovanji, se namesti vsaj en rezervni modul. Ti rezervni moduli morajo omogočati namestitev glavnega števca in naprav za nadtokovno zaščito, povezanih s števcem, bodisi z varovalkami bodisi z odklopniki.</w:t>
      </w:r>
    </w:p>
    <w:p w14:paraId="47ED8DD8"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Vtičnice ali priključki, nameščeni na polnilni postaji, ter njeni avtomatski zaščitni odklopniki morajo ustrezati eni od možnosti iz oddelka 5.4.“</w:t>
      </w:r>
    </w:p>
    <w:p w14:paraId="7F6774AD"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Tretjič. Prvi pododstavek oddelka 5.4 dodatnega tehničnega navodila BT-52 se spremeni in se glasi:</w:t>
      </w:r>
    </w:p>
    <w:p w14:paraId="3EF40F8D" w14:textId="77777777" w:rsidR="000760AB" w:rsidRPr="000760AB" w:rsidRDefault="000760AB" w:rsidP="000760AB">
      <w:pPr>
        <w:spacing w:after="160" w:line="259" w:lineRule="auto"/>
        <w:ind w:left="284"/>
        <w:jc w:val="both"/>
        <w:rPr>
          <w:rFonts w:ascii="Calibri" w:eastAsia="Calibri" w:hAnsi="Calibri"/>
          <w:color w:val="FF0000"/>
          <w:sz w:val="22"/>
          <w:szCs w:val="22"/>
        </w:rPr>
      </w:pPr>
      <w:r>
        <w:rPr>
          <w:rFonts w:ascii="Calibri" w:hAnsi="Calibri"/>
          <w:sz w:val="22"/>
        </w:rPr>
        <w:t xml:space="preserve">„5.4 Priključna točka. </w:t>
      </w:r>
      <w:bookmarkStart w:id="26" w:name="_Hlk81468651"/>
      <w:r>
        <w:rPr>
          <w:rFonts w:ascii="Calibri" w:hAnsi="Calibri"/>
          <w:sz w:val="22"/>
        </w:rPr>
        <w:t xml:space="preserve">Priključna točka se mora nahajati ob mestu, ki se oskrbuje, in biti trajno nameščena v ohišju. </w:t>
      </w:r>
    </w:p>
    <w:bookmarkEnd w:id="26"/>
    <w:p w14:paraId="3405740F" w14:textId="77777777" w:rsidR="000760AB" w:rsidRPr="000760AB" w:rsidRDefault="000760AB" w:rsidP="000760AB">
      <w:pPr>
        <w:spacing w:after="160" w:line="259" w:lineRule="auto"/>
        <w:ind w:left="284"/>
        <w:jc w:val="both"/>
        <w:rPr>
          <w:rFonts w:ascii="Calibri" w:eastAsia="Calibri" w:hAnsi="Calibri"/>
          <w:color w:val="FF0000"/>
          <w:sz w:val="22"/>
          <w:szCs w:val="22"/>
        </w:rPr>
      </w:pPr>
      <w:r>
        <w:rPr>
          <w:rFonts w:ascii="Calibri" w:hAnsi="Calibri"/>
          <w:sz w:val="22"/>
        </w:rPr>
        <w:t xml:space="preserve">Vtičnice in priključke je treba namestiti najmanj 60 cm nad tlemi. </w:t>
      </w:r>
      <w:bookmarkStart w:id="27" w:name="_Hlk81468224"/>
      <w:r>
        <w:rPr>
          <w:rFonts w:ascii="Calibri" w:hAnsi="Calibri"/>
          <w:sz w:val="22"/>
        </w:rPr>
        <w:t>Če je polnilna postaja namenjena javni uporabi, je največja višina 120 cm. Na dostopnih parkirnih mestih morajo biti vtičnice in priključki v barvnem kontrastu z okolico, namestiti jih je treba na višini med 80 in 120 cm, od robov pa morajo biti oddaljeni 35 cm.“</w:t>
      </w:r>
      <w:bookmarkEnd w:id="27"/>
    </w:p>
    <w:p w14:paraId="50422323"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Druga končna določba. </w:t>
      </w:r>
      <w:r>
        <w:rPr>
          <w:rFonts w:ascii="Calibri" w:hAnsi="Calibri"/>
          <w:i/>
          <w:sz w:val="22"/>
        </w:rPr>
        <w:t>Prenos zakonodaje Evropske unije</w:t>
      </w:r>
    </w:p>
    <w:p w14:paraId="144ADEB1"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S to kraljevo uredbo so bili v špansko zakonodajo preneseni členi 8.2, 8.4, 8.5 in 8.6 Direktive 2010/31/EU Evropskega parlamenta in Sveta o energetski učinkovitosti stavb, kakor je bila spremenjena z Direktivo (EU) 2018/844 Evropskega parlamenta in Sveta z dne 30. maja 2018 o spremembi Direktive 2010/31/EU</w:t>
      </w:r>
      <w:r>
        <w:t xml:space="preserve"> </w:t>
      </w:r>
      <w:bookmarkStart w:id="28" w:name="_Hlk92814279"/>
      <w:r>
        <w:rPr>
          <w:rFonts w:ascii="Calibri" w:hAnsi="Calibri"/>
          <w:sz w:val="22"/>
        </w:rPr>
        <w:t>o energetski učinkovitosti stavb</w:t>
      </w:r>
      <w:bookmarkEnd w:id="28"/>
      <w:r>
        <w:t xml:space="preserve"> </w:t>
      </w:r>
      <w:r>
        <w:rPr>
          <w:rFonts w:ascii="Calibri" w:hAnsi="Calibri"/>
          <w:sz w:val="22"/>
        </w:rPr>
        <w:t>in Direktive 2012/27/EU o energetski učinkovitosti.</w:t>
      </w:r>
    </w:p>
    <w:p w14:paraId="174DF223"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Tretja končna določba. </w:t>
      </w:r>
      <w:r>
        <w:rPr>
          <w:rFonts w:ascii="Calibri" w:hAnsi="Calibri"/>
          <w:i/>
          <w:sz w:val="22"/>
        </w:rPr>
        <w:t>Začetek veljavnosti</w:t>
      </w:r>
    </w:p>
    <w:p w14:paraId="244EE748"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lastRenderedPageBreak/>
        <w:t>Ta kraljeva uredba začne veljati dan po objavi v Uradnem listu.</w:t>
      </w:r>
    </w:p>
    <w:p w14:paraId="020B8256" w14:textId="77777777" w:rsidR="000760AB" w:rsidRPr="000760AB" w:rsidRDefault="000760AB" w:rsidP="000760AB">
      <w:pPr>
        <w:spacing w:after="160" w:line="259" w:lineRule="auto"/>
        <w:jc w:val="both"/>
        <w:rPr>
          <w:rFonts w:ascii="Calibri" w:eastAsia="Calibri" w:hAnsi="Calibri" w:cs="Calibri"/>
          <w:sz w:val="20"/>
          <w:szCs w:val="20"/>
          <w:lang w:eastAsia="en-US"/>
        </w:rPr>
      </w:pPr>
    </w:p>
    <w:p w14:paraId="05F24353" w14:textId="77777777" w:rsidR="001F7365" w:rsidRPr="00081F25" w:rsidRDefault="001F7365" w:rsidP="001F7365">
      <w:pPr>
        <w:autoSpaceDE w:val="0"/>
        <w:autoSpaceDN w:val="0"/>
        <w:adjustRightInd w:val="0"/>
        <w:jc w:val="center"/>
        <w:rPr>
          <w:rFonts w:asciiTheme="minorHAnsi" w:hAnsiTheme="minorHAnsi" w:cstheme="minorHAnsi"/>
          <w:sz w:val="22"/>
          <w:szCs w:val="22"/>
        </w:rPr>
      </w:pPr>
      <w:r>
        <w:rPr>
          <w:rFonts w:asciiTheme="minorHAnsi" w:hAnsiTheme="minorHAnsi"/>
          <w:sz w:val="22"/>
        </w:rPr>
        <w:t>PREDLOŽITI SVETU MINISTROV</w:t>
      </w:r>
    </w:p>
    <w:p w14:paraId="3A0D8D70" w14:textId="77777777" w:rsidR="001F7365" w:rsidRPr="00081F25" w:rsidRDefault="001F7365" w:rsidP="001F7365">
      <w:pPr>
        <w:autoSpaceDE w:val="0"/>
        <w:autoSpaceDN w:val="0"/>
        <w:adjustRightInd w:val="0"/>
        <w:jc w:val="center"/>
        <w:rPr>
          <w:rFonts w:asciiTheme="minorHAnsi" w:hAnsiTheme="minorHAnsi" w:cstheme="minorHAnsi"/>
          <w:sz w:val="22"/>
          <w:szCs w:val="22"/>
        </w:rPr>
      </w:pPr>
    </w:p>
    <w:p w14:paraId="34F7C3B3" w14:textId="77777777" w:rsidR="001F7365" w:rsidRPr="00081F25" w:rsidRDefault="001F7365" w:rsidP="001F7365">
      <w:pPr>
        <w:autoSpaceDE w:val="0"/>
        <w:autoSpaceDN w:val="0"/>
        <w:adjustRightInd w:val="0"/>
        <w:jc w:val="center"/>
        <w:rPr>
          <w:rFonts w:asciiTheme="minorHAnsi" w:hAnsiTheme="minorHAnsi" w:cstheme="minorHAnsi"/>
          <w:sz w:val="22"/>
          <w:szCs w:val="22"/>
        </w:rPr>
      </w:pPr>
      <w:r>
        <w:rPr>
          <w:rFonts w:asciiTheme="minorHAnsi" w:hAnsiTheme="minorHAnsi"/>
          <w:sz w:val="22"/>
        </w:rPr>
        <w:t>Madrid, dne [...] 2022</w:t>
      </w:r>
    </w:p>
    <w:p w14:paraId="201B84D8" w14:textId="77777777" w:rsidR="001F7365" w:rsidRPr="00081F25" w:rsidRDefault="001F7365" w:rsidP="001F7365">
      <w:pPr>
        <w:spacing w:after="160" w:line="259" w:lineRule="auto"/>
        <w:jc w:val="both"/>
        <w:rPr>
          <w:rFonts w:asciiTheme="minorHAnsi" w:eastAsia="Calibri" w:hAnsiTheme="minorHAnsi" w:cstheme="minorHAnsi"/>
          <w:sz w:val="20"/>
          <w:szCs w:val="20"/>
          <w:lang w:eastAsia="en-US"/>
        </w:rPr>
      </w:pPr>
    </w:p>
    <w:p w14:paraId="5AC40BA3" w14:textId="77777777" w:rsidR="001F7365" w:rsidRPr="00081F25" w:rsidRDefault="001F7365" w:rsidP="001F7365">
      <w:pPr>
        <w:spacing w:after="160" w:line="259" w:lineRule="auto"/>
        <w:jc w:val="both"/>
        <w:rPr>
          <w:rFonts w:asciiTheme="minorHAnsi" w:eastAsia="Calibri" w:hAnsiTheme="minorHAnsi" w:cstheme="minorHAnsi"/>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1"/>
        <w:gridCol w:w="5141"/>
      </w:tblGrid>
      <w:tr w:rsidR="001F7365" w:rsidRPr="00081F25" w14:paraId="26BBB77F" w14:textId="77777777" w:rsidTr="000D4A40">
        <w:trPr>
          <w:trHeight w:val="2150"/>
        </w:trPr>
        <w:tc>
          <w:tcPr>
            <w:tcW w:w="5141" w:type="dxa"/>
            <w:tcBorders>
              <w:top w:val="nil"/>
              <w:left w:val="nil"/>
              <w:bottom w:val="nil"/>
              <w:right w:val="nil"/>
            </w:tcBorders>
            <w:shd w:val="clear" w:color="auto" w:fill="auto"/>
          </w:tcPr>
          <w:p w14:paraId="2DFF5CC2" w14:textId="77777777" w:rsidR="001F7365" w:rsidRPr="00081F25" w:rsidRDefault="001F7365" w:rsidP="000D4A40">
            <w:pPr>
              <w:autoSpaceDE w:val="0"/>
              <w:autoSpaceDN w:val="0"/>
              <w:adjustRightInd w:val="0"/>
              <w:jc w:val="center"/>
              <w:rPr>
                <w:rFonts w:asciiTheme="minorHAnsi" w:hAnsiTheme="minorHAnsi" w:cstheme="minorHAnsi"/>
                <w:sz w:val="22"/>
                <w:szCs w:val="22"/>
              </w:rPr>
            </w:pPr>
            <w:r>
              <w:rPr>
                <w:rFonts w:asciiTheme="minorHAnsi" w:hAnsiTheme="minorHAnsi"/>
                <w:sz w:val="22"/>
              </w:rPr>
              <w:t>MINISTRICA ZA PROMET, MOBILNOST IN AGENDO ZA MESTA</w:t>
            </w:r>
          </w:p>
          <w:p w14:paraId="38965193" w14:textId="77777777" w:rsidR="001F7365" w:rsidRPr="00081F25" w:rsidRDefault="001F7365" w:rsidP="000D4A40">
            <w:pPr>
              <w:autoSpaceDE w:val="0"/>
              <w:autoSpaceDN w:val="0"/>
              <w:adjustRightInd w:val="0"/>
              <w:jc w:val="center"/>
              <w:rPr>
                <w:rFonts w:asciiTheme="minorHAnsi" w:hAnsiTheme="minorHAnsi" w:cstheme="minorHAnsi"/>
                <w:sz w:val="22"/>
                <w:szCs w:val="22"/>
              </w:rPr>
            </w:pPr>
          </w:p>
          <w:p w14:paraId="79C438BC" w14:textId="77777777" w:rsidR="001F7365" w:rsidRPr="00081F25" w:rsidRDefault="001F7365" w:rsidP="000D4A40">
            <w:pPr>
              <w:autoSpaceDE w:val="0"/>
              <w:autoSpaceDN w:val="0"/>
              <w:adjustRightInd w:val="0"/>
              <w:jc w:val="center"/>
              <w:rPr>
                <w:rFonts w:asciiTheme="minorHAnsi" w:hAnsiTheme="minorHAnsi" w:cstheme="minorHAnsi"/>
                <w:sz w:val="22"/>
                <w:szCs w:val="22"/>
              </w:rPr>
            </w:pPr>
          </w:p>
          <w:p w14:paraId="77C1774F" w14:textId="77777777" w:rsidR="001F7365" w:rsidRPr="00081F25" w:rsidRDefault="001F7365" w:rsidP="000D4A40">
            <w:pPr>
              <w:autoSpaceDE w:val="0"/>
              <w:autoSpaceDN w:val="0"/>
              <w:adjustRightInd w:val="0"/>
              <w:jc w:val="center"/>
              <w:rPr>
                <w:rFonts w:asciiTheme="minorHAnsi" w:hAnsiTheme="minorHAnsi" w:cstheme="minorHAnsi"/>
                <w:sz w:val="22"/>
                <w:szCs w:val="22"/>
              </w:rPr>
            </w:pPr>
          </w:p>
          <w:p w14:paraId="540B0B02" w14:textId="77777777" w:rsidR="001F7365" w:rsidRPr="00081F25" w:rsidRDefault="001F7365" w:rsidP="000D4A40">
            <w:pPr>
              <w:autoSpaceDE w:val="0"/>
              <w:autoSpaceDN w:val="0"/>
              <w:adjustRightInd w:val="0"/>
              <w:jc w:val="center"/>
              <w:rPr>
                <w:rFonts w:asciiTheme="minorHAnsi" w:hAnsiTheme="minorHAnsi" w:cstheme="minorHAnsi"/>
                <w:sz w:val="22"/>
                <w:szCs w:val="22"/>
              </w:rPr>
            </w:pPr>
          </w:p>
          <w:p w14:paraId="46B22890" w14:textId="77777777" w:rsidR="001F7365" w:rsidRPr="00081F25" w:rsidRDefault="001F7365" w:rsidP="000D4A40">
            <w:pPr>
              <w:autoSpaceDE w:val="0"/>
              <w:autoSpaceDN w:val="0"/>
              <w:adjustRightInd w:val="0"/>
              <w:jc w:val="center"/>
              <w:rPr>
                <w:rFonts w:asciiTheme="minorHAnsi" w:hAnsiTheme="minorHAnsi" w:cstheme="minorHAnsi"/>
                <w:sz w:val="22"/>
                <w:szCs w:val="22"/>
              </w:rPr>
            </w:pPr>
          </w:p>
          <w:p w14:paraId="3BCAF82D" w14:textId="77777777" w:rsidR="001F7365" w:rsidRPr="00081F25" w:rsidRDefault="001F7365" w:rsidP="000D4A40">
            <w:pPr>
              <w:autoSpaceDE w:val="0"/>
              <w:autoSpaceDN w:val="0"/>
              <w:adjustRightInd w:val="0"/>
              <w:jc w:val="center"/>
              <w:rPr>
                <w:rFonts w:asciiTheme="minorHAnsi" w:hAnsiTheme="minorHAnsi" w:cstheme="minorHAnsi"/>
                <w:sz w:val="22"/>
                <w:szCs w:val="22"/>
              </w:rPr>
            </w:pPr>
            <w:r>
              <w:rPr>
                <w:rFonts w:asciiTheme="minorHAnsi" w:hAnsiTheme="minorHAnsi"/>
                <w:sz w:val="22"/>
              </w:rPr>
              <w:t>Raquel Sánchez Jiménez</w:t>
            </w:r>
          </w:p>
        </w:tc>
        <w:tc>
          <w:tcPr>
            <w:tcW w:w="5141" w:type="dxa"/>
            <w:tcBorders>
              <w:top w:val="nil"/>
              <w:left w:val="nil"/>
              <w:bottom w:val="nil"/>
              <w:right w:val="nil"/>
            </w:tcBorders>
          </w:tcPr>
          <w:p w14:paraId="749FA458" w14:textId="77777777" w:rsidR="001F7365" w:rsidRPr="004A2722" w:rsidRDefault="001F7365" w:rsidP="000D4A40">
            <w:pPr>
              <w:autoSpaceDE w:val="0"/>
              <w:autoSpaceDN w:val="0"/>
              <w:adjustRightInd w:val="0"/>
              <w:jc w:val="center"/>
              <w:rPr>
                <w:rFonts w:asciiTheme="minorHAnsi" w:hAnsiTheme="minorHAnsi" w:cstheme="minorHAnsi"/>
                <w:sz w:val="22"/>
                <w:szCs w:val="22"/>
              </w:rPr>
            </w:pPr>
            <w:r>
              <w:rPr>
                <w:rFonts w:asciiTheme="minorHAnsi" w:hAnsiTheme="minorHAnsi"/>
                <w:sz w:val="22"/>
              </w:rPr>
              <w:t>TRETJA NAMESTNICA PREDSEDNIKA VLADE IN MINISTRICA ZA EKOLOŠKI PREHOD IN DEMOGRAFSKE IZZIVE</w:t>
            </w:r>
          </w:p>
          <w:p w14:paraId="2B70C78B" w14:textId="77777777" w:rsidR="001F7365" w:rsidRPr="004A2722" w:rsidRDefault="001F7365" w:rsidP="000D4A40">
            <w:pPr>
              <w:autoSpaceDE w:val="0"/>
              <w:autoSpaceDN w:val="0"/>
              <w:adjustRightInd w:val="0"/>
              <w:rPr>
                <w:rFonts w:asciiTheme="minorHAnsi" w:hAnsiTheme="minorHAnsi" w:cstheme="minorHAnsi"/>
                <w:sz w:val="22"/>
                <w:szCs w:val="22"/>
                <w:lang w:val="es-ES_tradnl"/>
              </w:rPr>
            </w:pPr>
          </w:p>
          <w:p w14:paraId="20A3F7D7" w14:textId="77777777" w:rsidR="001F7365" w:rsidRPr="004A2722" w:rsidRDefault="001F7365" w:rsidP="000D4A40">
            <w:pPr>
              <w:autoSpaceDE w:val="0"/>
              <w:autoSpaceDN w:val="0"/>
              <w:adjustRightInd w:val="0"/>
              <w:rPr>
                <w:rFonts w:asciiTheme="minorHAnsi" w:hAnsiTheme="minorHAnsi" w:cstheme="minorHAnsi"/>
                <w:sz w:val="22"/>
                <w:szCs w:val="22"/>
                <w:lang w:val="es-ES_tradnl"/>
              </w:rPr>
            </w:pPr>
          </w:p>
          <w:p w14:paraId="4D67AC80" w14:textId="77777777" w:rsidR="001F7365" w:rsidRPr="004A2722" w:rsidRDefault="001F7365" w:rsidP="000D4A40">
            <w:pPr>
              <w:autoSpaceDE w:val="0"/>
              <w:autoSpaceDN w:val="0"/>
              <w:adjustRightInd w:val="0"/>
              <w:rPr>
                <w:rFonts w:asciiTheme="minorHAnsi" w:hAnsiTheme="minorHAnsi" w:cstheme="minorHAnsi"/>
                <w:sz w:val="22"/>
                <w:szCs w:val="22"/>
                <w:lang w:val="es-ES_tradnl"/>
              </w:rPr>
            </w:pPr>
          </w:p>
          <w:p w14:paraId="1D518996" w14:textId="77777777" w:rsidR="001F7365" w:rsidRPr="004A2722" w:rsidRDefault="001F7365" w:rsidP="000D4A40">
            <w:pPr>
              <w:autoSpaceDE w:val="0"/>
              <w:autoSpaceDN w:val="0"/>
              <w:adjustRightInd w:val="0"/>
              <w:rPr>
                <w:rFonts w:asciiTheme="minorHAnsi" w:hAnsiTheme="minorHAnsi" w:cstheme="minorHAnsi"/>
                <w:sz w:val="22"/>
                <w:szCs w:val="22"/>
                <w:lang w:val="es-ES_tradnl"/>
              </w:rPr>
            </w:pPr>
          </w:p>
          <w:p w14:paraId="5C180639" w14:textId="77777777" w:rsidR="001F7365" w:rsidRPr="004A2722" w:rsidRDefault="001F7365" w:rsidP="000D4A40">
            <w:pPr>
              <w:autoSpaceDE w:val="0"/>
              <w:autoSpaceDN w:val="0"/>
              <w:adjustRightInd w:val="0"/>
              <w:rPr>
                <w:rFonts w:asciiTheme="minorHAnsi" w:hAnsiTheme="minorHAnsi" w:cstheme="minorHAnsi"/>
                <w:sz w:val="22"/>
                <w:szCs w:val="22"/>
                <w:lang w:val="es-ES_tradnl"/>
              </w:rPr>
            </w:pPr>
          </w:p>
          <w:p w14:paraId="20B3A488" w14:textId="77777777" w:rsidR="001F7365" w:rsidRPr="00081F25" w:rsidRDefault="001F7365" w:rsidP="000D4A40">
            <w:pPr>
              <w:autoSpaceDE w:val="0"/>
              <w:autoSpaceDN w:val="0"/>
              <w:adjustRightInd w:val="0"/>
              <w:jc w:val="center"/>
              <w:rPr>
                <w:rFonts w:asciiTheme="minorHAnsi" w:hAnsiTheme="minorHAnsi" w:cstheme="minorHAnsi"/>
                <w:sz w:val="22"/>
                <w:szCs w:val="22"/>
              </w:rPr>
            </w:pPr>
            <w:r>
              <w:rPr>
                <w:rFonts w:asciiTheme="minorHAnsi" w:hAnsiTheme="minorHAnsi"/>
                <w:sz w:val="22"/>
              </w:rPr>
              <w:t>Teresa Ribera Rodríguez</w:t>
            </w:r>
          </w:p>
        </w:tc>
      </w:tr>
    </w:tbl>
    <w:p w14:paraId="15FD4F10" w14:textId="77777777" w:rsidR="008577E8" w:rsidRDefault="008577E8" w:rsidP="008577E8">
      <w:pPr>
        <w:pStyle w:val="FootnoteText"/>
        <w:tabs>
          <w:tab w:val="left" w:pos="-3969"/>
        </w:tabs>
        <w:spacing w:after="120"/>
        <w:ind w:left="567" w:right="55" w:firstLine="533"/>
        <w:jc w:val="both"/>
        <w:rPr>
          <w:rFonts w:ascii="Arial" w:hAnsi="Arial" w:cs="Arial"/>
          <w:sz w:val="24"/>
          <w:szCs w:val="24"/>
          <w:lang w:val="es-ES"/>
        </w:rPr>
      </w:pPr>
    </w:p>
    <w:sectPr w:rsidR="008577E8">
      <w:headerReference w:type="default" r:id="rId7"/>
      <w:footerReference w:type="even" r:id="rId8"/>
      <w:footerReference w:type="default" r:id="rId9"/>
      <w:headerReference w:type="first" r:id="rId10"/>
      <w:pgSz w:w="11906" w:h="16838" w:code="9"/>
      <w:pgMar w:top="1701" w:right="737" w:bottom="726" w:left="737" w:header="567"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77812" w14:textId="77777777" w:rsidR="00B66224" w:rsidRDefault="00B66224">
      <w:r>
        <w:separator/>
      </w:r>
    </w:p>
  </w:endnote>
  <w:endnote w:type="continuationSeparator" w:id="0">
    <w:p w14:paraId="4AA04B9F" w14:textId="77777777" w:rsidR="00B66224" w:rsidRDefault="00B66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Noto Sans CJK SC Regular">
    <w:altName w:val="Times New Roman"/>
    <w:panose1 w:val="00000000000000000000"/>
    <w:charset w:val="00"/>
    <w:family w:val="roman"/>
    <w:notTrueType/>
    <w:pitch w:val="default"/>
  </w:font>
  <w:font w:name="Gill Sans MT">
    <w:altName w:val="Gill Sans MT"/>
    <w:charset w:val="EE"/>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31ADC" w14:textId="77777777" w:rsidR="00C93CCC" w:rsidRDefault="00C93C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2DA43C3" w14:textId="77777777" w:rsidR="00C93CCC" w:rsidRDefault="00C93CC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7B7FA" w14:textId="7ED610BC" w:rsidR="00C93CCC" w:rsidRDefault="00C93C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C3417">
      <w:rPr>
        <w:rStyle w:val="PageNumber"/>
      </w:rPr>
      <w:t>2</w:t>
    </w:r>
    <w:r>
      <w:rPr>
        <w:rStyle w:val="PageNumber"/>
      </w:rPr>
      <w:fldChar w:fldCharType="end"/>
    </w:r>
  </w:p>
  <w:p w14:paraId="7719E668" w14:textId="77777777" w:rsidR="00C93CCC" w:rsidRDefault="00C93CC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C3CD1" w14:textId="77777777" w:rsidR="00B66224" w:rsidRDefault="00B66224">
      <w:r>
        <w:separator/>
      </w:r>
    </w:p>
  </w:footnote>
  <w:footnote w:type="continuationSeparator" w:id="0">
    <w:p w14:paraId="55093CB0" w14:textId="77777777" w:rsidR="00B66224" w:rsidRDefault="00B662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0" w:type="dxa"/>
        <w:right w:w="70" w:type="dxa"/>
      </w:tblCellMar>
      <w:tblLook w:val="0000" w:firstRow="0" w:lastRow="0" w:firstColumn="0" w:lastColumn="0" w:noHBand="0" w:noVBand="0"/>
    </w:tblPr>
    <w:tblGrid>
      <w:gridCol w:w="1346"/>
      <w:gridCol w:w="7726"/>
      <w:gridCol w:w="1843"/>
    </w:tblGrid>
    <w:tr w:rsidR="00C93CCC" w14:paraId="19D5BC5E" w14:textId="77777777">
      <w:trPr>
        <w:cantSplit/>
        <w:trHeight w:val="991"/>
        <w:jc w:val="center"/>
      </w:trPr>
      <w:tc>
        <w:tcPr>
          <w:tcW w:w="1346" w:type="dxa"/>
        </w:tcPr>
        <w:p w14:paraId="7D1E4812" w14:textId="77777777" w:rsidR="00C93CCC" w:rsidRDefault="00C93CCC">
          <w:pPr>
            <w:pStyle w:val="Header"/>
            <w:tabs>
              <w:tab w:val="clear" w:pos="4252"/>
              <w:tab w:val="clear" w:pos="8504"/>
            </w:tabs>
          </w:pPr>
        </w:p>
      </w:tc>
      <w:tc>
        <w:tcPr>
          <w:tcW w:w="7726" w:type="dxa"/>
        </w:tcPr>
        <w:p w14:paraId="0DBFE409" w14:textId="77777777" w:rsidR="00C93CCC" w:rsidRDefault="00C93CCC">
          <w:pPr>
            <w:pStyle w:val="Header"/>
            <w:tabs>
              <w:tab w:val="clear" w:pos="4252"/>
              <w:tab w:val="left" w:pos="2127"/>
              <w:tab w:val="left" w:pos="6521"/>
            </w:tabs>
          </w:pPr>
        </w:p>
      </w:tc>
      <w:bookmarkStart w:id="29" w:name="_MON_1030527131"/>
      <w:bookmarkEnd w:id="29"/>
      <w:tc>
        <w:tcPr>
          <w:tcW w:w="1843" w:type="dxa"/>
        </w:tcPr>
        <w:p w14:paraId="159BECBD" w14:textId="77777777" w:rsidR="00C93CCC" w:rsidRDefault="00C93CCC">
          <w:pPr>
            <w:pStyle w:val="Header"/>
            <w:tabs>
              <w:tab w:val="clear" w:pos="4252"/>
              <w:tab w:val="left" w:pos="6521"/>
            </w:tabs>
            <w:spacing w:before="120" w:after="120"/>
            <w:jc w:val="right"/>
            <w:rPr>
              <w:rFonts w:ascii="Gill Sans MT" w:hAnsi="Gill Sans MT"/>
              <w:sz w:val="10"/>
            </w:rPr>
          </w:pPr>
          <w:r>
            <w:object w:dxaOrig="1081" w:dyaOrig="1141" w14:anchorId="416483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85pt;height:44.35pt" fillcolor="window">
                <v:imagedata r:id="rId1" o:title=""/>
              </v:shape>
              <o:OLEObject Type="Embed" ProgID="Word.Picture.8" ShapeID="_x0000_i1025" DrawAspect="Content" ObjectID="_1724480790" r:id="rId2"/>
            </w:object>
          </w:r>
        </w:p>
      </w:tc>
    </w:tr>
  </w:tbl>
  <w:p w14:paraId="37A83458" w14:textId="77777777" w:rsidR="00C93CCC" w:rsidRDefault="00C93CCC">
    <w:pPr>
      <w:pStyle w:val="Header"/>
    </w:pPr>
  </w:p>
  <w:p w14:paraId="4AECF7C6" w14:textId="6EDD15A4" w:rsidR="00C93CCC" w:rsidRDefault="00FD453F">
    <w:pPr>
      <w:pStyle w:val="Header"/>
    </w:pPr>
    <w:r>
      <w:rPr>
        <w:noProof/>
        <w:sz w:val="20"/>
      </w:rPr>
      <mc:AlternateContent>
        <mc:Choice Requires="wps">
          <w:drawing>
            <wp:anchor distT="0" distB="0" distL="114300" distR="114300" simplePos="0" relativeHeight="251658240" behindDoc="0" locked="0" layoutInCell="0" allowOverlap="1" wp14:anchorId="4819963E" wp14:editId="4FA1022B">
              <wp:simplePos x="0" y="0"/>
              <wp:positionH relativeFrom="margin">
                <wp:posOffset>-107950</wp:posOffset>
              </wp:positionH>
              <wp:positionV relativeFrom="page">
                <wp:posOffset>1423035</wp:posOffset>
              </wp:positionV>
              <wp:extent cx="6840220" cy="86868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8686800"/>
                      </a:xfrm>
                      <a:prstGeom prst="rect">
                        <a:avLst/>
                      </a:prstGeom>
                      <a:solidFill>
                        <a:srgbClr val="FFFFFF"/>
                      </a:solidFill>
                      <a:ln w="9525">
                        <a:solidFill>
                          <a:srgbClr val="000000"/>
                        </a:solidFill>
                        <a:miter lim="800000"/>
                        <a:headEnd/>
                        <a:tailEnd/>
                      </a:ln>
                    </wps:spPr>
                    <wps:txbx>
                      <w:txbxContent>
                        <w:p w14:paraId="0C89DAC6" w14:textId="77777777" w:rsidR="00C93CCC" w:rsidRDefault="00C93C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19963E" id="_x0000_t202" coordsize="21600,21600" o:spt="202" path="m,l,21600r21600,l21600,xe">
              <v:stroke joinstyle="miter"/>
              <v:path gradientshapeok="t" o:connecttype="rect"/>
            </v:shapetype>
            <v:shape id="Text Box 2" o:spid="_x0000_s1026" type="#_x0000_t202" style="position:absolute;margin-left:-8.5pt;margin-top:112.05pt;width:538.6pt;height:68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" o:allowincell="f">
              <v:textbox>
                <w:txbxContent>
                  <w:p w14:paraId="0C89DAC6" w14:textId="77777777" w:rsidR="00C93CCC" w:rsidRDefault="00C93CCC"/>
                </w:txbxContent>
              </v:textbox>
              <w10:wrap anchorx="margin"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77" w:type="dxa"/>
      <w:jc w:val="center"/>
      <w:tblLayout w:type="fixed"/>
      <w:tblCellMar>
        <w:left w:w="70" w:type="dxa"/>
        <w:right w:w="70" w:type="dxa"/>
      </w:tblCellMar>
      <w:tblLook w:val="0000" w:firstRow="0" w:lastRow="0" w:firstColumn="0" w:lastColumn="0" w:noHBand="0" w:noVBand="0"/>
    </w:tblPr>
    <w:tblGrid>
      <w:gridCol w:w="1357"/>
      <w:gridCol w:w="3728"/>
      <w:gridCol w:w="2020"/>
      <w:gridCol w:w="3772"/>
    </w:tblGrid>
    <w:tr w:rsidR="00546D77" w14:paraId="1E577442" w14:textId="77777777" w:rsidTr="00546D77">
      <w:trPr>
        <w:cantSplit/>
        <w:trHeight w:val="427"/>
        <w:jc w:val="center"/>
      </w:trPr>
      <w:tc>
        <w:tcPr>
          <w:tcW w:w="1357" w:type="dxa"/>
          <w:vMerge w:val="restart"/>
        </w:tcPr>
        <w:p w14:paraId="6CB9E49B" w14:textId="77777777" w:rsidR="00546D77" w:rsidRDefault="00546D77">
          <w:pPr>
            <w:pStyle w:val="Header"/>
            <w:tabs>
              <w:tab w:val="clear" w:pos="4252"/>
              <w:tab w:val="clear" w:pos="8504"/>
            </w:tabs>
            <w:ind w:left="-41" w:right="1318"/>
          </w:pPr>
          <w:r>
            <w:object w:dxaOrig="1081" w:dyaOrig="1141" w14:anchorId="18A5A6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6.95pt;height:59.45pt" fillcolor="window">
                <v:imagedata r:id="rId1" o:title=""/>
              </v:shape>
              <o:OLEObject Type="Embed" ProgID="Word.Picture.8" ShapeID="_x0000_i1026" DrawAspect="Content" ObjectID="_1724480791" r:id="rId2"/>
            </w:object>
          </w:r>
        </w:p>
      </w:tc>
      <w:tc>
        <w:tcPr>
          <w:tcW w:w="3728" w:type="dxa"/>
          <w:vMerge w:val="restart"/>
        </w:tcPr>
        <w:p w14:paraId="6198FA01" w14:textId="77777777" w:rsidR="00546D77" w:rsidRPr="008D3E08" w:rsidRDefault="00546D77">
          <w:pPr>
            <w:pStyle w:val="Header"/>
            <w:tabs>
              <w:tab w:val="clear" w:pos="4252"/>
              <w:tab w:val="left" w:pos="-819"/>
              <w:tab w:val="left" w:pos="6521"/>
            </w:tabs>
            <w:ind w:right="-7"/>
            <w:rPr>
              <w:sz w:val="22"/>
              <w:szCs w:val="22"/>
            </w:rPr>
          </w:pPr>
          <w:r>
            <w:rPr>
              <w:sz w:val="22"/>
            </w:rPr>
            <w:t xml:space="preserve">MINISTRSTVO </w:t>
          </w:r>
        </w:p>
        <w:p w14:paraId="72B91BEF" w14:textId="0FE9D540" w:rsidR="00546D77" w:rsidRPr="008D3E08" w:rsidRDefault="00546D77">
          <w:pPr>
            <w:pStyle w:val="Header"/>
            <w:tabs>
              <w:tab w:val="clear" w:pos="4252"/>
              <w:tab w:val="left" w:pos="-819"/>
              <w:tab w:val="left" w:pos="6521"/>
            </w:tabs>
            <w:ind w:right="-7"/>
            <w:rPr>
              <w:sz w:val="22"/>
              <w:szCs w:val="22"/>
            </w:rPr>
          </w:pPr>
          <w:r>
            <w:rPr>
              <w:sz w:val="22"/>
            </w:rPr>
            <w:t>ZA PROMET, MOBILNOST IN AGENDO ZA MESTA</w:t>
          </w:r>
        </w:p>
        <w:p w14:paraId="17DC2EEB" w14:textId="77777777" w:rsidR="008D3E08" w:rsidRPr="008D3E08" w:rsidRDefault="008D3E08">
          <w:pPr>
            <w:pStyle w:val="Header"/>
            <w:tabs>
              <w:tab w:val="clear" w:pos="4252"/>
              <w:tab w:val="left" w:pos="-819"/>
              <w:tab w:val="left" w:pos="6521"/>
            </w:tabs>
            <w:ind w:right="-7"/>
            <w:rPr>
              <w:sz w:val="22"/>
              <w:szCs w:val="22"/>
            </w:rPr>
          </w:pPr>
        </w:p>
        <w:p w14:paraId="76421220" w14:textId="2838AE55" w:rsidR="008D3E08" w:rsidRDefault="008D3E08">
          <w:pPr>
            <w:pStyle w:val="Header"/>
            <w:tabs>
              <w:tab w:val="clear" w:pos="4252"/>
              <w:tab w:val="left" w:pos="-819"/>
              <w:tab w:val="left" w:pos="6521"/>
            </w:tabs>
            <w:ind w:right="-7"/>
            <w:rPr>
              <w:rFonts w:ascii="Gill Sans MT" w:hAnsi="Gill Sans MT"/>
              <w:sz w:val="16"/>
            </w:rPr>
          </w:pPr>
          <w:r>
            <w:rPr>
              <w:sz w:val="22"/>
            </w:rPr>
            <w:t>MINISTRSTVO ZA EKOLOŠKI PREHOD IN DEMOGRAFSKI IZZIV</w:t>
          </w:r>
        </w:p>
      </w:tc>
      <w:tc>
        <w:tcPr>
          <w:tcW w:w="2020" w:type="dxa"/>
          <w:vMerge w:val="restart"/>
        </w:tcPr>
        <w:p w14:paraId="5FBE566D" w14:textId="77777777" w:rsidR="00546D77" w:rsidRDefault="00546D77">
          <w:pPr>
            <w:pStyle w:val="Header"/>
            <w:tabs>
              <w:tab w:val="clear" w:pos="4252"/>
              <w:tab w:val="left" w:pos="-819"/>
              <w:tab w:val="left" w:pos="6521"/>
            </w:tabs>
            <w:rPr>
              <w:rFonts w:ascii="Gill Sans MT" w:hAnsi="Gill Sans MT"/>
              <w:sz w:val="16"/>
            </w:rPr>
          </w:pPr>
        </w:p>
      </w:tc>
      <w:tc>
        <w:tcPr>
          <w:tcW w:w="3772" w:type="dxa"/>
        </w:tcPr>
        <w:p w14:paraId="240676BB" w14:textId="77777777" w:rsidR="00546D77" w:rsidRDefault="00546D77">
          <w:pPr>
            <w:pStyle w:val="Header"/>
            <w:tabs>
              <w:tab w:val="clear" w:pos="4252"/>
              <w:tab w:val="left" w:pos="6521"/>
            </w:tabs>
            <w:spacing w:before="100"/>
          </w:pPr>
        </w:p>
        <w:p w14:paraId="2705A353" w14:textId="77777777" w:rsidR="00546D77" w:rsidRDefault="00546D77">
          <w:pPr>
            <w:pStyle w:val="Header"/>
            <w:tabs>
              <w:tab w:val="clear" w:pos="4252"/>
              <w:tab w:val="left" w:pos="6521"/>
            </w:tabs>
            <w:spacing w:before="100"/>
          </w:pPr>
        </w:p>
      </w:tc>
    </w:tr>
    <w:tr w:rsidR="00546D77" w14:paraId="4DD47A0F" w14:textId="77777777" w:rsidTr="00546D77">
      <w:trPr>
        <w:cantSplit/>
        <w:trHeight w:hRule="exact" w:val="100"/>
        <w:jc w:val="center"/>
      </w:trPr>
      <w:tc>
        <w:tcPr>
          <w:tcW w:w="1357" w:type="dxa"/>
          <w:vMerge/>
        </w:tcPr>
        <w:p w14:paraId="1C13B7EF" w14:textId="77777777" w:rsidR="00546D77" w:rsidRDefault="00546D77">
          <w:pPr>
            <w:pStyle w:val="Header"/>
            <w:tabs>
              <w:tab w:val="clear" w:pos="4252"/>
              <w:tab w:val="clear" w:pos="8504"/>
            </w:tabs>
            <w:ind w:left="-41" w:right="1176"/>
          </w:pPr>
        </w:p>
      </w:tc>
      <w:tc>
        <w:tcPr>
          <w:tcW w:w="3728" w:type="dxa"/>
          <w:vMerge/>
        </w:tcPr>
        <w:p w14:paraId="3B8408E4" w14:textId="77777777" w:rsidR="00546D77" w:rsidRDefault="00546D77">
          <w:pPr>
            <w:pStyle w:val="Header"/>
            <w:tabs>
              <w:tab w:val="clear" w:pos="4252"/>
              <w:tab w:val="left" w:pos="-819"/>
              <w:tab w:val="left" w:pos="6521"/>
            </w:tabs>
            <w:rPr>
              <w:rFonts w:ascii="Gill Sans MT" w:hAnsi="Gill Sans MT"/>
              <w:sz w:val="16"/>
            </w:rPr>
          </w:pPr>
        </w:p>
      </w:tc>
      <w:tc>
        <w:tcPr>
          <w:tcW w:w="2020" w:type="dxa"/>
          <w:vMerge/>
        </w:tcPr>
        <w:p w14:paraId="5355EE17" w14:textId="77777777" w:rsidR="00546D77" w:rsidRDefault="00546D77">
          <w:pPr>
            <w:pStyle w:val="Header"/>
            <w:tabs>
              <w:tab w:val="clear" w:pos="4252"/>
              <w:tab w:val="left" w:pos="-819"/>
              <w:tab w:val="left" w:pos="6521"/>
            </w:tabs>
            <w:rPr>
              <w:rFonts w:ascii="Gill Sans MT" w:hAnsi="Gill Sans MT"/>
              <w:sz w:val="16"/>
            </w:rPr>
          </w:pPr>
        </w:p>
      </w:tc>
      <w:tc>
        <w:tcPr>
          <w:tcW w:w="3772" w:type="dxa"/>
        </w:tcPr>
        <w:p w14:paraId="229BCB56" w14:textId="77777777" w:rsidR="00546D77" w:rsidRDefault="00546D77">
          <w:pPr>
            <w:pStyle w:val="Header"/>
            <w:tabs>
              <w:tab w:val="clear" w:pos="4252"/>
              <w:tab w:val="left" w:pos="6521"/>
            </w:tabs>
            <w:ind w:right="782"/>
            <w:rPr>
              <w:rFonts w:ascii="Gill Sans MT" w:hAnsi="Gill Sans MT"/>
              <w:sz w:val="14"/>
            </w:rPr>
          </w:pPr>
        </w:p>
      </w:tc>
    </w:tr>
    <w:tr w:rsidR="00546D77" w14:paraId="5B3C05C1" w14:textId="77777777" w:rsidTr="00546D77">
      <w:trPr>
        <w:cantSplit/>
        <w:trHeight w:hRule="exact" w:val="427"/>
        <w:jc w:val="center"/>
      </w:trPr>
      <w:tc>
        <w:tcPr>
          <w:tcW w:w="1357" w:type="dxa"/>
          <w:vMerge/>
        </w:tcPr>
        <w:p w14:paraId="6B5B66CA" w14:textId="77777777" w:rsidR="00546D77" w:rsidRDefault="00546D77">
          <w:pPr>
            <w:pStyle w:val="Header"/>
            <w:tabs>
              <w:tab w:val="clear" w:pos="4252"/>
              <w:tab w:val="clear" w:pos="8504"/>
            </w:tabs>
            <w:ind w:left="-41" w:right="1176"/>
          </w:pPr>
        </w:p>
      </w:tc>
      <w:tc>
        <w:tcPr>
          <w:tcW w:w="3728" w:type="dxa"/>
          <w:vMerge/>
        </w:tcPr>
        <w:p w14:paraId="2C834F51" w14:textId="77777777" w:rsidR="00546D77" w:rsidRDefault="00546D77">
          <w:pPr>
            <w:pStyle w:val="Header"/>
            <w:tabs>
              <w:tab w:val="clear" w:pos="4252"/>
              <w:tab w:val="left" w:pos="-819"/>
              <w:tab w:val="left" w:pos="6521"/>
            </w:tabs>
            <w:rPr>
              <w:rFonts w:ascii="Gill Sans MT" w:hAnsi="Gill Sans MT"/>
              <w:sz w:val="16"/>
            </w:rPr>
          </w:pPr>
        </w:p>
      </w:tc>
      <w:tc>
        <w:tcPr>
          <w:tcW w:w="2020" w:type="dxa"/>
          <w:vMerge/>
        </w:tcPr>
        <w:p w14:paraId="44869AAF" w14:textId="77777777" w:rsidR="00546D77" w:rsidRDefault="00546D77">
          <w:pPr>
            <w:pStyle w:val="Header"/>
            <w:tabs>
              <w:tab w:val="clear" w:pos="4252"/>
              <w:tab w:val="left" w:pos="-819"/>
              <w:tab w:val="left" w:pos="6521"/>
            </w:tabs>
            <w:rPr>
              <w:rFonts w:ascii="Gill Sans MT" w:hAnsi="Gill Sans MT"/>
              <w:sz w:val="16"/>
            </w:rPr>
          </w:pPr>
        </w:p>
      </w:tc>
      <w:tc>
        <w:tcPr>
          <w:tcW w:w="3772" w:type="dxa"/>
          <w:tcBorders>
            <w:top w:val="single" w:sz="4" w:space="0" w:color="auto"/>
            <w:left w:val="single" w:sz="4" w:space="0" w:color="auto"/>
            <w:bottom w:val="single" w:sz="4" w:space="0" w:color="auto"/>
            <w:right w:val="single" w:sz="4" w:space="0" w:color="auto"/>
          </w:tcBorders>
        </w:tcPr>
        <w:p w14:paraId="7AE9179E" w14:textId="77777777" w:rsidR="00546D77" w:rsidRDefault="00546D77">
          <w:pPr>
            <w:pStyle w:val="Header"/>
            <w:tabs>
              <w:tab w:val="clear" w:pos="4252"/>
              <w:tab w:val="left" w:pos="6521"/>
            </w:tabs>
            <w:spacing w:before="100"/>
            <w:ind w:right="782"/>
          </w:pPr>
          <w:r>
            <w:rPr>
              <w:rFonts w:ascii="Gill Sans MT" w:hAnsi="Gill Sans MT"/>
              <w:sz w:val="14"/>
            </w:rPr>
            <w:t>REF.:</w:t>
          </w:r>
        </w:p>
      </w:tc>
    </w:tr>
    <w:tr w:rsidR="00546D77" w14:paraId="245FEC80" w14:textId="77777777" w:rsidTr="00546D77">
      <w:trPr>
        <w:cantSplit/>
        <w:trHeight w:hRule="exact" w:val="600"/>
        <w:jc w:val="center"/>
      </w:trPr>
      <w:tc>
        <w:tcPr>
          <w:tcW w:w="1357" w:type="dxa"/>
          <w:vMerge/>
        </w:tcPr>
        <w:p w14:paraId="28B5929C" w14:textId="77777777" w:rsidR="00546D77" w:rsidRDefault="00546D77">
          <w:pPr>
            <w:pStyle w:val="Header"/>
            <w:tabs>
              <w:tab w:val="clear" w:pos="4252"/>
              <w:tab w:val="clear" w:pos="8504"/>
            </w:tabs>
            <w:ind w:left="-41" w:right="1176"/>
          </w:pPr>
        </w:p>
      </w:tc>
      <w:tc>
        <w:tcPr>
          <w:tcW w:w="3728" w:type="dxa"/>
          <w:vMerge/>
        </w:tcPr>
        <w:p w14:paraId="58C627D0" w14:textId="77777777" w:rsidR="00546D77" w:rsidRDefault="00546D77">
          <w:pPr>
            <w:pStyle w:val="Header"/>
            <w:tabs>
              <w:tab w:val="clear" w:pos="4252"/>
              <w:tab w:val="left" w:pos="-819"/>
              <w:tab w:val="left" w:pos="6521"/>
            </w:tabs>
            <w:rPr>
              <w:rFonts w:ascii="Gill Sans MT" w:hAnsi="Gill Sans MT"/>
              <w:sz w:val="16"/>
            </w:rPr>
          </w:pPr>
        </w:p>
      </w:tc>
      <w:tc>
        <w:tcPr>
          <w:tcW w:w="2020" w:type="dxa"/>
          <w:vMerge/>
        </w:tcPr>
        <w:p w14:paraId="44F238CB" w14:textId="77777777" w:rsidR="00546D77" w:rsidRDefault="00546D77">
          <w:pPr>
            <w:pStyle w:val="Header"/>
            <w:tabs>
              <w:tab w:val="clear" w:pos="4252"/>
              <w:tab w:val="left" w:pos="-819"/>
              <w:tab w:val="left" w:pos="6521"/>
            </w:tabs>
            <w:rPr>
              <w:rFonts w:ascii="Gill Sans MT" w:hAnsi="Gill Sans MT"/>
              <w:sz w:val="16"/>
            </w:rPr>
          </w:pPr>
        </w:p>
      </w:tc>
      <w:tc>
        <w:tcPr>
          <w:tcW w:w="3772" w:type="dxa"/>
          <w:tcBorders>
            <w:top w:val="single" w:sz="4" w:space="0" w:color="auto"/>
            <w:left w:val="single" w:sz="4" w:space="0" w:color="auto"/>
            <w:bottom w:val="single" w:sz="4" w:space="0" w:color="auto"/>
            <w:right w:val="single" w:sz="4" w:space="0" w:color="auto"/>
          </w:tcBorders>
        </w:tcPr>
        <w:p w14:paraId="1B79A29C" w14:textId="77777777" w:rsidR="00546D77" w:rsidRDefault="00546D77">
          <w:pPr>
            <w:pStyle w:val="Header"/>
            <w:tabs>
              <w:tab w:val="clear" w:pos="4252"/>
              <w:tab w:val="left" w:pos="6521"/>
            </w:tabs>
            <w:spacing w:before="100"/>
            <w:ind w:right="782"/>
          </w:pPr>
          <w:r>
            <w:rPr>
              <w:rFonts w:ascii="Gill Sans MT" w:hAnsi="Gill Sans MT"/>
              <w:sz w:val="14"/>
            </w:rPr>
            <w:t>REF. C.M.:</w:t>
          </w:r>
        </w:p>
      </w:tc>
    </w:tr>
  </w:tbl>
  <w:p w14:paraId="0F00BC53" w14:textId="5A2A6B0E" w:rsidR="00C93CCC" w:rsidRDefault="00FD453F">
    <w:pPr>
      <w:pStyle w:val="Header"/>
    </w:pPr>
    <w:r>
      <w:rPr>
        <w:noProof/>
        <w:sz w:val="20"/>
      </w:rPr>
      <mc:AlternateContent>
        <mc:Choice Requires="wps">
          <w:drawing>
            <wp:anchor distT="0" distB="0" distL="114300" distR="114300" simplePos="0" relativeHeight="251657216" behindDoc="0" locked="0" layoutInCell="0" allowOverlap="1" wp14:anchorId="25F39437" wp14:editId="6D6516D9">
              <wp:simplePos x="0" y="0"/>
              <wp:positionH relativeFrom="margin">
                <wp:posOffset>-107950</wp:posOffset>
              </wp:positionH>
              <wp:positionV relativeFrom="page">
                <wp:posOffset>5080000</wp:posOffset>
              </wp:positionV>
              <wp:extent cx="6840220" cy="51695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5169535"/>
                      </a:xfrm>
                      <a:prstGeom prst="rect">
                        <a:avLst/>
                      </a:prstGeom>
                      <a:solidFill>
                        <a:srgbClr val="FFFFFF"/>
                      </a:solidFill>
                      <a:ln w="9525">
                        <a:solidFill>
                          <a:srgbClr val="000000"/>
                        </a:solidFill>
                        <a:miter lim="800000"/>
                        <a:headEnd/>
                        <a:tailEnd/>
                      </a:ln>
                    </wps:spPr>
                    <wps:txbx>
                      <w:txbxContent>
                        <w:p w14:paraId="0930644B" w14:textId="77777777" w:rsidR="00C93CCC" w:rsidRDefault="00C93C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F39437" id="_x0000_t202" coordsize="21600,21600" o:spt="202" path="m,l,21600r21600,l21600,xe">
              <v:stroke joinstyle="miter"/>
              <v:path gradientshapeok="t" o:connecttype="rect"/>
            </v:shapetype>
            <v:shape id="Text Box 1" o:spid="_x0000_s1027" type="#_x0000_t202" style="position:absolute;margin-left:-8.5pt;margin-top:400pt;width:538.6pt;height:407.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" o:allowincell="f">
              <v:textbox>
                <w:txbxContent>
                  <w:p w14:paraId="0930644B" w14:textId="77777777" w:rsidR="00C93CCC" w:rsidRDefault="00C93CCC"/>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96B14"/>
    <w:multiLevelType w:val="hybridMultilevel"/>
    <w:tmpl w:val="542C774E"/>
    <w:lvl w:ilvl="0" w:tplc="B2BAFBE0">
      <w:start w:val="1"/>
      <w:numFmt w:val="decimal"/>
      <w:lvlText w:val="%1"/>
      <w:lvlJc w:val="left"/>
      <w:pPr>
        <w:ind w:left="29115" w:hanging="840"/>
      </w:pPr>
      <w:rPr>
        <w:rFonts w:hint="default"/>
      </w:rPr>
    </w:lvl>
    <w:lvl w:ilvl="1" w:tplc="0C0A0019" w:tentative="1">
      <w:start w:val="1"/>
      <w:numFmt w:val="lowerLetter"/>
      <w:lvlText w:val="%2."/>
      <w:lvlJc w:val="left"/>
      <w:pPr>
        <w:ind w:left="29355" w:hanging="360"/>
      </w:pPr>
    </w:lvl>
    <w:lvl w:ilvl="2" w:tplc="0C0A001B" w:tentative="1">
      <w:start w:val="1"/>
      <w:numFmt w:val="lowerRoman"/>
      <w:lvlText w:val="%3."/>
      <w:lvlJc w:val="right"/>
      <w:pPr>
        <w:ind w:left="30075" w:hanging="180"/>
      </w:pPr>
    </w:lvl>
    <w:lvl w:ilvl="3" w:tplc="0C0A000F" w:tentative="1">
      <w:start w:val="1"/>
      <w:numFmt w:val="decimal"/>
      <w:lvlText w:val="%4."/>
      <w:lvlJc w:val="left"/>
      <w:pPr>
        <w:ind w:left="30795" w:hanging="360"/>
      </w:pPr>
    </w:lvl>
    <w:lvl w:ilvl="4" w:tplc="0C0A0019" w:tentative="1">
      <w:start w:val="1"/>
      <w:numFmt w:val="lowerLetter"/>
      <w:lvlText w:val="%5."/>
      <w:lvlJc w:val="left"/>
      <w:pPr>
        <w:ind w:left="31515" w:hanging="360"/>
      </w:pPr>
    </w:lvl>
    <w:lvl w:ilvl="5" w:tplc="0C0A001B" w:tentative="1">
      <w:start w:val="1"/>
      <w:numFmt w:val="lowerRoman"/>
      <w:lvlText w:val="%6."/>
      <w:lvlJc w:val="right"/>
      <w:pPr>
        <w:ind w:left="32235" w:hanging="180"/>
      </w:pPr>
    </w:lvl>
    <w:lvl w:ilvl="6" w:tplc="0C0A000F" w:tentative="1">
      <w:start w:val="1"/>
      <w:numFmt w:val="decimal"/>
      <w:lvlText w:val="%7."/>
      <w:lvlJc w:val="left"/>
      <w:pPr>
        <w:ind w:left="-32581" w:hanging="360"/>
      </w:pPr>
    </w:lvl>
    <w:lvl w:ilvl="7" w:tplc="0C0A0019" w:tentative="1">
      <w:start w:val="1"/>
      <w:numFmt w:val="lowerLetter"/>
      <w:lvlText w:val="%8."/>
      <w:lvlJc w:val="left"/>
      <w:pPr>
        <w:ind w:left="-31861" w:hanging="360"/>
      </w:pPr>
    </w:lvl>
    <w:lvl w:ilvl="8" w:tplc="0C0A001B" w:tentative="1">
      <w:start w:val="1"/>
      <w:numFmt w:val="lowerRoman"/>
      <w:lvlText w:val="%9."/>
      <w:lvlJc w:val="right"/>
      <w:pPr>
        <w:ind w:left="-31141" w:hanging="180"/>
      </w:pPr>
    </w:lvl>
  </w:abstractNum>
  <w:abstractNum w:abstractNumId="1" w15:restartNumberingAfterBreak="0">
    <w:nsid w:val="037E37B5"/>
    <w:multiLevelType w:val="hybridMultilevel"/>
    <w:tmpl w:val="3EA0DAC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7A45B39"/>
    <w:multiLevelType w:val="hybridMultilevel"/>
    <w:tmpl w:val="C6BEE674"/>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3" w15:restartNumberingAfterBreak="0">
    <w:nsid w:val="0885190B"/>
    <w:multiLevelType w:val="hybridMultilevel"/>
    <w:tmpl w:val="EDF21534"/>
    <w:lvl w:ilvl="0" w:tplc="0C0A0017">
      <w:start w:val="1"/>
      <w:numFmt w:val="lowerLetter"/>
      <w:lvlText w:val="%1)"/>
      <w:lvlJc w:val="left"/>
      <w:pPr>
        <w:ind w:left="1776" w:hanging="360"/>
      </w:p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4" w15:restartNumberingAfterBreak="0">
    <w:nsid w:val="0E2128D4"/>
    <w:multiLevelType w:val="hybridMultilevel"/>
    <w:tmpl w:val="76C60BD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0106A9D"/>
    <w:multiLevelType w:val="hybridMultilevel"/>
    <w:tmpl w:val="60C833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1261454"/>
    <w:multiLevelType w:val="hybridMultilevel"/>
    <w:tmpl w:val="131C936C"/>
    <w:lvl w:ilvl="0" w:tplc="2EB8C15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27253EF"/>
    <w:multiLevelType w:val="multilevel"/>
    <w:tmpl w:val="666816CA"/>
    <w:lvl w:ilvl="0">
      <w:start w:val="1"/>
      <w:numFmt w:val="bullet"/>
      <w:lvlText w:val=""/>
      <w:lvlJc w:val="left"/>
      <w:pPr>
        <w:ind w:left="1069" w:hanging="360"/>
      </w:pPr>
      <w:rPr>
        <w:rFonts w:ascii="Symbol" w:hAnsi="Symbol" w:cs="Symbo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8" w15:restartNumberingAfterBreak="0">
    <w:nsid w:val="19FA4502"/>
    <w:multiLevelType w:val="multilevel"/>
    <w:tmpl w:val="F062902C"/>
    <w:lvl w:ilvl="0">
      <w:start w:val="1"/>
      <w:numFmt w:val="lowerLetter"/>
      <w:lvlText w:val="%1)"/>
      <w:lvlJc w:val="left"/>
      <w:pPr>
        <w:ind w:left="644"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B832F5F"/>
    <w:multiLevelType w:val="hybridMultilevel"/>
    <w:tmpl w:val="C7525166"/>
    <w:lvl w:ilvl="0" w:tplc="9264891E">
      <w:start w:val="1"/>
      <w:numFmt w:val="lowerLetter"/>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0" w15:restartNumberingAfterBreak="0">
    <w:nsid w:val="1DCD7FAC"/>
    <w:multiLevelType w:val="multilevel"/>
    <w:tmpl w:val="768EBD0A"/>
    <w:lvl w:ilvl="0">
      <w:start w:val="15"/>
      <w:numFmt w:val="decimal"/>
      <w:lvlText w:val="%1"/>
      <w:lvlJc w:val="left"/>
      <w:pPr>
        <w:ind w:left="375" w:hanging="375"/>
      </w:pPr>
      <w:rPr>
        <w:rFonts w:hint="default"/>
      </w:rPr>
    </w:lvl>
    <w:lvl w:ilvl="1">
      <w:start w:val="6"/>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1FBB6F6B"/>
    <w:multiLevelType w:val="hybridMultilevel"/>
    <w:tmpl w:val="68A05250"/>
    <w:lvl w:ilvl="0" w:tplc="0C0A0017">
      <w:start w:val="1"/>
      <w:numFmt w:val="lowerLetter"/>
      <w:lvlText w:val="%1)"/>
      <w:lvlJc w:val="left"/>
      <w:pPr>
        <w:ind w:left="3337"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3F2211B"/>
    <w:multiLevelType w:val="multilevel"/>
    <w:tmpl w:val="614C401A"/>
    <w:styleLink w:val="WWNum3"/>
    <w:lvl w:ilvl="0">
      <w:start w:val="1"/>
      <w:numFmt w:val="decimal"/>
      <w:lvlText w:val="%1."/>
      <w:lvlJc w:val="left"/>
      <w:pPr>
        <w:ind w:left="360" w:hanging="360"/>
      </w:pPr>
    </w:lvl>
    <w:lvl w:ilvl="1">
      <w:start w:val="1"/>
      <w:numFmt w:val="none"/>
      <w:suff w:val="nothing"/>
      <w:lvlText w:val="%2"/>
      <w:lvlJc w:val="left"/>
      <w:pPr>
        <w:ind w:left="1080" w:hanging="360"/>
      </w:pPr>
    </w:lvl>
    <w:lvl w:ilvl="2">
      <w:start w:val="1"/>
      <w:numFmt w:val="none"/>
      <w:suff w:val="nothing"/>
      <w:lvlText w:val="%3"/>
      <w:lvlJc w:val="left"/>
      <w:pPr>
        <w:ind w:left="1440" w:hanging="360"/>
      </w:pPr>
    </w:lvl>
    <w:lvl w:ilvl="3">
      <w:start w:val="1"/>
      <w:numFmt w:val="none"/>
      <w:suff w:val="nothing"/>
      <w:lvlText w:val="%4"/>
      <w:lvlJc w:val="left"/>
      <w:pPr>
        <w:ind w:left="1800" w:hanging="360"/>
      </w:pPr>
    </w:lvl>
    <w:lvl w:ilvl="4">
      <w:start w:val="1"/>
      <w:numFmt w:val="none"/>
      <w:suff w:val="nothing"/>
      <w:lvlText w:val="%5"/>
      <w:lvlJc w:val="left"/>
      <w:pPr>
        <w:ind w:left="2160" w:hanging="360"/>
      </w:pPr>
    </w:lvl>
    <w:lvl w:ilvl="5">
      <w:start w:val="1"/>
      <w:numFmt w:val="none"/>
      <w:suff w:val="nothing"/>
      <w:lvlText w:val="%6"/>
      <w:lvlJc w:val="left"/>
      <w:pPr>
        <w:ind w:left="2520" w:hanging="360"/>
      </w:pPr>
    </w:lvl>
    <w:lvl w:ilvl="6">
      <w:start w:val="1"/>
      <w:numFmt w:val="none"/>
      <w:suff w:val="nothing"/>
      <w:lvlText w:val="%7"/>
      <w:lvlJc w:val="left"/>
      <w:pPr>
        <w:ind w:left="2880" w:hanging="360"/>
      </w:pPr>
    </w:lvl>
    <w:lvl w:ilvl="7">
      <w:start w:val="1"/>
      <w:numFmt w:val="none"/>
      <w:suff w:val="nothing"/>
      <w:lvlText w:val="%8"/>
      <w:lvlJc w:val="left"/>
      <w:pPr>
        <w:ind w:left="3240" w:hanging="360"/>
      </w:pPr>
    </w:lvl>
    <w:lvl w:ilvl="8">
      <w:start w:val="1"/>
      <w:numFmt w:val="none"/>
      <w:suff w:val="nothing"/>
      <w:lvlText w:val="%9"/>
      <w:lvlJc w:val="left"/>
      <w:pPr>
        <w:ind w:left="3600" w:hanging="360"/>
      </w:pPr>
    </w:lvl>
  </w:abstractNum>
  <w:abstractNum w:abstractNumId="13" w15:restartNumberingAfterBreak="0">
    <w:nsid w:val="26D74DAF"/>
    <w:multiLevelType w:val="hybridMultilevel"/>
    <w:tmpl w:val="CBD8B54E"/>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4" w15:restartNumberingAfterBreak="0">
    <w:nsid w:val="2D7A4F97"/>
    <w:multiLevelType w:val="hybridMultilevel"/>
    <w:tmpl w:val="CCE87788"/>
    <w:lvl w:ilvl="0" w:tplc="3C366EA8">
      <w:start w:val="1"/>
      <w:numFmt w:val="lowerLetter"/>
      <w:lvlText w:val="%1)"/>
      <w:lvlJc w:val="left"/>
      <w:pPr>
        <w:ind w:left="373" w:hanging="360"/>
      </w:pPr>
      <w:rPr>
        <w:rFonts w:hint="default"/>
      </w:rPr>
    </w:lvl>
    <w:lvl w:ilvl="1" w:tplc="0C0A0019" w:tentative="1">
      <w:start w:val="1"/>
      <w:numFmt w:val="lowerLetter"/>
      <w:lvlText w:val="%2."/>
      <w:lvlJc w:val="left"/>
      <w:pPr>
        <w:ind w:left="1093" w:hanging="360"/>
      </w:pPr>
    </w:lvl>
    <w:lvl w:ilvl="2" w:tplc="0C0A001B" w:tentative="1">
      <w:start w:val="1"/>
      <w:numFmt w:val="lowerRoman"/>
      <w:lvlText w:val="%3."/>
      <w:lvlJc w:val="right"/>
      <w:pPr>
        <w:ind w:left="1813" w:hanging="180"/>
      </w:pPr>
    </w:lvl>
    <w:lvl w:ilvl="3" w:tplc="0C0A000F" w:tentative="1">
      <w:start w:val="1"/>
      <w:numFmt w:val="decimal"/>
      <w:lvlText w:val="%4."/>
      <w:lvlJc w:val="left"/>
      <w:pPr>
        <w:ind w:left="2533" w:hanging="360"/>
      </w:pPr>
    </w:lvl>
    <w:lvl w:ilvl="4" w:tplc="0C0A0019" w:tentative="1">
      <w:start w:val="1"/>
      <w:numFmt w:val="lowerLetter"/>
      <w:lvlText w:val="%5."/>
      <w:lvlJc w:val="left"/>
      <w:pPr>
        <w:ind w:left="3253" w:hanging="360"/>
      </w:pPr>
    </w:lvl>
    <w:lvl w:ilvl="5" w:tplc="0C0A001B" w:tentative="1">
      <w:start w:val="1"/>
      <w:numFmt w:val="lowerRoman"/>
      <w:lvlText w:val="%6."/>
      <w:lvlJc w:val="right"/>
      <w:pPr>
        <w:ind w:left="3973" w:hanging="180"/>
      </w:pPr>
    </w:lvl>
    <w:lvl w:ilvl="6" w:tplc="0C0A000F" w:tentative="1">
      <w:start w:val="1"/>
      <w:numFmt w:val="decimal"/>
      <w:lvlText w:val="%7."/>
      <w:lvlJc w:val="left"/>
      <w:pPr>
        <w:ind w:left="4693" w:hanging="360"/>
      </w:pPr>
    </w:lvl>
    <w:lvl w:ilvl="7" w:tplc="0C0A0019" w:tentative="1">
      <w:start w:val="1"/>
      <w:numFmt w:val="lowerLetter"/>
      <w:lvlText w:val="%8."/>
      <w:lvlJc w:val="left"/>
      <w:pPr>
        <w:ind w:left="5413" w:hanging="360"/>
      </w:pPr>
    </w:lvl>
    <w:lvl w:ilvl="8" w:tplc="0C0A001B" w:tentative="1">
      <w:start w:val="1"/>
      <w:numFmt w:val="lowerRoman"/>
      <w:lvlText w:val="%9."/>
      <w:lvlJc w:val="right"/>
      <w:pPr>
        <w:ind w:left="6133" w:hanging="180"/>
      </w:pPr>
    </w:lvl>
  </w:abstractNum>
  <w:abstractNum w:abstractNumId="15" w15:restartNumberingAfterBreak="0">
    <w:nsid w:val="33EA6229"/>
    <w:multiLevelType w:val="hybridMultilevel"/>
    <w:tmpl w:val="14BCE4D6"/>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6" w15:restartNumberingAfterBreak="0">
    <w:nsid w:val="38E60D7E"/>
    <w:multiLevelType w:val="hybridMultilevel"/>
    <w:tmpl w:val="7400A82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DD4218E"/>
    <w:multiLevelType w:val="hybridMultilevel"/>
    <w:tmpl w:val="B40A7106"/>
    <w:lvl w:ilvl="0" w:tplc="1EEEEE46">
      <w:start w:val="4"/>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8" w15:restartNumberingAfterBreak="0">
    <w:nsid w:val="3F1E1148"/>
    <w:multiLevelType w:val="hybridMultilevel"/>
    <w:tmpl w:val="5922E64A"/>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9" w15:restartNumberingAfterBreak="0">
    <w:nsid w:val="44DF5CF3"/>
    <w:multiLevelType w:val="hybridMultilevel"/>
    <w:tmpl w:val="836675F0"/>
    <w:lvl w:ilvl="0" w:tplc="74E61344">
      <w:start w:val="2"/>
      <w:numFmt w:val="bullet"/>
      <w:lvlText w:val="-"/>
      <w:lvlJc w:val="left"/>
      <w:pPr>
        <w:ind w:left="6456"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5324F99"/>
    <w:multiLevelType w:val="hybridMultilevel"/>
    <w:tmpl w:val="0EB6E110"/>
    <w:lvl w:ilvl="0" w:tplc="10388CB2">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1" w15:restartNumberingAfterBreak="0">
    <w:nsid w:val="46AF73D0"/>
    <w:multiLevelType w:val="hybridMultilevel"/>
    <w:tmpl w:val="4B264938"/>
    <w:lvl w:ilvl="0" w:tplc="0C0A0017">
      <w:start w:val="1"/>
      <w:numFmt w:val="lowerLetter"/>
      <w:lvlText w:val="%1)"/>
      <w:lvlJc w:val="left"/>
      <w:pPr>
        <w:ind w:left="704" w:hanging="42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2" w15:restartNumberingAfterBreak="0">
    <w:nsid w:val="48BD3646"/>
    <w:multiLevelType w:val="hybridMultilevel"/>
    <w:tmpl w:val="EB6644F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AB7108E"/>
    <w:multiLevelType w:val="hybridMultilevel"/>
    <w:tmpl w:val="B512019C"/>
    <w:lvl w:ilvl="0" w:tplc="9F2A7DC0">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B276012"/>
    <w:multiLevelType w:val="hybridMultilevel"/>
    <w:tmpl w:val="264A6ABA"/>
    <w:lvl w:ilvl="0" w:tplc="99B8C12C">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5" w15:restartNumberingAfterBreak="0">
    <w:nsid w:val="54742056"/>
    <w:multiLevelType w:val="hybridMultilevel"/>
    <w:tmpl w:val="E222D0B2"/>
    <w:lvl w:ilvl="0" w:tplc="6FDEFA32">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6" w15:restartNumberingAfterBreak="0">
    <w:nsid w:val="65F81EE4"/>
    <w:multiLevelType w:val="hybridMultilevel"/>
    <w:tmpl w:val="C4CAF34C"/>
    <w:lvl w:ilvl="0" w:tplc="0C0A0017">
      <w:start w:val="1"/>
      <w:numFmt w:val="lowerLetter"/>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8A1395B"/>
    <w:multiLevelType w:val="hybridMultilevel"/>
    <w:tmpl w:val="670A681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975788C"/>
    <w:multiLevelType w:val="hybridMultilevel"/>
    <w:tmpl w:val="CAACE7F4"/>
    <w:lvl w:ilvl="0" w:tplc="4CEAFD42">
      <w:start w:val="1"/>
      <w:numFmt w:val="bullet"/>
      <w:lvlText w:val=""/>
      <w:lvlJc w:val="left"/>
      <w:pPr>
        <w:ind w:left="1004" w:hanging="360"/>
      </w:pPr>
      <w:rPr>
        <w:rFonts w:ascii="Symbol" w:hAnsi="Symbol" w:hint="default"/>
      </w:rPr>
    </w:lvl>
    <w:lvl w:ilvl="1" w:tplc="040A0003" w:tentative="1">
      <w:start w:val="1"/>
      <w:numFmt w:val="bullet"/>
      <w:lvlText w:val="o"/>
      <w:lvlJc w:val="left"/>
      <w:pPr>
        <w:ind w:left="1724" w:hanging="360"/>
      </w:pPr>
      <w:rPr>
        <w:rFonts w:ascii="Courier New" w:hAnsi="Courier New" w:cs="Courier New" w:hint="default"/>
      </w:rPr>
    </w:lvl>
    <w:lvl w:ilvl="2" w:tplc="040A0005" w:tentative="1">
      <w:start w:val="1"/>
      <w:numFmt w:val="bullet"/>
      <w:lvlText w:val=""/>
      <w:lvlJc w:val="left"/>
      <w:pPr>
        <w:ind w:left="2444" w:hanging="360"/>
      </w:pPr>
      <w:rPr>
        <w:rFonts w:ascii="Wingdings" w:hAnsi="Wingdings" w:hint="default"/>
      </w:rPr>
    </w:lvl>
    <w:lvl w:ilvl="3" w:tplc="040A0001" w:tentative="1">
      <w:start w:val="1"/>
      <w:numFmt w:val="bullet"/>
      <w:lvlText w:val=""/>
      <w:lvlJc w:val="left"/>
      <w:pPr>
        <w:ind w:left="3164" w:hanging="360"/>
      </w:pPr>
      <w:rPr>
        <w:rFonts w:ascii="Symbol" w:hAnsi="Symbol" w:hint="default"/>
      </w:rPr>
    </w:lvl>
    <w:lvl w:ilvl="4" w:tplc="040A0003" w:tentative="1">
      <w:start w:val="1"/>
      <w:numFmt w:val="bullet"/>
      <w:lvlText w:val="o"/>
      <w:lvlJc w:val="left"/>
      <w:pPr>
        <w:ind w:left="3884" w:hanging="360"/>
      </w:pPr>
      <w:rPr>
        <w:rFonts w:ascii="Courier New" w:hAnsi="Courier New" w:cs="Courier New" w:hint="default"/>
      </w:rPr>
    </w:lvl>
    <w:lvl w:ilvl="5" w:tplc="040A0005" w:tentative="1">
      <w:start w:val="1"/>
      <w:numFmt w:val="bullet"/>
      <w:lvlText w:val=""/>
      <w:lvlJc w:val="left"/>
      <w:pPr>
        <w:ind w:left="4604" w:hanging="360"/>
      </w:pPr>
      <w:rPr>
        <w:rFonts w:ascii="Wingdings" w:hAnsi="Wingdings" w:hint="default"/>
      </w:rPr>
    </w:lvl>
    <w:lvl w:ilvl="6" w:tplc="040A0001" w:tentative="1">
      <w:start w:val="1"/>
      <w:numFmt w:val="bullet"/>
      <w:lvlText w:val=""/>
      <w:lvlJc w:val="left"/>
      <w:pPr>
        <w:ind w:left="5324" w:hanging="360"/>
      </w:pPr>
      <w:rPr>
        <w:rFonts w:ascii="Symbol" w:hAnsi="Symbol" w:hint="default"/>
      </w:rPr>
    </w:lvl>
    <w:lvl w:ilvl="7" w:tplc="040A0003" w:tentative="1">
      <w:start w:val="1"/>
      <w:numFmt w:val="bullet"/>
      <w:lvlText w:val="o"/>
      <w:lvlJc w:val="left"/>
      <w:pPr>
        <w:ind w:left="6044" w:hanging="360"/>
      </w:pPr>
      <w:rPr>
        <w:rFonts w:ascii="Courier New" w:hAnsi="Courier New" w:cs="Courier New" w:hint="default"/>
      </w:rPr>
    </w:lvl>
    <w:lvl w:ilvl="8" w:tplc="040A0005" w:tentative="1">
      <w:start w:val="1"/>
      <w:numFmt w:val="bullet"/>
      <w:lvlText w:val=""/>
      <w:lvlJc w:val="left"/>
      <w:pPr>
        <w:ind w:left="6764" w:hanging="360"/>
      </w:pPr>
      <w:rPr>
        <w:rFonts w:ascii="Wingdings" w:hAnsi="Wingdings" w:hint="default"/>
      </w:rPr>
    </w:lvl>
  </w:abstractNum>
  <w:abstractNum w:abstractNumId="29" w15:restartNumberingAfterBreak="0">
    <w:nsid w:val="69C14C67"/>
    <w:multiLevelType w:val="hybridMultilevel"/>
    <w:tmpl w:val="3EA0DAC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E93567D"/>
    <w:multiLevelType w:val="hybridMultilevel"/>
    <w:tmpl w:val="76C60BD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732804DE"/>
    <w:multiLevelType w:val="hybridMultilevel"/>
    <w:tmpl w:val="043CBBB6"/>
    <w:lvl w:ilvl="0" w:tplc="DD4072F8">
      <w:start w:val="7"/>
      <w:numFmt w:val="bullet"/>
      <w:lvlText w:val="-"/>
      <w:lvlJc w:val="left"/>
      <w:pPr>
        <w:ind w:left="927" w:hanging="360"/>
      </w:pPr>
      <w:rPr>
        <w:rFonts w:ascii="Arial" w:eastAsiaTheme="minorHAnsi" w:hAnsi="Arial" w:cs="Aria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32" w15:restartNumberingAfterBreak="0">
    <w:nsid w:val="74CD22FD"/>
    <w:multiLevelType w:val="multilevel"/>
    <w:tmpl w:val="DFA8C284"/>
    <w:lvl w:ilvl="0">
      <w:start w:val="15"/>
      <w:numFmt w:val="decimal"/>
      <w:lvlText w:val="%1"/>
      <w:lvlJc w:val="left"/>
      <w:pPr>
        <w:ind w:left="375" w:hanging="375"/>
      </w:pPr>
      <w:rPr>
        <w:rFonts w:hint="default"/>
      </w:rPr>
    </w:lvl>
    <w:lvl w:ilvl="1">
      <w:start w:val="6"/>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546" w:hanging="72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5790" w:hanging="108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034" w:hanging="1440"/>
      </w:pPr>
      <w:rPr>
        <w:rFonts w:hint="default"/>
      </w:rPr>
    </w:lvl>
    <w:lvl w:ilvl="8">
      <w:start w:val="1"/>
      <w:numFmt w:val="decimal"/>
      <w:lvlText w:val="%1.%2.%3.%4.%5.%6.%7.%8.%9"/>
      <w:lvlJc w:val="left"/>
      <w:pPr>
        <w:ind w:left="8976" w:hanging="1440"/>
      </w:pPr>
      <w:rPr>
        <w:rFonts w:hint="default"/>
      </w:rPr>
    </w:lvl>
  </w:abstractNum>
  <w:abstractNum w:abstractNumId="33" w15:restartNumberingAfterBreak="0">
    <w:nsid w:val="7BBB7816"/>
    <w:multiLevelType w:val="hybridMultilevel"/>
    <w:tmpl w:val="4EE4F858"/>
    <w:lvl w:ilvl="0" w:tplc="0C0A000F">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num w:numId="1" w16cid:durableId="806165444">
    <w:abstractNumId w:val="13"/>
  </w:num>
  <w:num w:numId="2" w16cid:durableId="640647079">
    <w:abstractNumId w:val="3"/>
  </w:num>
  <w:num w:numId="3" w16cid:durableId="776681883">
    <w:abstractNumId w:val="2"/>
  </w:num>
  <w:num w:numId="4" w16cid:durableId="295841785">
    <w:abstractNumId w:val="18"/>
  </w:num>
  <w:num w:numId="5" w16cid:durableId="838276280">
    <w:abstractNumId w:val="28"/>
  </w:num>
  <w:num w:numId="6" w16cid:durableId="571279413">
    <w:abstractNumId w:val="31"/>
  </w:num>
  <w:num w:numId="7" w16cid:durableId="782578975">
    <w:abstractNumId w:val="12"/>
  </w:num>
  <w:num w:numId="8" w16cid:durableId="1270163073">
    <w:abstractNumId w:val="12"/>
    <w:lvlOverride w:ilvl="0">
      <w:startOverride w:val="1"/>
    </w:lvlOverride>
  </w:num>
  <w:num w:numId="9" w16cid:durableId="158887420">
    <w:abstractNumId w:val="1"/>
  </w:num>
  <w:num w:numId="10" w16cid:durableId="1676878742">
    <w:abstractNumId w:val="29"/>
  </w:num>
  <w:num w:numId="11" w16cid:durableId="2055226268">
    <w:abstractNumId w:val="5"/>
  </w:num>
  <w:num w:numId="12" w16cid:durableId="1522432203">
    <w:abstractNumId w:val="20"/>
  </w:num>
  <w:num w:numId="13" w16cid:durableId="291982446">
    <w:abstractNumId w:val="19"/>
  </w:num>
  <w:num w:numId="14" w16cid:durableId="2104302648">
    <w:abstractNumId w:val="0"/>
  </w:num>
  <w:num w:numId="15" w16cid:durableId="594635587">
    <w:abstractNumId w:val="24"/>
  </w:num>
  <w:num w:numId="16" w16cid:durableId="649208695">
    <w:abstractNumId w:val="9"/>
  </w:num>
  <w:num w:numId="17" w16cid:durableId="1010789022">
    <w:abstractNumId w:val="11"/>
  </w:num>
  <w:num w:numId="18" w16cid:durableId="772552138">
    <w:abstractNumId w:val="14"/>
  </w:num>
  <w:num w:numId="19" w16cid:durableId="338392972">
    <w:abstractNumId w:val="16"/>
  </w:num>
  <w:num w:numId="20" w16cid:durableId="677078459">
    <w:abstractNumId w:val="22"/>
  </w:num>
  <w:num w:numId="21" w16cid:durableId="888809413">
    <w:abstractNumId w:val="15"/>
  </w:num>
  <w:num w:numId="22" w16cid:durableId="487944804">
    <w:abstractNumId w:val="10"/>
  </w:num>
  <w:num w:numId="23" w16cid:durableId="1331299523">
    <w:abstractNumId w:val="32"/>
  </w:num>
  <w:num w:numId="24" w16cid:durableId="262542336">
    <w:abstractNumId w:val="6"/>
  </w:num>
  <w:num w:numId="25" w16cid:durableId="669719516">
    <w:abstractNumId w:val="4"/>
  </w:num>
  <w:num w:numId="26" w16cid:durableId="809595804">
    <w:abstractNumId w:val="17"/>
  </w:num>
  <w:num w:numId="27" w16cid:durableId="940382160">
    <w:abstractNumId w:val="30"/>
  </w:num>
  <w:num w:numId="28" w16cid:durableId="644630731">
    <w:abstractNumId w:val="27"/>
  </w:num>
  <w:num w:numId="29" w16cid:durableId="4384505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65157183">
    <w:abstractNumId w:val="26"/>
  </w:num>
  <w:num w:numId="31" w16cid:durableId="681014506">
    <w:abstractNumId w:val="33"/>
  </w:num>
  <w:num w:numId="32" w16cid:durableId="82923998">
    <w:abstractNumId w:val="8"/>
  </w:num>
  <w:num w:numId="33" w16cid:durableId="609434477">
    <w:abstractNumId w:val="7"/>
  </w:num>
  <w:num w:numId="34" w16cid:durableId="1394111462">
    <w:abstractNumId w:val="23"/>
  </w:num>
  <w:num w:numId="35" w16cid:durableId="581530033">
    <w:abstractNumId w:val="25"/>
  </w:num>
  <w:num w:numId="36" w16cid:durableId="9846294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CCC"/>
    <w:rsid w:val="000370F1"/>
    <w:rsid w:val="000760AB"/>
    <w:rsid w:val="000C089F"/>
    <w:rsid w:val="001F7365"/>
    <w:rsid w:val="002B64A6"/>
    <w:rsid w:val="004D344F"/>
    <w:rsid w:val="00513973"/>
    <w:rsid w:val="00546D77"/>
    <w:rsid w:val="00717198"/>
    <w:rsid w:val="007C6042"/>
    <w:rsid w:val="008577E8"/>
    <w:rsid w:val="008D3E08"/>
    <w:rsid w:val="00991C0F"/>
    <w:rsid w:val="009B305A"/>
    <w:rsid w:val="00B00277"/>
    <w:rsid w:val="00B369EC"/>
    <w:rsid w:val="00B66224"/>
    <w:rsid w:val="00BC3417"/>
    <w:rsid w:val="00BD54D4"/>
    <w:rsid w:val="00C93CCC"/>
    <w:rsid w:val="00CE0018"/>
    <w:rsid w:val="00D60A1D"/>
    <w:rsid w:val="00E379B2"/>
    <w:rsid w:val="00E605F9"/>
    <w:rsid w:val="00EA33B6"/>
    <w:rsid w:val="00EB4797"/>
    <w:rsid w:val="00F00583"/>
    <w:rsid w:val="00F34379"/>
    <w:rsid w:val="00F43C1F"/>
    <w:rsid w:val="00F96586"/>
    <w:rsid w:val="00FD45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DB9D97"/>
  <w15:chartTrackingRefBased/>
  <w15:docId w15:val="{D5C0325E-C9FD-4E76-A1D4-6A1D1B83B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Body Text Indent 2"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0760AB"/>
    <w:pPr>
      <w:keepNext/>
      <w:spacing w:before="240" w:after="60"/>
      <w:outlineLvl w:val="0"/>
    </w:pPr>
    <w:rPr>
      <w:rFonts w:ascii="Calibri Light" w:hAnsi="Calibri Light"/>
      <w:color w:val="2E74B5"/>
      <w:sz w:val="32"/>
      <w:szCs w:val="32"/>
    </w:rPr>
  </w:style>
  <w:style w:type="paragraph" w:styleId="Heading2">
    <w:name w:val="heading 2"/>
    <w:basedOn w:val="Normal"/>
    <w:next w:val="Normal"/>
    <w:link w:val="Heading2Char"/>
    <w:uiPriority w:val="9"/>
    <w:semiHidden/>
    <w:unhideWhenUsed/>
    <w:qFormat/>
    <w:rsid w:val="000760AB"/>
    <w:pPr>
      <w:keepNext/>
      <w:spacing w:before="240" w:after="60"/>
      <w:outlineLvl w:val="1"/>
    </w:pPr>
    <w:rPr>
      <w:rFonts w:ascii="Calibri Light" w:hAnsi="Calibri Light"/>
      <w:color w:val="2E74B5"/>
      <w:sz w:val="26"/>
      <w:szCs w:val="26"/>
    </w:rPr>
  </w:style>
  <w:style w:type="paragraph" w:styleId="Heading4">
    <w:name w:val="heading 4"/>
    <w:basedOn w:val="Normal"/>
    <w:next w:val="Normal"/>
    <w:link w:val="Heading4Char"/>
    <w:uiPriority w:val="9"/>
    <w:unhideWhenUsed/>
    <w:qFormat/>
    <w:rsid w:val="000760AB"/>
    <w:pPr>
      <w:keepNext/>
      <w:suppressAutoHyphens/>
      <w:spacing w:before="240" w:after="60"/>
      <w:outlineLvl w:val="3"/>
    </w:pPr>
    <w:rPr>
      <w:rFonts w:ascii="Calibri" w:hAnsi="Calibri"/>
      <w:b/>
      <w:bCs/>
      <w:sz w:val="28"/>
      <w:szCs w:val="2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252"/>
        <w:tab w:val="right" w:pos="8504"/>
      </w:tabs>
    </w:pPr>
  </w:style>
  <w:style w:type="paragraph" w:styleId="Footer">
    <w:name w:val="footer"/>
    <w:basedOn w:val="Normal"/>
    <w:link w:val="FooterChar"/>
    <w:uiPriority w:val="99"/>
    <w:pPr>
      <w:tabs>
        <w:tab w:val="center" w:pos="4252"/>
        <w:tab w:val="right" w:pos="8504"/>
      </w:tabs>
    </w:pPr>
  </w:style>
  <w:style w:type="character" w:styleId="PageNumber">
    <w:name w:val="page number"/>
    <w:basedOn w:val="DefaultParagraphFont"/>
  </w:style>
  <w:style w:type="paragraph" w:styleId="BlockText">
    <w:name w:val="Block Text"/>
    <w:basedOn w:val="Normal"/>
    <w:pPr>
      <w:ind w:left="540" w:right="892"/>
      <w:jc w:val="both"/>
    </w:pPr>
    <w:rPr>
      <w:rFonts w:ascii="Arial" w:hAnsi="Arial"/>
      <w:sz w:val="28"/>
    </w:rPr>
  </w:style>
  <w:style w:type="paragraph" w:styleId="FootnoteText">
    <w:name w:val="footnote text"/>
    <w:basedOn w:val="Normal"/>
    <w:link w:val="FootnoteTextChar"/>
    <w:rsid w:val="008577E8"/>
    <w:rPr>
      <w:sz w:val="20"/>
      <w:szCs w:val="20"/>
    </w:rPr>
  </w:style>
  <w:style w:type="character" w:customStyle="1" w:styleId="FootnoteTextChar">
    <w:name w:val="Footnote Text Char"/>
    <w:link w:val="FootnoteText"/>
    <w:rsid w:val="008577E8"/>
    <w:rPr>
      <w:lang w:val="sl-SI" w:eastAsia="es-ES" w:bidi="ar-SA"/>
    </w:rPr>
  </w:style>
  <w:style w:type="paragraph" w:customStyle="1" w:styleId="Ttulo11">
    <w:name w:val="Título 11"/>
    <w:basedOn w:val="Normal"/>
    <w:next w:val="Normal"/>
    <w:uiPriority w:val="9"/>
    <w:qFormat/>
    <w:rsid w:val="000760AB"/>
    <w:pPr>
      <w:keepNext/>
      <w:keepLines/>
      <w:spacing w:before="240" w:line="259" w:lineRule="auto"/>
      <w:outlineLvl w:val="0"/>
    </w:pPr>
    <w:rPr>
      <w:rFonts w:ascii="Calibri Light" w:hAnsi="Calibri Light"/>
      <w:color w:val="2E74B5"/>
      <w:sz w:val="32"/>
      <w:szCs w:val="32"/>
      <w:lang w:eastAsia="en-US"/>
    </w:rPr>
  </w:style>
  <w:style w:type="paragraph" w:customStyle="1" w:styleId="Ttulo21">
    <w:name w:val="Título 21"/>
    <w:basedOn w:val="Normal"/>
    <w:next w:val="Normal"/>
    <w:uiPriority w:val="9"/>
    <w:semiHidden/>
    <w:unhideWhenUsed/>
    <w:qFormat/>
    <w:rsid w:val="000760AB"/>
    <w:pPr>
      <w:keepNext/>
      <w:keepLines/>
      <w:spacing w:before="40" w:line="259" w:lineRule="auto"/>
      <w:outlineLvl w:val="1"/>
    </w:pPr>
    <w:rPr>
      <w:rFonts w:ascii="Calibri Light" w:hAnsi="Calibri Light"/>
      <w:color w:val="2E74B5"/>
      <w:sz w:val="26"/>
      <w:szCs w:val="26"/>
      <w:lang w:eastAsia="en-US"/>
    </w:rPr>
  </w:style>
  <w:style w:type="character" w:customStyle="1" w:styleId="Heading4Char">
    <w:name w:val="Heading 4 Char"/>
    <w:basedOn w:val="DefaultParagraphFont"/>
    <w:link w:val="Heading4"/>
    <w:uiPriority w:val="9"/>
    <w:rsid w:val="000760AB"/>
    <w:rPr>
      <w:rFonts w:ascii="Calibri" w:hAnsi="Calibri"/>
      <w:b/>
      <w:bCs/>
      <w:sz w:val="28"/>
      <w:szCs w:val="28"/>
      <w:lang w:eastAsia="zh-CN"/>
    </w:rPr>
  </w:style>
  <w:style w:type="numbering" w:customStyle="1" w:styleId="Sinlista1">
    <w:name w:val="Sin lista1"/>
    <w:next w:val="NoList"/>
    <w:uiPriority w:val="99"/>
    <w:semiHidden/>
    <w:unhideWhenUsed/>
    <w:rsid w:val="000760AB"/>
  </w:style>
  <w:style w:type="character" w:customStyle="1" w:styleId="Heading1Char">
    <w:name w:val="Heading 1 Char"/>
    <w:link w:val="Heading1"/>
    <w:uiPriority w:val="9"/>
    <w:rsid w:val="000760AB"/>
    <w:rPr>
      <w:rFonts w:ascii="Calibri Light" w:eastAsia="Times New Roman" w:hAnsi="Calibri Light" w:cs="Times New Roman"/>
      <w:color w:val="2E74B5"/>
      <w:sz w:val="32"/>
      <w:szCs w:val="32"/>
    </w:rPr>
  </w:style>
  <w:style w:type="character" w:customStyle="1" w:styleId="Heading2Char">
    <w:name w:val="Heading 2 Char"/>
    <w:link w:val="Heading2"/>
    <w:uiPriority w:val="9"/>
    <w:semiHidden/>
    <w:rsid w:val="000760AB"/>
    <w:rPr>
      <w:rFonts w:ascii="Calibri Light" w:eastAsia="Times New Roman" w:hAnsi="Calibri Light" w:cs="Times New Roman"/>
      <w:color w:val="2E74B5"/>
      <w:sz w:val="26"/>
      <w:szCs w:val="26"/>
    </w:rPr>
  </w:style>
  <w:style w:type="paragraph" w:customStyle="1" w:styleId="Prrafodelista1">
    <w:name w:val="Párrafo de lista1"/>
    <w:basedOn w:val="Normal"/>
    <w:next w:val="ListParagraph"/>
    <w:uiPriority w:val="34"/>
    <w:qFormat/>
    <w:rsid w:val="000760AB"/>
    <w:pPr>
      <w:spacing w:after="160" w:line="259" w:lineRule="auto"/>
      <w:ind w:left="720"/>
      <w:contextualSpacing/>
    </w:pPr>
    <w:rPr>
      <w:rFonts w:ascii="Calibri" w:eastAsia="Calibri" w:hAnsi="Calibri"/>
      <w:sz w:val="22"/>
      <w:szCs w:val="22"/>
      <w:lang w:eastAsia="en-US"/>
    </w:rPr>
  </w:style>
  <w:style w:type="character" w:styleId="CommentReference">
    <w:name w:val="annotation reference"/>
    <w:unhideWhenUsed/>
    <w:rsid w:val="000760AB"/>
    <w:rPr>
      <w:sz w:val="16"/>
      <w:szCs w:val="16"/>
    </w:rPr>
  </w:style>
  <w:style w:type="paragraph" w:customStyle="1" w:styleId="Textocomentario1">
    <w:name w:val="Texto comentario1"/>
    <w:basedOn w:val="Normal"/>
    <w:next w:val="CommentText"/>
    <w:link w:val="TextocomentarioCar"/>
    <w:unhideWhenUsed/>
    <w:qFormat/>
    <w:rsid w:val="000760AB"/>
    <w:pPr>
      <w:spacing w:after="160"/>
    </w:pPr>
    <w:rPr>
      <w:sz w:val="20"/>
      <w:szCs w:val="20"/>
    </w:rPr>
  </w:style>
  <w:style w:type="character" w:customStyle="1" w:styleId="TextocomentarioCar">
    <w:name w:val="Texto comentario Car"/>
    <w:link w:val="Textocomentario1"/>
    <w:rsid w:val="000760AB"/>
    <w:rPr>
      <w:sz w:val="20"/>
      <w:szCs w:val="20"/>
    </w:rPr>
  </w:style>
  <w:style w:type="paragraph" w:customStyle="1" w:styleId="Textodeglobo1">
    <w:name w:val="Texto de globo1"/>
    <w:basedOn w:val="Normal"/>
    <w:next w:val="BalloonText"/>
    <w:link w:val="TextodegloboCar"/>
    <w:uiPriority w:val="99"/>
    <w:semiHidden/>
    <w:unhideWhenUsed/>
    <w:rsid w:val="000760AB"/>
    <w:rPr>
      <w:rFonts w:ascii="Segoe UI" w:hAnsi="Segoe UI" w:cs="Segoe UI"/>
      <w:sz w:val="18"/>
      <w:szCs w:val="18"/>
    </w:rPr>
  </w:style>
  <w:style w:type="character" w:customStyle="1" w:styleId="TextodegloboCar">
    <w:name w:val="Texto de globo Car"/>
    <w:link w:val="Textodeglobo1"/>
    <w:uiPriority w:val="99"/>
    <w:semiHidden/>
    <w:rsid w:val="000760AB"/>
    <w:rPr>
      <w:rFonts w:ascii="Segoe UI" w:hAnsi="Segoe UI" w:cs="Segoe UI"/>
      <w:sz w:val="18"/>
      <w:szCs w:val="18"/>
    </w:rPr>
  </w:style>
  <w:style w:type="paragraph" w:customStyle="1" w:styleId="Asuntodelcomentario1">
    <w:name w:val="Asunto del comentario1"/>
    <w:basedOn w:val="CommentText"/>
    <w:next w:val="CommentText"/>
    <w:uiPriority w:val="99"/>
    <w:semiHidden/>
    <w:unhideWhenUsed/>
    <w:rsid w:val="000760AB"/>
    <w:pPr>
      <w:spacing w:after="160"/>
    </w:pPr>
    <w:rPr>
      <w:rFonts w:ascii="Calibri" w:eastAsia="Calibri" w:hAnsi="Calibri"/>
      <w:b/>
      <w:bCs/>
      <w:lang w:eastAsia="en-US"/>
    </w:rPr>
  </w:style>
  <w:style w:type="character" w:customStyle="1" w:styleId="CommentSubjectChar">
    <w:name w:val="Comment Subject Char"/>
    <w:link w:val="CommentSubject"/>
    <w:uiPriority w:val="99"/>
    <w:semiHidden/>
    <w:rsid w:val="000760AB"/>
    <w:rPr>
      <w:b/>
      <w:bCs/>
      <w:sz w:val="20"/>
      <w:szCs w:val="20"/>
    </w:rPr>
  </w:style>
  <w:style w:type="character" w:customStyle="1" w:styleId="HeaderChar">
    <w:name w:val="Header Char"/>
    <w:basedOn w:val="DefaultParagraphFont"/>
    <w:link w:val="Header"/>
    <w:uiPriority w:val="99"/>
    <w:rsid w:val="000760AB"/>
    <w:rPr>
      <w:sz w:val="24"/>
      <w:szCs w:val="24"/>
    </w:rPr>
  </w:style>
  <w:style w:type="character" w:customStyle="1" w:styleId="FooterChar">
    <w:name w:val="Footer Char"/>
    <w:basedOn w:val="DefaultParagraphFont"/>
    <w:link w:val="Footer"/>
    <w:uiPriority w:val="99"/>
    <w:rsid w:val="000760AB"/>
    <w:rPr>
      <w:sz w:val="24"/>
      <w:szCs w:val="24"/>
    </w:rPr>
  </w:style>
  <w:style w:type="table" w:customStyle="1" w:styleId="Tablaconcuadrcula1">
    <w:name w:val="Tabla con cuadrícula1"/>
    <w:basedOn w:val="TableNormal"/>
    <w:next w:val="TableGrid"/>
    <w:uiPriority w:val="39"/>
    <w:rsid w:val="000760A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760AB"/>
    <w:pPr>
      <w:autoSpaceDE w:val="0"/>
      <w:autoSpaceDN w:val="0"/>
      <w:adjustRightInd w:val="0"/>
    </w:pPr>
    <w:rPr>
      <w:rFonts w:ascii="Arial" w:eastAsia="Calibri" w:hAnsi="Arial" w:cs="Arial"/>
      <w:color w:val="000000"/>
      <w:sz w:val="24"/>
      <w:szCs w:val="24"/>
      <w:lang w:eastAsia="en-US"/>
    </w:rPr>
  </w:style>
  <w:style w:type="character" w:customStyle="1" w:styleId="st1">
    <w:name w:val="st1"/>
    <w:basedOn w:val="DefaultParagraphFont"/>
    <w:rsid w:val="000760AB"/>
  </w:style>
  <w:style w:type="paragraph" w:customStyle="1" w:styleId="CTENumeracion">
    <w:name w:val="CTE_Numeracion"/>
    <w:basedOn w:val="Normal"/>
    <w:qFormat/>
    <w:rsid w:val="000760AB"/>
    <w:pPr>
      <w:spacing w:before="60" w:after="60"/>
      <w:ind w:left="357" w:hanging="357"/>
      <w:jc w:val="both"/>
    </w:pPr>
    <w:rPr>
      <w:rFonts w:ascii="Arial" w:hAnsi="Arial"/>
      <w:sz w:val="20"/>
    </w:rPr>
  </w:style>
  <w:style w:type="character" w:customStyle="1" w:styleId="CTEModTachaprob">
    <w:name w:val="CTE_Mod_Tach_aprob"/>
    <w:rsid w:val="000760AB"/>
    <w:rPr>
      <w:strike w:val="0"/>
      <w:dstrike w:val="0"/>
      <w:shd w:val="clear" w:color="auto" w:fill="FFFF00"/>
    </w:rPr>
  </w:style>
  <w:style w:type="paragraph" w:styleId="BodyTextIndent2">
    <w:name w:val="Body Text Indent 2"/>
    <w:basedOn w:val="Normal"/>
    <w:link w:val="BodyTextIndent2Char"/>
    <w:uiPriority w:val="99"/>
    <w:unhideWhenUsed/>
    <w:rsid w:val="000760AB"/>
    <w:pPr>
      <w:suppressAutoHyphens/>
      <w:spacing w:after="120" w:line="480" w:lineRule="auto"/>
      <w:ind w:left="283"/>
    </w:pPr>
    <w:rPr>
      <w:sz w:val="20"/>
      <w:szCs w:val="20"/>
      <w:lang w:eastAsia="zh-CN"/>
    </w:rPr>
  </w:style>
  <w:style w:type="character" w:customStyle="1" w:styleId="BodyTextIndent2Char">
    <w:name w:val="Body Text Indent 2 Char"/>
    <w:basedOn w:val="DefaultParagraphFont"/>
    <w:link w:val="BodyTextIndent2"/>
    <w:uiPriority w:val="99"/>
    <w:rsid w:val="000760AB"/>
    <w:rPr>
      <w:lang w:eastAsia="zh-CN"/>
    </w:rPr>
  </w:style>
  <w:style w:type="paragraph" w:customStyle="1" w:styleId="CteTtulo3">
    <w:name w:val="CteTítulo3"/>
    <w:basedOn w:val="Normal"/>
    <w:next w:val="Normal"/>
    <w:autoRedefine/>
    <w:rsid w:val="000760AB"/>
    <w:pPr>
      <w:keepNext/>
      <w:numPr>
        <w:ilvl w:val="2"/>
      </w:numPr>
      <w:spacing w:before="60" w:after="120"/>
      <w:ind w:left="851"/>
      <w:jc w:val="both"/>
      <w:outlineLvl w:val="3"/>
    </w:pPr>
    <w:rPr>
      <w:rFonts w:ascii="Arial" w:hAnsi="Arial"/>
      <w:b/>
      <w:bCs/>
      <w:sz w:val="22"/>
      <w:szCs w:val="22"/>
      <w:lang w:eastAsia="zh-CN"/>
    </w:rPr>
  </w:style>
  <w:style w:type="paragraph" w:customStyle="1" w:styleId="CteAnejo-TituloSeccion">
    <w:name w:val="CteAnejo-TituloSeccion"/>
    <w:basedOn w:val="Normal"/>
    <w:rsid w:val="000760AB"/>
    <w:pPr>
      <w:keepNext/>
      <w:spacing w:before="480" w:after="160"/>
      <w:outlineLvl w:val="0"/>
    </w:pPr>
    <w:rPr>
      <w:rFonts w:ascii="Arial" w:hAnsi="Arial"/>
      <w:b/>
      <w:bCs/>
      <w:sz w:val="32"/>
    </w:rPr>
  </w:style>
  <w:style w:type="character" w:customStyle="1" w:styleId="EstiloCTEModTachaprob16ptNegritaSinTachado">
    <w:name w:val="Estilo CTE_Mod_Tach_aprob + 16 pt Negrita Sin Tachado"/>
    <w:rsid w:val="000760AB"/>
    <w:rPr>
      <w:rFonts w:ascii="Arial" w:hAnsi="Arial"/>
      <w:b/>
      <w:bCs/>
      <w:strike/>
      <w:dstrike w:val="0"/>
      <w:sz w:val="32"/>
      <w:bdr w:val="none" w:sz="0" w:space="0" w:color="auto"/>
      <w:shd w:val="clear" w:color="auto" w:fill="auto"/>
    </w:rPr>
  </w:style>
  <w:style w:type="character" w:customStyle="1" w:styleId="EstiloCTEModTachaprobSinTachado">
    <w:name w:val="Estilo CTE_Mod_Tach_aprob + Sin Tachado"/>
    <w:rsid w:val="000760AB"/>
    <w:rPr>
      <w:strike/>
      <w:dstrike w:val="0"/>
      <w:bdr w:val="none" w:sz="0" w:space="0" w:color="auto"/>
      <w:shd w:val="clear" w:color="auto" w:fill="auto"/>
    </w:rPr>
  </w:style>
  <w:style w:type="paragraph" w:customStyle="1" w:styleId="Textoindependiente1">
    <w:name w:val="Texto independiente1"/>
    <w:basedOn w:val="Normal"/>
    <w:next w:val="BodyText"/>
    <w:link w:val="TextoindependienteCar"/>
    <w:uiPriority w:val="99"/>
    <w:semiHidden/>
    <w:unhideWhenUsed/>
    <w:rsid w:val="000760AB"/>
    <w:pPr>
      <w:spacing w:after="120" w:line="259" w:lineRule="auto"/>
    </w:pPr>
    <w:rPr>
      <w:sz w:val="20"/>
      <w:szCs w:val="20"/>
    </w:rPr>
  </w:style>
  <w:style w:type="character" w:customStyle="1" w:styleId="TextoindependienteCar">
    <w:name w:val="Texto independiente Car"/>
    <w:basedOn w:val="DefaultParagraphFont"/>
    <w:link w:val="Textoindependiente1"/>
    <w:uiPriority w:val="99"/>
    <w:semiHidden/>
    <w:rsid w:val="000760AB"/>
  </w:style>
  <w:style w:type="paragraph" w:customStyle="1" w:styleId="nota">
    <w:name w:val="nota"/>
    <w:basedOn w:val="Normal"/>
    <w:rsid w:val="000760AB"/>
    <w:pPr>
      <w:tabs>
        <w:tab w:val="left" w:pos="1122"/>
        <w:tab w:val="left" w:pos="1309"/>
      </w:tabs>
      <w:jc w:val="both"/>
    </w:pPr>
    <w:rPr>
      <w:rFonts w:ascii="Arial" w:hAnsi="Arial" w:cs="Arial"/>
      <w:bCs/>
      <w:sz w:val="20"/>
    </w:rPr>
  </w:style>
  <w:style w:type="paragraph" w:customStyle="1" w:styleId="Ttulo1CTE">
    <w:name w:val="Título1CTE"/>
    <w:basedOn w:val="Heading1"/>
    <w:next w:val="Normal"/>
    <w:autoRedefine/>
    <w:rsid w:val="000760AB"/>
  </w:style>
  <w:style w:type="paragraph" w:customStyle="1" w:styleId="artculo-tex">
    <w:name w:val="artículo-tex"/>
    <w:basedOn w:val="Normal"/>
    <w:rsid w:val="000760AB"/>
    <w:pPr>
      <w:pBdr>
        <w:top w:val="single" w:sz="4" w:space="1" w:color="00000A"/>
        <w:left w:val="single" w:sz="4" w:space="4" w:color="00000A"/>
        <w:bottom w:val="single" w:sz="4" w:space="1" w:color="00000A"/>
        <w:right w:val="single" w:sz="4" w:space="4" w:color="00000A"/>
      </w:pBdr>
      <w:suppressAutoHyphens/>
      <w:autoSpaceDN w:val="0"/>
      <w:spacing w:before="60" w:after="60"/>
      <w:textAlignment w:val="baseline"/>
    </w:pPr>
    <w:rPr>
      <w:rFonts w:ascii="Arial" w:eastAsia="Arial" w:hAnsi="Arial" w:cs="Arial"/>
      <w:kern w:val="3"/>
      <w:sz w:val="22"/>
      <w:lang w:bidi="hi-IN"/>
    </w:rPr>
  </w:style>
  <w:style w:type="numbering" w:customStyle="1" w:styleId="WWNum3">
    <w:name w:val="WWNum3"/>
    <w:basedOn w:val="NoList"/>
    <w:rsid w:val="000760AB"/>
    <w:pPr>
      <w:numPr>
        <w:numId w:val="7"/>
      </w:numPr>
    </w:pPr>
  </w:style>
  <w:style w:type="paragraph" w:customStyle="1" w:styleId="Revisin1">
    <w:name w:val="Revisión1"/>
    <w:next w:val="Revision"/>
    <w:hidden/>
    <w:uiPriority w:val="99"/>
    <w:semiHidden/>
    <w:rsid w:val="000760AB"/>
    <w:rPr>
      <w:rFonts w:ascii="Calibri" w:eastAsia="Calibri" w:hAnsi="Calibri"/>
      <w:sz w:val="22"/>
      <w:szCs w:val="22"/>
      <w:lang w:eastAsia="en-US"/>
    </w:rPr>
  </w:style>
  <w:style w:type="paragraph" w:customStyle="1" w:styleId="NormalWeb1">
    <w:name w:val="Normal (Web)1"/>
    <w:basedOn w:val="Normal"/>
    <w:next w:val="NormalWeb"/>
    <w:uiPriority w:val="99"/>
    <w:semiHidden/>
    <w:unhideWhenUsed/>
    <w:rsid w:val="000760AB"/>
    <w:pPr>
      <w:spacing w:before="100" w:beforeAutospacing="1" w:after="100" w:afterAutospacing="1"/>
    </w:pPr>
    <w:rPr>
      <w:rFonts w:eastAsia="Calibri"/>
    </w:rPr>
  </w:style>
  <w:style w:type="paragraph" w:customStyle="1" w:styleId="CTENormal">
    <w:name w:val="CTE_Normal"/>
    <w:basedOn w:val="Normal"/>
    <w:qFormat/>
    <w:rsid w:val="000760AB"/>
    <w:pPr>
      <w:spacing w:before="200" w:after="100"/>
    </w:pPr>
    <w:rPr>
      <w:rFonts w:ascii="Arial" w:eastAsia="Arial" w:hAnsi="Arial" w:cs="Arial"/>
      <w:kern w:val="2"/>
      <w:sz w:val="22"/>
      <w:lang w:eastAsia="zh-CN" w:bidi="hi-IN"/>
    </w:rPr>
  </w:style>
  <w:style w:type="paragraph" w:customStyle="1" w:styleId="CteTtulo2">
    <w:name w:val="CteTítulo2"/>
    <w:basedOn w:val="Heading2"/>
    <w:qFormat/>
    <w:rsid w:val="000760AB"/>
  </w:style>
  <w:style w:type="character" w:customStyle="1" w:styleId="Ninguno">
    <w:name w:val="Ninguno"/>
    <w:rsid w:val="000760AB"/>
  </w:style>
  <w:style w:type="character" w:customStyle="1" w:styleId="Ttulo1Car1">
    <w:name w:val="Título 1 Car1"/>
    <w:basedOn w:val="DefaultParagraphFont"/>
    <w:rsid w:val="000760AB"/>
    <w:rPr>
      <w:rFonts w:asciiTheme="majorHAnsi" w:eastAsiaTheme="majorEastAsia" w:hAnsiTheme="majorHAnsi" w:cstheme="majorBidi"/>
      <w:b/>
      <w:bCs/>
      <w:kern w:val="32"/>
      <w:sz w:val="32"/>
      <w:szCs w:val="32"/>
    </w:rPr>
  </w:style>
  <w:style w:type="character" w:customStyle="1" w:styleId="Ttulo2Car1">
    <w:name w:val="Título 2 Car1"/>
    <w:basedOn w:val="DefaultParagraphFont"/>
    <w:semiHidden/>
    <w:rsid w:val="000760AB"/>
    <w:rPr>
      <w:rFonts w:asciiTheme="majorHAnsi" w:eastAsiaTheme="majorEastAsia" w:hAnsiTheme="majorHAnsi" w:cstheme="majorBidi"/>
      <w:b/>
      <w:bCs/>
      <w:i/>
      <w:iCs/>
      <w:sz w:val="28"/>
      <w:szCs w:val="28"/>
    </w:rPr>
  </w:style>
  <w:style w:type="paragraph" w:styleId="ListParagraph">
    <w:name w:val="List Paragraph"/>
    <w:basedOn w:val="Normal"/>
    <w:uiPriority w:val="34"/>
    <w:qFormat/>
    <w:rsid w:val="000760AB"/>
    <w:pPr>
      <w:ind w:left="708"/>
    </w:pPr>
  </w:style>
  <w:style w:type="paragraph" w:styleId="CommentText">
    <w:name w:val="annotation text"/>
    <w:basedOn w:val="Normal"/>
    <w:link w:val="CommentTextChar"/>
    <w:rsid w:val="000760AB"/>
    <w:rPr>
      <w:sz w:val="20"/>
      <w:szCs w:val="20"/>
    </w:rPr>
  </w:style>
  <w:style w:type="character" w:customStyle="1" w:styleId="CommentTextChar">
    <w:name w:val="Comment Text Char"/>
    <w:basedOn w:val="DefaultParagraphFont"/>
    <w:link w:val="CommentText"/>
    <w:rsid w:val="000760AB"/>
  </w:style>
  <w:style w:type="paragraph" w:styleId="BalloonText">
    <w:name w:val="Balloon Text"/>
    <w:basedOn w:val="Normal"/>
    <w:link w:val="BalloonTextChar"/>
    <w:semiHidden/>
    <w:unhideWhenUsed/>
    <w:rsid w:val="000760AB"/>
    <w:rPr>
      <w:rFonts w:ascii="Segoe UI" w:hAnsi="Segoe UI" w:cs="Segoe UI"/>
      <w:sz w:val="18"/>
      <w:szCs w:val="18"/>
    </w:rPr>
  </w:style>
  <w:style w:type="character" w:customStyle="1" w:styleId="BalloonTextChar">
    <w:name w:val="Balloon Text Char"/>
    <w:basedOn w:val="DefaultParagraphFont"/>
    <w:link w:val="BalloonText"/>
    <w:semiHidden/>
    <w:rsid w:val="000760A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760AB"/>
    <w:rPr>
      <w:b/>
      <w:bCs/>
    </w:rPr>
  </w:style>
  <w:style w:type="character" w:customStyle="1" w:styleId="AsuntodelcomentarioCar1">
    <w:name w:val="Asunto del comentario Car1"/>
    <w:basedOn w:val="CommentTextChar"/>
    <w:semiHidden/>
    <w:rsid w:val="000760AB"/>
    <w:rPr>
      <w:b/>
      <w:bCs/>
    </w:rPr>
  </w:style>
  <w:style w:type="table" w:styleId="TableGrid">
    <w:name w:val="Table Grid"/>
    <w:basedOn w:val="TableNormal"/>
    <w:rsid w:val="000760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760AB"/>
    <w:pPr>
      <w:spacing w:after="120"/>
    </w:pPr>
  </w:style>
  <w:style w:type="character" w:customStyle="1" w:styleId="BodyTextChar">
    <w:name w:val="Body Text Char"/>
    <w:basedOn w:val="DefaultParagraphFont"/>
    <w:link w:val="BodyText"/>
    <w:rsid w:val="000760AB"/>
    <w:rPr>
      <w:sz w:val="24"/>
      <w:szCs w:val="24"/>
    </w:rPr>
  </w:style>
  <w:style w:type="paragraph" w:styleId="Revision">
    <w:name w:val="Revision"/>
    <w:hidden/>
    <w:uiPriority w:val="99"/>
    <w:semiHidden/>
    <w:rsid w:val="000760AB"/>
    <w:rPr>
      <w:sz w:val="24"/>
      <w:szCs w:val="24"/>
    </w:rPr>
  </w:style>
  <w:style w:type="paragraph" w:styleId="NormalWeb">
    <w:name w:val="Normal (Web)"/>
    <w:basedOn w:val="Normal"/>
    <w:rsid w:val="000760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PLANTILLAS\R.D.%20BLANCA.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R.D. BLANCA</Template>
  <TotalTime>1</TotalTime>
  <Pages>16</Pages>
  <Words>7051</Words>
  <Characters>40828</Characters>
  <Application>Microsoft Office Word</Application>
  <DocSecurity>0</DocSecurity>
  <Lines>591</Lines>
  <Paragraphs>286</Paragraphs>
  <ScaleCrop>false</ScaleCrop>
  <HeadingPairs>
    <vt:vector size="2" baseType="variant">
      <vt:variant>
        <vt:lpstr>Título</vt:lpstr>
      </vt:variant>
      <vt:variant>
        <vt:i4>1</vt:i4>
      </vt:variant>
    </vt:vector>
  </HeadingPairs>
  <TitlesOfParts>
    <vt:vector size="1" baseType="lpstr">
      <vt:lpstr>Se propone al Consejo de Ministros la aprobación del siguiente proyecto de disposición:</vt:lpstr>
    </vt:vector>
  </TitlesOfParts>
  <Company/>
  <LinksUpToDate>false</LinksUpToDate>
  <CharactersWithSpaces>47593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propone al Consejo de Ministros la aprobación del siguiente proyecto de disposición:</dc:title>
  <dc:subject/>
  <dc:creator>mlasalgado</dc:creator>
  <cp:keywords>class='Internal'</cp:keywords>
  <dc:description/>
  <cp:lastModifiedBy>Ines Varvodic</cp:lastModifiedBy>
  <cp:revision>2</cp:revision>
  <cp:lastPrinted>2002-07-26T08:33:00Z</cp:lastPrinted>
  <dcterms:created xsi:type="dcterms:W3CDTF">2022-09-12T07:40:00Z</dcterms:created>
  <dcterms:modified xsi:type="dcterms:W3CDTF">2022-09-12T07:40:00Z</dcterms:modified>
</cp:coreProperties>
</file>