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74ABA" w14:textId="616F9606" w:rsidR="003913B8" w:rsidRPr="00422DC0" w:rsidRDefault="003A67C1" w:rsidP="00422DC0">
      <w:pPr>
        <w:tabs>
          <w:tab w:val="left" w:pos="-1560"/>
        </w:tabs>
        <w:jc w:val="center"/>
        <w:rPr>
          <w:b/>
          <w:szCs w:val="22"/>
          <w:rFonts w:cs="Arial"/>
        </w:rPr>
      </w:pPr>
      <w:r>
        <w:rPr>
          <w:b/>
        </w:rPr>
        <w:t xml:space="preserve">Model Directive on fire protection in the storage of used tyres and plastic waste in waste disposal plants</w:t>
      </w:r>
    </w:p>
    <w:p w14:paraId="11F780E3" w14:textId="5F3B1522" w:rsidR="00CA200D" w:rsidRPr="00422DC0" w:rsidRDefault="003A67C1" w:rsidP="00422DC0">
      <w:pPr>
        <w:tabs>
          <w:tab w:val="left" w:pos="-1560"/>
        </w:tabs>
        <w:jc w:val="center"/>
        <w:rPr>
          <w:b/>
          <w:szCs w:val="22"/>
          <w:rFonts w:cs="Arial"/>
        </w:rPr>
      </w:pPr>
      <w:r>
        <w:rPr>
          <w:b/>
        </w:rPr>
        <w:t xml:space="preserve">(Model plastic storage directive MKLR)</w:t>
      </w:r>
    </w:p>
    <w:p w14:paraId="5F183BAF" w14:textId="2570CE7C" w:rsidR="006110CC" w:rsidRDefault="003A67C1" w:rsidP="006110CC">
      <w:pPr>
        <w:tabs>
          <w:tab w:val="left" w:pos="-1560"/>
        </w:tabs>
        <w:jc w:val="center"/>
        <w:rPr>
          <w:b/>
          <w:szCs w:val="22"/>
          <w:rFonts w:cs="Arial"/>
        </w:rPr>
      </w:pPr>
      <w:r>
        <w:rPr>
          <w:b/>
        </w:rPr>
        <w:t xml:space="preserve">-</w:t>
      </w:r>
      <w:r>
        <w:rPr>
          <w:b/>
        </w:rPr>
        <w:t xml:space="preserve"> </w:t>
      </w:r>
      <w:r>
        <w:rPr>
          <w:b/>
        </w:rPr>
        <w:t xml:space="preserve">March 2023</w:t>
      </w:r>
      <w:r w:rsidR="009F36EC">
        <w:rPr>
          <w:rStyle w:val="FootnoteReference"/>
          <w:rFonts w:cs="Arial"/>
          <w:b/>
          <w:szCs w:val="22"/>
        </w:rPr>
        <w:footnoteReference w:id="1"/>
      </w:r>
      <w:r>
        <w:rPr>
          <w:b/>
        </w:rPr>
        <w:t xml:space="preserve"> —</w:t>
      </w:r>
    </w:p>
    <w:p w14:paraId="6D2F3BCD" w14:textId="646A3DDD" w:rsidR="00422DC0" w:rsidRDefault="00422DC0" w:rsidP="006110CC">
      <w:pPr>
        <w:tabs>
          <w:tab w:val="left" w:pos="-1560"/>
        </w:tabs>
        <w:jc w:val="center"/>
        <w:rPr>
          <w:rFonts w:cs="Arial"/>
          <w:b/>
          <w:szCs w:val="22"/>
        </w:rPr>
      </w:pPr>
    </w:p>
    <w:p w14:paraId="5AD42C10" w14:textId="77777777" w:rsidR="00422DC0" w:rsidRPr="00422DC0" w:rsidRDefault="00422DC0" w:rsidP="006110CC">
      <w:pPr>
        <w:tabs>
          <w:tab w:val="left" w:pos="-1560"/>
        </w:tabs>
        <w:jc w:val="center"/>
        <w:rPr>
          <w:rFonts w:cs="Arial"/>
          <w:b/>
          <w:szCs w:val="22"/>
        </w:rPr>
      </w:pPr>
    </w:p>
    <w:p w14:paraId="5ABFE954" w14:textId="77777777" w:rsidR="003A67C1" w:rsidRPr="00422DC0" w:rsidRDefault="003A67C1">
      <w:pPr>
        <w:tabs>
          <w:tab w:val="left" w:pos="1134"/>
        </w:tabs>
        <w:ind w:left="426" w:hanging="426"/>
        <w:jc w:val="both"/>
        <w:rPr>
          <w:szCs w:val="22"/>
          <w:rFonts w:cs="Arial"/>
        </w:rPr>
      </w:pPr>
      <w:r>
        <w:rPr>
          <w:b/>
        </w:rPr>
        <w:t xml:space="preserve">1.</w:t>
      </w:r>
      <w:r>
        <w:rPr>
          <w:b/>
        </w:rPr>
        <w:tab/>
      </w:r>
      <w:r>
        <w:rPr>
          <w:b/>
        </w:rPr>
        <w:t xml:space="preserve">Protection objective</w:t>
      </w:r>
    </w:p>
    <w:p w14:paraId="0F672CE3" w14:textId="77777777" w:rsidR="003A67C1" w:rsidRPr="00422DC0" w:rsidRDefault="003A67C1">
      <w:pPr>
        <w:tabs>
          <w:tab w:val="left" w:pos="1134"/>
        </w:tabs>
        <w:ind w:left="426" w:hanging="426"/>
        <w:jc w:val="both"/>
        <w:rPr>
          <w:rFonts w:cs="Arial"/>
          <w:szCs w:val="22"/>
        </w:rPr>
      </w:pPr>
    </w:p>
    <w:p w14:paraId="0431AD20" w14:textId="6AEF75F1" w:rsidR="003A67C1" w:rsidRPr="00422DC0" w:rsidRDefault="003A67C1">
      <w:pPr>
        <w:tabs>
          <w:tab w:val="left" w:pos="1134"/>
        </w:tabs>
        <w:ind w:left="426" w:hanging="426"/>
        <w:jc w:val="both"/>
        <w:rPr>
          <w:szCs w:val="22"/>
          <w:rFonts w:cs="Arial"/>
        </w:rPr>
      </w:pPr>
      <w:r>
        <w:t xml:space="preserve">1.1</w:t>
      </w:r>
      <w:r>
        <w:tab/>
      </w:r>
      <w:r>
        <w:t xml:space="preserve">The aim of this guideline is to prevent the start and spread of fire and smoke and to enable effective extinguishing work during storage for used tyres and plastic waste in waste disposal plants (§ 14 MBO (Musterbauordnung, Model Building Code)).</w:t>
      </w:r>
    </w:p>
    <w:p w14:paraId="00CB61FF" w14:textId="77777777" w:rsidR="003A67C1" w:rsidRPr="00422DC0" w:rsidRDefault="003A67C1">
      <w:pPr>
        <w:tabs>
          <w:tab w:val="left" w:pos="1134"/>
        </w:tabs>
        <w:ind w:left="426" w:hanging="426"/>
        <w:jc w:val="both"/>
        <w:rPr>
          <w:rFonts w:cs="Arial"/>
          <w:szCs w:val="22"/>
        </w:rPr>
      </w:pPr>
    </w:p>
    <w:p w14:paraId="25BC5E3C" w14:textId="77777777" w:rsidR="003A67C1" w:rsidRPr="00422DC0" w:rsidRDefault="003A67C1">
      <w:pPr>
        <w:tabs>
          <w:tab w:val="left" w:pos="1008"/>
          <w:tab w:val="left" w:pos="1134"/>
        </w:tabs>
        <w:ind w:left="567" w:hanging="141"/>
        <w:jc w:val="both"/>
        <w:rPr>
          <w:rFonts w:cs="Arial"/>
          <w:szCs w:val="22"/>
        </w:rPr>
      </w:pPr>
    </w:p>
    <w:p w14:paraId="4677EF79" w14:textId="0D305175" w:rsidR="003A67C1" w:rsidRPr="00422DC0" w:rsidRDefault="003A67C1">
      <w:pPr>
        <w:tabs>
          <w:tab w:val="left" w:pos="-1560"/>
          <w:tab w:val="left" w:pos="1134"/>
        </w:tabs>
        <w:ind w:left="426" w:hanging="426"/>
        <w:jc w:val="both"/>
        <w:rPr>
          <w:szCs w:val="22"/>
          <w:rFonts w:cs="Arial"/>
        </w:rPr>
      </w:pPr>
      <w:r>
        <w:rPr>
          <w:b/>
        </w:rPr>
        <w:t xml:space="preserve">2.</w:t>
      </w:r>
      <w:r>
        <w:rPr>
          <w:b/>
        </w:rPr>
        <w:tab/>
      </w:r>
      <w:r>
        <w:rPr>
          <w:b/>
        </w:rPr>
        <w:t xml:space="preserve">Scope</w:t>
      </w:r>
    </w:p>
    <w:p w14:paraId="022AE055" w14:textId="77777777" w:rsidR="003A67C1" w:rsidRPr="00422DC0" w:rsidRDefault="003A67C1">
      <w:pPr>
        <w:tabs>
          <w:tab w:val="left" w:pos="-1560"/>
          <w:tab w:val="left" w:pos="1134"/>
        </w:tabs>
        <w:ind w:left="426" w:hanging="426"/>
        <w:jc w:val="both"/>
        <w:rPr>
          <w:rFonts w:cs="Arial"/>
          <w:szCs w:val="22"/>
        </w:rPr>
      </w:pPr>
    </w:p>
    <w:p w14:paraId="41ECDB85" w14:textId="770C8388" w:rsidR="003A67C1" w:rsidRPr="00422DC0" w:rsidRDefault="003A67C1" w:rsidP="00C61DA9">
      <w:pPr>
        <w:tabs>
          <w:tab w:val="left" w:pos="-1560"/>
          <w:tab w:val="left" w:pos="1134"/>
        </w:tabs>
        <w:ind w:left="450"/>
        <w:jc w:val="both"/>
        <w:rPr>
          <w:szCs w:val="22"/>
          <w:rFonts w:cs="Arial"/>
        </w:rPr>
      </w:pPr>
      <w:r>
        <w:t xml:space="preserve">This Directive applies to the storage of used tyres and to the treatment or sorting of plastic waste, including the necessary storage in waste disposal plants</w:t>
      </w:r>
      <w:r>
        <w:rPr>
          <w:b/>
        </w:rPr>
        <w:t xml:space="preserve"> </w:t>
      </w:r>
      <w:r>
        <w:t xml:space="preserve">— hereinafter referred to as substances — in storage quantities of more than 200 m</w:t>
      </w:r>
      <w:r>
        <w:rPr>
          <w:vertAlign w:val="superscript"/>
        </w:rPr>
        <w:t xml:space="preserve">3</w:t>
      </w:r>
      <w:r>
        <w:t xml:space="preserve"> in the form of mono- or mixed fractions in compact form or as bulk material, loose, in fixed and mobile containers, in storage buildings and outdoors.</w:t>
      </w:r>
      <w:r>
        <w:t xml:space="preserve"> </w:t>
      </w:r>
    </w:p>
    <w:p w14:paraId="36AE5177" w14:textId="77777777" w:rsidR="003A67C1" w:rsidRPr="00422DC0" w:rsidRDefault="003A67C1">
      <w:pPr>
        <w:tabs>
          <w:tab w:val="left" w:pos="-1560"/>
          <w:tab w:val="left" w:pos="1134"/>
        </w:tabs>
        <w:ind w:left="426" w:hanging="426"/>
        <w:jc w:val="both"/>
        <w:rPr>
          <w:rFonts w:cs="Arial"/>
          <w:szCs w:val="22"/>
        </w:rPr>
      </w:pPr>
    </w:p>
    <w:p w14:paraId="58780C09" w14:textId="77777777" w:rsidR="00E46E28" w:rsidRPr="00422DC0" w:rsidRDefault="003A67C1">
      <w:pPr>
        <w:tabs>
          <w:tab w:val="left" w:pos="-1560"/>
          <w:tab w:val="left" w:pos="1134"/>
        </w:tabs>
        <w:ind w:left="426" w:hanging="426"/>
        <w:jc w:val="both"/>
        <w:rPr>
          <w:b/>
          <w:szCs w:val="22"/>
          <w:rFonts w:cs="Arial"/>
        </w:rPr>
      </w:pPr>
      <w:r>
        <w:rPr>
          <w:b/>
        </w:rPr>
        <w:t xml:space="preserve">3.</w:t>
      </w:r>
      <w:r>
        <w:rPr>
          <w:b/>
        </w:rPr>
        <w:tab/>
      </w:r>
      <w:r>
        <w:rPr>
          <w:b/>
        </w:rPr>
        <w:t xml:space="preserve">Terms</w:t>
      </w:r>
    </w:p>
    <w:p w14:paraId="10728BE4" w14:textId="77777777" w:rsidR="00E46E28" w:rsidRPr="00422DC0" w:rsidRDefault="00E46E28">
      <w:pPr>
        <w:tabs>
          <w:tab w:val="left" w:pos="-1560"/>
          <w:tab w:val="left" w:pos="1134"/>
        </w:tabs>
        <w:ind w:left="426" w:hanging="426"/>
        <w:jc w:val="both"/>
        <w:rPr>
          <w:rFonts w:cs="Arial"/>
          <w:b/>
          <w:szCs w:val="22"/>
        </w:rPr>
      </w:pPr>
    </w:p>
    <w:p w14:paraId="156D5C68" w14:textId="4C279170" w:rsidR="00E46E28" w:rsidRPr="00422DC0" w:rsidRDefault="00C61DA9">
      <w:pPr>
        <w:tabs>
          <w:tab w:val="left" w:pos="-1560"/>
          <w:tab w:val="left" w:pos="1134"/>
        </w:tabs>
        <w:ind w:left="426" w:hanging="426"/>
        <w:jc w:val="both"/>
        <w:rPr>
          <w:szCs w:val="22"/>
          <w:rFonts w:cs="Arial"/>
        </w:rPr>
      </w:pPr>
      <w:r>
        <w:tab/>
      </w:r>
      <w:r>
        <w:t xml:space="preserve">3.1</w:t>
      </w:r>
      <w:r>
        <w:t xml:space="preserve"> </w:t>
      </w:r>
      <w:r>
        <w:t xml:space="preserve">Used tyres</w:t>
      </w:r>
    </w:p>
    <w:p w14:paraId="1F7ECC90" w14:textId="5BA45893" w:rsidR="00E60194" w:rsidRPr="00422DC0" w:rsidRDefault="00E60194" w:rsidP="00C61DA9">
      <w:pPr>
        <w:tabs>
          <w:tab w:val="left" w:pos="-1560"/>
          <w:tab w:val="left" w:pos="1134"/>
        </w:tabs>
        <w:spacing w:before="120"/>
        <w:ind w:left="425" w:firstLine="25"/>
        <w:jc w:val="both"/>
        <w:rPr>
          <w:szCs w:val="22"/>
          <w:rFonts w:cs="Arial"/>
        </w:rPr>
      </w:pPr>
      <w:r>
        <w:t xml:space="preserve">Used tyres within the meaning of this Directive are used tyres to the extent that these are waste within the meaning of § 3(1) of the Circular Economy Act of 24 February 2012 (BGB1. (Federal Law Gazette)</w:t>
      </w:r>
      <w:r>
        <w:t xml:space="preserve"> </w:t>
      </w:r>
      <w:r>
        <w:t xml:space="preserve">I p. 212) as amended.</w:t>
      </w:r>
    </w:p>
    <w:p w14:paraId="5E7A6E6D" w14:textId="77777777" w:rsidR="00E60194" w:rsidRPr="00422DC0" w:rsidRDefault="00E60194">
      <w:pPr>
        <w:tabs>
          <w:tab w:val="left" w:pos="-1560"/>
          <w:tab w:val="left" w:pos="1134"/>
        </w:tabs>
        <w:ind w:left="426" w:hanging="426"/>
        <w:jc w:val="both"/>
        <w:rPr>
          <w:rFonts w:cs="Arial"/>
          <w:szCs w:val="22"/>
        </w:rPr>
      </w:pPr>
    </w:p>
    <w:p w14:paraId="7BDD8328" w14:textId="61A29CC7" w:rsidR="00E46E28" w:rsidRPr="00422DC0" w:rsidRDefault="00C61DA9">
      <w:pPr>
        <w:tabs>
          <w:tab w:val="left" w:pos="-1560"/>
          <w:tab w:val="left" w:pos="1134"/>
        </w:tabs>
        <w:ind w:left="426" w:hanging="426"/>
        <w:jc w:val="both"/>
        <w:rPr>
          <w:szCs w:val="22"/>
          <w:rFonts w:cs="Arial"/>
        </w:rPr>
      </w:pPr>
      <w:r>
        <w:tab/>
      </w:r>
      <w:r>
        <w:t xml:space="preserve">3.2</w:t>
      </w:r>
      <w:r>
        <w:t xml:space="preserve"> </w:t>
      </w:r>
      <w:r>
        <w:t xml:space="preserve">Plastic waste</w:t>
      </w:r>
    </w:p>
    <w:p w14:paraId="05B4C0D5" w14:textId="057841B1" w:rsidR="00B56A43" w:rsidRPr="00422DC0" w:rsidRDefault="00B56A43" w:rsidP="00C61DA9">
      <w:pPr>
        <w:tabs>
          <w:tab w:val="left" w:pos="-1560"/>
          <w:tab w:val="left" w:pos="1134"/>
        </w:tabs>
        <w:spacing w:before="120"/>
        <w:ind w:left="450"/>
        <w:jc w:val="both"/>
        <w:rPr>
          <w:szCs w:val="22"/>
          <w:rFonts w:cs="Arial"/>
        </w:rPr>
      </w:pPr>
      <w:r>
        <w:t xml:space="preserve">Plastic waste within the meaning of this Directive is waste within the meaning of § 3(1) of the Circular Economy Act of 24 February 2012 (BGB1.</w:t>
      </w:r>
      <w:r>
        <w:t xml:space="preserve"> </w:t>
      </w:r>
      <w:r>
        <w:t xml:space="preserve">I p. 212) as amended, which mainly contain plastics or are mixed with plastics such as substitute fuels, light packaging waste (Gelbe Tonne, yellow bins) and discarded plastic fractions.</w:t>
      </w:r>
    </w:p>
    <w:p w14:paraId="02566ED2" w14:textId="17C87C66" w:rsidR="00B56A43" w:rsidRPr="00422DC0" w:rsidRDefault="00B56A43" w:rsidP="00B56A43">
      <w:pPr>
        <w:tabs>
          <w:tab w:val="left" w:pos="-1560"/>
          <w:tab w:val="left" w:pos="1134"/>
        </w:tabs>
        <w:ind w:left="426" w:hanging="426"/>
        <w:jc w:val="both"/>
        <w:rPr>
          <w:rFonts w:cs="Arial"/>
          <w:szCs w:val="22"/>
        </w:rPr>
      </w:pPr>
    </w:p>
    <w:p w14:paraId="34B1D4D0" w14:textId="6CF2DF9C" w:rsidR="003A67C1" w:rsidRPr="00422DC0" w:rsidRDefault="00E46E28">
      <w:pPr>
        <w:tabs>
          <w:tab w:val="left" w:pos="-1560"/>
          <w:tab w:val="left" w:pos="1134"/>
        </w:tabs>
        <w:ind w:left="426" w:hanging="426"/>
        <w:jc w:val="both"/>
        <w:rPr>
          <w:szCs w:val="22"/>
          <w:rFonts w:cs="Arial"/>
        </w:rPr>
      </w:pPr>
      <w:r>
        <w:rPr>
          <w:b/>
        </w:rPr>
        <w:t xml:space="preserve">4.</w:t>
      </w:r>
      <w:r>
        <w:rPr>
          <w:b/>
        </w:rPr>
        <w:tab/>
      </w:r>
      <w:r>
        <w:rPr>
          <w:b/>
        </w:rPr>
        <w:t xml:space="preserve">Fire service areas</w:t>
      </w:r>
    </w:p>
    <w:p w14:paraId="253DEFA1" w14:textId="77777777" w:rsidR="003A67C1" w:rsidRPr="00422DC0" w:rsidRDefault="003A67C1">
      <w:pPr>
        <w:tabs>
          <w:tab w:val="left" w:pos="-1560"/>
          <w:tab w:val="left" w:pos="1134"/>
        </w:tabs>
        <w:ind w:left="426" w:hanging="426"/>
        <w:jc w:val="both"/>
        <w:rPr>
          <w:rFonts w:cs="Arial"/>
          <w:szCs w:val="22"/>
        </w:rPr>
      </w:pPr>
    </w:p>
    <w:p w14:paraId="541EB294" w14:textId="4E5AFDCE" w:rsidR="003A67C1" w:rsidRPr="00422DC0" w:rsidRDefault="003A67C1" w:rsidP="00B47968">
      <w:pPr>
        <w:tabs>
          <w:tab w:val="left" w:pos="-1560"/>
          <w:tab w:val="left" w:pos="1134"/>
        </w:tabs>
        <w:ind w:left="450"/>
        <w:jc w:val="both"/>
        <w:rPr>
          <w:szCs w:val="22"/>
          <w:rFonts w:cs="Arial"/>
        </w:rPr>
      </w:pPr>
      <w:r>
        <w:t xml:space="preserve">For the use of the fire service, suitable access roads as well as installation and movement areas must be established on the property in agreement with the department responsible for fire protection.</w:t>
      </w:r>
      <w:r>
        <w:t xml:space="preserve"> </w:t>
      </w:r>
      <w:r>
        <w:t xml:space="preserve">Installation areas shall be provided on at least two opposite sides for outdoor storage areas from 2 000 m², for construction installations with an area of 5 000 m².</w:t>
      </w:r>
      <w:r>
        <w:t xml:space="preserve"> </w:t>
      </w:r>
      <w:r>
        <w:t xml:space="preserve">Distances to the outer walls of the building according to the Model Directive for areas for the fire brigade are also to be applied to the boundaries of storage areas</w:t>
      </w:r>
    </w:p>
    <w:p w14:paraId="38B5AF5C" w14:textId="77777777" w:rsidR="003A67C1" w:rsidRPr="00422DC0" w:rsidRDefault="003A67C1">
      <w:pPr>
        <w:tabs>
          <w:tab w:val="left" w:pos="1134"/>
        </w:tabs>
        <w:ind w:left="426" w:hanging="426"/>
        <w:jc w:val="both"/>
        <w:rPr>
          <w:rFonts w:cs="Arial"/>
          <w:szCs w:val="22"/>
        </w:rPr>
      </w:pPr>
    </w:p>
    <w:p w14:paraId="2D151CDD" w14:textId="77777777" w:rsidR="003A67C1" w:rsidRPr="00422DC0" w:rsidRDefault="00A5671A">
      <w:pPr>
        <w:tabs>
          <w:tab w:val="left" w:pos="1134"/>
        </w:tabs>
        <w:ind w:left="426" w:hanging="426"/>
        <w:jc w:val="both"/>
        <w:rPr>
          <w:szCs w:val="22"/>
          <w:rFonts w:cs="Arial"/>
        </w:rPr>
      </w:pPr>
      <w:r>
        <w:rPr>
          <w:b/>
        </w:rPr>
        <w:t xml:space="preserve">5.</w:t>
      </w:r>
      <w:r>
        <w:rPr>
          <w:b/>
        </w:rPr>
        <w:tab/>
      </w:r>
      <w:r>
        <w:rPr>
          <w:b/>
        </w:rPr>
        <w:t xml:space="preserve">Storage of substances in buildings</w:t>
      </w:r>
    </w:p>
    <w:p w14:paraId="1E0105DB" w14:textId="77777777" w:rsidR="003A67C1" w:rsidRPr="00422DC0" w:rsidRDefault="003A67C1">
      <w:pPr>
        <w:tabs>
          <w:tab w:val="left" w:pos="1134"/>
        </w:tabs>
        <w:ind w:left="426" w:hanging="426"/>
        <w:jc w:val="both"/>
        <w:rPr>
          <w:rFonts w:cs="Arial"/>
          <w:szCs w:val="22"/>
        </w:rPr>
      </w:pPr>
    </w:p>
    <w:p w14:paraId="284A658C" w14:textId="7BF71D89" w:rsidR="003A67C1" w:rsidRPr="00422DC0" w:rsidRDefault="00A5671A">
      <w:pPr>
        <w:tabs>
          <w:tab w:val="left" w:pos="1134"/>
        </w:tabs>
        <w:ind w:left="426" w:hanging="426"/>
        <w:jc w:val="both"/>
        <w:rPr>
          <w:szCs w:val="22"/>
          <w:rFonts w:cs="Arial"/>
        </w:rPr>
      </w:pPr>
      <w:r>
        <w:t xml:space="preserve">5.1</w:t>
      </w:r>
      <w:r>
        <w:tab/>
      </w:r>
      <w:r>
        <w:t xml:space="preserve">Substances may only be stored in buildings on the ground floor.</w:t>
      </w:r>
      <w:r>
        <w:t xml:space="preserve"> </w:t>
      </w:r>
      <w:r>
        <w:t xml:space="preserve">In so far as they are not stored at ground level, special requirements can be made to enable effective extinguishing work.</w:t>
      </w:r>
    </w:p>
    <w:p w14:paraId="49266E2C" w14:textId="77777777" w:rsidR="003A67C1" w:rsidRPr="00422DC0" w:rsidRDefault="003A67C1">
      <w:pPr>
        <w:tabs>
          <w:tab w:val="left" w:pos="1134"/>
        </w:tabs>
        <w:ind w:left="426" w:hanging="426"/>
        <w:jc w:val="both"/>
        <w:rPr>
          <w:rFonts w:cs="Arial"/>
          <w:szCs w:val="22"/>
        </w:rPr>
      </w:pPr>
    </w:p>
    <w:p w14:paraId="625D5E4E" w14:textId="3FF9A7D9" w:rsidR="003A67C1" w:rsidRPr="00422DC0" w:rsidRDefault="00A5671A">
      <w:pPr>
        <w:tabs>
          <w:tab w:val="left" w:pos="1134"/>
        </w:tabs>
        <w:ind w:left="426" w:hanging="426"/>
        <w:jc w:val="both"/>
        <w:rPr>
          <w:szCs w:val="22"/>
          <w:rFonts w:cs="Arial"/>
        </w:rPr>
      </w:pPr>
      <w:r>
        <w:t xml:space="preserve">5.2</w:t>
      </w:r>
      <w:r>
        <w:tab/>
      </w:r>
      <w:r>
        <w:t xml:space="preserve">The store shall be divided into fire sections of not more than 5 000 m</w:t>
      </w:r>
      <w:r>
        <w:rPr>
          <w:vertAlign w:val="superscript"/>
        </w:rPr>
        <w:t xml:space="preserve">2</w:t>
      </w:r>
      <w:r>
        <w:t xml:space="preserve"> by fire walls.</w:t>
      </w:r>
    </w:p>
    <w:p w14:paraId="32F7CBC0" w14:textId="77777777" w:rsidR="003A67C1" w:rsidRPr="00422DC0" w:rsidRDefault="003A67C1">
      <w:pPr>
        <w:tabs>
          <w:tab w:val="left" w:pos="1134"/>
        </w:tabs>
        <w:ind w:left="426" w:hanging="426"/>
        <w:jc w:val="both"/>
        <w:rPr>
          <w:rFonts w:cs="Arial"/>
          <w:szCs w:val="22"/>
        </w:rPr>
      </w:pPr>
    </w:p>
    <w:p w14:paraId="6750506D" w14:textId="77777777" w:rsidR="003A67C1" w:rsidRPr="00422DC0" w:rsidRDefault="00A5671A">
      <w:pPr>
        <w:tabs>
          <w:tab w:val="left" w:pos="1134"/>
        </w:tabs>
        <w:ind w:left="426" w:hanging="426"/>
        <w:jc w:val="both"/>
        <w:rPr>
          <w:szCs w:val="22"/>
          <w:rFonts w:cs="Arial"/>
        </w:rPr>
      </w:pPr>
      <w:r>
        <w:t xml:space="preserve">5.3</w:t>
      </w:r>
      <w:r>
        <w:tab/>
      </w:r>
      <w:r>
        <w:t xml:space="preserve">Each fire section shall be divided by at least 10 m wide zones free of fire load (free strips) in storage areas not exceeding 300 m</w:t>
      </w:r>
      <w:r>
        <w:rPr>
          <w:vertAlign w:val="superscript"/>
        </w:rPr>
        <w:t xml:space="preserve">2</w:t>
      </w:r>
      <w:r>
        <w:t xml:space="preserve">.</w:t>
      </w:r>
    </w:p>
    <w:p w14:paraId="0F2A50F9" w14:textId="77777777" w:rsidR="003A67C1" w:rsidRPr="00422DC0" w:rsidRDefault="003A67C1">
      <w:pPr>
        <w:tabs>
          <w:tab w:val="left" w:pos="1134"/>
        </w:tabs>
        <w:ind w:left="426" w:hanging="426"/>
        <w:jc w:val="both"/>
        <w:rPr>
          <w:rFonts w:cs="Arial"/>
          <w:szCs w:val="22"/>
        </w:rPr>
      </w:pPr>
    </w:p>
    <w:p w14:paraId="65711F18" w14:textId="77777777" w:rsidR="003A67C1" w:rsidRPr="00422DC0" w:rsidRDefault="00A5671A">
      <w:pPr>
        <w:tabs>
          <w:tab w:val="left" w:pos="1134"/>
        </w:tabs>
        <w:ind w:left="426" w:hanging="426"/>
        <w:jc w:val="both"/>
        <w:rPr>
          <w:szCs w:val="22"/>
          <w:rFonts w:cs="Arial"/>
        </w:rPr>
      </w:pPr>
      <w:r>
        <w:t xml:space="preserve">5.4</w:t>
      </w:r>
      <w:r>
        <w:tab/>
      </w:r>
      <w:r>
        <w:t xml:space="preserve">The following must be present In a fire section:</w:t>
      </w:r>
    </w:p>
    <w:p w14:paraId="3FC2D63A" w14:textId="77777777" w:rsidR="003A67C1" w:rsidRPr="00422DC0" w:rsidRDefault="003A67C1">
      <w:pPr>
        <w:tabs>
          <w:tab w:val="left" w:pos="1134"/>
        </w:tabs>
        <w:ind w:left="426" w:hanging="426"/>
        <w:jc w:val="both"/>
        <w:rPr>
          <w:rFonts w:cs="Arial"/>
          <w:szCs w:val="22"/>
        </w:rPr>
      </w:pPr>
    </w:p>
    <w:p w14:paraId="30A1483C" w14:textId="01ACEA77" w:rsidR="003A67C1" w:rsidRPr="00422DC0" w:rsidRDefault="003A67C1">
      <w:pPr>
        <w:tabs>
          <w:tab w:val="left" w:pos="851"/>
          <w:tab w:val="left" w:pos="1008"/>
          <w:tab w:val="left" w:pos="1134"/>
        </w:tabs>
        <w:ind w:left="567" w:hanging="141"/>
        <w:jc w:val="both"/>
        <w:rPr>
          <w:szCs w:val="22"/>
          <w:rFonts w:cs="Arial"/>
        </w:rPr>
      </w:pPr>
      <w:r>
        <w:t xml:space="preserve">— stationary automatic fire extinguishing systems or smoke discharge openings in conjunction with automatic fire alarm systems if the fire section is larger than 800 m</w:t>
      </w:r>
      <w:r>
        <w:rPr>
          <w:vertAlign w:val="superscript"/>
        </w:rPr>
        <w:t xml:space="preserve">2</w:t>
      </w:r>
      <w:r>
        <w:t xml:space="preserve">.</w:t>
      </w:r>
      <w:r>
        <w:t xml:space="preserve"> </w:t>
      </w:r>
      <w:r>
        <w:t xml:space="preserve">The requirement for the smoke discharge openings are deemed to be met in particular if they comply with Sections 5.7.1.2, 5.7.4.2 and 5.7.4.4 sequential no. A 2.2.2.8 of the M VVTB (Model Industrial Construction Directive, as amended in May 2019).</w:t>
      </w:r>
    </w:p>
    <w:p w14:paraId="365D057B" w14:textId="105B845C" w:rsidR="003A67C1" w:rsidRPr="00422DC0" w:rsidRDefault="003A67C1">
      <w:pPr>
        <w:tabs>
          <w:tab w:val="left" w:pos="851"/>
          <w:tab w:val="left" w:pos="1134"/>
        </w:tabs>
        <w:ind w:left="567" w:hanging="141"/>
        <w:jc w:val="both"/>
        <w:rPr>
          <w:szCs w:val="22"/>
          <w:rFonts w:cs="Arial"/>
        </w:rPr>
      </w:pPr>
      <w:r>
        <w:t xml:space="preserve">— stationary automatic fire extinguishing systems if the fire section is greater than 1 600 m</w:t>
      </w:r>
      <w:r>
        <w:rPr>
          <w:vertAlign w:val="superscript"/>
        </w:rPr>
        <w:t xml:space="preserve">2</w:t>
      </w:r>
      <w:r>
        <w:t xml:space="preserve">.</w:t>
      </w:r>
    </w:p>
    <w:p w14:paraId="29A817CD" w14:textId="77777777" w:rsidR="006B4BC5" w:rsidRPr="00422DC0" w:rsidRDefault="006B4BC5">
      <w:pPr>
        <w:tabs>
          <w:tab w:val="left" w:pos="851"/>
          <w:tab w:val="left" w:pos="1134"/>
        </w:tabs>
        <w:ind w:left="567" w:hanging="141"/>
        <w:jc w:val="both"/>
        <w:rPr>
          <w:rFonts w:cs="Arial"/>
          <w:szCs w:val="22"/>
        </w:rPr>
      </w:pPr>
    </w:p>
    <w:p w14:paraId="30A5DE54" w14:textId="77777777" w:rsidR="006110CC" w:rsidRPr="00422DC0" w:rsidRDefault="00A5671A" w:rsidP="006110CC">
      <w:pPr>
        <w:tabs>
          <w:tab w:val="left" w:pos="1134"/>
        </w:tabs>
        <w:ind w:left="426" w:hanging="426"/>
        <w:jc w:val="both"/>
        <w:rPr>
          <w:szCs w:val="22"/>
          <w:rFonts w:cs="Arial"/>
        </w:rPr>
      </w:pPr>
      <w:r>
        <w:t xml:space="preserve">5.5</w:t>
      </w:r>
      <w:r>
        <w:tab/>
      </w:r>
      <w:r>
        <w:t xml:space="preserve">An unroofed, suitable area of 400 m² is to be provided outdoors for storing and extinguishing burning substances.</w:t>
      </w:r>
      <w:r>
        <w:t xml:space="preserve"> </w:t>
      </w:r>
    </w:p>
    <w:p w14:paraId="664F0199" w14:textId="77777777" w:rsidR="003A67C1" w:rsidRPr="00422DC0" w:rsidRDefault="003A67C1" w:rsidP="006110CC">
      <w:pPr>
        <w:tabs>
          <w:tab w:val="left" w:pos="851"/>
          <w:tab w:val="left" w:pos="1134"/>
        </w:tabs>
        <w:jc w:val="both"/>
        <w:rPr>
          <w:rFonts w:cs="Arial"/>
          <w:szCs w:val="22"/>
        </w:rPr>
      </w:pPr>
    </w:p>
    <w:p w14:paraId="7FFD368D" w14:textId="77777777" w:rsidR="003A67C1" w:rsidRPr="00422DC0" w:rsidRDefault="00A5671A">
      <w:pPr>
        <w:tabs>
          <w:tab w:val="left" w:pos="851"/>
          <w:tab w:val="left" w:pos="1134"/>
        </w:tabs>
        <w:ind w:left="426" w:hanging="426"/>
        <w:jc w:val="both"/>
        <w:rPr>
          <w:szCs w:val="22"/>
          <w:rFonts w:cs="Arial"/>
        </w:rPr>
      </w:pPr>
      <w:r>
        <w:rPr>
          <w:b/>
        </w:rPr>
        <w:t xml:space="preserve">6.</w:t>
      </w:r>
      <w:r>
        <w:rPr>
          <w:b/>
        </w:rPr>
        <w:tab/>
      </w:r>
      <w:r>
        <w:rPr>
          <w:b/>
        </w:rPr>
        <w:t xml:space="preserve">Storage of substances outdoors</w:t>
      </w:r>
    </w:p>
    <w:p w14:paraId="3022B59C" w14:textId="77777777" w:rsidR="003A67C1" w:rsidRPr="00422DC0" w:rsidRDefault="003A67C1">
      <w:pPr>
        <w:tabs>
          <w:tab w:val="left" w:pos="851"/>
          <w:tab w:val="left" w:pos="1134"/>
        </w:tabs>
        <w:ind w:left="426" w:hanging="426"/>
        <w:jc w:val="both"/>
        <w:rPr>
          <w:rFonts w:cs="Arial"/>
          <w:szCs w:val="22"/>
        </w:rPr>
      </w:pPr>
    </w:p>
    <w:p w14:paraId="3E9DFB36" w14:textId="77777777" w:rsidR="003A67C1" w:rsidRPr="00422DC0" w:rsidRDefault="00A5671A">
      <w:pPr>
        <w:tabs>
          <w:tab w:val="left" w:pos="851"/>
          <w:tab w:val="left" w:pos="1134"/>
        </w:tabs>
        <w:ind w:left="426" w:hanging="426"/>
        <w:jc w:val="both"/>
        <w:rPr>
          <w:szCs w:val="22"/>
          <w:rFonts w:cs="Arial"/>
        </w:rPr>
      </w:pPr>
      <w:r>
        <w:t xml:space="preserve">6.1</w:t>
      </w:r>
      <w:r>
        <w:tab/>
      </w:r>
      <w:r>
        <w:t xml:space="preserve">Outdoor storage of substances shall also include storage within a storage section with a roof if:</w:t>
      </w:r>
    </w:p>
    <w:p w14:paraId="4DBB22C7" w14:textId="77777777" w:rsidR="003A67C1" w:rsidRPr="00422DC0" w:rsidRDefault="003A67C1">
      <w:pPr>
        <w:tabs>
          <w:tab w:val="left" w:pos="851"/>
          <w:tab w:val="left" w:pos="1134"/>
        </w:tabs>
        <w:ind w:left="426" w:hanging="426"/>
        <w:jc w:val="both"/>
        <w:rPr>
          <w:rFonts w:cs="Arial"/>
          <w:szCs w:val="22"/>
        </w:rPr>
      </w:pPr>
    </w:p>
    <w:p w14:paraId="1F32162B" w14:textId="77777777" w:rsidR="003A67C1" w:rsidRPr="00422DC0" w:rsidRDefault="003A67C1">
      <w:pPr>
        <w:tabs>
          <w:tab w:val="left" w:pos="851"/>
          <w:tab w:val="left" w:pos="1134"/>
        </w:tabs>
        <w:ind w:left="567" w:hanging="141"/>
        <w:jc w:val="both"/>
        <w:rPr>
          <w:szCs w:val="22"/>
          <w:rFonts w:cs="Arial"/>
        </w:rPr>
      </w:pPr>
      <w:r>
        <w:t xml:space="preserve">— the permissible storage height ends at least 2.5 m below the lower edge of the lowest part of the roof;</w:t>
      </w:r>
    </w:p>
    <w:p w14:paraId="5F893C59" w14:textId="77777777" w:rsidR="003A67C1" w:rsidRPr="00422DC0" w:rsidRDefault="003A67C1">
      <w:pPr>
        <w:tabs>
          <w:tab w:val="left" w:pos="851"/>
          <w:tab w:val="left" w:pos="1134"/>
        </w:tabs>
        <w:ind w:left="567" w:hanging="141"/>
        <w:jc w:val="both"/>
        <w:rPr>
          <w:szCs w:val="22"/>
          <w:rFonts w:cs="Arial"/>
        </w:rPr>
      </w:pPr>
      <w:r>
        <w:t xml:space="preserve">— the storage section is fully open on at least two opposite sides; and</w:t>
      </w:r>
    </w:p>
    <w:p w14:paraId="2EDCFC2C" w14:textId="77777777" w:rsidR="003A67C1" w:rsidRPr="00422DC0" w:rsidRDefault="003A67C1">
      <w:pPr>
        <w:tabs>
          <w:tab w:val="left" w:pos="851"/>
          <w:tab w:val="left" w:pos="1134"/>
        </w:tabs>
        <w:ind w:left="567" w:hanging="141"/>
        <w:jc w:val="both"/>
        <w:rPr>
          <w:szCs w:val="22"/>
          <w:rFonts w:cs="Arial"/>
        </w:rPr>
      </w:pPr>
      <w:r>
        <w:t xml:space="preserve">— the remaining sides of the storage section which are not fully open have a maximum length of 45 m.</w:t>
      </w:r>
    </w:p>
    <w:p w14:paraId="6EC2F5A7" w14:textId="77777777" w:rsidR="003A67C1" w:rsidRPr="00422DC0" w:rsidRDefault="003A67C1">
      <w:pPr>
        <w:tabs>
          <w:tab w:val="left" w:pos="1134"/>
        </w:tabs>
        <w:ind w:left="426" w:hanging="426"/>
        <w:jc w:val="both"/>
        <w:rPr>
          <w:rFonts w:cs="Arial"/>
          <w:szCs w:val="22"/>
        </w:rPr>
      </w:pPr>
    </w:p>
    <w:p w14:paraId="4857076C" w14:textId="0E5464A8" w:rsidR="003A67C1" w:rsidRPr="00422DC0" w:rsidRDefault="00A5671A">
      <w:pPr>
        <w:tabs>
          <w:tab w:val="left" w:pos="1134"/>
        </w:tabs>
        <w:ind w:left="426" w:hanging="426"/>
        <w:jc w:val="both"/>
        <w:rPr>
          <w:szCs w:val="22"/>
          <w:rFonts w:cs="Arial"/>
        </w:rPr>
      </w:pPr>
      <w:r>
        <w:t xml:space="preserve">6.2</w:t>
      </w:r>
      <w:r>
        <w:tab/>
      </w:r>
      <w:r>
        <w:t xml:space="preserve">The warehouse is to be divided into storage sections of a maximum of 2 000 m</w:t>
      </w:r>
      <w:r>
        <w:rPr>
          <w:vertAlign w:val="superscript"/>
        </w:rPr>
        <w:t xml:space="preserve">2</w:t>
      </w:r>
      <w:r>
        <w:t xml:space="preserve"> by at least 10 m wide, unroofed zones free of fire load (free strips) or by fire-resistant walls made of non-combustible building materials.</w:t>
      </w:r>
      <w:r>
        <w:t xml:space="preserve"> </w:t>
      </w:r>
      <w:r>
        <w:t xml:space="preserve">The walls are to be</w:t>
      </w:r>
    </w:p>
    <w:p w14:paraId="4DC48889" w14:textId="77777777" w:rsidR="003A67C1" w:rsidRPr="00422DC0" w:rsidRDefault="003A67C1">
      <w:pPr>
        <w:tabs>
          <w:tab w:val="left" w:pos="1134"/>
        </w:tabs>
        <w:ind w:left="426" w:hanging="426"/>
        <w:jc w:val="both"/>
        <w:rPr>
          <w:rFonts w:cs="Arial"/>
          <w:szCs w:val="22"/>
        </w:rPr>
      </w:pPr>
    </w:p>
    <w:p w14:paraId="07B6C27E" w14:textId="77777777" w:rsidR="003A67C1" w:rsidRPr="00422DC0" w:rsidRDefault="003A67C1">
      <w:pPr>
        <w:tabs>
          <w:tab w:val="left" w:pos="851"/>
          <w:tab w:val="left" w:pos="1134"/>
        </w:tabs>
        <w:ind w:left="567" w:hanging="141"/>
        <w:jc w:val="both"/>
        <w:rPr>
          <w:szCs w:val="22"/>
          <w:rFonts w:cs="Arial"/>
        </w:rPr>
      </w:pPr>
      <w:r>
        <w:t xml:space="preserve">— at least 1 m above the permissible storage height for storage sections without roofs</w:t>
      </w:r>
    </w:p>
    <w:p w14:paraId="095023A2" w14:textId="77777777" w:rsidR="003A67C1" w:rsidRPr="00422DC0" w:rsidRDefault="003A67C1">
      <w:pPr>
        <w:tabs>
          <w:tab w:val="left" w:pos="851"/>
          <w:tab w:val="left" w:pos="1134"/>
        </w:tabs>
        <w:ind w:left="567" w:hanging="141"/>
        <w:jc w:val="both"/>
        <w:rPr>
          <w:rFonts w:cs="Arial"/>
          <w:szCs w:val="22"/>
        </w:rPr>
      </w:pPr>
    </w:p>
    <w:p w14:paraId="6273B8BE" w14:textId="299DD13F" w:rsidR="003A67C1" w:rsidRPr="00422DC0" w:rsidRDefault="003A67C1">
      <w:pPr>
        <w:tabs>
          <w:tab w:val="left" w:pos="851"/>
          <w:tab w:val="left" w:pos="1134"/>
        </w:tabs>
        <w:ind w:left="567" w:hanging="141"/>
        <w:jc w:val="both"/>
        <w:rPr>
          <w:szCs w:val="22"/>
          <w:rFonts w:cs="Arial"/>
        </w:rPr>
      </w:pPr>
      <w:r>
        <w:t xml:space="preserve">— up to the roof membrane for storage sections with roofs according to Section 6.1 made of non-flammable building materials</w:t>
      </w:r>
    </w:p>
    <w:p w14:paraId="0C834863" w14:textId="77777777" w:rsidR="003A67C1" w:rsidRPr="00422DC0" w:rsidRDefault="003A67C1">
      <w:pPr>
        <w:tabs>
          <w:tab w:val="left" w:pos="851"/>
          <w:tab w:val="left" w:pos="1134"/>
        </w:tabs>
        <w:ind w:left="567" w:hanging="141"/>
        <w:jc w:val="both"/>
        <w:rPr>
          <w:rFonts w:cs="Arial"/>
          <w:szCs w:val="22"/>
        </w:rPr>
      </w:pPr>
    </w:p>
    <w:p w14:paraId="237CBF01" w14:textId="40E1B059" w:rsidR="003A67C1" w:rsidRPr="00422DC0" w:rsidRDefault="003A67C1">
      <w:pPr>
        <w:tabs>
          <w:tab w:val="left" w:pos="851"/>
          <w:tab w:val="left" w:pos="1134"/>
        </w:tabs>
        <w:ind w:left="567" w:hanging="141"/>
        <w:jc w:val="both"/>
        <w:rPr>
          <w:szCs w:val="22"/>
          <w:rFonts w:cs="Arial"/>
        </w:rPr>
      </w:pPr>
      <w:r>
        <w:t xml:space="preserve">— at least 1 m above the roof for storage sections with roofs according to Section 6.1 of flammable building materials</w:t>
      </w:r>
    </w:p>
    <w:p w14:paraId="03B85652" w14:textId="77777777" w:rsidR="003A67C1" w:rsidRPr="00422DC0" w:rsidRDefault="003A67C1">
      <w:pPr>
        <w:tabs>
          <w:tab w:val="left" w:pos="851"/>
          <w:tab w:val="left" w:pos="1134"/>
        </w:tabs>
        <w:ind w:left="426" w:hanging="426"/>
        <w:jc w:val="both"/>
        <w:rPr>
          <w:rFonts w:cs="Arial"/>
          <w:szCs w:val="22"/>
        </w:rPr>
      </w:pPr>
    </w:p>
    <w:p w14:paraId="51D429CE" w14:textId="50062896" w:rsidR="003A67C1" w:rsidRPr="00422DC0" w:rsidRDefault="003A67C1" w:rsidP="00326C8B">
      <w:pPr>
        <w:tabs>
          <w:tab w:val="left" w:pos="851"/>
          <w:tab w:val="left" w:pos="1134"/>
        </w:tabs>
        <w:ind w:left="450"/>
        <w:jc w:val="both"/>
        <w:rPr>
          <w:szCs w:val="22"/>
          <w:rFonts w:cs="Arial"/>
        </w:rPr>
      </w:pPr>
      <w:r>
        <w:t xml:space="preserve">.</w:t>
      </w:r>
    </w:p>
    <w:p w14:paraId="5354AF82" w14:textId="77777777" w:rsidR="003A67C1" w:rsidRPr="00422DC0" w:rsidRDefault="003A67C1">
      <w:pPr>
        <w:tabs>
          <w:tab w:val="left" w:pos="1134"/>
        </w:tabs>
        <w:ind w:left="426" w:hanging="426"/>
        <w:jc w:val="both"/>
        <w:rPr>
          <w:rFonts w:cs="Arial"/>
          <w:szCs w:val="22"/>
        </w:rPr>
      </w:pPr>
    </w:p>
    <w:p w14:paraId="72DDE8BD" w14:textId="77777777" w:rsidR="003A67C1" w:rsidRPr="00422DC0" w:rsidRDefault="00A5671A">
      <w:pPr>
        <w:tabs>
          <w:tab w:val="left" w:pos="1134"/>
        </w:tabs>
        <w:ind w:left="426" w:hanging="426"/>
        <w:jc w:val="both"/>
        <w:rPr>
          <w:szCs w:val="22"/>
          <w:rFonts w:cs="Arial"/>
        </w:rPr>
      </w:pPr>
      <w:r>
        <w:t xml:space="preserve">6.3</w:t>
      </w:r>
      <w:r>
        <w:tab/>
      </w:r>
      <w:r>
        <w:t xml:space="preserve">Each storage section is to be divided into storage areas of a maximum of 400 m</w:t>
      </w:r>
      <w:r>
        <w:rPr>
          <w:vertAlign w:val="superscript"/>
        </w:rPr>
        <w:t xml:space="preserve">2</w:t>
      </w:r>
      <w:r>
        <w:t xml:space="preserve"> by zones free of fire load (free strips) that are at least 10 m wide or by fire-resistant walls made of non-flammable building materials.</w:t>
      </w:r>
      <w:r>
        <w:t xml:space="preserve"> </w:t>
      </w:r>
      <w:r>
        <w:t xml:space="preserve">The walls shall be built at least 1.0 m above the permissible storage height.</w:t>
      </w:r>
    </w:p>
    <w:p w14:paraId="463684AF" w14:textId="77777777" w:rsidR="003A67C1" w:rsidRPr="00422DC0" w:rsidRDefault="003A67C1">
      <w:pPr>
        <w:tabs>
          <w:tab w:val="left" w:pos="1134"/>
        </w:tabs>
        <w:ind w:left="426" w:hanging="426"/>
        <w:jc w:val="both"/>
        <w:rPr>
          <w:rFonts w:cs="Arial"/>
          <w:szCs w:val="22"/>
        </w:rPr>
      </w:pPr>
    </w:p>
    <w:p w14:paraId="348D0850" w14:textId="77777777" w:rsidR="003A67C1" w:rsidRPr="00422DC0" w:rsidRDefault="00A5671A">
      <w:pPr>
        <w:tabs>
          <w:tab w:val="left" w:pos="1134"/>
        </w:tabs>
        <w:ind w:left="426" w:hanging="426"/>
        <w:jc w:val="both"/>
        <w:rPr>
          <w:szCs w:val="22"/>
          <w:rFonts w:cs="Arial"/>
        </w:rPr>
      </w:pPr>
      <w:r>
        <w:t xml:space="preserve">6.4</w:t>
      </w:r>
      <w:r>
        <w:tab/>
      </w:r>
      <w:r>
        <w:t xml:space="preserve">Storage sections and storage areas shall not exceed the following storage depths:</w:t>
      </w:r>
    </w:p>
    <w:p w14:paraId="2184BDA1" w14:textId="77777777" w:rsidR="003A67C1" w:rsidRPr="00422DC0" w:rsidRDefault="003A67C1">
      <w:pPr>
        <w:tabs>
          <w:tab w:val="left" w:pos="1134"/>
        </w:tabs>
        <w:ind w:left="426" w:hanging="426"/>
        <w:jc w:val="both"/>
        <w:rPr>
          <w:rFonts w:cs="Arial"/>
          <w:szCs w:val="22"/>
        </w:rPr>
      </w:pPr>
    </w:p>
    <w:p w14:paraId="7C6B97C9" w14:textId="77777777" w:rsidR="003A67C1" w:rsidRPr="00422DC0" w:rsidRDefault="003A67C1">
      <w:pPr>
        <w:tabs>
          <w:tab w:val="left" w:pos="1008"/>
          <w:tab w:val="left" w:pos="1134"/>
        </w:tabs>
        <w:ind w:left="567" w:hanging="141"/>
        <w:jc w:val="both"/>
        <w:rPr>
          <w:szCs w:val="22"/>
          <w:rFonts w:cs="Arial"/>
        </w:rPr>
      </w:pPr>
      <w:r>
        <w:t xml:space="preserve">— 40 m if two opposite sides are freely accessible for firefighting,</w:t>
      </w:r>
    </w:p>
    <w:p w14:paraId="46AAF31B" w14:textId="77777777" w:rsidR="003A67C1" w:rsidRPr="00422DC0" w:rsidRDefault="003A67C1">
      <w:pPr>
        <w:tabs>
          <w:tab w:val="left" w:pos="1008"/>
          <w:tab w:val="left" w:pos="1134"/>
        </w:tabs>
        <w:ind w:left="567" w:hanging="141"/>
        <w:jc w:val="both"/>
        <w:rPr>
          <w:rFonts w:cs="Arial"/>
          <w:szCs w:val="22"/>
        </w:rPr>
      </w:pPr>
    </w:p>
    <w:p w14:paraId="273D1AAB" w14:textId="77777777" w:rsidR="003A67C1" w:rsidRPr="00422DC0" w:rsidRDefault="003A67C1">
      <w:pPr>
        <w:tabs>
          <w:tab w:val="left" w:pos="1008"/>
          <w:tab w:val="left" w:pos="1134"/>
        </w:tabs>
        <w:ind w:left="567" w:hanging="141"/>
        <w:jc w:val="both"/>
        <w:rPr>
          <w:szCs w:val="22"/>
          <w:rFonts w:cs="Arial"/>
        </w:rPr>
      </w:pPr>
      <w:r>
        <w:t xml:space="preserve">— 20 m, if only one side is accessible for firefighting.</w:t>
      </w:r>
    </w:p>
    <w:p w14:paraId="6E34CD03" w14:textId="77777777" w:rsidR="003A67C1" w:rsidRPr="00422DC0" w:rsidRDefault="003A67C1">
      <w:pPr>
        <w:tabs>
          <w:tab w:val="left" w:pos="1008"/>
          <w:tab w:val="left" w:pos="1134"/>
        </w:tabs>
        <w:ind w:left="426" w:hanging="426"/>
        <w:jc w:val="both"/>
        <w:rPr>
          <w:rFonts w:cs="Arial"/>
          <w:szCs w:val="22"/>
        </w:rPr>
      </w:pPr>
    </w:p>
    <w:p w14:paraId="7AA9E373" w14:textId="77777777" w:rsidR="003A67C1" w:rsidRPr="00422DC0" w:rsidRDefault="00A5671A">
      <w:pPr>
        <w:tabs>
          <w:tab w:val="left" w:pos="1134"/>
        </w:tabs>
        <w:ind w:left="426" w:hanging="426"/>
        <w:jc w:val="both"/>
        <w:rPr>
          <w:szCs w:val="22"/>
          <w:rFonts w:cs="Arial"/>
        </w:rPr>
      </w:pPr>
      <w:r>
        <w:t xml:space="preserve">6.5</w:t>
      </w:r>
      <w:r>
        <w:tab/>
      </w:r>
      <w:r>
        <w:t xml:space="preserve">Outdoor storage areas must be at least 10 m away from the site boundaries or have fire-resistant walls made of non-combustible building materials without openings up to at least 1 m above the permitted storage height.</w:t>
      </w:r>
    </w:p>
    <w:p w14:paraId="62879A40" w14:textId="77777777" w:rsidR="00965D53" w:rsidRPr="00422DC0" w:rsidRDefault="00965D53">
      <w:pPr>
        <w:tabs>
          <w:tab w:val="left" w:pos="1134"/>
        </w:tabs>
        <w:ind w:left="426" w:hanging="426"/>
        <w:jc w:val="both"/>
        <w:rPr>
          <w:rFonts w:cs="Arial"/>
          <w:szCs w:val="22"/>
        </w:rPr>
      </w:pPr>
    </w:p>
    <w:p w14:paraId="0735839D" w14:textId="77777777" w:rsidR="00865251" w:rsidRPr="00422DC0" w:rsidRDefault="00A5671A" w:rsidP="00865251">
      <w:pPr>
        <w:tabs>
          <w:tab w:val="left" w:pos="1134"/>
        </w:tabs>
        <w:ind w:left="426" w:hanging="426"/>
        <w:jc w:val="both"/>
        <w:rPr>
          <w:szCs w:val="22"/>
          <w:rFonts w:cs="Arial"/>
        </w:rPr>
      </w:pPr>
      <w:r>
        <w:t xml:space="preserve">6.6</w:t>
      </w:r>
      <w:r>
        <w:tab/>
      </w:r>
      <w:r>
        <w:t xml:space="preserve">Along at least one edge of a storage area, a 10 m wide suitable strip for the shifting and extinguishing of burning materials is to be provided.</w:t>
      </w:r>
      <w:r>
        <w:t xml:space="preserve"> </w:t>
      </w:r>
      <w:r>
        <w:t xml:space="preserve">If this strip coincides with a fire-free zone in accordance with point 6.3, a total width of 15 m is sufficient. Instead of a suitable strip, a suitable area may be provided for in accordance with point 5.5.</w:t>
      </w:r>
    </w:p>
    <w:p w14:paraId="2B06C2E7" w14:textId="6C3C8AA5" w:rsidR="00965D53" w:rsidRDefault="00965D53">
      <w:pPr>
        <w:tabs>
          <w:tab w:val="left" w:pos="1134"/>
        </w:tabs>
        <w:ind w:left="426" w:hanging="426"/>
        <w:jc w:val="both"/>
        <w:rPr>
          <w:rFonts w:cs="Arial"/>
          <w:szCs w:val="22"/>
        </w:rPr>
      </w:pPr>
    </w:p>
    <w:p w14:paraId="699FDB9E" w14:textId="77777777" w:rsidR="00422DC0" w:rsidRPr="00422DC0" w:rsidRDefault="00422DC0">
      <w:pPr>
        <w:tabs>
          <w:tab w:val="left" w:pos="1134"/>
        </w:tabs>
        <w:ind w:left="426" w:hanging="426"/>
        <w:jc w:val="both"/>
        <w:rPr>
          <w:rFonts w:cs="Arial"/>
          <w:szCs w:val="22"/>
        </w:rPr>
      </w:pPr>
    </w:p>
    <w:p w14:paraId="3D6FD97B" w14:textId="77777777" w:rsidR="003A67C1" w:rsidRPr="00422DC0" w:rsidRDefault="003A67C1">
      <w:pPr>
        <w:tabs>
          <w:tab w:val="left" w:pos="1134"/>
        </w:tabs>
        <w:ind w:left="426" w:hanging="426"/>
        <w:jc w:val="both"/>
        <w:rPr>
          <w:rFonts w:cs="Arial"/>
          <w:szCs w:val="22"/>
        </w:rPr>
      </w:pPr>
    </w:p>
    <w:p w14:paraId="06F71B0E" w14:textId="77777777" w:rsidR="003A67C1" w:rsidRPr="00422DC0" w:rsidRDefault="00A5671A">
      <w:pPr>
        <w:tabs>
          <w:tab w:val="left" w:pos="576"/>
          <w:tab w:val="left" w:pos="1134"/>
        </w:tabs>
        <w:ind w:left="426" w:hanging="426"/>
        <w:jc w:val="both"/>
        <w:rPr>
          <w:szCs w:val="22"/>
          <w:rFonts w:cs="Arial"/>
        </w:rPr>
      </w:pPr>
      <w:r>
        <w:rPr>
          <w:b/>
        </w:rPr>
        <w:t xml:space="preserve">7.</w:t>
      </w:r>
      <w:r>
        <w:rPr>
          <w:b/>
        </w:rPr>
        <w:tab/>
      </w:r>
      <w:r>
        <w:rPr>
          <w:b/>
        </w:rPr>
        <w:t xml:space="preserve">Storage height</w:t>
      </w:r>
    </w:p>
    <w:p w14:paraId="50D5939E" w14:textId="77777777" w:rsidR="003A67C1" w:rsidRPr="00422DC0" w:rsidRDefault="003A67C1">
      <w:pPr>
        <w:tabs>
          <w:tab w:val="left" w:pos="576"/>
          <w:tab w:val="left" w:pos="1134"/>
        </w:tabs>
        <w:ind w:left="426" w:hanging="426"/>
        <w:jc w:val="both"/>
        <w:rPr>
          <w:rFonts w:cs="Arial"/>
          <w:szCs w:val="22"/>
        </w:rPr>
      </w:pPr>
    </w:p>
    <w:p w14:paraId="2C8D02B2" w14:textId="77777777" w:rsidR="003A67C1" w:rsidRPr="00422DC0" w:rsidRDefault="003A67C1">
      <w:pPr>
        <w:tabs>
          <w:tab w:val="left" w:pos="576"/>
          <w:tab w:val="left" w:pos="1134"/>
        </w:tabs>
        <w:ind w:left="426" w:hanging="426"/>
        <w:jc w:val="both"/>
        <w:rPr>
          <w:szCs w:val="22"/>
          <w:rFonts w:cs="Arial"/>
        </w:rPr>
      </w:pPr>
      <w:r>
        <w:tab/>
      </w:r>
      <w:r>
        <w:t xml:space="preserve">The storage material height shall not exceed 5 m for bulk, 4 m for block storage.</w:t>
      </w:r>
    </w:p>
    <w:p w14:paraId="38AD2887" w14:textId="77777777" w:rsidR="003A67C1" w:rsidRPr="00422DC0" w:rsidRDefault="003A67C1">
      <w:pPr>
        <w:tabs>
          <w:tab w:val="left" w:pos="576"/>
          <w:tab w:val="left" w:pos="1134"/>
        </w:tabs>
        <w:ind w:left="426" w:hanging="426"/>
        <w:jc w:val="both"/>
        <w:rPr>
          <w:rFonts w:cs="Arial"/>
          <w:szCs w:val="22"/>
        </w:rPr>
      </w:pPr>
    </w:p>
    <w:p w14:paraId="65F88FEB" w14:textId="77777777" w:rsidR="003A67C1" w:rsidRPr="00422DC0" w:rsidRDefault="003A67C1">
      <w:pPr>
        <w:tabs>
          <w:tab w:val="left" w:pos="1134"/>
        </w:tabs>
        <w:ind w:left="426" w:hanging="426"/>
        <w:jc w:val="both"/>
        <w:rPr>
          <w:szCs w:val="22"/>
          <w:rFonts w:cs="Arial"/>
        </w:rPr>
      </w:pPr>
      <w:r>
        <w:tab/>
      </w:r>
      <w:r>
        <w:t xml:space="preserve">The permissible storage heights must be clearly visible.</w:t>
      </w:r>
    </w:p>
    <w:p w14:paraId="0BB61226" w14:textId="77777777" w:rsidR="003A67C1" w:rsidRPr="00422DC0" w:rsidRDefault="003A67C1">
      <w:pPr>
        <w:tabs>
          <w:tab w:val="left" w:pos="1134"/>
        </w:tabs>
        <w:ind w:left="426" w:hanging="426"/>
        <w:jc w:val="both"/>
        <w:rPr>
          <w:rFonts w:cs="Arial"/>
          <w:szCs w:val="22"/>
        </w:rPr>
      </w:pPr>
    </w:p>
    <w:p w14:paraId="6E3BF36A" w14:textId="77777777" w:rsidR="003A67C1" w:rsidRPr="00422DC0" w:rsidRDefault="003A67C1">
      <w:pPr>
        <w:tabs>
          <w:tab w:val="left" w:pos="1134"/>
        </w:tabs>
        <w:ind w:left="426" w:hanging="426"/>
        <w:jc w:val="both"/>
        <w:rPr>
          <w:rFonts w:cs="Arial"/>
          <w:szCs w:val="22"/>
        </w:rPr>
      </w:pPr>
    </w:p>
    <w:p w14:paraId="0CF61F99" w14:textId="784D222E" w:rsidR="003A67C1" w:rsidRPr="00422DC0" w:rsidRDefault="003A67C1">
      <w:pPr>
        <w:tabs>
          <w:tab w:val="left" w:pos="1134"/>
        </w:tabs>
        <w:ind w:left="426" w:hanging="426"/>
        <w:jc w:val="both"/>
        <w:rPr>
          <w:szCs w:val="22"/>
          <w:rFonts w:cs="Arial"/>
        </w:rPr>
      </w:pPr>
      <w:r>
        <w:rPr>
          <w:b/>
        </w:rPr>
        <w:t xml:space="preserve">8.</w:t>
      </w:r>
      <w:r>
        <w:rPr>
          <w:b/>
        </w:rPr>
        <w:tab/>
      </w:r>
      <w:r>
        <w:rPr>
          <w:b/>
        </w:rPr>
        <w:t xml:space="preserve">Extinguishing water supply</w:t>
      </w:r>
      <w:r>
        <w:rPr>
          <w:b/>
        </w:rPr>
        <w:t xml:space="preserve"> </w:t>
      </w:r>
    </w:p>
    <w:p w14:paraId="5926EE3F" w14:textId="77777777" w:rsidR="003A67C1" w:rsidRPr="00422DC0" w:rsidRDefault="003A67C1">
      <w:pPr>
        <w:tabs>
          <w:tab w:val="left" w:pos="1134"/>
        </w:tabs>
        <w:ind w:left="426" w:hanging="426"/>
        <w:jc w:val="both"/>
        <w:rPr>
          <w:rFonts w:cs="Arial"/>
          <w:szCs w:val="22"/>
        </w:rPr>
      </w:pPr>
    </w:p>
    <w:p w14:paraId="458ED388" w14:textId="1AAACB22" w:rsidR="003A67C1" w:rsidRPr="00422DC0" w:rsidRDefault="009D0409" w:rsidP="00326C8B">
      <w:pPr>
        <w:tabs>
          <w:tab w:val="left" w:pos="1134"/>
        </w:tabs>
        <w:ind w:left="450"/>
        <w:jc w:val="both"/>
        <w:rPr>
          <w:szCs w:val="22"/>
          <w:rFonts w:cs="Arial"/>
        </w:rPr>
      </w:pPr>
      <w:r>
        <w:t xml:space="preserve">In order to limit the spread of fire beyond a storage area, a quantity of extinguishing water of at least 192 m</w:t>
      </w:r>
      <w:r>
        <w:rPr>
          <w:vertAlign w:val="superscript"/>
        </w:rPr>
        <w:t xml:space="preserve">3</w:t>
      </w:r>
      <w:r>
        <w:t xml:space="preserve">/h must be available over a period of two hours.</w:t>
      </w:r>
      <w:r>
        <w:t xml:space="preserve"> </w:t>
      </w:r>
      <w:r>
        <w:t xml:space="preserve">In consultation with the Fire Protection Department, a larger quantity of extinguishing water and a higher flow rate may be required if necessary.</w:t>
      </w:r>
      <w:r>
        <w:t xml:space="preserve"> </w:t>
      </w:r>
      <w:r>
        <w:t xml:space="preserve">In warehouses with an automatic fire extinguishing system, the volume of extinguishing water for extinguishing work by the fire service can be reduced in consultation with the Fire Protection Department.</w:t>
      </w:r>
    </w:p>
    <w:p w14:paraId="1355F0C9" w14:textId="135C7F24" w:rsidR="00965D53" w:rsidRPr="00422DC0" w:rsidRDefault="00965D53">
      <w:pPr>
        <w:tabs>
          <w:tab w:val="left" w:pos="1134"/>
        </w:tabs>
        <w:ind w:left="426" w:hanging="426"/>
        <w:jc w:val="both"/>
        <w:rPr>
          <w:rFonts w:cs="Arial"/>
          <w:szCs w:val="22"/>
        </w:rPr>
      </w:pPr>
    </w:p>
    <w:p w14:paraId="05A8F222" w14:textId="5E8636D5" w:rsidR="00CA200D" w:rsidRPr="00422DC0" w:rsidRDefault="00CA200D">
      <w:pPr>
        <w:tabs>
          <w:tab w:val="left" w:pos="1134"/>
        </w:tabs>
        <w:ind w:left="426" w:hanging="426"/>
        <w:jc w:val="both"/>
        <w:rPr>
          <w:rFonts w:cs="Arial"/>
          <w:strike/>
          <w:szCs w:val="22"/>
        </w:rPr>
      </w:pPr>
    </w:p>
    <w:p w14:paraId="3D5DA62B" w14:textId="77777777" w:rsidR="003A67C1" w:rsidRPr="00422DC0" w:rsidRDefault="003A67C1">
      <w:pPr>
        <w:tabs>
          <w:tab w:val="left" w:pos="1134"/>
        </w:tabs>
        <w:ind w:left="426" w:hanging="426"/>
        <w:jc w:val="both"/>
        <w:rPr>
          <w:szCs w:val="22"/>
          <w:rFonts w:cs="Arial"/>
        </w:rPr>
      </w:pPr>
      <w:r>
        <w:rPr>
          <w:b/>
        </w:rPr>
        <w:t xml:space="preserve">9.</w:t>
      </w:r>
      <w:r>
        <w:rPr>
          <w:b/>
        </w:rPr>
        <w:tab/>
      </w:r>
      <w:r>
        <w:rPr>
          <w:b/>
        </w:rPr>
        <w:t xml:space="preserve">Operational measures</w:t>
      </w:r>
    </w:p>
    <w:p w14:paraId="4CBC92B7" w14:textId="77777777" w:rsidR="003A67C1" w:rsidRPr="00422DC0" w:rsidRDefault="003A67C1">
      <w:pPr>
        <w:tabs>
          <w:tab w:val="left" w:pos="1134"/>
        </w:tabs>
        <w:ind w:left="426" w:hanging="426"/>
        <w:jc w:val="both"/>
        <w:rPr>
          <w:rFonts w:cs="Arial"/>
          <w:szCs w:val="22"/>
        </w:rPr>
      </w:pPr>
    </w:p>
    <w:p w14:paraId="092E38BC" w14:textId="5DF27067" w:rsidR="00DF79DE" w:rsidRPr="00422DC0" w:rsidRDefault="003A67C1" w:rsidP="00326C8B">
      <w:pPr>
        <w:tabs>
          <w:tab w:val="left" w:pos="1134"/>
        </w:tabs>
        <w:ind w:left="450"/>
        <w:jc w:val="both"/>
        <w:rPr>
          <w:szCs w:val="22"/>
          <w:rFonts w:cs="Arial"/>
        </w:rPr>
      </w:pPr>
      <w:r>
        <w:t xml:space="preserve">In consultation with the Fire Protection Department, fire plans must be prepared and made available to the local fire service.</w:t>
      </w:r>
    </w:p>
    <w:p w14:paraId="4D433AB2" w14:textId="77777777" w:rsidR="00DF79DE" w:rsidRPr="00422DC0" w:rsidRDefault="00DF79DE" w:rsidP="00DF79DE">
      <w:pPr>
        <w:tabs>
          <w:tab w:val="left" w:pos="567"/>
        </w:tabs>
        <w:ind w:left="426" w:hanging="426"/>
        <w:jc w:val="both"/>
        <w:rPr>
          <w:rFonts w:cs="Arial"/>
          <w:szCs w:val="22"/>
        </w:rPr>
      </w:pPr>
    </w:p>
    <w:p w14:paraId="673CA712" w14:textId="77777777" w:rsidR="003A67C1" w:rsidRPr="00422DC0" w:rsidRDefault="003A67C1" w:rsidP="00DF79DE">
      <w:pPr>
        <w:ind w:left="851" w:hanging="284"/>
        <w:rPr>
          <w:rFonts w:cs="Arial"/>
          <w:szCs w:val="22"/>
        </w:rPr>
      </w:pPr>
    </w:p>
    <w:p w14:paraId="1CE23A61" w14:textId="77777777" w:rsidR="003A67C1" w:rsidRPr="00A1584F" w:rsidRDefault="003A67C1">
      <w:pPr>
        <w:rPr>
          <w:rFonts w:cs="Arial"/>
          <w:szCs w:val="22"/>
        </w:rPr>
      </w:pPr>
    </w:p>
    <w:sectPr w:rsidR="003A67C1" w:rsidRPr="00A1584F">
      <w:headerReference w:type="default" r:id="rId7"/>
      <w:headerReference w:type="first" r:id="rId8"/>
      <w:footerReference w:type="first" r:id="rId9"/>
      <w:pgSz w:w="11907" w:h="16840" w:code="9"/>
      <w:pgMar w:top="1134" w:right="851" w:bottom="851" w:left="1134" w:header="567"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85E7" w14:textId="77777777" w:rsidR="002D56D0" w:rsidRDefault="002D56D0">
      <w:r>
        <w:separator/>
      </w:r>
    </w:p>
  </w:endnote>
  <w:endnote w:type="continuationSeparator" w:id="0">
    <w:p w14:paraId="55411E41" w14:textId="77777777" w:rsidR="002D56D0" w:rsidRDefault="002D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DD1D" w14:textId="335F9458" w:rsidR="003A67C1" w:rsidRDefault="003A67C1">
    <w:pPr>
      <w:pStyle w:val="Footer"/>
      <w:tabs>
        <w:tab w:val="clear" w:pos="4536"/>
        <w:tab w:val="center" w:pos="-3179"/>
        <w:tab w:val="left" w:pos="9072"/>
      </w:tabs>
      <w:rPr>
        <w:sz w:val="12"/>
      </w:rPr>
    </w:pP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8CF97" w14:textId="77777777" w:rsidR="002D56D0" w:rsidRDefault="002D56D0">
      <w:r>
        <w:separator/>
      </w:r>
    </w:p>
  </w:footnote>
  <w:footnote w:type="continuationSeparator" w:id="0">
    <w:p w14:paraId="638E723C" w14:textId="77777777" w:rsidR="002D56D0" w:rsidRDefault="002D56D0">
      <w:r>
        <w:continuationSeparator/>
      </w:r>
    </w:p>
  </w:footnote>
  <w:footnote w:id="1">
    <w:p w14:paraId="40EE6EBA" w14:textId="19CA5F24" w:rsidR="009F36EC" w:rsidRPr="009F36EC" w:rsidRDefault="009F36EC" w:rsidP="009F36EC">
      <w:pPr>
        <w:pStyle w:val="FootnoteText"/>
        <w:ind w:left="142" w:hanging="142"/>
        <w:rPr>
          <w:rFonts w:ascii="Times New Roman" w:hAnsi="Times New Roman"/>
        </w:rPr>
      </w:pPr>
      <w:r>
        <w:rPr>
          <w:rStyle w:val="FootnoteReference"/>
        </w:rPr>
        <w:footnoteRef/>
      </w:r>
      <w:r>
        <w:t xml:space="preserve"> </w:t>
      </w:r>
      <w:r>
        <w:rPr>
          <w:rFonts w:ascii="Times New Roman" w:hAnsi="Times New Roman"/>
        </w:rPr>
        <w:t xml:space="preserve">Notified in accordance with Directive (EU) 2015/1535 of the European Parliament and of the Council of 9 September 2015 laying down a procedure for the provision of information in the field of technical regulations and of rules on Information Society services (OJ L 241, 17.9.2015, p. 1).</w:t>
      </w:r>
    </w:p>
    <w:p w14:paraId="161AA333" w14:textId="77777777" w:rsidR="009F36EC" w:rsidRPr="009F36EC" w:rsidRDefault="009F36EC" w:rsidP="009F36EC">
      <w:pPr>
        <w:widowControl w:val="0"/>
        <w:autoSpaceDE w:val="0"/>
        <w:autoSpaceDN w:val="0"/>
        <w:adjustRightInd w:val="0"/>
        <w:rPr>
          <w:rFonts w:ascii="Times New Roman" w:hAnsi="Times New Roman"/>
          <w:sz w:val="20"/>
        </w:rPr>
      </w:pPr>
    </w:p>
    <w:p w14:paraId="73AE2856" w14:textId="0815A1D7" w:rsidR="009F36EC" w:rsidRDefault="009F36E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832B" w14:textId="484166D2" w:rsidR="003A67C1" w:rsidRDefault="003A67C1">
    <w:pPr>
      <w:pStyle w:val="Heade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023C6C">
      <w:rPr>
        <w:rStyle w:val="PageNumber"/>
      </w:rPr>
      <w:t>3</w:t>
    </w:r>
    <w:r>
      <w:rPr>
        <w:rStyle w:val="PageNumber"/>
      </w:rPr>
      <w:fldChar w:fldCharType="end"/>
    </w:r>
    <w:r>
      <w:rPr>
        <w:rStyle w:val="PageNumber"/>
      </w:rPr>
      <w:t xml:space="preserve"> -</w:t>
    </w:r>
  </w:p>
  <w:p w14:paraId="4DFADCEA" w14:textId="77777777" w:rsidR="003A67C1" w:rsidRDefault="003A67C1">
    <w:pPr>
      <w:pStyle w:val="Header"/>
      <w:rPr>
        <w:rStyle w:val="PageNumber"/>
      </w:rPr>
    </w:pPr>
  </w:p>
  <w:p w14:paraId="2BF9E41C" w14:textId="77777777" w:rsidR="003A67C1" w:rsidRDefault="003A6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3D1C" w14:textId="00A1E439" w:rsidR="006A3F2F" w:rsidRPr="006A3F2F" w:rsidRDefault="006A3F2F" w:rsidP="006A3F2F">
    <w:pPr>
      <w:pStyle w:val="Header"/>
      <w:jc w:val="center"/>
      <w:rPr>
        <w:b/>
      </w:rPr>
    </w:pPr>
    <w:r>
      <w:rPr>
        <w:b/>
      </w:rPr>
      <w:t xml:space="preserve">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_Type" w:val="Dokument"/>
    <w:docVar w:name="Macro_DIBt" w:val="Dokument"/>
    <w:docVar w:name="Macro_LNX" w:val="Dokument"/>
  </w:docVars>
  <w:rsids>
    <w:rsidRoot w:val="006110CC"/>
    <w:rsid w:val="00023C6C"/>
    <w:rsid w:val="00035157"/>
    <w:rsid w:val="00056889"/>
    <w:rsid w:val="000C2DAA"/>
    <w:rsid w:val="000E05BE"/>
    <w:rsid w:val="000F7109"/>
    <w:rsid w:val="00110088"/>
    <w:rsid w:val="001223EC"/>
    <w:rsid w:val="0017111C"/>
    <w:rsid w:val="002414BD"/>
    <w:rsid w:val="0024228C"/>
    <w:rsid w:val="00273B55"/>
    <w:rsid w:val="00275890"/>
    <w:rsid w:val="002D56D0"/>
    <w:rsid w:val="00326C8B"/>
    <w:rsid w:val="00374CC7"/>
    <w:rsid w:val="003913B8"/>
    <w:rsid w:val="003A67C1"/>
    <w:rsid w:val="00422DC0"/>
    <w:rsid w:val="00443F91"/>
    <w:rsid w:val="004600B6"/>
    <w:rsid w:val="00505F58"/>
    <w:rsid w:val="00515B8A"/>
    <w:rsid w:val="00535436"/>
    <w:rsid w:val="00553B1A"/>
    <w:rsid w:val="00582011"/>
    <w:rsid w:val="005F4E58"/>
    <w:rsid w:val="006063A7"/>
    <w:rsid w:val="006110CC"/>
    <w:rsid w:val="00616FC5"/>
    <w:rsid w:val="00660B48"/>
    <w:rsid w:val="006631C5"/>
    <w:rsid w:val="006933D4"/>
    <w:rsid w:val="006A3F2F"/>
    <w:rsid w:val="006B4BC5"/>
    <w:rsid w:val="00733FCB"/>
    <w:rsid w:val="00741218"/>
    <w:rsid w:val="008113F4"/>
    <w:rsid w:val="0082200B"/>
    <w:rsid w:val="00865251"/>
    <w:rsid w:val="008A1568"/>
    <w:rsid w:val="008B4E71"/>
    <w:rsid w:val="00932ADB"/>
    <w:rsid w:val="00955CCB"/>
    <w:rsid w:val="00965D53"/>
    <w:rsid w:val="00975558"/>
    <w:rsid w:val="00983501"/>
    <w:rsid w:val="009D0409"/>
    <w:rsid w:val="009F36EC"/>
    <w:rsid w:val="009F67A8"/>
    <w:rsid w:val="00A1584F"/>
    <w:rsid w:val="00A24084"/>
    <w:rsid w:val="00A5671A"/>
    <w:rsid w:val="00AB79D1"/>
    <w:rsid w:val="00AC3B3B"/>
    <w:rsid w:val="00AC4161"/>
    <w:rsid w:val="00AE1715"/>
    <w:rsid w:val="00B3627B"/>
    <w:rsid w:val="00B47968"/>
    <w:rsid w:val="00B56A43"/>
    <w:rsid w:val="00B95B0E"/>
    <w:rsid w:val="00BC1674"/>
    <w:rsid w:val="00BC49B1"/>
    <w:rsid w:val="00C61DA9"/>
    <w:rsid w:val="00C7155E"/>
    <w:rsid w:val="00CA200D"/>
    <w:rsid w:val="00CE6708"/>
    <w:rsid w:val="00CF1E07"/>
    <w:rsid w:val="00D00DCC"/>
    <w:rsid w:val="00DF79DE"/>
    <w:rsid w:val="00E31342"/>
    <w:rsid w:val="00E46E28"/>
    <w:rsid w:val="00E60194"/>
    <w:rsid w:val="00ED1518"/>
    <w:rsid w:val="00F26827"/>
    <w:rsid w:val="00F73447"/>
    <w:rsid w:val="00FD7C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4D25F"/>
  <w15:chartTrackingRefBased/>
  <w15:docId w15:val="{6DE83AE1-CF80-415B-8B70-10D42C63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DAA"/>
    <w:rPr>
      <w:rFonts w:ascii="Arial" w:hAnsi="Arial"/>
      <w:sz w:val="22"/>
    </w:rPr>
  </w:style>
  <w:style w:type="paragraph" w:styleId="Heading1">
    <w:name w:val="heading 1"/>
    <w:basedOn w:val="Normal"/>
    <w:next w:val="Heading2"/>
    <w:qFormat/>
    <w:pPr>
      <w:keepNext/>
      <w:spacing w:before="240"/>
      <w:ind w:hanging="993"/>
      <w:outlineLvl w:val="0"/>
    </w:pPr>
    <w:rPr>
      <w:kern w:val="28"/>
      <w:sz w:val="28"/>
    </w:rPr>
  </w:style>
  <w:style w:type="paragraph" w:styleId="Heading2">
    <w:name w:val="heading 2"/>
    <w:basedOn w:val="Heading1"/>
    <w:next w:val="Normal"/>
    <w:qFormat/>
    <w:pPr>
      <w:outlineLvl w:val="1"/>
    </w:pPr>
  </w:style>
  <w:style w:type="paragraph" w:styleId="Heading3">
    <w:name w:val="heading 3"/>
    <w:basedOn w:val="Heading2"/>
    <w:next w:val="Normal"/>
    <w:qFormat/>
    <w:pPr>
      <w:keepNext w:val="0"/>
      <w:spacing w:before="120" w:after="60"/>
      <w:ind w:hanging="992"/>
      <w:outlineLvl w:val="2"/>
    </w:pPr>
    <w:rPr>
      <w:sz w:val="24"/>
    </w:rPr>
  </w:style>
  <w:style w:type="paragraph" w:styleId="Heading4">
    <w:name w:val="heading 4"/>
    <w:basedOn w:val="Heading3"/>
    <w:next w:val="Normal"/>
    <w:qFormat/>
    <w:pPr>
      <w:outlineLvl w:val="3"/>
    </w:p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ind w:left="4248" w:hanging="708"/>
      <w:outlineLvl w:val="5"/>
    </w:pPr>
    <w:rPr>
      <w:i/>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semiHidden/>
    <w:pPr>
      <w:spacing w:before="480" w:after="240"/>
      <w:ind w:right="454"/>
    </w:pPr>
  </w:style>
  <w:style w:type="paragraph" w:customStyle="1" w:styleId="Anschrift">
    <w:name w:val="Anschrift"/>
    <w:basedOn w:val="Normal"/>
    <w:pPr>
      <w:tabs>
        <w:tab w:val="left" w:pos="3260"/>
        <w:tab w:val="left" w:pos="6379"/>
        <w:tab w:val="left" w:pos="7655"/>
      </w:tabs>
    </w:pPr>
    <w:rPr>
      <w:sz w:val="21"/>
    </w:rPr>
  </w:style>
  <w:style w:type="paragraph" w:customStyle="1" w:styleId="Betreff">
    <w:name w:val="Betreff"/>
    <w:basedOn w:val="Normal"/>
    <w:next w:val="Normal"/>
    <w:pPr>
      <w:spacing w:before="240"/>
      <w:ind w:left="851" w:hanging="851"/>
    </w:pPr>
  </w:style>
  <w:style w:type="paragraph" w:customStyle="1" w:styleId="Brief-Absender">
    <w:name w:val="Brief-Absender"/>
    <w:basedOn w:val="Normal"/>
    <w:pPr>
      <w:tabs>
        <w:tab w:val="right" w:pos="9498"/>
      </w:tabs>
      <w:spacing w:before="1500"/>
    </w:pPr>
    <w:rPr>
      <w:sz w:val="12"/>
    </w:rPr>
  </w:style>
  <w:style w:type="paragraph" w:customStyle="1" w:styleId="Brief-Anstaltdes">
    <w:name w:val="Brief-Anstalt des ..."/>
    <w:basedOn w:val="Normal"/>
    <w:pPr>
      <w:tabs>
        <w:tab w:val="right" w:pos="9498"/>
      </w:tabs>
    </w:pPr>
    <w:rPr>
      <w:b/>
      <w:sz w:val="23"/>
    </w:rPr>
  </w:style>
  <w:style w:type="paragraph" w:customStyle="1" w:styleId="Brief-BERLIN">
    <w:name w:val="Brief-BERLIN"/>
    <w:basedOn w:val="Normal"/>
    <w:pPr>
      <w:tabs>
        <w:tab w:val="right" w:pos="9498"/>
      </w:tabs>
      <w:ind w:left="10" w:firstLine="992"/>
    </w:pPr>
    <w:rPr>
      <w:b/>
      <w:sz w:val="54"/>
    </w:rPr>
  </w:style>
  <w:style w:type="paragraph" w:customStyle="1" w:styleId="Brief-DIBt">
    <w:name w:val="Brief-DIBt"/>
    <w:basedOn w:val="Normal"/>
    <w:pPr>
      <w:tabs>
        <w:tab w:val="right" w:pos="9498"/>
      </w:tabs>
      <w:ind w:right="-247"/>
    </w:pPr>
    <w:rPr>
      <w:b/>
      <w:spacing w:val="6"/>
      <w:sz w:val="36"/>
    </w:rPr>
  </w:style>
  <w:style w:type="paragraph" w:customStyle="1" w:styleId="Brief-Fuzeile">
    <w:name w:val="Brief-Fußzeile"/>
    <w:basedOn w:val="Normal"/>
    <w:pPr>
      <w:tabs>
        <w:tab w:val="left" w:pos="2693"/>
        <w:tab w:val="left" w:pos="4536"/>
        <w:tab w:val="left" w:pos="6095"/>
        <w:tab w:val="left" w:pos="7655"/>
        <w:tab w:val="left" w:pos="8363"/>
      </w:tabs>
    </w:pPr>
    <w:rPr>
      <w:sz w:val="12"/>
    </w:rPr>
  </w:style>
  <w:style w:type="paragraph" w:styleId="Header">
    <w:name w:val="header"/>
    <w:basedOn w:val="Normal"/>
    <w:semiHidden/>
    <w:pPr>
      <w:tabs>
        <w:tab w:val="center" w:pos="4536"/>
        <w:tab w:val="right" w:pos="9072"/>
      </w:tabs>
    </w:pPr>
  </w:style>
  <w:style w:type="paragraph" w:customStyle="1" w:styleId="Brief-Text">
    <w:name w:val="Brief-Text"/>
    <w:basedOn w:val="Normal"/>
    <w:pPr>
      <w:jc w:val="both"/>
    </w:pPr>
    <w:rPr>
      <w:sz w:val="24"/>
    </w:rPr>
  </w:style>
  <w:style w:type="paragraph" w:customStyle="1" w:styleId="Brief-Wegengleitender">
    <w:name w:val="Brief-Wegen gleitender ..."/>
    <w:basedOn w:val="Normal"/>
    <w:pPr>
      <w:tabs>
        <w:tab w:val="left" w:pos="572"/>
        <w:tab w:val="left" w:pos="3260"/>
        <w:tab w:val="left" w:pos="6379"/>
        <w:tab w:val="left" w:pos="7655"/>
      </w:tabs>
    </w:pPr>
    <w:rPr>
      <w:sz w:val="14"/>
    </w:rPr>
  </w:style>
  <w:style w:type="paragraph" w:customStyle="1" w:styleId="DIBt-Kopf">
    <w:name w:val="DIBt-Kopf"/>
    <w:basedOn w:val="Normal"/>
    <w:pPr>
      <w:spacing w:before="120" w:after="100"/>
      <w:ind w:right="1"/>
      <w:jc w:val="center"/>
    </w:pPr>
    <w:rPr>
      <w:spacing w:val="-30"/>
      <w:sz w:val="40"/>
    </w:rPr>
  </w:style>
  <w:style w:type="paragraph" w:styleId="Footer">
    <w:name w:val="footer"/>
    <w:basedOn w:val="Normal"/>
    <w:semiHidden/>
    <w:pPr>
      <w:tabs>
        <w:tab w:val="center" w:pos="4536"/>
        <w:tab w:val="right" w:pos="9072"/>
      </w:tabs>
    </w:pPr>
    <w:rPr>
      <w:sz w:val="24"/>
    </w:rPr>
  </w:style>
  <w:style w:type="paragraph" w:customStyle="1" w:styleId="Geschftszeichenzeile">
    <w:name w:val="Geschäftszeichenzeile"/>
    <w:basedOn w:val="Normal"/>
    <w:pPr>
      <w:tabs>
        <w:tab w:val="left" w:pos="3260"/>
        <w:tab w:val="left" w:pos="5812"/>
        <w:tab w:val="left" w:pos="7655"/>
      </w:tabs>
      <w:spacing w:after="240"/>
    </w:pPr>
    <w:rPr>
      <w:sz w:val="12"/>
    </w:rPr>
  </w:style>
  <w:style w:type="character" w:styleId="PageNumber">
    <w:name w:val="page number"/>
    <w:basedOn w:val="DefaultParagraphFont"/>
    <w:semiHidden/>
  </w:style>
  <w:style w:type="paragraph" w:customStyle="1" w:styleId="Ebene5">
    <w:name w:val="Ebene 5"/>
    <w:basedOn w:val="Heading5"/>
    <w:pPr>
      <w:ind w:left="1418" w:hanging="425"/>
      <w:jc w:val="both"/>
      <w:outlineLvl w:val="9"/>
    </w:pPr>
    <w:rPr>
      <w:sz w:val="24"/>
    </w:rPr>
  </w:style>
  <w:style w:type="paragraph" w:styleId="FootnoteText">
    <w:name w:val="footnote text"/>
    <w:basedOn w:val="Normal"/>
    <w:semiHidden/>
    <w:pPr>
      <w:ind w:left="851" w:hanging="851"/>
      <w:jc w:val="both"/>
    </w:pPr>
    <w:rPr>
      <w:sz w:val="18"/>
    </w:rPr>
  </w:style>
  <w:style w:type="character" w:styleId="FootnoteReference">
    <w:name w:val="footnote reference"/>
    <w:semiHidden/>
    <w:rPr>
      <w:rFonts w:ascii="Arial" w:hAnsi="Arial"/>
      <w:noProof w:val="0"/>
      <w:color w:val="auto"/>
      <w:position w:val="6"/>
      <w:sz w:val="18"/>
      <w:u w:val="none"/>
      <w:vertAlign w:val="baseline"/>
      <w:lang w:val="en-GB"/>
    </w:rPr>
  </w:style>
  <w:style w:type="paragraph" w:customStyle="1" w:styleId="berschrift">
    <w:name w:val="Überschrift"/>
    <w:basedOn w:val="Heading1"/>
    <w:next w:val="Normal"/>
    <w:pPr>
      <w:spacing w:before="120" w:after="480"/>
      <w:ind w:firstLine="0"/>
      <w:jc w:val="center"/>
      <w:outlineLvl w:val="9"/>
    </w:pPr>
    <w:rPr>
      <w:caps/>
      <w:kern w:val="0"/>
      <w:sz w:val="32"/>
    </w:rPr>
  </w:style>
  <w:style w:type="paragraph" w:customStyle="1" w:styleId="Ebene6">
    <w:name w:val="Ebene 6"/>
    <w:basedOn w:val="Ebene5"/>
    <w:pPr>
      <w:spacing w:line="288" w:lineRule="exact"/>
      <w:ind w:left="1701"/>
    </w:pPr>
  </w:style>
  <w:style w:type="paragraph" w:customStyle="1" w:styleId="Fuzeile-Titel">
    <w:name w:val="Fußzeile-Titel"/>
    <w:basedOn w:val="Normal"/>
    <w:rPr>
      <w:sz w:val="12"/>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Arial" w:hAnsi="Arial"/>
      <w:sz w:val="22"/>
    </w:rPr>
  </w:style>
  <w:style w:type="paragraph" w:styleId="EndnoteText">
    <w:name w:val="endnote text"/>
    <w:basedOn w:val="Normal"/>
    <w:semiHidden/>
    <w:pPr>
      <w:jc w:val="both"/>
    </w:pPr>
    <w:rPr>
      <w:sz w:val="18"/>
    </w:rPr>
  </w:style>
  <w:style w:type="character" w:styleId="EndnoteReference">
    <w:name w:val="endnote reference"/>
    <w:semiHidden/>
    <w:rPr>
      <w:rFonts w:ascii="Arial" w:hAnsi="Arial"/>
      <w:noProof/>
      <w:color w:val="auto"/>
      <w:position w:val="6"/>
      <w:sz w:val="18"/>
      <w:u w:val="none"/>
      <w:vertAlign w:val="baseline"/>
    </w:rPr>
  </w:style>
  <w:style w:type="paragraph" w:customStyle="1" w:styleId="Funotentext1">
    <w:name w:val="Fußnotentext1"/>
    <w:basedOn w:val="Normal"/>
    <w:pPr>
      <w:ind w:left="851" w:hanging="851"/>
      <w:jc w:val="both"/>
    </w:pPr>
    <w:rPr>
      <w:sz w:val="18"/>
    </w:rPr>
  </w:style>
  <w:style w:type="paragraph" w:customStyle="1" w:styleId="Funotentext2">
    <w:name w:val="Fußnotentext2"/>
    <w:basedOn w:val="Normal"/>
    <w:pPr>
      <w:tabs>
        <w:tab w:val="left" w:pos="567"/>
        <w:tab w:val="left" w:pos="851"/>
        <w:tab w:val="left" w:pos="1134"/>
        <w:tab w:val="left" w:pos="1701"/>
        <w:tab w:val="left" w:pos="2835"/>
      </w:tabs>
      <w:ind w:left="851"/>
      <w:jc w:val="both"/>
    </w:pPr>
    <w:rPr>
      <w:sz w:val="18"/>
    </w:rPr>
  </w:style>
  <w:style w:type="paragraph" w:styleId="BalloonText">
    <w:name w:val="Balloon Text"/>
    <w:basedOn w:val="Normal"/>
    <w:link w:val="BalloonTextChar"/>
    <w:uiPriority w:val="99"/>
    <w:semiHidden/>
    <w:unhideWhenUsed/>
    <w:rsid w:val="006110CC"/>
    <w:rPr>
      <w:rFonts w:ascii="Segoe UI" w:hAnsi="Segoe UI" w:cs="Segoe UI"/>
      <w:sz w:val="18"/>
      <w:szCs w:val="18"/>
    </w:rPr>
  </w:style>
  <w:style w:type="character" w:customStyle="1" w:styleId="BalloonTextChar">
    <w:name w:val="Balloon Text Char"/>
    <w:link w:val="BalloonText"/>
    <w:uiPriority w:val="99"/>
    <w:semiHidden/>
    <w:rsid w:val="006110CC"/>
    <w:rPr>
      <w:rFonts w:ascii="Segoe UI" w:hAnsi="Segoe UI" w:cs="Segoe UI"/>
      <w:sz w:val="18"/>
      <w:szCs w:val="18"/>
    </w:rPr>
  </w:style>
  <w:style w:type="character" w:styleId="CommentReference">
    <w:name w:val="annotation reference"/>
    <w:basedOn w:val="DefaultParagraphFont"/>
    <w:uiPriority w:val="99"/>
    <w:semiHidden/>
    <w:unhideWhenUsed/>
    <w:rsid w:val="00F73447"/>
    <w:rPr>
      <w:sz w:val="16"/>
      <w:szCs w:val="16"/>
    </w:rPr>
  </w:style>
  <w:style w:type="paragraph" w:styleId="CommentText">
    <w:name w:val="annotation text"/>
    <w:basedOn w:val="Normal"/>
    <w:link w:val="CommentTextChar"/>
    <w:uiPriority w:val="99"/>
    <w:unhideWhenUsed/>
    <w:rsid w:val="00F73447"/>
    <w:rPr>
      <w:sz w:val="20"/>
    </w:rPr>
  </w:style>
  <w:style w:type="character" w:customStyle="1" w:styleId="CommentTextChar">
    <w:name w:val="Comment Text Char"/>
    <w:basedOn w:val="DefaultParagraphFont"/>
    <w:link w:val="CommentText"/>
    <w:uiPriority w:val="99"/>
    <w:rsid w:val="00F73447"/>
    <w:rPr>
      <w:rFonts w:ascii="Arial" w:hAnsi="Arial"/>
    </w:rPr>
  </w:style>
  <w:style w:type="paragraph" w:styleId="CommentSubject">
    <w:name w:val="annotation subject"/>
    <w:basedOn w:val="CommentText"/>
    <w:next w:val="CommentText"/>
    <w:link w:val="CommentSubjectChar"/>
    <w:uiPriority w:val="99"/>
    <w:semiHidden/>
    <w:unhideWhenUsed/>
    <w:rsid w:val="00F73447"/>
    <w:rPr>
      <w:b/>
      <w:bCs/>
    </w:rPr>
  </w:style>
  <w:style w:type="character" w:customStyle="1" w:styleId="CommentSubjectChar">
    <w:name w:val="Comment Subject Char"/>
    <w:basedOn w:val="CommentTextChar"/>
    <w:link w:val="CommentSubject"/>
    <w:uiPriority w:val="99"/>
    <w:semiHidden/>
    <w:rsid w:val="00F7344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B4C11-8870-41CF-88B4-21AFC5BD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956</Words>
  <Characters>5450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32984.01</vt:lpstr>
    </vt:vector>
  </TitlesOfParts>
  <Company>DIBt</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32984.01</dc:title>
  <dc:subject/>
  <dc:creator>Frau Elke Schwarzwald</dc:creator>
  <cp:keywords/>
  <dc:description>Datei gedruckt von esw_x000d_Datei erstellt am: 12.03.2001	16:40:00_x000d_Datei-Besitzer: Frau Elke Schwarzwald (Referat P3)</dc:description>
  <cp:lastModifiedBy>Anastasia Stavroulaki</cp:lastModifiedBy>
  <cp:revision>6</cp:revision>
  <cp:lastPrinted>2023-02-27T10:46:00Z</cp:lastPrinted>
  <dcterms:created xsi:type="dcterms:W3CDTF">2023-03-23T12:27:00Z</dcterms:created>
  <dcterms:modified xsi:type="dcterms:W3CDTF">2023-03-23T14:53:00Z</dcterms:modified>
</cp:coreProperties>
</file>