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ΒΑΣΙΛΙΚΟ ΔΙΑΤΑΓΜΑ</w:t>
      </w:r>
      <w:r>
        <w:rPr>
          <w:rFonts w:asciiTheme="minorHAnsi" w:hAnsiTheme="minorHAnsi"/>
          <w:b/>
          <w:color w:val="000000"/>
          <w:sz w:val="28"/>
        </w:rPr>
        <w:tab/>
        <w:t>/</w:t>
      </w:r>
      <w:r>
        <w:rPr>
          <w:rFonts w:asciiTheme="minorHAnsi" w:hAnsiTheme="minorHAnsi"/>
          <w:b/>
          <w:color w:val="000000"/>
          <w:sz w:val="28"/>
        </w:rPr>
        <w:tab/>
        <w:t>, για την έγκριση του προτύπου αντισεισμικών κατασκευών NCSR-</w:t>
      </w:r>
      <w:r>
        <w:rPr>
          <w:rFonts w:asciiTheme="minorHAnsi" w:hAnsiTheme="minorHAnsi"/>
          <w:b/>
          <w:sz w:val="28"/>
        </w:rPr>
        <w:t>23</w:t>
      </w:r>
    </w:p>
    <w:p w14:paraId="227AE49F" w14:textId="77777777" w:rsidR="003667D0" w:rsidRPr="00A7496E"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Η μόνιμη επιτροπή αντισεισμικών προτύπων, διυπουργικό συλλογικό όργανο που συστάθηκε με το διάταγμα 3209/1974 της 30ής Αυγούστου, η οποία υπάγεται στο Υπουργείο Μεταφορών, Κινητικότητας και Αστικού Θεματολογίου και στη Γενική Διεύθυνση του Εθνικού Γεωγραφικού Ινστιτούτου, όπως ορίζεται στο βασιλικό διάταγμα 645/2020 της 7ης Ιουλίου, για την ανάπτυξη της βασικής οργανωτικής δομής του Υπουργείου Μεταφορών, Κινητικότητας και Αστικού Θεματολογίου, στο πλαίσιο των καθηκόντων της, είναι επιφορτισμένη με την επικαιροποίηση των κανονισμών αντισεισμικής προστασίας, όπως προβλέπεται στο άρθρο 2 σημείο Β του βασιλικού διατάγματος 518/1984 της 22ας Φεβρουαρίου, περί αναδιοργάνωσης της σύνθεσής της.</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Μέχρι σήμερα, οι ισχύοντες κανονισμοί περιλαμβάνονται στο «Πρότυπο αντισεισμικών κατασκευών: Γενικό μέρος και κτιριακά έργα (NCSE-02)» που εγκρίθηκε με το βασιλικό διάταγμα 997/2002 της 27ης Σεπτεμβρίου και στο πρότυπο αντισεισμικών κατασκευών: Γέφυρες (NCSP-07)» που εγκρίθηκε με το βασιλικό διάταγμα 637/2007 της 18ης Μαΐου. Ο χρόνος που έχει παρέλθει από την έγκρισή τους απαιτεί την αναθεώρηση και την επικαιροποίησή τους, τόσο για τεχνικούς όσο και για κανονιστικούς λόγους, προκειμένου να προσαρμοστούν οι κανονισμοί στην τρέχουσα τεχνολογική εξέλιξη σχετικά με τη σεισμολογία και τη σεισμική μηχανική, καθώς και στο ρυθμιστικό πλαίσιο εντός του οποίου πρέπει να λειτουργεί.</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Η μόνιμη επιτροπή προτύπων αντισεισμικής προστασίας, κατά την άσκηση των καθηκόντων της, κατάρτισε ένα νέο πρότυπο αντισεισμικών κατασκευών, το οποίο αντικαθιστά τα προαναφερθέντα πρότυπα, ενσωματώνοντας τις πιο σχετικές πτυχές των ευρωπαϊκών κανονισμών για τον υπολογισμό των δομών, σύμφωνα με τις διαδικασίες που καθορίζονται στους ευρωκώδικες για τα δομικά έργα και επεκτείνοντας το περιεχόμενό τους με περισσότερες δομικές τυπολογίες. Το νέο πρότυπο καθορίζει τις τεχνικές προϋποθέσεις που πρέπει να πληρούν οι οικοδομικές κατασκευές και τα έργα πολιτικού μηχανικού, έτσι ώστε η συμπεριφορά τους, όταν αντιμετωπίζουν σεισμικά φαινόμενα, να αποτρέπει σοβαρές συνέπειες για την υγεία και την ασφάλεια των ανθρώπων, να αποτρέπει οικονομικές ζημίες και να προάγει τη διατήρηση βασικών υπηρεσιών για την κοινωνία σε περιπτώσεις σεισμών υψηλής έντασης.</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Το παρόν βασιλικό διάταγμα συνάδει με τις αρχές της αναγκαιότητας, της αποτελεσματικότητας, της αναλογικότητας, της ασφάλειας δικαίου, της διαφάνειας και της αποδοτικότητας, όπως ορίζονται στο άρθρο 129 του νόμου 39/2015 της 1ης Οκτωβρίου, για την κοινή διοικητική διαδικασία της δημόσιας διοίκησης.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Συμμορφώνεται με τις αρχές της αναγκαιότητας και της αποτελεσματικότητας, δεδομένου ότι η εφαρμογή του νέου προτύπου αντισεισμικής προστασίας αποτελεί, σε σχέση με τους προηγούμενους κανονισμούς, πρόοδο στη γνώση και τον προσδιορισμό της σεισμικής δραστηριότητας, καθώς και διευκρίνιση στη χρήση των εννοιών και των απαιτήσεων της αντισεισμικής προστασίας και της ολκιμότητας που πρέπει να απαιτούνται για τις δομές σε σεισμικές ζώνες. Το νομοσχέδιο δεν στρεβλώνει τον ανταγωνισμό στην αγορά, αλλά ευνοεί τον ανταγωνισμό μέσω της ρύθμισης πτυχών που δεν καλύπτονται από τους ισχύοντες κανονισμούς. Είναι επίσης σύμφωνο με την αρχή της αναλογικότητας, δεδομένου ότι το πρότυπο περιέχει τους κανόνες που είναι αναγκαίοι για την κάλυψη της ανάγκης που περιγράφεται ανωτέρω, χωρίς να υπάρχουν άλλα μέτρα που να περιορίζουν </w:t>
      </w:r>
      <w:r>
        <w:rPr>
          <w:rFonts w:asciiTheme="minorHAnsi" w:hAnsiTheme="minorHAnsi"/>
          <w:color w:val="000000" w:themeColor="text1"/>
        </w:rPr>
        <w:lastRenderedPageBreak/>
        <w:t>λιγότερο τα δικαιώματα ή να επιβάλλουν λιγότερες υποχρεώσεις στους αποδέκτες, και με την αρχή της ασφάλειας δικαίου δεδομένης της ενσωμάτωσής τους στην έννομη τάξη, σε πλήρη συνοχή με τους ισχύοντες εθνικούς και ευρωπαϊκούς κανονισμούς. Η αρχή της διαφάνειας είναι εγγυημένη, δεδομένου ότι έχουν τηρηθεί όλες οι διαδικασίες ενημέρωσης που προβλέπονται στον κυβερνητικό νόμο 50/1997 της 27ης Νοεμβρίου, και το παρόν έχει δημοσιευθεί στην πύλη διαφάνειας της ισπανικής κυβέρνησης. Τέλος, κατ’ εφαρμογή της αρχής της αποτελεσματικότητας, το πρότυπο αυτό δεν συνεπάγεται αύξηση του πρόσθετου διοικητικού φόρτου ή αύξηση των δημόσιων δαπανών.</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Το παρόν βασιλικό διάταγμα εκδίδεται σύμφωνα με τις διατάξεις </w:t>
      </w:r>
      <w:r>
        <w:rPr>
          <w:rFonts w:asciiTheme="minorHAnsi" w:hAnsiTheme="minorHAnsi"/>
        </w:rPr>
        <w:t xml:space="preserve">του άρθρου 149.1.13α του ισπανικού Συντάγματος, </w:t>
      </w:r>
      <w:r>
        <w:rPr>
          <w:rFonts w:asciiTheme="minorHAnsi" w:hAnsiTheme="minorHAnsi"/>
          <w:color w:val="000000" w:themeColor="text1"/>
        </w:rPr>
        <w:t>το οποίο αποδίδει στο κράτος αρμοδιότητα σε θέματα βάσεων και συντονισμού του γενικού σχεδιασμού της οικονομικής δραστηριότητας.</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Η διαδικασία σύνταξης του παρόντος βασιλικού διατάγματος ολοκλήρωσε τη διαδικασία που προβλέπεται στον νόμο 50/1997 της 27ης Νοεμβρίου της κυβέρνησης, καθώς και στην οδηγία (ΕΕ) 2015/1535 του Ευρωπαϊκού Κοινοβουλίου και του Συμβουλίου της 9ης Σεπτεμβρίου,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καθώς και στο βασιλικό διάταγμα 1337/1999 της 31ης Ιουλίου, που διέπει την παροχή πληροφοριών στον τομέα των τεχνικών κανόνων και κανονισμών που σχετίζονται με τις υπηρεσίες της κοινωνίας των πληροφοριών.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Αυτό το βασιλικό διάταγμα εγκρίνεται με πρωτοβουλία της μόνιμης επιτροπής προτύπων αντισεισμικής προστασίας.</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Δυνάμει του παρόντος, κατόπιν πρότασης του υπουργού Μεταφορών, Κινητικότητας και Αστικού Θεματολογίου </w:t>
      </w:r>
      <w:r>
        <w:rPr>
          <w:rFonts w:asciiTheme="minorHAnsi" w:hAnsiTheme="minorHAnsi"/>
          <w:color w:val="000000"/>
        </w:rPr>
        <w:t>και μετά από διαβούλευση στο Υπουργικό Συμβούλιο την ημέρα...</w:t>
      </w:r>
    </w:p>
    <w:p w14:paraId="01FC4263" w14:textId="77777777" w:rsidR="004459F4" w:rsidRPr="00A7496E"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ΟΡΙΖΟΝΤΑΙ ΤΑ ΕΞΗΣ</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Άρθρο 1. Σκοπός</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Εγκρίνεται το πρότυπο αντισεισμικών κατασκευών NCSR-23, το οποίο καθορίζει τις βασικές έννοιες και απαιτήσεις που πρέπει να πληρούν οι δομές που βρίσκονται σε σεισμικές ζώνες, στην Ισπανία, εκτός από τη συμμόρφωση με τους υπόλοιπους ειδικούς κανονισμούς που ισχύουν για τις δομές.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Οι δομές και οι κατασκευές που ενδέχεται να αντιμετωπίσουν σεισμική δραστηριότητα πρέπει να σχεδιάζονται, να εκτελούνται και να τεκμηριώνονται λαμβάνοντας υπόψη τη σεισμική δραστηριότητα σύμφωνα με τις διατάξεις των έξι παραρτημάτων που αποτελούν το παρόν πρότυπο αντισεισμικής προστασίας και τα οποία είναι:</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Παράρτημα 1: Γενικοί κανόνες, σεισμικότητα και οικοδομικοί κανόνες.</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Παράρτημα 2: Γέφυρες.</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Παράρτημα 3: Αξιολόγηση και σεισμική προσαρμογή των κτιρίων.</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Παράρτημα 4: Σιλό, δεξαμενές και σωλήνες.</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Παράρτημα 5: Θεμέλια, κατασκευές αντιστήριξης και γεωτεχνικές πτυχές.</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Παράρτημα 6: Πύργοι, στύλοι και καμινάδες.</w:t>
      </w:r>
    </w:p>
    <w:p w14:paraId="75E4EE37" w14:textId="77777777" w:rsidR="00870C22" w:rsidRPr="00A7496E"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Εναλλακτικά, ο συντάκτης του έργου και η προαιρετική διοίκηση μπορούν, κατά τη χρήση των εξουσιών τους, υπό την ευθύνη τους και με προηγούμενη συμφωνία του ιδιοκτήτη, να υιοθετήσουν άλλες λύσεις που αποκλίνουν εν μέρει ή πλήρως από τις διαδικασίες που αναφέρονται στα προηγούμενα παραρτήματα (μέσω διαφορετικών συστημάτων υπολογισμού, εποικοδομητικών ρυθμίσεων κ.λπ.), υπό την προϋπόθεση ότι τεκμηριώνεται ότι η δομή συμμορφώνεται με τις απαιτήσεις του παρόντος αντισεισμικού προτύπου, επιτυγχάνοντας τουλάχιστον ισοδύναμες επιδόσεις με εκείνες που θα αποκτούσαν με την εφαρμογή των διαδικασιών του παρόντος προτύπου.</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Άρθρο 2. Πεδίο εφαρμογής</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Οι απαιτήσεις για το αντισεισμικό περιεχόμενο του παρόντος προτύπου ισχύουν για όλα τα έργα και τις κατασκευαστικές εργασίες νέων κτιρίων, γεφυρών, πύργων, στύλων, καμινάδων, σιλό, δεξαμενών, σωλήνων, κατασκευών αντιστήριξης και των θεμελίων τους, καθώς και για το γεωτεχνικό έργο.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Ομοίως, το παρόν πρότυπο εφαρμόζεται στη σεισμική αξιολόγηση των υφιστάμενων κτιρίων, καθώς και, κατά περίπτωση, στη σεισμική προσαρμογή τους, σε περιπτώσεις όπου εκτελούνται εργασίες ανακαίνισης ή δομικής αποκατάστασης επαρκούς βαρύτητας ή όταν απαιτείται τέτοια αξιολόγηση ή προσαρμογή. Για τους σκοπούς του παρόντος αντισεισμικού προτύπου, η σεισμική προσαρμογή καλύπτει τόσο την ενίσχυση άθικτων κατασκευών όσο και την ενίσχυση των κατασκευών που έχουν καταστραφεί από σεισμό.</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Οι συνθήκες που μπορεί να απαιτήσουν τη σεισμική αξιολόγηση μεμονωμένων κτιρίων, που ενδεχομένως οδηγούν σε σεισμική επάρκεια, δεν εμπίπτουν στο αντικείμενο και το πεδίο εφαρμογής του παρόντος προτύπου.</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Κατά περίπτωση, το παρόν αντισεισμικό πρότυπο μπορεί επίσης να εφαρμόζεται σε άλλους δομικούς τύπους που δεν περιλαμβάνονται ρητά στο πεδίο εφαρμογής του, εφόσον δεν υπάρχουν για τους ίδιους ειδικοί κανόνες ή διατάξεις και υπό την προϋπόθεση ότι δεν εξαιρούνται ρητά από το πεδίο εφαρμογής του.</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Μόνη μεταβατική διάταξη. Εφαρμογή σε σχέδια και έργα.</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Οι διατάξεις του παρόντος βασιλικού διατάγματος δεν εφαρμόζονται στα τεχνικά έργα των οποίων η εντολή σύνταξης ή μελέτης, στον τομέα της δημόσιας διοίκησης ή της προμήθειας, σε άλλες περιπτώσεις, είχε πραγματοποιηθεί πριν από την έναρξη ισχύος του παρόντος βασιλικού διατάγματος, καθώς και στα έργα που πραγματοποιήθηκαν για την ανάπτυξη των έργων αυτών, υπό την προϋπόθεση ότι η εκκίνησή τους δεν υπερβαίνει τα δύο έτη από την έναρξη ισχύος του παρόντος βασιλικού διατάγματος, εκτός εάν η αρμόδια δημόσια διοίκηση ή, ενδεχομένως, ο ανάδοχος συμφωνήσει ότι είναι υποχρεωτικό.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Οι διατάξεις του παρόντος βασιλικού διατάγματος δεν εφαρμόζονται στον τομέα των οικοδομικών έργων που έχουν ζητήσει άδεια δημοτικών έργων ή τη ζητούν εντός εννέα μηνών από την έναρξη ισχύος του παρόντος βασιλικού διατάγματος, στην περίπτωση αυτή με το βασιλικό διάταγμα 997/2002 της 27ης Σεπτεμβρίου, με το οποίο εγκρίνεται το πρότυπο αντισεισμικών κατασκευών, το οποίο ισχύει για τα εξής: Γενικό μέρος και κτιριακά έργα (NCSE-02). Τα έργα αυτά πρέπει να αρχίσουν εντός της μέγιστης περιόδου ισχύος της εν λόγω άδειας, σύμφωνα με τους ρυθμιστικούς κανονισμούς της και, ελλείψει αυτής, εντός προθεσμίας που δεν υπερβαίνει τους έξι μήνες από την ημερομηνία </w:t>
      </w:r>
      <w:r>
        <w:rPr>
          <w:rFonts w:asciiTheme="minorHAnsi" w:hAnsiTheme="minorHAnsi"/>
          <w:color w:val="000000"/>
        </w:rPr>
        <w:lastRenderedPageBreak/>
        <w:t xml:space="preserve">χορήγησης της εν λόγω άδειας. Κατά τα λοιπά, τα σχέδια πρέπει να προσαρμοστούν στις διατάξεις του παρόντος βασιλικού διατάγματος.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Μόνη καταργητική διάταξη. Κατάργηση κανονισμών</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Από την έναρξη ισχύος του παρόντος βασιλικού διατάγματος, καταργείται το βασιλικό διάταγμα 997/2002 της 27ης Σεπτεμβρίου για την έγκριση του προτύπου αντισεισμικών κατασκευών: Γενικό μέρος και κτιριακά έργα (NCSE-02) και το βασιλικό διάταγμα 637/2007 της 18ης Μαΐου για την έγκριση του προτύπου αντισεισμικών κατασκευών: Γέφυρες (NCSP-07).</w:t>
      </w:r>
    </w:p>
    <w:p w14:paraId="590D095E" w14:textId="77777777" w:rsidR="00870C22" w:rsidRPr="00A7496E"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Πρώτη τελική διάταξη. Ανάθεση εξουσιών</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Το παρόν βασιλικό διάταγμα έχει βασικό χαρακτήρα και εκδίδεται σύμφωνα με τις διατάξεις του άρθρου 149.1.13α του ισπανικού συντάγματος, το οποίο απονέμει στο κράτος αποκλειστική αρμοδιότητα όσον αφορά τη βάση και τον συντονισμό του γενικού σχεδιασμού της οικονομικής δραστηριότητας.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Δεύτερη τελική διάταξη. </w:t>
      </w:r>
      <w:r>
        <w:rPr>
          <w:rFonts w:asciiTheme="minorHAnsi" w:hAnsiTheme="minorHAnsi"/>
          <w:b/>
          <w:color w:val="333333"/>
        </w:rPr>
        <w:t>Αρχή εφαρμογής</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Ο αρμόδιος υπουργός Μεταφορών, Κινητικότητας και Αστικού Θεματολογίου εξουσιοδοτείται να εκδίδει τις αναγκαίες διατάξεις για την ανάπτυξη και την εφαρμογή των διατάξεων του παρόντος βασιλικού διατάγματος.</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Τρίτη τελική διάταξη. Έγκριση για την επικαιροποίηση των προσαρτημάτων Ε, ΣΤ και Ζ του παραρτήματος 1 του προτύπου αντισεισμικής οικοδόμησης.</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Ο αρμόδιος υπουργός Μεταφορών, Κινητικότητας και Αστικού Θεματολογίου εξουσιοδοτείται να επικαιροποιεί τον χάρτη επικινδυνότητας που ορίζεται στα προσαρτήματα Ε και ΣΤ του παραρτήματος 1 και τον κατάλογο των προτύπων που αναφέρονται στο προσάρτημα Ζ του παραρτήματος 1, εφόσον οι επικαιροποιήσεις αυτές προορίζονται να εναρμονίσουν το εν λόγω περιεχόμενο με την πρόοδο της τεχνικής ή με την κοινοτική νομοθεσία.</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Τέταρτη τελική διάταξη. Έναρξη ισχύος</w:t>
      </w:r>
    </w:p>
    <w:p w14:paraId="78134748" w14:textId="2E12FD18"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Το παρόν βασιλικό διάταγμα τίθεται σε ισχύ την </w:t>
      </w:r>
      <w:r>
        <w:rPr>
          <w:rFonts w:asciiTheme="minorHAnsi" w:hAnsiTheme="minorHAnsi"/>
          <w:color w:val="000000"/>
          <w:highlight w:val="yellow"/>
        </w:rPr>
        <w:t>1η Ιουλίου 2023</w:t>
      </w:r>
      <w:r>
        <w:rPr>
          <w:rFonts w:asciiTheme="minorHAnsi" w:hAnsiTheme="minorHAnsi"/>
          <w:color w:val="000000"/>
        </w:rPr>
        <w:t xml:space="preserve">. </w:t>
      </w:r>
    </w:p>
    <w:p w14:paraId="16A294E9" w14:textId="77777777" w:rsidR="00056AAB" w:rsidRPr="00A7496E" w:rsidRDefault="00056AAB" w:rsidP="00870C22">
      <w:pPr>
        <w:spacing w:after="120"/>
        <w:jc w:val="both"/>
        <w:textAlignment w:val="baseline"/>
        <w:rPr>
          <w:rFonts w:asciiTheme="minorHAnsi" w:eastAsia="Times New Roman" w:hAnsiTheme="minorHAnsi"/>
          <w:color w:val="000000"/>
          <w:spacing w:val="2"/>
        </w:rPr>
      </w:pPr>
    </w:p>
    <w:sectPr w:rsidR="00056AAB" w:rsidRPr="00A7496E"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7496E"/>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D2346"/>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1652</Words>
  <Characters>9418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11</cp:revision>
  <cp:lastPrinted>2021-08-26T09:18:00Z</cp:lastPrinted>
  <dcterms:created xsi:type="dcterms:W3CDTF">2022-09-20T11:25:00Z</dcterms:created>
  <dcterms:modified xsi:type="dcterms:W3CDTF">2023-03-31T12:12:00Z</dcterms:modified>
</cp:coreProperties>
</file>