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23"/>
        <w:gridCol w:w="775"/>
        <w:gridCol w:w="1196"/>
      </w:tblGrid>
      <w:tr w:rsidR="005C2641" w:rsidRPr="00C32FE3" w14:paraId="06BA75C1" w14:textId="77777777" w:rsidTr="005A1E2E">
        <w:trPr>
          <w:cantSplit/>
          <w:trHeight w:val="283"/>
        </w:trPr>
        <w:tc>
          <w:tcPr>
            <w:tcW w:w="3194" w:type="dxa"/>
            <w:gridSpan w:val="3"/>
          </w:tcPr>
          <w:p w14:paraId="0380FEC5" w14:textId="77777777" w:rsidR="005C2641" w:rsidRPr="00C32FE3" w:rsidRDefault="005C2641" w:rsidP="00C13834">
            <w:pPr>
              <w:pStyle w:val="SNREPUBLIQUE"/>
            </w:pPr>
            <w:r>
              <w:t>REPUBLIKA FRANCUSKA</w:t>
            </w:r>
          </w:p>
        </w:tc>
      </w:tr>
      <w:tr w:rsidR="005C2641" w:rsidRPr="00C32FE3" w14:paraId="60AB21EC" w14:textId="77777777" w:rsidTr="005A1E2E">
        <w:trPr>
          <w:cantSplit/>
          <w:trHeight w:hRule="exact" w:val="111"/>
        </w:trPr>
        <w:tc>
          <w:tcPr>
            <w:tcW w:w="1223" w:type="dxa"/>
          </w:tcPr>
          <w:p w14:paraId="3A442AB4" w14:textId="77777777" w:rsidR="005C2641" w:rsidRPr="00C32FE3" w:rsidRDefault="005C2641" w:rsidP="00C13834"/>
        </w:tc>
        <w:tc>
          <w:tcPr>
            <w:tcW w:w="775" w:type="dxa"/>
            <w:tcBorders>
              <w:bottom w:val="single" w:sz="1" w:space="0" w:color="000000"/>
            </w:tcBorders>
          </w:tcPr>
          <w:p w14:paraId="64272111" w14:textId="77777777" w:rsidR="005C2641" w:rsidRPr="00C32FE3" w:rsidRDefault="005C2641" w:rsidP="00C13834"/>
        </w:tc>
        <w:tc>
          <w:tcPr>
            <w:tcW w:w="1194" w:type="dxa"/>
          </w:tcPr>
          <w:p w14:paraId="4C2C75AC" w14:textId="77777777" w:rsidR="005C2641" w:rsidRPr="00C32FE3" w:rsidRDefault="005C2641" w:rsidP="00C13834"/>
        </w:tc>
      </w:tr>
      <w:tr w:rsidR="005C2641" w:rsidRPr="00C32FE3" w14:paraId="61593BD7" w14:textId="77777777" w:rsidTr="005A1E2E">
        <w:trPr>
          <w:cantSplit/>
          <w:trHeight w:val="798"/>
        </w:trPr>
        <w:tc>
          <w:tcPr>
            <w:tcW w:w="3194" w:type="dxa"/>
            <w:gridSpan w:val="3"/>
          </w:tcPr>
          <w:p w14:paraId="20413DCB" w14:textId="77777777" w:rsidR="005C2641" w:rsidRDefault="005C2641" w:rsidP="00C13834">
            <w:pPr>
              <w:pStyle w:val="SNTimbre"/>
            </w:pPr>
            <w:r>
              <w:t>Ministarstvo ekološke tranzicije</w:t>
            </w:r>
          </w:p>
          <w:p w14:paraId="01EC4D2C" w14:textId="77777777" w:rsidR="005C2641" w:rsidRPr="00C32FE3" w:rsidRDefault="005C2641" w:rsidP="00C13834">
            <w:pPr>
              <w:pStyle w:val="SNTimbre"/>
            </w:pPr>
            <w:r>
              <w:t>Stanovanje</w:t>
            </w:r>
          </w:p>
        </w:tc>
      </w:tr>
      <w:tr w:rsidR="005C2641" w:rsidRPr="00C32FE3" w14:paraId="22B0EA09" w14:textId="77777777" w:rsidTr="005A1E2E">
        <w:trPr>
          <w:cantSplit/>
          <w:trHeight w:hRule="exact" w:val="224"/>
        </w:trPr>
        <w:tc>
          <w:tcPr>
            <w:tcW w:w="1223" w:type="dxa"/>
          </w:tcPr>
          <w:p w14:paraId="3759A36A" w14:textId="77777777" w:rsidR="005C2641" w:rsidRPr="00C32FE3" w:rsidRDefault="005C2641" w:rsidP="00C13834"/>
        </w:tc>
        <w:tc>
          <w:tcPr>
            <w:tcW w:w="775" w:type="dxa"/>
            <w:tcBorders>
              <w:bottom w:val="single" w:sz="1" w:space="0" w:color="000000"/>
            </w:tcBorders>
          </w:tcPr>
          <w:p w14:paraId="04DEF11A" w14:textId="77777777" w:rsidR="005C2641" w:rsidRPr="00C32FE3" w:rsidRDefault="005C2641" w:rsidP="00C13834"/>
        </w:tc>
        <w:tc>
          <w:tcPr>
            <w:tcW w:w="1194" w:type="dxa"/>
          </w:tcPr>
          <w:p w14:paraId="77D432E1" w14:textId="77777777" w:rsidR="005C2641" w:rsidRPr="00C32FE3" w:rsidRDefault="005C2641" w:rsidP="00C13834"/>
        </w:tc>
      </w:tr>
      <w:tr w:rsidR="005C2641" w:rsidRPr="00C32FE3" w14:paraId="3B71A753" w14:textId="77777777" w:rsidTr="005A1E2E">
        <w:trPr>
          <w:cantSplit/>
          <w:trHeight w:hRule="exact" w:val="224"/>
        </w:trPr>
        <w:tc>
          <w:tcPr>
            <w:tcW w:w="1223" w:type="dxa"/>
          </w:tcPr>
          <w:p w14:paraId="780F1E54" w14:textId="77777777" w:rsidR="005C2641" w:rsidRPr="00C32FE3" w:rsidRDefault="005C2641" w:rsidP="00C13834"/>
        </w:tc>
        <w:tc>
          <w:tcPr>
            <w:tcW w:w="775" w:type="dxa"/>
          </w:tcPr>
          <w:p w14:paraId="770B6C28" w14:textId="77777777" w:rsidR="005C2641" w:rsidRPr="00C32FE3" w:rsidRDefault="005C2641" w:rsidP="00C13834"/>
        </w:tc>
        <w:tc>
          <w:tcPr>
            <w:tcW w:w="1194"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Odluka od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o izjavi o okolišu za proizvode namijenjene za uporabi u građevinskim radovima i izjavi o okolišu za proizvode korištene za procjenu ekološke učinkovitosti zgrada</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Oznaka 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Zainteresirane strane:</w:t>
      </w:r>
      <w:r>
        <w:rPr>
          <w:rFonts w:ascii="Times New Roman" w:hAnsi="Times New Roman"/>
          <w:i/>
          <w:sz w:val="24"/>
        </w:rPr>
        <w:t xml:space="preserve"> podnositelji registracije na koje se odnose građevinski proizvodi i dekorativni proizvodi kao i električna i elektronička oprema i oprema za ekološki inženjering za procjenu ekološke učinkovitosti zgrada.</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Svrha:</w:t>
      </w:r>
      <w:r>
        <w:rPr>
          <w:rFonts w:ascii="Times New Roman" w:hAnsi="Times New Roman"/>
          <w:i/>
          <w:sz w:val="24"/>
        </w:rPr>
        <w:t xml:space="preserve"> utvrditi primjenu članaka R. 412-49. do R. 412-57. Zakonika o zaštiti potrošača te članaka R. 111-20-24. do R. 111-20-30. Građevinskog i stambenog zakonika.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Stupanje na snagu:</w:t>
      </w:r>
      <w:r>
        <w:rPr>
          <w:rFonts w:ascii="Times New Roman" w:hAnsi="Times New Roman"/>
          <w:i/>
          <w:sz w:val="24"/>
        </w:rPr>
        <w:t xml:space="preserve"> tekst stupa na snagu 1. siječnja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Sažetak:</w:t>
      </w:r>
      <w:r>
        <w:rPr>
          <w:rFonts w:ascii="Times New Roman" w:hAnsi="Times New Roman"/>
          <w:i/>
          <w:sz w:val="24"/>
        </w:rPr>
        <w:t>svrha je odluke pojasniti metode primjene odjeljaka R. 412-49. do R. 412-57 Zakonika o zaštiti potrošača i članaka R. 111-20-24. do R. 111-20-30. Građevinskog i stambenog zakonika.</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Odlukom se utvrđuje sljedeće:</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sadržaj izjava o okolišu građevinskih i dekorativnih proizvoda kao i električne i elektroničke opreme i opreme za ekološki inženjering namijenjene za uporabu u građevinskim radovima i izjava o okolišu za građevinske i dekorativne proizvode kao i električnu i elektroničku opremu i opremu za ekološki inženjering za procjenu ekološke učinkovitosti zgrada;</w:t>
      </w:r>
    </w:p>
    <w:p w14:paraId="25B1EABC" w14:textId="2763BDE1" w:rsidR="00770B24" w:rsidRPr="005A1E2E" w:rsidRDefault="00E04C22" w:rsidP="005A1E2E">
      <w:pPr>
        <w:pStyle w:val="ListParagraph"/>
        <w:numPr>
          <w:ilvl w:val="0"/>
          <w:numId w:val="76"/>
        </w:numPr>
        <w:jc w:val="both"/>
        <w:rPr>
          <w:rFonts w:ascii="Times New Roman" w:hAnsi="Times New Roman" w:cs="Times New Roman"/>
          <w:i/>
          <w:sz w:val="24"/>
          <w:szCs w:val="24"/>
        </w:rPr>
      </w:pPr>
      <w:r w:rsidRPr="005A1E2E">
        <w:rPr>
          <w:rFonts w:ascii="Times New Roman" w:hAnsi="Times New Roman"/>
          <w:i/>
          <w:sz w:val="24"/>
        </w:rPr>
        <w:t>metodologija za procjenu i izračun podataka sadržanih u izjavi o okolišu;</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svi popratni dokazi o informacijama iz izjave o okolišu koje treba staviti na raspolaganje programu izjave o okolišu i tijelima zaduženima za nadzor ili njihovim predstavnicima;</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adresa baze podataka (baza podataka) u kojoj su izjave o okolišu iz članka R. 111-20-25. Građevinskog i stambenog zakonika je javno dostupna;</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uvjeti za sastavljanje zajedničkih izjava o okolišu koje se odnose na građevinske ili dekorativne proizvode ili opremu više podnositelja registracije;</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t>— uvjeti za sastavljanje prilagodljivih izjava o građevinskim i dekorativnim proizvodima ili opremi.</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Upućivanja:</w:t>
      </w:r>
      <w:r>
        <w:rPr>
          <w:rFonts w:ascii="Times New Roman" w:hAnsi="Times New Roman"/>
          <w:i/>
          <w:sz w:val="24"/>
        </w:rPr>
        <w:t xml:space="preserve"> tekstovi nastali ili izmijenjeni ovom Odlukom dostupni su, u inačici koja proizlazi iz ove izmjene, na internetskoj stranici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Ministrica ekološke tranzicije, ministar kojeg je ovlastila ministrica ekološke tranzicije nadležan za stanovanje,</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uzimajući u obzir Direktivu (EU) 2015/1535 Europskog parlamenta i Vijeća od 9. rujna 2015. o utvrđivanju postupka pružanja informacija u području tehničkih propisa i pravila o uslugama informacijskog društva (kodificirani tekst), a posebno obavijest br. </w:t>
      </w:r>
      <w:r>
        <w:rPr>
          <w:rFonts w:ascii="Times New Roman" w:hAnsi="Times New Roman"/>
          <w:sz w:val="24"/>
          <w:highlight w:val="yellow"/>
          <w:shd w:val="clear" w:color="auto" w:fill="FFFFFF"/>
        </w:rPr>
        <w:t>godina/XXX/F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uzimajući u obzir Zakonik o zaštiti potrošača, a posebno njegovi članci L. 412-1. i R. 412-49. do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uzimajući u obzir Građevinski i stambeni zakonik, a posebno njegov članak L. 111-9-2. i članke od R. 111-20-24. do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uzimajući u obzir primjedbe iznesene tijekom javnog savjetovanja provedenog u razdoblju od</w:t>
      </w:r>
      <w:r>
        <w:rPr>
          <w:rFonts w:ascii="Times New Roman" w:hAnsi="Times New Roman"/>
          <w:sz w:val="24"/>
          <w:highlight w:val="yellow"/>
        </w:rPr>
        <w:t xml:space="preserve"> [...] </w:t>
      </w:r>
      <w:r>
        <w:rPr>
          <w:rFonts w:ascii="Times New Roman" w:hAnsi="Times New Roman"/>
          <w:sz w:val="24"/>
        </w:rPr>
        <w:t xml:space="preserve">do </w:t>
      </w:r>
      <w:r>
        <w:rPr>
          <w:rFonts w:ascii="Times New Roman" w:hAnsi="Times New Roman"/>
          <w:sz w:val="24"/>
          <w:highlight w:val="yellow"/>
        </w:rPr>
        <w:t>[...]</w:t>
      </w:r>
      <w:r>
        <w:rPr>
          <w:rFonts w:ascii="Times New Roman" w:hAnsi="Times New Roman"/>
          <w:sz w:val="24"/>
        </w:rPr>
        <w:t xml:space="preserve"> u skladu s člankom L. 120-1. Zakonika o zaštiti okoliša,</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uzimajući u obzir mišljenje Vrhovnog vijeća za građevinarstvo i energetsku učinkovitost od 13. travnja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Odlučuju sljedeće:</w:t>
      </w:r>
    </w:p>
    <w:p w14:paraId="36B5C6AB" w14:textId="5A8F9966" w:rsidR="008F5FB3" w:rsidRPr="005D260E" w:rsidRDefault="008F5FB3" w:rsidP="007F6637">
      <w:pPr>
        <w:pStyle w:val="Titre2FDES"/>
      </w:pPr>
      <w:r>
        <w:t>Članak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(Definicije)</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Za potrebe ove Odluke primjenjuju se sljedeće definicije: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„indikator“: mjerljiva vrijednost koja se odnosi na aspekte okoliša; </w:t>
      </w:r>
    </w:p>
    <w:p w14:paraId="7CB46E4F" w14:textId="4E4C0FD1" w:rsidR="008F5FB3" w:rsidRPr="005D260E" w:rsidRDefault="00CF19F7" w:rsidP="00CD009F">
      <w:pPr>
        <w:pStyle w:val="NormalWeb"/>
        <w:jc w:val="both"/>
      </w:pPr>
      <w:r>
        <w:t xml:space="preserve">pojam „podnositelj registracije“ smatra se da znači „odgovoran za stavljanje na tržište“ u vezi s člankom R. 412-49. Zakonika o zaštiti potrošača ili znači „podnositelj registracije“ u vezi s člankom R. 111-20-24. Građevinskog i stambenog zakonika;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„funkcionalna jedinica“: kvantificirani rezultati sustava proizvoda namijenjenih za uporabu kao referentna jedinica u analizi životnog ciklusa;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„prijavljena jedinica“: količina opreme, eventualno, građevinskog ili dekorativnog proizvoda, namijenjena za uporabu kao referentna jedinica u analizi životnog ciklusa uz funkcionalnu jedinicu;</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„referentni vijek građevinskog ili dekorativnog proizvoda ili opreme“: životni vijek koji se može očekivati za građevni ili dekorativni proizvod ili opremu u skladu sa skupom referentnih uvjeta za uporabu i koji se može koristiti kao osnova za procjenu životnog vijeka u drugim uvjetima uporabe;</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„dopunski proizvod“: opći pojam za bilo koji proizvod koji nužno mora biti povezan s građevnim ili dekorativnim proizvodom ili primarnom opremom tijekom svake faze provedbe i života u praksi;</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lastRenderedPageBreak/>
        <w:t>„prilagodljiva izjava“: izjava o okolišu s pravilima koja omogućuju prilagodbu informacija sadržanih u njoj kako bi odgovarale određenom proizvodu i računalnom alatu koji omogućuje primjenu tih pravila;</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u sljedećim člancima pojam „proizvod“ znači „građevinski proizvodi“, „dekorativni proizvodi“ i „električna i elektronička oprema te oprema za ekološki inženjering“ kako je definirano člankom R. 111-20-24. Građevinskog i stambenog zakonika.</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Članak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(Područje primjene)</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Odredbe ove Odluke primjenjuju se na proizvode navedene u članku R. 412-50. Zakonika o zaštiti potrošača i u članku R. 111-20-24. Građevinskog i stambenog zakonika.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Članak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(Sadržaj izjave o okolišu)</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U izjavi o okolišu iz članka R. 412-51. Zakonika o zaštiti potrošača i u članku R. 111-20-25. Građevinskog i stambenog zakonika navedene su sljedeće informacije: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Za fazu proizvodnje, fazu postupka gradnje, fazu uporabe, fazu kraja životnog vijeka i zbroj ovih faza, vrijednosti sljedećih indikatora kojima se: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opisuje učinak na okoliš: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globalno zatopljenje (emisije stakleničkih plinova)</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oštećenje ozonskog omotača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zakiseljavanje tla i vode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eutrofikacija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stvaranje fotokemijskog ozona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potrošnja abiotičkih resursa – elementi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iscrpljivanje abiotičkih resursa – fosilnih goriva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opisuje upotreba resursa: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obnovljive primarne energije, osim obnovljivih izvora primarne energije koji se upotrebljavaju kao sirovine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obnovljivih izvora primarne energije koji se upotrebljavaju kao sirovine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lastRenderedPageBreak/>
        <w:t xml:space="preserve">ukupna uporaba obnovljivih izvora primarne energije (primarna energija i primarna energetska sredstva koja se upotrebljavaju kao sirovine)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primarne energije iz neobnovljivih izvora, isključujući neobnovljive izvore primarne energije koji se upotrebljavaju kao sirovine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neobnovljivih izvora primarne energije koji se upotrebljavaju kao sirovine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ukupna uporaba neobnovljivih izvora primarne energije (primarne energije i primarnih izvora energije koji se upotrebljavaju kao sirovine)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sekundarnih materijala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obnovljivih sekundarnih goriva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neobnovljivih sekundarnih goriva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neto uporaba slatke vode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opisuju kategorije otpada: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zbrinuti opasni otpad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zbrinuti neopasni otpad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radioaktivni otpad koji se zbrinjava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opisuju tokovi otpada: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komponente namijenjene ponovnoj uporabi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materijali namijenjene recikliranju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materijali namijenjene oporabi energije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izvezena energija.</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Od 1. siječnja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uporaba materijala iz obnovljivih izvora ugrađenih u proizvod, izražena kao indikator količine ugljika iz atmosfere pohranjene u građevnom ili dekorativnom proizvodu;</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vrijednosti indikatora iz točke 1. za svaku podfazu faze uporabe, tj. sljedeće podfaze: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uporaba ili primjena, isključujući energetske i vodne potrebe u operativnoj fazi zgrade</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održavanje</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popravak</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zamjena</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obnova</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korištenje energije tijekom uporabe</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korištenje vode tijekom uporabe</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u slučaju izjave o okolišu na koju utječu zahtjevi iz članka 9. ove Odluke, rasponi razlika (najviših i najmanjih vrijednosti) kontrolnih indikatora definiranih u članku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Za izjave o okolišu potvrđene od 1. listopada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uporaba materijala iz obnovljivih izvora ugrađenih u proizvod, izražena kao indikator količine ugljika iz atmosfere pohranjene u opremi;</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vrijednosti indikatora o koristima i troškovima povezanima s oporabom na kraju životnog vijeka.</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Od 1. siječnja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Vrijednosti indikatora o koristima i troškovima povezanima s oporabom na kraju životnog vijeka.</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Funkcionalna jedinica ili prijavljena jedinica proizvoda;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Referentni životni vijek proizvoda;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Opis proizvoda koji čine funkcionalnu cjelinu ili prijavljenu jedinicu (količina glavnog proizvoda, količina ambalaže, količina dodatnih proizvoda koji se odnose na primjenu ili životni vijek u praksi);</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Područje primjene proizvoda;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Sljedeće podatke o proizvodu koji je obuhvaćen izjavom o okolišu: skupina, opis (i) ili trgovačka oznaka (oznake), ime (na) ili naziv (ih) podnositelja registracije (ili više njih);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Datum izjave o okolišu;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Potvrda o provjeri i kontaktni podaci revizora koji je obavio neovisnu provjeru koju provodi treća strana kako je navedeno u članku R. 412-55. Zakonika o zaštiti potrošača i u članku R. 111-20-27 Građevinskog i stambenog zakonika;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Podatke podnositelja registracije;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Adresu internetske stranice na kojoj su te informacije dostupne besplatno.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Članak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(Priprema popratnih dokaza za podnositelja registracije)</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Podnositelj registracije stavlja na raspolaganje programu izjave o okolišu i upravnim tijelima zaduženim za provjere ili njihovim predstavnicima, sve stavke ili podatke za kontakt fizičkih ili pravnih osoba koje imaju te stavke, a čime tako dokazuju informacije sadržane u izjavi o okolišu, a posebno: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podrijetlo sirovina, materijala i komponenata proizvoda;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utvrđivanje ulaznih elemenata koji nisu uključeni u inventar životnog vijeka u skladu s pravilom rezanja;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ukupna masa ulaznih elemenata koji nisu uključeni u inventar životnog ciklusa zbog pravila rezanja;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rezultate izračuna inventara;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dokazi o referentnom životnom vijeku proizvoda;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ako se upotrebljavaju generički podaci koji potječu iz javnih ili privatnih baza podataka, dokumentacija koja se odnosi na tehnološku, geografsku i vremensku zastupljenost upotrijebljenih generičkih podataka, upućivanja na baze podataka iz kojih potječu i upućivanja na korištene module podataka;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scenarije na kojima se temelji inventar životnog ciklusa;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proizvodne lokacije obuhvaćene izjavom o okolišu;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proizvodnju svake lokacije izraženu u jedinici količine koja je definirana u funkcionalnoj jedinici;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ako se koristi metoda uzorkovanja, dokaz da je korišteni uzorak reprezentativan primjer proizvodnje proizvoda, osobito sa zemljopisnog, vremenskog i tehnološkog stajališta;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sastavne elemente okvira valjanosti za izjava o okolišu na koje se odnose zahtjevi iz članka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sastavne elemente prilagodljive izjave o okolišu iz članka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Članak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(Jedinice)</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Formati funkcionalnih jedinica za svaku kategoriju građevinskih ili dekorativnih proizvoda definirani su u Prilogu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Formati funkcionalnih jedinica ili prijavljenih jedinica prijavljeni za opremu definirani su u Prilogu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Članak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(Metode procjene i izračuna)</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Metode za procjenu i izračun informacija iz članka 3., a posebno indikatora, podliježu svim sljedećim uvjetima:</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ne dovode do izostavljanja postupaka koji predstavljaju ukupno više od 5 % vrijednosti svake od navedenih informacija;</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ne dovode do toga da se u izračunu navedenih informacija proizvodu koji je predmet izjave o okolišu dodijele koristi koje su dodijeljene drugim proizvodima, osim </w:t>
      </w:r>
      <w:r>
        <w:rPr>
          <w:rFonts w:ascii="Times New Roman" w:hAnsi="Times New Roman"/>
          <w:sz w:val="24"/>
        </w:rPr>
        <w:lastRenderedPageBreak/>
        <w:t>indikatora koji se odnose na koristi i troškove povezane s oporabom na kraju životnog vijeka;</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u skladu su s normom NF EN 15804 + A1: 2014-04 ili s normom </w:t>
      </w:r>
      <w:r>
        <w:rPr>
          <w:rFonts w:ascii="Times New Roman" w:hAnsi="Times New Roman"/>
          <w:sz w:val="24"/>
          <w:shd w:val="clear" w:color="auto" w:fill="FFFFFF"/>
        </w:rPr>
        <w:t>XP C08-100-1: 2016-12 il s normom EN 50693: 2019-08 ili s bilo kojom drugom jednakovrijednom normom;</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u skladu su s metodom izračuna procjene dobiti i troškova povezanih s oporabom na kraju životnog vijeka definiranom u Prilogu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Osim toga, za izjave o okolišu provjerene od 1. listopada 2022., kada izjava o okolišu obuhvaća različite načine postavljanja proizvoda koji je predmet te izjave, metode procjene i izračuna navedenih informacija moraju biti u skladu sa sljedećim pravilima:</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Za svaki od tih načina ugradnje procjenjuju se sljedeći kontrolni indikatori: </w:t>
      </w:r>
      <w:r>
        <w:rPr>
          <w:rFonts w:ascii="Times New Roman" w:hAnsi="Times New Roman"/>
          <w:snapToGrid w:val="0"/>
          <w:sz w:val="24"/>
        </w:rPr>
        <w:t>ukupno klimatsko zagrijavanje, ukupna neobnovljiva potrošnja primarne energije, zbrinuti neopasni otpad;</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Za svaki od tih kontrolnih indikatora najveća vrijednost dobivena za zbroj faza iz članka 3. uspoređuje se s prosjekom dobivenih vrijednosti (tj. prosječni učinak različitih oblika postavljanja). Ako je najveća vrijednost za jedan od tih indikatora za 1,1 puta veća od srednje vrijednosti, tada za svaki od indikatora navedenih u izjavi o okolišu treba prijaviti najveću vrijednost (to jest, najveći učinak među različitim načinima postavljanja). U protivnom se za svaki indikator može navesti prosječna vrijednost.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Članak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(Predaja u bazu ili baze podataka)</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Podnositelj registracije dostavlja provjerenu izjavu o okolišu u bazu ili baze podataka navedene u sporazumu koji potpisuje ministar nadležan za graditeljstvo i pravni subjekt koji predstavlja program izjave o okolišu.</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Adresa baze podataka ili adrese baza podataka dostupne su na internetskoj stranici ministra nadležnog za graditeljstvo.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Članak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(Ažurirana izjava o okolišu)</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Izjava o okolišu ažurira se sa svakom značajnom promjenom u proizvodu ako je to potrebno kako bi se uzeo u obzir tehnološki razvoj ili druge okolnosti koje mogu utjecati na sadržaj ili točnost izjave o okolišu, a najmanje svakih pet godina.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Članak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(Skupni podaci o okolišu)</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Izjava o okolišu može se temeljiti na skupnoj izjavi o okolišu sličnih proizvoda više podnositelja.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Ova skupna izjava o okolišu ispunjava sljedeće uvjete: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odnosi se na „vrstu proizvoda“</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sastavlja se pod uvjetima iz prethodnih članaka</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potrebno je osigurati ujednačenost parametara koji znatno utječu na vrijednost svakog indikatora; u tu svrhu, skupna izjava o okolišu sadrži okvir valjanosti definiran u Prilogu IV., u kojem su navedene sljedeće informacije:</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utvrđivanje utjecajnih parametara, uz navođenje jesu li ti parametri ispunjeni generičkim ili posebnim podacima</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razdoblja valjanosti tih parametara.</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Podnositelj registracija koji je podnio skupnu izjavu o okolišu odgovoran je za informacije koje ona sadržava, uključujući popis predmetnih proizvoda i uvjete pod kojima se proizvodi mogu s njim povezati, ako je to potrebno.</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Podnositelji registracije proizvoda obuhvaćenih ovom skupnom izjavom o okolišu moraju ispunjavati sljedeće uvjete: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odgovorni su za informacije koje šalju prethodno navedenom podnositelju registracije</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poštuju okvir valjanosti skupne izjave o okolišu</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dostavljaju potvrdu u kojoj se navodi sukladnost s okvirom valjanosti skupne izjave o okolišu</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nadzornim tijelima stavljaju na raspolaganje dokaze o sukladnosti s okvirom valjanosti.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Nezavisna provjera treće strane iz članka R. 412-55. Zakonika o zaštiti potrošača, navedena u članku R. 111-20-27. Građevinskog i stambenog zakonika, za proizvode koji su priloženi skupnoj izjavi o okolišu, sastoji se od provjere skupne izjave o okolišu koju provodi neovisna treća strana.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Minimalni kontrolni indikatori koji se razmatraju sljedeći su:</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ukupno globalno zatopljenje</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ukupna uporaba neobnovljive primarne energije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zbrinuti neopasni otpad.</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Skupne izjave o okolišu moraju ispunjavati sljedeće zahtjeve:</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ako je najveća vrijednost svakog kontrolnog indikatora, dobivena za zbroj faza navedenih u članku 3. i izračunom promjenjivosti iz Priloga IV., manja od ili jednaka prosječnoj vrijednosti indikatora pomnoženog s graničnom vrijednošću, tada se vrijednosti indikatora mogu izračunati uz srednje vrijednosti osjetljivih parametara. U suprotnom se mora navesti gornji prag (najveća vrijednost koju indikator može postići).</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lastRenderedPageBreak/>
        <w:t>Za skupne izjave o okolišu sastavljene od 1. listopada 2022. navedena granična vrijednost je „1,4“, a izračun navedene promjenjivosti obuhvaća barem osjetljive parametre koji se odnose na:</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sastav proizvoda: količina i vrsta materijala</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količine ambalaže</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proizvodne procese osim ekstrakcije i prerade sirovina (faze A2 i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Za skupne izjave o okolišu sastavljene od 1. listopada 2022. navedena granična vrijednost je „1.3”, a izračun navedene promjenjivosti obuhvaća barem osjetljive parametre koji se odnose na:</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sastav proizvoda: količina i vrsta materijala</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količine ambalaže</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proizvodne procese osim ekstrakcije i prerade sirovina (faze A2 i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prijevoz do lokacije (faza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Članak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(Raspon podataka o okolišu)</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Izjava o okolišu može se temeljiti na sličnim proizvodima istog podnositelja registracije. Te izjave o okolišu moraju ispunjavati zahtjeve za skupne izjave o okolišu iz članka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Članak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(Prilagodljivi podaci o okolišu)</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Izjava o okolišu može se temeljiti na prilagodljivoj izjavi.</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Ova prilagodljiva izjava ispunjava sljedeće uvjete: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odnosi se na „vrstu proizvoda“</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sastavlja se pod uvjetima iz prethodnih članaka</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sadrži niz pravila izračuna koja omogućuju da se na temelju promjenjivih parametara prilagode informacije navedene u njoj kako bi odgovarale sličnom proizvodu ili vrsti proizvoda, ali čije se dimenzije, sastav ili određeni procesi u životnom ciklusu razlikuju</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vrijednost prethodno navedenih promjenjivih parametara mora se moći provjeriti po isporuci zgrade</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sadržava okvir valjanosti kojim se definiraju vrijednosti koje mogu poprimiti prethodno navedeni promjenjivi parametri i značajke koje mora imati prethodno navedeni sličan proizvod.</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Svakoj prilagodljivoj izjavi provjerenoj nakon 1. listopada 2022. prilaže se računalni alat za izračun za primjenu navedenih pravila izračuna i za izvoz podataka koji se zahtijevaju u članku 3., kao i popis prethodno navedenih promjenjivih parametara i njihovih vrijednosti. Sve te informacije izvoze se u obliku računalne datoteke koja je u skladu formatom utvrđenim na internetskoj stranici ministarstva nadležnog za graditeljstvo.</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Neovisna potvrda trećih strana iz članka R. 412-55. Zakonika o zaštiti potrošača, navedena u članku R. 111-20-27. Građevinskog i stambenog zakonika, također, u slučaju prilagodljive izjave, obuhvaća također pravila izračuna navedena u ovom članku i računalni alat za iz prethodnog stavka.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Članak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(Certifikacija)</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Smatra se da je certifikacija okolišnih značajki iz članka R. 412-53. Zakonika o zaštiti potrošača sukladna ako uzima u obzir sve zahtjeve norme NF EN ISO 14024: 2018-03. Tu certifikaciju građevinskih ili dekorativnih proizvoda ili opreme provodi organizacija koju u tu svrhu akreditira Francuski akreditacijski odbor (COFRAC) ili neko drugo akreditacijsko tijelo koje je potpisnik multilateralnih sporazuma o uzajamnom priznavanju.</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Ovaj se članak ne primjenjuje na izjave o okolišu korištene za izračun ekološke učinkovitosti zgrada.</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Članak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Odluka od 23. prosinca 2013. o izjavi o okolišu za građevinske i dekorativne proizvode za uporabu u zgradama stavlja se izvan snage.</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Odluka od 31. kolovoza 2015. o izjavi o okolišu za električnu i elektroničku opremi i opremu za ekološki inženjering za uporabu u zgradama stavlja se izvan snage.</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Članak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Ravnatelj Uprave za stanovanje, prostorno uređenje i planiranje odgovoran je za provedbu ove odluke, koja se objavljuje u </w:t>
      </w:r>
      <w:r>
        <w:rPr>
          <w:rFonts w:ascii="Times New Roman" w:hAnsi="Times New Roman"/>
          <w:i/>
          <w:sz w:val="24"/>
        </w:rPr>
        <w:t xml:space="preserve"> Službenom listu </w:t>
      </w:r>
      <w:r>
        <w:rPr>
          <w:rFonts w:ascii="Times New Roman" w:hAnsi="Times New Roman"/>
          <w:sz w:val="24"/>
        </w:rPr>
        <w:t xml:space="preserve"> Francuske Republike.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Ministrica ekološke tranzicije, ministar kojeg je ovlastila ministrica ekološke tranzicije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nadležan za stanovanje</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ministricu i na temelju ovlaštenja: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Ravnatelj Uprave za stanovanje, prostorno uređenje i planiranje,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Ministrica ekološke tranzicije,</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Za ministricu i na temelju ovlaštenja:</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Ravnatelj Uprave za stanovanje, prostorno uređenje i planiranje,</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42A56099" w14:textId="77777777" w:rsidR="00C738F9" w:rsidRDefault="00C738F9">
      <w:pPr>
        <w:rPr>
          <w:rFonts w:ascii="Times New Roman" w:hAnsi="Times New Roman"/>
          <w:b/>
          <w:sz w:val="24"/>
        </w:rPr>
      </w:pPr>
      <w:r>
        <w:rPr>
          <w:rFonts w:ascii="Times New Roman" w:hAnsi="Times New Roman"/>
          <w:b/>
          <w:sz w:val="24"/>
        </w:rPr>
        <w:br w:type="page"/>
      </w:r>
    </w:p>
    <w:p w14:paraId="4A1A9D13" w14:textId="399FCDC2"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Prilozi</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Prilog I.</w:t>
      </w:r>
    </w:p>
    <w:p w14:paraId="6761F1F1" w14:textId="57464D42" w:rsidR="001308A1" w:rsidRPr="005D260E" w:rsidRDefault="00C51AA3" w:rsidP="00F76954">
      <w:pPr>
        <w:pStyle w:val="Titre2FDES"/>
        <w:jc w:val="left"/>
      </w:pPr>
      <w:r>
        <w:t>Formati funkcionalnih jedinica za svaku kategoriju građevinskih ili dekorativnih proizvoda.</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Br.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FUNKCIJA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KATEGORIJA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FORMAT FUNKCIONALNE JEDINICE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izražen u jedinicama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međunarodnog sustava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Ceste, razne mreže (uključujući unutarnje mreže)</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Spremnici i posude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Jedinica zadanog volumena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Kanalizacijske i sanitarne mreže (kišnica i otpadne vode)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prosječni m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Mreže za opskrbu vodom (unutarnje i vanjske)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prosječni m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Mreže za opskrbu plinom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prosječni m</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Sustav odvodnje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prosječni m</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Ceste i vanjske površine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površinskog sloja za određenu uporabu (vanjska terase, ceste s niskom gustoćom prometa, parkiralište itd.)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Ograde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ograde</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Kanali i obloge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Struktura, zidarski dijelovi, grubi radovi, konstrukcija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Blokovi dimnjaka i dimovodne cijevi dimnjaka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zadanog unutarnjeg presjeka cijevi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Podovi/podovi s cementni košuljicama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za zadanu debljinu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Konstrukcije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pokrivene površine ili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Poprečne grede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poprečne grede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Ploče i predgotovljene ploče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Vodoravni nosivi elementi (grede, gredice, ploče sa šupljinama, zidovi od grubog kamena, nadvojne grede)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nosivog elementa (navesti doseg i presjek) ili m² (za površinski sloj)</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Vertikalni nosivi elementi (piloni/stupovi/stubovi)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elementa (navesti dio)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Stubišta (unutarnja i vanjska)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Jedna jedinica za zadanu visinu povišenja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Temelji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Sitni zidarski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(navesti toplinsku otpornost)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Podovi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podne obloge (navesti nosivost)</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Zidovi (arhitektonski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(navesti debljinu)</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Pročelja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Vanjske zidne obloge (obloge, ukrasi)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pročelja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Pregradni zidovi i svjetlarnici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pročelja (navesti postotak neprozirne površine)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Vanjske obloge pročelja (uključujući kompozitne sustave za vanjsku toplinsku izolaciju)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pročelja fasade (ako je primjenjivo, navedite toplinsku otpornost)</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Obloge, nepropusnost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Veliki pokrovni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pokrova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Mali pokrovni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pokrova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Vodonepropusni proizvodi za ukopane zidove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pokrova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Proizvodi za nepropusnost krovova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pokrova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Biljni pokrovni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pokrova (navesti vrstu prihvatljive vegetacije te, prema potrebi, toplinska svojstva)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Unutarnja i vanjska stolarija, sustavi za zatvaranje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Prozori, francuski prozori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stolarije (otvorena površina prije ugradnje) (navesti U-vrijednost, solarni faktor, faktor propusnosti zraka, vode, vjetra i prijenos svjetlosti)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Zaštitne ograde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zaštitne ograde</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Vrata (unutarnja, vanjska, ulazna, itd.) </w:t>
            </w:r>
          </w:p>
          <w:p w14:paraId="49074EDD" w14:textId="1FC62C2F" w:rsidR="00F301F5" w:rsidRPr="00C738F9" w:rsidRDefault="00F301F5" w:rsidP="00F301F5">
            <w:pPr>
              <w:widowControl w:val="0"/>
              <w:autoSpaceDE w:val="0"/>
              <w:autoSpaceDN w:val="0"/>
              <w:adjustRightInd w:val="0"/>
              <w:spacing w:after="0" w:line="240" w:lineRule="auto"/>
              <w:rPr>
                <w:rFonts w:ascii="Times New Roman" w:hAnsi="Times New Roman" w:cs="Times New Roman"/>
                <w:sz w:val="24"/>
                <w:szCs w:val="24"/>
                <w:lang w:val="fi-FI"/>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(otvorena površina prije ugradnje)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Kapci, rolete, žaluzine, zaštite od sunca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neprozirne/zaštićene površine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Svjetlarnici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stolarije (otvorena površina prije ugradnje) (navesti U-vrijednost, solarni faktor, faktor propusnosti zraka, vode, vjetra i prijenos svjetlosti)</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Izolacija</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Krovne kutije, krovne ploče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(navesti toplinsku otpornost)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Sustavi obloge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(navesti toplinsku otpornost)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Dodatna izolacija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(navesti toplinsku otpornost)</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Ploče sa šupljinama, izolacijske ploče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(navesti toplinsku otpornost)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Toplinski i akustični zidni izolatori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(navesti toplinsku i zvučnu otpornost)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Toplinski i akustični izolatori za tavane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(navesti toplinsku i zvučnu otpornost)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Toplinska i zvučna izolacija, u rasutom stanju</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(navesti toplinsku i zvučnu otpornost)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Izolatori zvučne i zvučne izolatore za krovne terase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(navesti toplinsku i zvučnu otpornost)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Toplinska i zvučna izolacija ispod poda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(navesti toplinsku i zvučnu otpornost)</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Nenosiva izolacijska izolacija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(ako je relevantno, navesti toplinsku i zvučnu otpornost)</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Toplinski i zvučni izolatori za zidove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(navesti toplinsku i zvučnu otpornost)</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Izolatori zvuka za pregrade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(navesti toplinsku i zvučnu otpornost)</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Toplinska i zvučna izolacija ispod ploča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(navesti toplinsku i zvučnu otpornost)</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Izolacija ispod podnih obloga i temelja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(navesti toplinsku i zvučnu otpornost)</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Pregrade, viseći stropovi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Pregrade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pregrade (navesti akustičku učinkovitost ako je bitno)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Viseći stropovi, lažni stropovi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visećeg krova (navedite akustičku učinkovitost)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Podne i zidne obloge, boje, dekorativni proizvodi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Boje, lazure i lakovi, premazi boja (bez saturatora)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prekrivene površine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Pregradne ploče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pregrade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Zidne i stropne obloge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obloge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Tvrde podne obloge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obloge (navesti razred uporabe UPEC ili klasifikaciju otpornosti na habanje i probijanja, ponašanje u odnosu na vodu i otpornost na kemijska sredstva ili jednakovrijedno)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Mekane podne obloge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obloge (navesti razred uporabe UPEC ili klasifikaciju otpornosti na habanje i probijanja, ponašanje u odnosu na vodu i otpornost na kemijska sredstva ili jednakovrijedno)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Akustični proizvodi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obloge (navesti razred uporabe UPEC ili klasifikaciju otpornosti na habanje i probijanja, ponašanje u odnosu na vodu i otpornost na kemijska sredstva ili jednakovrijedno)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Saturatori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prekrivene površine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Proizvodi za pripremu i provedbu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Ljepila za konstrukciju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(navesti gustoću)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Popravci i montaža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(navesti gustoću)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Podovi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ljepila na tlo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Zidarski mort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(navesti gustoću)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Pločice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popločane površine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Ukrašavanje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(navesti gustoću)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Mase za brtvljenje i poliuretanske pjene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(navesti linearnu masu)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Građevinski kemijski proizvodi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(navesti gustoću)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Proizvodi za beton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(navesti gustoću)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Sintetske smole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(navesti gustoću)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Sanitarna oprema i oprema za kupaonice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Slavine i stupovi za tuširanje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Mjerna jedinica (navesti vrstu)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Kada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Mjerna jedinica (navesti volumen kapaciteta u litrama i oblik)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Tuš kada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Jedinica (navesti dimenzije: širina i duljina)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Sudoper</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Jedinica (navesti dimenzije: širina, duljina i broj korita)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Umivaonik</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Jedinica (navesti dimenzije: širina, duljina i broj korita)</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Toalet – Školjka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Jedinica (navesti dimenzije: širina i duljina)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Ostalo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Prilog II.</w:t>
      </w:r>
    </w:p>
    <w:p w14:paraId="1E7210AD" w14:textId="4609938E" w:rsidR="001308A1" w:rsidRPr="005D260E" w:rsidRDefault="00C51AA3" w:rsidP="007F6637">
      <w:pPr>
        <w:pStyle w:val="Titre2FDES"/>
      </w:pPr>
      <w:r>
        <w:t>Formati funkcionalnih jedinica ili jedinica prijavljenih za objekte.</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Br.</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Funkcija</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Kategorija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Funkcionalna jedinica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Prijavljena jedinica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Skupina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Rješenje</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Postrojenje za instalaciju električne i komunikacijske mreže</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Zidna oprema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Automatizirani sustavi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Senzori kretanja</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Termostati</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Naprave za regulaciju osvjetljenja</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Kutije za opremu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gips-kartonske ploče</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zidanje</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Kontrole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Sklopke</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Gumbi</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Ostalo: Ventilacija s cijevima, rolo sjenilo, itd.</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Ploče i nosači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Zidna oprema i podsklopovi</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Utičnice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Niskonaponske utičnice</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Visokonaponske utičnice</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Razne utičnice (TV, zvučnik, IT itd.)</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Signaliziranje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Zvučna oprema: zvučnik</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Zvučna oprema: zvona</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Svjetlosni indikatori</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Dodatna oprema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Daljinski upravljači, ventili, kopče</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Modularna oprema za ograđene prostore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Opća zaštitna oprema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Spojevi</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Prekidači strujnih krugova</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Prekidači strujnih krugova električne mreže</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Sklopke/izolatori</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Invertori izvora</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Releji diferencijala</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Gromobranska zaštita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Gromobrani</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Telekomunikacijski gromobrani</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Zaštita vodova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Prekidači strujnih krugova</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Razdjelni prekidači</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Automatske sklopke</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Osigurači</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Prekidač dozemnog spoja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Različiti blokovi</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Sklopke za RCD</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 prekidač</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 rasvjetom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Sklopke za fotoćelije</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Upravljanje solarnim pogonom</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Naprave za regulaciju </w:t>
            </w:r>
            <w:r>
              <w:rPr>
                <w:rFonts w:ascii="Times New Roman" w:hAnsi="Times New Roman"/>
                <w:sz w:val="24"/>
              </w:rPr>
              <w:lastRenderedPageBreak/>
              <w:t>osvjetljenja</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 energijom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Mehanizmi za prijenos tereta</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Upravitelji energije</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 kapcima i roletama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Upravljanje kapcima i roletama</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 vremenom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Programirajući prekidač</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Programatori</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Vremenski releji</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 toplinom (grijanje, ventilacija)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Termostati</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Mjerenje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Energetski mjerači</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Kiša, senzori sunca itd.</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Voltmetri, ampermetri</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Kontrolni uređaji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Gumbi</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Kontaktori</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Sklopke, invertori, komutatori itd.</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Sklopke s daljinskim impulsom</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Uređaji za signalizaciju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Zvona i melodije zvona</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Svjetlosni indikatori</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Sustavi za automatizaciju doma i komunikacijski sustavi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Multimedijske mreže i VDI (Glas Podaci Slika)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Modularna oprema za automatizaciju doma</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terminala za automatizaciju doma</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Distributeri za signalizaciju/otkrivanje</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Bežične pristupne točke</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Prilozi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Ormarići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Poliesterski ormarići</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Metalni ormarići</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Spojevi</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ormarića</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Kutije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Poklopci terminala</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Podžbukne instalacijske kutije</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Vodonepropusne kutije</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Kutije koje strše</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VDI kućišta</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Razvodne kutije</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Ostalo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Stolovi, upravljanje toplinom u ograđenim prostorima</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Rješenja za usmjeravanje kabela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Metar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Sustavi usmjeravanja kabela i okviri za kabele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Trase žičanih kabela</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Pločaste vodilice za kabele</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Okviri za kablove</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Sustavi za nošenje kabela i kabeli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Kabeli</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Profilirani kabeli</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Krute cijevi i kabeli</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Kabeli napajanja</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Podni kabeli</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Instalacijski kabeli</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Oblikovane letvice i pregradne ploče</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Ostali proizvodi za upravljanje kablovima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Kućna oprema za električnu energiju i komunikaciju</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Podni kabeli</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Kućišta za raspršivanje i okomiti ugradbeni stupovi</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Nošenje kabela za ormariće</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Ostalo i pribor</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Ostalo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Spajanje/spojevi (izvan ograđenih prostora)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Spojni blokovi</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Konektori</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Industrijske utičnice</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Izvori napajanja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Transformatori</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Središnji izvori</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Mobilna električna oprema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Inspekcijsko svjetlo</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Blok adaptera s više utičnica, utičnice za telefonske razdjelnike, ostalo</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Motor s otvaranjem preklopnika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Motorizacija vrata, ulaznih vrata itd.</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Motorizacija roleta</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Žice i kabeli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Električne mreže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Srednjonaponski kabeli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Niskonaponski dalekovodi &lt; 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Pribor za električnu mrežu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Prijenos električne energije i prijenos podataka unutar zgrade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Energetske žice i kabeli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Komunikacijski kabeli od bakra i optičkih vlakana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Pribor u zgradi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Ostale žice i kabeli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Neizoliran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Kablovi za grijanje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Sigurnost pojedinaca i kontrola pristupa</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Otkrivanje i kontrola pristupa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Sustav za otkrivanje neovlaštenih osoba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otkrivanje neovlaštenih osoba</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Upravljačka oprema </w:t>
            </w:r>
            <w:r>
              <w:rPr>
                <w:rFonts w:ascii="Times New Roman" w:hAnsi="Times New Roman"/>
                <w:sz w:val="24"/>
              </w:rPr>
              <w:lastRenderedPageBreak/>
              <w:t>(tipkovnica, daljinski upravljač itd.)</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Alarmne konzole</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signalizaciju (sirena, odašiljač itd.)</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Sustav kontrole pristupa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Audio portafoni</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Video portafoni</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 nadzor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Sustav videonazora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hvatanje slike (kamere)</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upravljanje slikom</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Međusobna povezanost</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Sigurnost zgrade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Sustav sigurnosnog osvjetljenja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Okruženje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Samostalne jedinice za osvjetljavanje u nuždi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Ugradnja svjetala za središnji izvor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Jedinice reflektora</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Evakuacija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Samostalne jedinice za osvjetljavanje u nuždi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Jedinice za neovisnu rasvjetu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Jedinica s dvostrukom funkcijom (B.A.E.S + B.E.E.)</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Ugradnja svjetala za središnji izvor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(svjetlosni uređaj)</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(jači identifikacijski uređaj)</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Rasvjeta u slučaju opasnosti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Jedinice za neovisnu rasvjetu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Jedinica s dvostrukom funkcijom (B.A.E.S + B.E.E.)</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Intervencije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Prijenosne samostalne interventne jedinice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Napajanje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Središnji izvor za opremu svjetlo u nuždi</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Protupožarna sigurnost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Protupožarna sigurnost i tehnički alarm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Neovisni detektori dima/alarmi</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Tehnički alarmi i detektori (poplave, plin itd.)</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Ugrađeni detektori ugljikovog monoksida</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Tehnički alarmi i detektori</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HVAC oprema</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Grijanje i/ili hlađenje i/ili kućna proizvodnja tople vode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Bojler (sam grije)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Plinski bojler</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Bojler na loživo ulje</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Hibridni kotao</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Bojler na biomasu</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Kombinirani bojler (grijanje i topla voda u kućanstvu)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Plinski bojler</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Bojler na loživo ulje</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Neovisni uređaji na biomasu</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Dizalica topline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Električna tlačna toplinska crpka</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Hibridna toplinska crpka</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Pumpa za cirkulaciju vode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Radijator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Grijani ručnik za ručnike</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Izravno električno zagrijavanje putem vidljive stalne jedinice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Konvektor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Izvor zračenja</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Radijator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sa sekundarnom funkcijom za grijani ručnik za ručnike</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Proizvodnja tople vode za kućanstvo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Pojedinačni grijač vode za pohranjivanje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Grijač vode za električne vode</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Termodinamički grijač vode</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Grijač vode</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Pojedinačni grijač vode iz solarnog izvora</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Krajnje jedinice za udobnost doma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Kaloriferi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Kaloriferi</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Rashladne grede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Pasivne rashladne grede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Aktivne rashladne grede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Dinamički radijatori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Dinamički radijatori</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Kablovi i dodatni pribor za mrežu</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kabela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Savitljivi kabeli</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Kruti kabeli</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Cijevni lukovi i pribor</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Difuzija zraka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ili</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Pasivni terminali</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Difuzori</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Dovod zraka</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Otvori za propuhivanje i ekstraktori</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Obrada zraka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Uređaj za pročišćavanje zraka</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Jedinica s dvostrukim protokom</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Zračni filtri</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Ventilacijska kutija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Mehanički upravljano prozračivanje s jednim protokom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Mehanički upravljano prozračivanje s dvostrukim protokom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Ventilacijska kutija</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Hlađenje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Jedinica za proizvodnju leda</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Rashladni toranj</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Rashladne vitrine za hlađenje zraka</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Lokalna proizvodnja električne energije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Generator električne energije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Fotonaponski moduli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Kristalni silicij (monokristalni ili polikristalni)</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Tanki slojevi</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Vjetroturbine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Vodoravno</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Okomito</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Pretvaranje i regulacija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Pretvorba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Sinkroni inverteri</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Samostalni inverteri</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Pretvarač istosmjerne/istosmjerne struje</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Izmjenični/istosmjerni pretvarač</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Regulacija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Regulator opterećenja</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Skladištenje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Elektrokemijska baterija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Olovo – kiselina</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Litij –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Ostalo</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Praćenje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Praćenje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nadzor</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Rasvjetna oprema</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Oprema za unutarnju rasvjetu i napajanje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Udubljena rasvjeta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Linearna rasvjeta u unutrašnjosti uređaja za opremanje vodovima za uredsku rasvjetu</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Nelinearna udubljena unutrašnja rasvjeta za rasvjetu ureda</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Svjetla za naglasak zatvorenih prostora (točke) u zatvorenom prostoru</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Svjetla koja se </w:t>
            </w:r>
            <w:r>
              <w:rPr>
                <w:rFonts w:ascii="Times New Roman" w:hAnsi="Times New Roman"/>
                <w:sz w:val="24"/>
              </w:rPr>
              <w:lastRenderedPageBreak/>
              <w:t>postavljaju na površinu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Stropne svjetiljke, linearni </w:t>
            </w:r>
            <w:r>
              <w:rPr>
                <w:rFonts w:ascii="Times New Roman" w:hAnsi="Times New Roman"/>
                <w:sz w:val="24"/>
              </w:rPr>
              <w:lastRenderedPageBreak/>
              <w:t>unutarnji viseći pribor za uredsku ili industrijsku rasvjetu</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Funkcionalna unutarnja linearna rasvjeta na površini, ugrađena na zidne obloge</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Stropne svjetiljke, zidne ugradbeni rasvjetni uređaji, dekorativni unutarnji viseći elementi</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Unutarnji otvori na vratima</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Unutarnje svjetiljke za rasvjetu (bez optičkih uređaja, za razliku od linearnih proizvoda)</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Unutarnji reflektori, postavljena ili montirani ili na vodilice, za naglašenu rasvjetu</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Unutarnja rasvjetna oprema otporna na vodu</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LED savitljive šipke i trake (uključujući napajanje)</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Viseće spojne naprave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Industrijska oprema</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Trajne internetske strukture za industrijsku ili komercijalnu rasvjetu</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Sklopovi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Vodilice rasvjete</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Oprema za vanjsko osvjetljenje i napajanje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Usmjeravajući reflektori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Usmjeravajući reflektori za sportska i velika područja</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Vanjski reflektori za dekorativnu rasvjetu</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Rasvjetna tijela za vanjsku rasvjetu, osim reflektora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Rasvjetna tijela za dekorativnu rasvjetu</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Rasvjetna oprema za funkcionalnu rasvjetu</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Povremena rasvjeta</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Udubljeni reflektori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Vanjski reflektori koji se nalaze u zatvorenom prostoru za podove i zidove</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Udubljena rasvjeta za orijentaciju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Vanjska orijentacijska rasvjetna tijela u udubini u podu ili zidovima</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Stupovi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Dekorativni vanjski terminali</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Dekorativni vanjski stupovi za svjetlo</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Svjetla za zaštitu vode otporna na vodu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Zidne svjetiljke koje se postavljaju na površinu i vodootporna svjetla na vratima</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Udubljena rasvjeta za bazene ili fontane</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Podvodna svjetla za bazene ili fontane</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jedinica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Tornjevi i postolja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Tornjevi</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Krug</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Različiti nosači vanjskih svjetala</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Ostalo</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Prilog III.</w:t>
      </w:r>
    </w:p>
    <w:p w14:paraId="67517A54" w14:textId="77777777" w:rsidR="00C51AA3" w:rsidRPr="005D260E" w:rsidRDefault="003C68D4" w:rsidP="008837F2">
      <w:pPr>
        <w:pStyle w:val="Titre2FDES"/>
        <w:jc w:val="left"/>
      </w:pPr>
      <w:r>
        <w:t xml:space="preserve">Izračun dobiti i troškova povezanih s oporabom na kraju životnog vijeka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Pozitivna vrijednost prikazuje neto rashod, a negativna vrijednost prikazuje neto dobit.</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U slučaju recikliranja, za određeni tok recikliranog otpada (a time i određeni lambda materijal) primjenjuje se sljedeća formula: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gdje je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(kg) sekundarnog materijala koji je stvarno oporabljen iz prikupljene mase zaliha (lambda komponenta materijala u toku „materijali namijenjeni za recikliranje“);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inventar proizvodnje (po kg) materijala (ili smjese) za koji se reciklirani lambda sekundarni materijal zamjenjuje u silaznom sustavu (tj. ne inventar proizvodnje na kraju proizvodnog lanca, nego materijal iz proizvodnog inventara koji čini taj silazni proizvod);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=inventar (po kg) proizvodnje sekundarnih materijala koji su spremni za uporabu u silaznom sustavu iz zaliha;</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masa (u kg) sekundarnog materijala ugrađena u proizvod na koji se odnosi izjava pri proizvodnji (lambda komponente materijala u toku „uporabasekundarnih materijala“);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inventar proizvodnje (po kg) nerabljenih materijala koji se upotrebljavaju za proizvodnju proizvoda na koji se izjava odnosi, u nedostatku bilo kakvog recikliranja materijala;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inventar (po kg) proizvodnje pripremljenog materijala koji se koristi za proizvodnju proizvoda na koji se izjava odnosi.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U slučaju povrata energije za određeni tok recikliranog otpada primjenjuje se sljedeća formula: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gdje je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(u kg) stvarno oporabljenog sekundarnog materijala od prikupljene mase zaliha (lambda komponenta(e) materijala „materijali za energetsku oporabu“);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inventar proizvodnje (po kg) energije za koju se u sustavu na kraju proizvodnog lanca nadomjesti energija dobivena recikliranjem sekundarnih materijala (tj. ne u proizvodnom inventaru sustava na kraju proizvodnog lanca kojem će sekundarni materijal doprinijeti, već u proizvodnji energije koju troši sustav na kraju proizvodnog lanca, izraženo u isporučenom MJ);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popis (po kg) energije od recikliranja sekundarne sirovine iz zaliha za koji je referentni tok količina recikliranog sekundarnog materijala;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oporabljenog sekundarnog materijala;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energetska proizvodnja oporabljenog sekundarnog materijala za recikliranje energije.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Ukupna korist za prijavljeni proizvod dobiva se kao zbroj svih zajedničkih koristi izračunanih za svaki od materijala/tokova.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Prilog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Okvir za valjanost skupnih izjava o okolišu za proizvode</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Ujednačenost</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Analiza životnog ciklusa (LCA) sastoji se od velike količine podataka za brojne scenarije. Određeni podaci prikupljaju se na licu mjesta, neki se izračunavaju, a neki su procijenjeni. Stoga su podaci koji se koriste za LCA podaci s određenom razinom nesigurnosti. Prema tome, rezultat analize LCA prilično osjetljiv na razlike u ulaznim podacima.</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 skladu s člankom 9. Odluke, učinci na okoliš prijavljenih subjekata koji se koriste istom skupnom izjavom o okolišu moraju biti ujednačeni. Tako će skupna izjava o okolišu obuhvatiti ekološki ujednačene proizvode ako je moguće osigurati da svi obuhvaćeni proizvodi prijavljuju učinke na okoliš ispod granične vrijednosti ako su u skladu s okvirom valjanosti koji se povezuje s tom zajedničkom izjavom o okolišu.</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Prihvaća se da bi se ta ujednačenost trebala dokazati samo za određene kontrolne indikatore.</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Za indikatore LCA, dokazivanje ujednačenosti provodi se analizom osjetljivosti nesigurnih parametara i parametara koji se razlikuju među prijaviteljima registracije. Snažno se preporučuje da se ta analiza provede u ranoj fazi postupka procjene životnog vijeka i da se na temelju te analize izradi skupna izjava o okolišu.</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Analiza osjetljivosti</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Analiza osjetljivosti LCA mora uključivati sljedeće faze:</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odabir kontrolnih indikatora;</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identifikacija osjetljivih parametara: ispitivanje doprinositelja za utvrđivanje ulaznih parametara koji najviše pridonose objašnjavanju vrijednosti kontrolnih indikatora (rezultati LCA-a);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određivanje raspona varijacija u osjetljivim parametrima (parametri ograničenja i svaka statistička raspodjela);</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simulacije s parametrima na temelju faza b i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Analiza osjetljivosti može se ponavljati. Rezultat analize osjetljivosti mora biti:</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popis čimbenika koji utječu na rezultate LCA (osjetljivi parametri) i njihova odobrena područja promjene (ovaj popis je polje valjanosti);</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za svaki kontrolni indikator, vjerojatan interval promjene (95 %-tni interval pouzdanosti) vrijednosti indikatora dobiven simulacijama parametara.</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Faza 1.: odabir kontrolnih indikatora</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Odabir kontrolnih indikatora mora biti razuman. Oni se biraju od slučaja do slučaja među indikatorima navedenima u članku 3. Odluke. Njihov odabir treba biti opravdan. Potrebno je proučiti barem sljedeće indikatore:</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globalno zatopljenje</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uporaba primarne energije iz neobnovljivih izvora, isključujući neobnovljive izvore primarne energije koji se upotrebljavaju kao sirovine</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zbrinuti neopasni otpad.</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Faza 2.: utvrđivanje osjetljivih parametara</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Za svaki kontrolni indikator treba provesti analizu osjetljivih parametara. U tu se svrhu predlaže da se, kao početni pristup, učinci podijele s obzirom na postupke uključene u životni ciklus. Ta bi se analiza trebala temeljiti na referentnom scenariju opisanom u analizi osjetljivosti.</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Preporučuje se razmatranje svih postupaka čiji je doprinos izgledu iznad 5 % u referentnom scenariju. Parametri modela LCA (koji ulaze u postupak ili izlaze iz postupka, unutarnji parametar modelizacije procesa, itd.) koji mijenjaju taj doprinos trebaju se utvrditi. To su parametri koji se smatraju osjetljivima.</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kraju te analize podnositelj registracije imat će popis postupaka koji najviše pridonose kontrolnim indikatorima tijekom cijelog životnog vijeka i popis osjetljivih parametara.</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Faza 3.: definicija raspona promjene osjetljivih parametara</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Ova faza sastoji se od utvrđivanja raspona odstupanja za svaki osjetljivi parametar. Taj bi raspon tada trebalo predložiti najmanje u obliku intervala. Ako je poznato, može se predvidjeti zakon za raspodjelu parametra u gore definiranom intervalu.</w:t>
      </w:r>
      <w:r>
        <w:rPr>
          <w:rFonts w:ascii="Times New Roman" w:hAnsi="Times New Roman"/>
          <w:sz w:val="24"/>
        </w:rPr>
        <w:br/>
        <w:t>Nakon ove faze, svaki osjetljivi parametar povezan je s nizom promjena.</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Faza 4.: Izračun promjenjivosti indikatora</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temelju faza 2. i 3. u ovoj se fazi primjenjuje odgovarajuća matematička metoda za određivanje područja varijacija indikatora (maksimalne vrijednosti, srednje vrijednosti i minimalne vrijednosti) pri podvrgavanju modela LCA promjenama osjetljivih parametara.</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Rezultat faze 4. niz je raspona vrijednosti prema svim indikatorima obuhvaćenim analizom osjetljivosti.</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Izračun promjenjivosti indikatora obuhvaća barem osjetljive parametre koji se odnose na elemente iz članka 9. ove Odluke.</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Faze 3. i 4. mogu se provesti ponavljanjem radi prilagodbe raspona osjetljivih parametara zahtjevima za ujednačenost.</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Izvješće o analizi osjetljivosti</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Izvješće sadržava stavke koje odgovaraju četirima fazama analize osjetljivosti i konačni ishod analize osjetljivosti, uključujući opseg valjanosti zajedničke izjave o okolišu i raspone različitih kontrolnih indikatora.</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Analiza osjetljivosti i prijavljene ekološke vrijednosti</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Rezultati analize osjetljivosti uvjetuju okolišne vrijednosti prijavljene u zajedničkoj izjavi o okolišu, kako je navedeno u članku 9. ove Odluke.</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Kada je najveća vrijednost (ili najveća pri 95 % pouzdanosti, ako se primjenjuje statistički pristup) niza izmjena svakog kontrolnog indikatora učinka na okoliš</w:t>
      </w:r>
      <w:r>
        <w:rPr>
          <w:rFonts w:ascii="Times New Roman" w:hAnsi="Times New Roman"/>
          <w:sz w:val="24"/>
        </w:rPr>
        <w:t xml:space="preserve"> manja od srednje vrijednosti indikatora pomnožene s graničnom vrijednosti (navedenom u članku 9. ove Odluke) ili jednaka njoj</w:t>
      </w:r>
      <w:r>
        <w:rPr>
          <w:rFonts w:ascii="Times New Roman" w:hAnsi="Times New Roman"/>
          <w:sz w:val="24"/>
          <w:shd w:val="clear" w:color="auto" w:fill="FFFFFF"/>
        </w:rPr>
        <w:t>, vrijednosti prijavljenih indikatora učinka na okoliš izračunavaju se s prosječnim vrijednostima osjetljivih parametara.</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Ako nije, tj. ako barem jedan od indikatora učinka na okoliš ima najveću vrijednost veću od </w:t>
      </w:r>
      <w:r>
        <w:rPr>
          <w:rFonts w:ascii="Times New Roman" w:hAnsi="Times New Roman"/>
          <w:sz w:val="24"/>
        </w:rPr>
        <w:t>prosječne vrijednosti indikatora pomnožene s graničnom vrijednošću (navedenom u članku 9. ove Odluke)</w:t>
      </w:r>
      <w:r>
        <w:rPr>
          <w:rFonts w:ascii="Times New Roman" w:hAnsi="Times New Roman"/>
          <w:sz w:val="24"/>
          <w:shd w:val="clear" w:color="auto" w:fill="FFFFFF"/>
        </w:rPr>
        <w:t>, mora se prijaviti gornja granica. Ta gornja granica odgovara vrijednosti indikatora dobivenih kad se upotrebljavaju najveće vrijednosti (ili najveća s vjerojatnošću od 95 % ako se primjenjuje statistički pristup) osjetljivih parametara.</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Precizna identifikacija proizvoda obuhvaćenih izjavom</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Kako bi se utvrdilo je li proizvod moguće obuhvatiti skupnom izjavom o okolišu, potrebno je utvrditi je li proizvod sličan obuhvaćenoj vrsti proizvoda i je li prijavitelj registracije tog proizvoda ovlašten upotrebljavati tu skupnu izjavu o okolišu.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Identifikacija vrste proizvoda</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Vrsta proizvoda mora se biti pravilno definirati i opisati kako bi se olakšalo usklađivanje opisa proizvoda i opisa vrste proizvoda. Opis standardnog proizvoda mora sadržavati barem sljedeće:</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popis glavnih ili prevladavajućih materijala;</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informacije o funkcionalnosti ili razini učinkovitosti.</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Ta identifikacijska oznaka mora biti dovoljna za brzo i nedvojbeno utvrđivanje može li određeni proizvod biti obuhvaćen skupnom izjavom.</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Identifikacija prijavitelja registracije koji mogu upotrebljavati zajedničku izjavu o okolišu</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Budući da je zajednička izjava o okolišu vlasništvo i odgovornost određene skupine, ta skupina može odlučiti da samo neki prijavitelji registracije mogu koristiti tu skupnu izjavu o okolišu.</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Popis prijavitelja registracije koji imaju odobrenje za upotrebu skupne izjave o okolišu mora biti priložen:</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bilo u obliku konačnog popisa imena, ili</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 obliku uvjeta za članstvo u određenoj zajednici (udruženju, sindikatu, potpisnicima povelje dobre prakse itd.). U tom slučaju, popis članova te zajednice mora biti javno dostupan.</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Sadržaj okvira valjanosti</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Okvir valjanosti sadrži najmanje:</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Utvrđivanje vrste proizvoda (obvezno);</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Proizvode obuhvaćeni zajedničkom izjavom o okolišu</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Identifikaciju prijavitelja registracije koji mogu upotrebljavati skupnu izjavu o okolišu;</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Izvješće o studiji osjetljivosti, uključujući raspon valjanosti i dokaz da su prijavljene vrijednosti identifikatora ujednačene.</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Primjena okvira valjanosti</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Kako bi prijavitelj registracije mogao koristiti skupnu izjavu o okolišu za svoj proizvod, mora dostaviti dokaze:</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 je njihov proizvod u skladu s „vrstom proizvoda“ obuhvaćenom skupnom izjavom o okolišu;</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 se nalazi na popisu prijavitelja registracije koji imaju odobrenje za uporabu te skupne izjave o okolišu;</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 je u skladu s opsegom valjanosti predmetne skupne izjave o okolišu.</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24B2" w14:textId="77777777" w:rsidR="00A747E7" w:rsidRDefault="00A747E7" w:rsidP="00F76954">
      <w:pPr>
        <w:spacing w:after="0" w:line="240" w:lineRule="auto"/>
      </w:pPr>
      <w:r>
        <w:separator/>
      </w:r>
    </w:p>
  </w:endnote>
  <w:endnote w:type="continuationSeparator" w:id="0">
    <w:p w14:paraId="24F3421C" w14:textId="77777777" w:rsidR="00A747E7" w:rsidRDefault="00A747E7"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Stranica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od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5D51" w14:textId="77777777" w:rsidR="00A747E7" w:rsidRDefault="00A747E7" w:rsidP="00F76954">
      <w:pPr>
        <w:spacing w:after="0" w:line="240" w:lineRule="auto"/>
      </w:pPr>
      <w:r>
        <w:separator/>
      </w:r>
    </w:p>
  </w:footnote>
  <w:footnote w:type="continuationSeparator" w:id="0">
    <w:p w14:paraId="31942736" w14:textId="77777777" w:rsidR="00A747E7" w:rsidRDefault="00A747E7"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773B9"/>
    <w:multiLevelType w:val="hybridMultilevel"/>
    <w:tmpl w:val="20C23976"/>
    <w:lvl w:ilvl="0" w:tplc="23B091B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6"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18"/>
  </w:num>
  <w:num w:numId="3">
    <w:abstractNumId w:val="19"/>
  </w:num>
  <w:num w:numId="4">
    <w:abstractNumId w:val="15"/>
  </w:num>
  <w:num w:numId="5">
    <w:abstractNumId w:val="55"/>
  </w:num>
  <w:num w:numId="6">
    <w:abstractNumId w:val="57"/>
  </w:num>
  <w:num w:numId="7">
    <w:abstractNumId w:val="7"/>
  </w:num>
  <w:num w:numId="8">
    <w:abstractNumId w:val="32"/>
  </w:num>
  <w:num w:numId="9">
    <w:abstractNumId w:val="28"/>
  </w:num>
  <w:num w:numId="10">
    <w:abstractNumId w:val="22"/>
  </w:num>
  <w:num w:numId="11">
    <w:abstractNumId w:val="27"/>
  </w:num>
  <w:num w:numId="12">
    <w:abstractNumId w:val="36"/>
  </w:num>
  <w:num w:numId="13">
    <w:abstractNumId w:val="47"/>
  </w:num>
  <w:num w:numId="14">
    <w:abstractNumId w:val="17"/>
  </w:num>
  <w:num w:numId="15">
    <w:abstractNumId w:val="67"/>
  </w:num>
  <w:num w:numId="16">
    <w:abstractNumId w:val="26"/>
  </w:num>
  <w:num w:numId="17">
    <w:abstractNumId w:val="48"/>
  </w:num>
  <w:num w:numId="18">
    <w:abstractNumId w:val="29"/>
  </w:num>
  <w:num w:numId="19">
    <w:abstractNumId w:val="30"/>
  </w:num>
  <w:num w:numId="20">
    <w:abstractNumId w:val="38"/>
  </w:num>
  <w:num w:numId="21">
    <w:abstractNumId w:val="12"/>
  </w:num>
  <w:num w:numId="22">
    <w:abstractNumId w:val="44"/>
  </w:num>
  <w:num w:numId="23">
    <w:abstractNumId w:val="23"/>
  </w:num>
  <w:num w:numId="24">
    <w:abstractNumId w:val="40"/>
  </w:num>
  <w:num w:numId="25">
    <w:abstractNumId w:val="64"/>
  </w:num>
  <w:num w:numId="26">
    <w:abstractNumId w:val="66"/>
  </w:num>
  <w:num w:numId="27">
    <w:abstractNumId w:val="51"/>
  </w:num>
  <w:num w:numId="28">
    <w:abstractNumId w:val="58"/>
  </w:num>
  <w:num w:numId="29">
    <w:abstractNumId w:val="9"/>
  </w:num>
  <w:num w:numId="30">
    <w:abstractNumId w:val="46"/>
  </w:num>
  <w:num w:numId="31">
    <w:abstractNumId w:val="43"/>
  </w:num>
  <w:num w:numId="32">
    <w:abstractNumId w:val="60"/>
  </w:num>
  <w:num w:numId="33">
    <w:abstractNumId w:val="53"/>
  </w:num>
  <w:num w:numId="34">
    <w:abstractNumId w:val="56"/>
  </w:num>
  <w:num w:numId="35">
    <w:abstractNumId w:val="31"/>
  </w:num>
  <w:num w:numId="36">
    <w:abstractNumId w:val="13"/>
  </w:num>
  <w:num w:numId="37">
    <w:abstractNumId w:val="49"/>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5"/>
  </w:num>
  <w:num w:numId="47">
    <w:abstractNumId w:val="33"/>
  </w:num>
  <w:num w:numId="48">
    <w:abstractNumId w:val="35"/>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9"/>
  </w:num>
  <w:num w:numId="58">
    <w:abstractNumId w:val="50"/>
  </w:num>
  <w:num w:numId="59">
    <w:abstractNumId w:val="20"/>
  </w:num>
  <w:num w:numId="60">
    <w:abstractNumId w:val="10"/>
  </w:num>
  <w:num w:numId="61">
    <w:abstractNumId w:val="42"/>
  </w:num>
  <w:num w:numId="62">
    <w:abstractNumId w:val="16"/>
  </w:num>
  <w:num w:numId="63">
    <w:abstractNumId w:val="24"/>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2"/>
  </w:num>
  <w:num w:numId="72">
    <w:abstractNumId w:val="65"/>
  </w:num>
  <w:num w:numId="73">
    <w:abstractNumId w:val="54"/>
  </w:num>
  <w:num w:numId="74">
    <w:abstractNumId w:val="21"/>
  </w:num>
  <w:num w:numId="75">
    <w:abstractNumId w:val="41"/>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1E2E"/>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6F4C68"/>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747E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8F9"/>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hr-HR"/>
    </w:rPr>
  </w:style>
  <w:style w:type="character" w:styleId="FootnoteReference">
    <w:name w:val="footnote reference"/>
    <w:uiPriority w:val="99"/>
    <w:semiHidden/>
    <w:rsid w:val="003D011E"/>
    <w:rPr>
      <w:noProof/>
      <w:position w:val="6"/>
      <w:sz w:val="18"/>
      <w:vertAlign w:val="baseline"/>
      <w:lang w:val="hr-HR"/>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hr-HR"/>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hr-HR"/>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hr-HR"/>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hr-HR"/>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hr-HR"/>
    </w:rPr>
  </w:style>
  <w:style w:type="character" w:styleId="PageNumber">
    <w:name w:val="page number"/>
    <w:uiPriority w:val="99"/>
    <w:rsid w:val="003D011E"/>
    <w:rPr>
      <w:noProof/>
      <w:lang w:val="hr-HR"/>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hr-HR"/>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6992</Words>
  <Characters>39856</Characters>
  <Application>Microsoft Office Word</Application>
  <DocSecurity>0</DocSecurity>
  <Lines>332</Lines>
  <Paragraphs>93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17</cp:revision>
  <dcterms:created xsi:type="dcterms:W3CDTF">2021-04-28T07:24:00Z</dcterms:created>
  <dcterms:modified xsi:type="dcterms:W3CDTF">2021-05-12T14:40:00Z</dcterms:modified>
</cp:coreProperties>
</file>