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35"/>
        <w:gridCol w:w="783"/>
        <w:gridCol w:w="1206"/>
      </w:tblGrid>
      <w:tr w:rsidR="005C2641" w:rsidRPr="00C32FE3" w14:paraId="06BA75C1" w14:textId="77777777" w:rsidTr="00855C1F">
        <w:trPr>
          <w:cantSplit/>
          <w:trHeight w:val="278"/>
        </w:trPr>
        <w:tc>
          <w:tcPr>
            <w:tcW w:w="3224" w:type="dxa"/>
            <w:gridSpan w:val="3"/>
          </w:tcPr>
          <w:p w14:paraId="0380FEC5" w14:textId="77777777" w:rsidR="005C2641" w:rsidRPr="00C32FE3" w:rsidRDefault="005C2641" w:rsidP="00C13834">
            <w:pPr>
              <w:pStyle w:val="SNREPUBLIQUE"/>
            </w:pPr>
            <w:r>
              <w:t>REPUBBLICA FRANCESE</w:t>
            </w:r>
          </w:p>
        </w:tc>
      </w:tr>
      <w:tr w:rsidR="005C2641" w:rsidRPr="00C32FE3" w14:paraId="60AB21EC" w14:textId="77777777" w:rsidTr="00855C1F">
        <w:trPr>
          <w:cantSplit/>
          <w:trHeight w:hRule="exact" w:val="109"/>
        </w:trPr>
        <w:tc>
          <w:tcPr>
            <w:tcW w:w="1235" w:type="dxa"/>
          </w:tcPr>
          <w:p w14:paraId="3A442AB4" w14:textId="77777777" w:rsidR="005C2641" w:rsidRPr="00C32FE3" w:rsidRDefault="005C2641" w:rsidP="00C13834"/>
        </w:tc>
        <w:tc>
          <w:tcPr>
            <w:tcW w:w="783" w:type="dxa"/>
            <w:tcBorders>
              <w:bottom w:val="single" w:sz="1" w:space="0" w:color="000000"/>
            </w:tcBorders>
          </w:tcPr>
          <w:p w14:paraId="64272111" w14:textId="77777777" w:rsidR="005C2641" w:rsidRPr="00C32FE3" w:rsidRDefault="005C2641" w:rsidP="00C13834"/>
        </w:tc>
        <w:tc>
          <w:tcPr>
            <w:tcW w:w="1205" w:type="dxa"/>
          </w:tcPr>
          <w:p w14:paraId="4C2C75AC" w14:textId="77777777" w:rsidR="005C2641" w:rsidRPr="00C32FE3" w:rsidRDefault="005C2641" w:rsidP="00C13834"/>
        </w:tc>
      </w:tr>
      <w:tr w:rsidR="005C2641" w:rsidRPr="00C32FE3" w14:paraId="61593BD7" w14:textId="77777777" w:rsidTr="00855C1F">
        <w:trPr>
          <w:cantSplit/>
          <w:trHeight w:val="784"/>
        </w:trPr>
        <w:tc>
          <w:tcPr>
            <w:tcW w:w="3224" w:type="dxa"/>
            <w:gridSpan w:val="3"/>
          </w:tcPr>
          <w:p w14:paraId="20413DCB" w14:textId="77777777" w:rsidR="005C2641" w:rsidRDefault="005C2641" w:rsidP="00C13834">
            <w:pPr>
              <w:pStyle w:val="SNTimbre"/>
            </w:pPr>
            <w:r>
              <w:t>Dipartimento della transizione ecologica</w:t>
            </w:r>
          </w:p>
          <w:p w14:paraId="01EC4D2C" w14:textId="77777777" w:rsidR="005C2641" w:rsidRPr="00C32FE3" w:rsidRDefault="005C2641" w:rsidP="00C13834">
            <w:pPr>
              <w:pStyle w:val="SNTimbre"/>
            </w:pPr>
            <w:r>
              <w:t>Edilizia abitativa</w:t>
            </w:r>
          </w:p>
        </w:tc>
      </w:tr>
      <w:tr w:rsidR="005C2641" w:rsidRPr="00C32FE3" w14:paraId="22B0EA09" w14:textId="77777777" w:rsidTr="00855C1F">
        <w:trPr>
          <w:cantSplit/>
          <w:trHeight w:hRule="exact" w:val="220"/>
        </w:trPr>
        <w:tc>
          <w:tcPr>
            <w:tcW w:w="1235" w:type="dxa"/>
          </w:tcPr>
          <w:p w14:paraId="3759A36A" w14:textId="77777777" w:rsidR="005C2641" w:rsidRPr="00C32FE3" w:rsidRDefault="005C2641" w:rsidP="00C13834"/>
        </w:tc>
        <w:tc>
          <w:tcPr>
            <w:tcW w:w="783" w:type="dxa"/>
            <w:tcBorders>
              <w:bottom w:val="single" w:sz="1" w:space="0" w:color="000000"/>
            </w:tcBorders>
          </w:tcPr>
          <w:p w14:paraId="04DEF11A" w14:textId="77777777" w:rsidR="005C2641" w:rsidRPr="00C32FE3" w:rsidRDefault="005C2641" w:rsidP="00C13834"/>
        </w:tc>
        <w:tc>
          <w:tcPr>
            <w:tcW w:w="1205" w:type="dxa"/>
          </w:tcPr>
          <w:p w14:paraId="77D432E1" w14:textId="77777777" w:rsidR="005C2641" w:rsidRPr="00C32FE3" w:rsidRDefault="005C2641" w:rsidP="00C13834"/>
        </w:tc>
      </w:tr>
      <w:tr w:rsidR="005C2641" w:rsidRPr="00C32FE3" w14:paraId="3B71A753" w14:textId="77777777" w:rsidTr="00855C1F">
        <w:trPr>
          <w:cantSplit/>
          <w:trHeight w:hRule="exact" w:val="220"/>
        </w:trPr>
        <w:tc>
          <w:tcPr>
            <w:tcW w:w="1235" w:type="dxa"/>
          </w:tcPr>
          <w:p w14:paraId="780F1E54" w14:textId="77777777" w:rsidR="005C2641" w:rsidRPr="00C32FE3" w:rsidRDefault="005C2641" w:rsidP="00C13834"/>
        </w:tc>
        <w:tc>
          <w:tcPr>
            <w:tcW w:w="783" w:type="dxa"/>
          </w:tcPr>
          <w:p w14:paraId="770B6C28" w14:textId="77777777" w:rsidR="005C2641" w:rsidRPr="00C32FE3" w:rsidRDefault="005C2641" w:rsidP="00C13834"/>
        </w:tc>
        <w:tc>
          <w:tcPr>
            <w:tcW w:w="1205"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Ordinanza di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Relativa alla dichiarazione ambientale dei prodotti destinati ad essere utilizzati nelle opere di costruzione e alla dichiarazione ambientale dei prodotti utilizzati per il calcolo delle prestazioni ambientali degli edifici</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NOR: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Pubblico interessato:</w:t>
      </w:r>
      <w:r>
        <w:rPr>
          <w:rFonts w:ascii="Times New Roman" w:hAnsi="Times New Roman"/>
          <w:i/>
          <w:sz w:val="24"/>
        </w:rPr>
        <w:t xml:space="preserve"> registranti interessati dai prodotti per l’edilizia e la decorazione, nonché apparecchiature elettriche, elettroniche e di progettazione ambientale utilizzati per calcolare le prestazioni ambientali degli edifici.</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Uso:</w:t>
      </w:r>
      <w:r>
        <w:rPr>
          <w:rFonts w:ascii="Times New Roman" w:hAnsi="Times New Roman"/>
          <w:i/>
          <w:sz w:val="24"/>
        </w:rPr>
        <w:t xml:space="preserve"> specificare l'applicazione degli articoli da R. 412-49 a R. 412-57 del Codice dei Consumatori e degli articoli da R. 111-20-24 a R. 111-20-30 del Codice dell’Edilizia e dell’Edilizia Abitativa.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Entrata in vigore:</w:t>
      </w:r>
      <w:r>
        <w:rPr>
          <w:rFonts w:ascii="Times New Roman" w:hAnsi="Times New Roman"/>
          <w:i/>
          <w:sz w:val="24"/>
        </w:rPr>
        <w:t xml:space="preserve"> il testo entra in vigore il 1 gennaio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Nota:</w:t>
      </w:r>
      <w:r>
        <w:rPr>
          <w:rFonts w:ascii="Times New Roman" w:hAnsi="Times New Roman"/>
          <w:i/>
          <w:sz w:val="24"/>
        </w:rPr>
        <w:t xml:space="preserve"> lo scopo dell'Ordinanza è quello di specificare l'applicazione degli articoli da R. 412-49 a R. 412-57 del Codice dei Consumatori e degli articoli da R. 111-20-24 a R. 111-20-30 del Codice dell’Edilizia e dell’Edilizia Abitativa.</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L'Ordinanza stabilisce:</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il contenuto delle dichiarazioni ambientali dei prodotti da costruzione e decorativi e delle apparecchiature elettriche, elettroniche e di progettazione ambientale destinate ad essere utilizzate nei lavori di costruzione e nelle dichiarazioni ambientali dei prodotti da costruzione e decorazione, nonché delle apparecchiature elettriche, elettroniche e di progettazione ambientale utilizzate per calcolare le prestazioni ambientali degli edifici;</w:t>
      </w:r>
    </w:p>
    <w:p w14:paraId="25B1EABC" w14:textId="0D7209FC" w:rsidR="00770B24" w:rsidRPr="005D260E" w:rsidRDefault="00855C1F" w:rsidP="001A45A9">
      <w:pPr>
        <w:ind w:left="708"/>
        <w:jc w:val="both"/>
        <w:rPr>
          <w:rFonts w:ascii="Times New Roman" w:hAnsi="Times New Roman" w:cs="Times New Roman"/>
          <w:i/>
          <w:sz w:val="24"/>
          <w:szCs w:val="24"/>
        </w:rPr>
      </w:pPr>
      <w:r>
        <w:rPr>
          <w:rFonts w:ascii="Times New Roman" w:hAnsi="Times New Roman"/>
          <w:i/>
          <w:sz w:val="24"/>
        </w:rPr>
        <w:t xml:space="preserve">- </w:t>
      </w:r>
      <w:r w:rsidR="00E04C22">
        <w:rPr>
          <w:rFonts w:ascii="Times New Roman" w:hAnsi="Times New Roman"/>
          <w:i/>
          <w:sz w:val="24"/>
        </w:rPr>
        <w:t>la metodologia per la valutazione e il calcolo delle informazioni contenute nella dichiarazione ambientale;</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tutte le prove giustificative delle informazioni contenute nella dichiarazione ambientale da mettere a disposizione del programma di dichiarazione ambientale e delle autorità di controllo o dei loro rappresentanti;</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l'indirizzo della o delle banche dati in cui sono messe a disposizione del pubblico le dichiarazioni ambientali di cui alla R. 111-20-25 del Codice dell'Edilizia e dell'Edilizia Abitativa;</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le condizioni per l'elaborazione di dichiarazioni ambientali collettive relative ai prodotti o alle attrezzature per la costruzione o la decorazione da parte di più dichiaranti;</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lastRenderedPageBreak/>
        <w:t>- le condizioni per redigere dichiarazioni cedibili relative a prodotti o attrezzature per la costruzione o la decorazione.</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Riferimenti:</w:t>
      </w:r>
      <w:r>
        <w:rPr>
          <w:rFonts w:ascii="Times New Roman" w:hAnsi="Times New Roman"/>
          <w:i/>
          <w:sz w:val="24"/>
        </w:rPr>
        <w:t xml:space="preserve"> i testi creati o modificati dalla presente Ordinanza possono essere consultati, nella loro formulazione risultante da questa modifica, sul sito web di Légifrance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Il Ministro della Transizione Ecologica, il Ministro associato responsabile dell'edilizia abitativa, collegato al Ministro della Transizione Ecologica,</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vista la Direttiva (UE) 2015/1535 del Parlamento europeo e del Consiglio, del 9 settembre 2015, che prevede una procedura d'informazione nel settore dei regolamenti tecnici e delle regole relative ai servizi della Società dell'informazione e, in particolare, la notifica n. </w:t>
      </w:r>
      <w:r>
        <w:rPr>
          <w:rFonts w:ascii="Times New Roman" w:hAnsi="Times New Roman"/>
          <w:sz w:val="24"/>
          <w:highlight w:val="yellow"/>
          <w:shd w:val="clear" w:color="auto" w:fill="FFFFFF"/>
        </w:rPr>
        <w:t>anno/XXX/F</w:t>
      </w:r>
      <w:r>
        <w:rPr>
          <w:rFonts w:ascii="Times New Roman" w:hAnsi="Times New Roman"/>
          <w:sz w:val="24"/>
          <w:shd w:val="clear" w:color="auto" w:fill="FFFFFF"/>
        </w:rPr>
        <w:t>;</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visto il Codice dei Consumatori, in particolare gli articoli L. 412-1 e R. 412-49,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visto il Codice dell’Edilizia e dell’Edilizia Abitativa, in particolare gli articoli L. 111-9-2 e R. 111-20-24, a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viste le osservazioni formulate nel corso della consultazione pubblica svoltasi dal </w:t>
      </w:r>
      <w:r>
        <w:rPr>
          <w:rFonts w:ascii="Times New Roman" w:hAnsi="Times New Roman"/>
          <w:sz w:val="24"/>
          <w:highlight w:val="yellow"/>
        </w:rPr>
        <w:t xml:space="preserve">[...] </w:t>
      </w:r>
      <w:r>
        <w:rPr>
          <w:rFonts w:ascii="Times New Roman" w:hAnsi="Times New Roman"/>
          <w:sz w:val="24"/>
        </w:rPr>
        <w:t xml:space="preserve">al </w:t>
      </w:r>
      <w:r>
        <w:rPr>
          <w:rFonts w:ascii="Times New Roman" w:hAnsi="Times New Roman"/>
          <w:sz w:val="24"/>
          <w:highlight w:val="yellow"/>
        </w:rPr>
        <w:t>[...]</w:t>
      </w:r>
      <w:r>
        <w:rPr>
          <w:rFonts w:ascii="Times New Roman" w:hAnsi="Times New Roman"/>
          <w:sz w:val="24"/>
        </w:rPr>
        <w:t>, ai sensi dell'articolo L. 120-1 del Codice Ambientale;</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visto il parere del Consiglio superiore per l'edilizia e l'efficienza energetica del 13 aprile 2021;</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Con la presente ordina quanto segue:</w:t>
      </w:r>
    </w:p>
    <w:p w14:paraId="36B5C6AB" w14:textId="5A8F9966" w:rsidR="008F5FB3" w:rsidRPr="005D260E" w:rsidRDefault="008F5FB3" w:rsidP="007F6637">
      <w:pPr>
        <w:pStyle w:val="Titre2FDES"/>
      </w:pPr>
      <w:r>
        <w:t>Articolo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(Definizioni)</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Ai fini della presente Ordinanza si applicano le seguenti definizioni: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"Indicatore": valore quantificabile in relazione agli aspetti ambientali; </w:t>
      </w:r>
    </w:p>
    <w:p w14:paraId="7CB46E4F" w14:textId="4E4C0FD1" w:rsidR="008F5FB3" w:rsidRPr="005D260E" w:rsidRDefault="00CF19F7" w:rsidP="00CD009F">
      <w:pPr>
        <w:pStyle w:val="NormalWeb"/>
        <w:jc w:val="both"/>
      </w:pPr>
      <w:r>
        <w:t xml:space="preserve">il termine "registrante" è inteso come "responsabile all'immissione sul mercato" di cui all'articolo R. 412-49 del Codice dei Consumatori o come "registrante" nell'articolo R. 111-20-24 del Codice dell’Edilizia e dell’Edilizia Abitativa;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"Unità funzionale": prestazione quantificata di un sistema di prodotti destinati ad essere utilizzati come unità di riferimento in un'analisi del ciclo di vita;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"Unità dichiarata": quantità di attrezzatura, se presente, di un prodotto da costruzione o decorazione, destinata ad essere utilizzata come unità di riferimento in un'analisi del ciclo di vita in aggiunta all'unità funzionale;</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 xml:space="preserve">"Vita di riferimento del prodotto o dell'attrezzatura per la costruzione o la decorazione": durata utile che ci si può aspettare per un prodotto o un’attrezzatura per la costruzione o la decorazione </w:t>
      </w:r>
      <w:r>
        <w:rPr>
          <w:rFonts w:ascii="Times New Roman" w:hAnsi="Times New Roman"/>
          <w:sz w:val="24"/>
        </w:rPr>
        <w:lastRenderedPageBreak/>
        <w:t>secondo una serie di condizioni d’uso di riferimento e che può essere usata come base per stimare la vita in altre condizioni d'uso;</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t>"Prodotto complementare": una menzione generale per qualsiasi prodotto che deve necessariamente essere associato alla costruzione, alla decorazione o all’attrezzatura primaria durante ciascuna delle fasi di realizzazione e la vita pratica;</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"Dichiarazione assegnabile": dichiarazione ambientale con regole per adeguare le informazioni ivi menzionate in modo da corrispondere a un determinato prodotto e a uno strumento informatico per l'applicazione di tali regole;</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negli articoli seguenti, il termine "prodotto" è inteso come "prodotti di costruzione", "prodotti di decorazione" e "attrezzature elettriche, elettroniche e di progettazione ambientale" come definito nell'articolo R. 111-20-24 del Codice dell’Edilizia e dell’Edilizia Abitativa.</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Articolo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(Campo di applicazione)</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Le disposizioni della presente Ordinanza si applicano ai prodotti di cui all'articolo R. 412-50 del Codice dei Consumatori e all'articolo R. 111-20-24 del Codice dell’Edilizia e dell’Edilizia Abitativa.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Articolo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(Contenuto della dichiarazione ambientale)</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La dichiarazione ambientale di cui all'articolo R. 412-51 del Codice dei Consumatori e all'articolo R. 111-20-25 del Codice dell’Edilizia e dell’Edilizia Abitativa contiene le seguenti informazioni: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I valori, per la fase di produzione, del processo di costruzione, di utilizzo, di fine vita e la somma di queste fasi, dei seguenti indicatori: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descrivono gli impatti ambientali: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riscaldamento globale (emissioni di gas a effetto serra);</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riduzione dello strato di ozono;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acidificazione del suolo e dell'acqua;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eutrofizzazione;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formazione fotochimica di ozono;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esaurimento delle risorse abiotiche – elementi;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esaurimento delle risorse abiotiche – combustibili fossili;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 xml:space="preserve">descrizione dell'uso delle risorse: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utilizzo di energie primarie rinnovabili, escluse le risorse energetiche primarie rinnovabili utilizzate come materie prime;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utilizzo di fonti energetiche primarie rinnovabili utilizzate come materie prime;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utilizzo totale delle risorse energetiche primarie rinnovabili (energia primaria e risorse di energia primaria utilizzate come materie prime);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utilizzo di energia primaria non rinnovabile, escluse le risorse di energia primaria non rinnovabili utilizzate come materie prime;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utilizzo di risorse di energia primaria non rinnovabili utilizzate come materie prime;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utilizzo di energia primaria non rinnovabile (energia primaria e risorse di energia primaria utilizzate come materie prime);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uso di materiale secondario;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uso di combustibili secondari rinnovabili;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uso di combustibili secondari non rinnovabili;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uso netto di acqua dolce.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Descrizione delle categorie di rifiuti: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rifiuti pericolosi smaltiti;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rifiuti non pericolosi smaltiti;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rifiuti radioattivi smaltiti;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descrizione dei flussi in uscita: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componenti destinati al riutilizzo;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materiali destinati al riciclaggio;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materiali destinati al recupero energetico;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energia fornita all'aperto.</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Dal 1 gennaio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l'uso di materiali provenienti da risorse rinnovabili incorporati nel prodotto, espresso mediante un indicatore della quantità di carbonio proveniente dall'atmosfera immagazzinata nel prodotto da costruzione o decorazione;</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lastRenderedPageBreak/>
        <w:t xml:space="preserve">i valori degli indicatori elencati in 1. per ciascuna delle sottofasi della fase di utilizzo, vale a dire le seguenti sottofasi: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uso o applicazione, esclusi i requisiti energetici e idrici della fase operativa dell'edificio;</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manutenzione;</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riparazione;</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sostituzione;</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riabilitazione;</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uso di energia durante l'uso;</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uso d'acqua durante l'uso.</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Nel caso di una dichiarazione ambientale interessata dai requisiti dell'articolo 9 della presente Ordinanza, i campi di variazione (valori massimi e minimi) degli indicatori di controllo definiti all'articolo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Per le dichiarazioni ambientali verificate a partire dal 1 ottobre 2022:</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L'uso di materiali provenienti da risorse rinnovabili incorporati nel prodotto, espresso mediante un indicatore della quantità di carbonio proveniente dall'atmosfera immagazzinata nell'attrezzatura;</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 valori degli indicatori sulle prestazioni e sulle spese relative alla valutazione di fine vita.</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Dal mercoledì 1 gennaio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 valori degli indicatori sulle prestazioni e sulle spese relative alla valutazione di fine vita.</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L'unità funzionale o l'unità dichiarata del prodotto;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La durata di riferimento del prodotto;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Descrizione dei prodotti che costituiscono l'unità funzionale o l'unità dichiarata (quantità del prodotto principale, quantità di imballaggio, quantità di prodotti complementari relativi all'attuazione o alla vita pratica);</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L'ambito di applicazione del prodotto;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Le seguenti informazioni sul prodotto oggetto della dichiarazione ambientale: gruppo, descrizione/i o denominazione/i commerciale/i, nome/i o designazione del registrante o dei registranti;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La data della dichiarazione ambientale;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L’attestato di verifica e i recapiti del revisore che ha effettuato la verifica indipendente da parte di terzi di cui all'articolo R. 412-55 del Codice dei Consumatori e all'articolo R. 111-20-27 del Codice dell’Edilizia e dell’Edilizia Abitativa;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I dettagli del registrante;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L'indirizzo del sito web in cui queste informazioni sono disponibili gratuitamente.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Articolo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lastRenderedPageBreak/>
        <w:t>(Fornitura di prove di supporto da parte del registrante)</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Il registrante tiene a disposizione del programma di dichiarazione ambientale e delle autorità amministrative responsabili dei controlli o dei loro rappresentanti, tutti gli elementi o i recapiti delle persone fisiche o giuridiche che li detengono, al fine di giustificare le informazioni contenute nella dichiarazione ambientale, in particolare: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l'origine delle materie prime, dei materiali e dei componenti del prodotto;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identificazione degli input non inclusi nell'inventario del ciclo di vita conformemente alla regola del cut-off;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la massa totale degli input non inclusi nell'inventario del ciclo di vita a causa della regola di cut-off;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i risultati dei calcoli d'inventario;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prove a sostegno della durata di riferimento del prodotto;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nel caso in cui si debbano utilizzare dati generici provenienti da banche dati pubbliche o private, la documentazione relativa alla rappresentatività tecnologica, geografica e temporale dei dati generici utilizzati, i riferimenti delle banche dati da cui provengono e i riferimenti dei moduli di dati utilizzati;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gli scenari su cui si basa l'inventario del ciclo di vita;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il sito o i siti di produzione oggetto della dichiarazione ambientale;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la produzione di ciascun sito espressa con l'unità di quantità definita nell'unità funzionale;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se si utilizza un metodo di campionamento, la prova che il campione utilizzato è rappresentativo, in particolare da un punto di vista geografico, temporale e tecnologico, della produzione del prodotto;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gli elementi costitutivi del quadro di validità delle dichiarazioni ambientali interessate dai requisiti dell'articolo 9;</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Gli elementi costitutivi della dichiarazione assegnabile di cui all'articolo 11.</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Articolo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(Unità)</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 formati delle unità funzionali per ciascuna categoria di prodotti da costruzione o da decorazione sono definiti nell'allegato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I formati delle unità funzionali o delle unità dichiarate per le attrezzature sono definiti </w:t>
      </w:r>
      <w:r>
        <w:rPr>
          <w:rFonts w:ascii="Times New Roman" w:hAnsi="Times New Roman"/>
          <w:sz w:val="24"/>
        </w:rPr>
        <w:lastRenderedPageBreak/>
        <w:t>nell'allegato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Articolo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(Metodi di valutazione e di calcolo)</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 metodi di valutazione e di calcolo delle informazioni di cui all'articolo 3, in particolare gli indicatori, sono soggetti a tutte le condizioni seguenti:</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non comportano l’omissione di processi che rappresentino complessivamente più del 5 % del valore di ciascuno degli elementi di informazione indicati;</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non danno luogo alla concessione di un prodotto soggetto alla dichiarazione ambientale dei benefici attribuiti ad altri prodotti nel calcolo degli elementi di informazione di cui sopra, ad eccezione degli indicatori relativi agli utili e alle spese associati alla valutazione di fine vita;</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sono conformi alla norma NF EN 15804 + A1: 2014-04 o alla norma </w:t>
      </w:r>
      <w:r>
        <w:rPr>
          <w:rFonts w:ascii="Times New Roman" w:hAnsi="Times New Roman"/>
          <w:sz w:val="24"/>
          <w:shd w:val="clear" w:color="auto" w:fill="FFFFFF"/>
        </w:rPr>
        <w:t>XP C08-100-1: 2016-12 o alla norma EN 50693: 2019-08, o a qualsiasi norma equivalente;</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essi rispettano il metodo di calcolo della valutazione dei profitti e delle spese relativi alla valutazione di fine vita, come definito nell'allegato III.</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Inoltre, per le dichiarazioni ambientali verificate a decorrere dal 1 ottobre 2022, se la dichiarazione ambientale riguarda diversi modi di posa del prodotto che ne è oggetto, i metodi di valutazione e di calcolo delle informazioni di cui sopra sono conformi alle seguenti regole:</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I seguenti indicatori di controllo sono valutati per ciascuna di queste modalità di installazione: </w:t>
      </w:r>
      <w:r>
        <w:rPr>
          <w:rFonts w:ascii="Times New Roman" w:hAnsi="Times New Roman"/>
          <w:snapToGrid w:val="0"/>
          <w:sz w:val="24"/>
        </w:rPr>
        <w:t>riscaldamento climatico totale, utilizzo totale di energia primaria non rinnovabile, rifiuti non pericolosi smaltiti;</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per ciascuno di questi indicatori di controllo, il valore massimo ottenuto per la somma delle fasi di cui all'articolo 3 è confrontato con la media dei valori ottenuti (ossia l'impatto medio delle diverse modalità di installazione). Se il valore massimo di uno di questi indicatori è superiore a 1,1 volte il valore medio, è quindi il valore massimo (cioè l'impatto massimo tra i diversi modi di posa) che deve essere segnalato per ciascuno degli indicatori elencati nella dichiarazione ambientale. In caso contrario, il valore medio può essere riportato per ciascun indicatore.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Articolo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(Archiviazione in banche dati)</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Il registrante fornisce la dichiarazione ambientale verificata nella o nelle banche dati indicate nell'accordo firmato dal ministro responsabile della costruzione e dalla persona giuridica che rappresenta il programma di dichiarazione ambientale.</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L'indirizzo della banca dati o gli indirizzi delle banche dati sono disponibili sul sito web del ministro responsabile della costruzione.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Articolo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(Dichiarazione ambientale aggiornata)</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La dichiarazione ambientale è aggiornata con ogni modifica significativa del prodotto, qualora ciò sia necessario per tener conto degli sviluppi tecnologici o di altre circostanze che possono </w:t>
      </w:r>
      <w:r>
        <w:rPr>
          <w:rFonts w:ascii="Times New Roman" w:hAnsi="Times New Roman"/>
          <w:sz w:val="24"/>
        </w:rPr>
        <w:lastRenderedPageBreak/>
        <w:t>influire sul contenuto o sull'accuratezza della dichiarazione ambientale e almeno ogni cinque anni.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Articolo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(Dati ambientali collettivi)</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La dichiarazione ambientale può essere basata su una dichiarazione ambientale collettiva di prodotti simili provenienti da più registranti.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La presente dichiarazione ambientale collettiva soddisfa le seguenti condizioni: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riguardare un "prodotto standard";</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 essere stabilito alle condizioni di cui agli articoli precedenti;</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 essere garantita l'omogeneità dei parametri che influenzano in modo significativo il valore di ciascun indicatore; a tal fine, la dichiarazione ambientale collettiva deve contenere un quadro di validità, come definito nell'allegato IV, che raccoglie le seguenti informazioni:</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l'identificazione dei parametri influenti, specificando se sono completati con dati generici o specifici;</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i periodi di validità di questi parametri.</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Il registrante che ha presentato la dichiarazione ambientale collettiva è responsabile delle informazioni in essa contenute, compreso un elenco dei prodotti interessati e le condizioni alle quali i prodotti possono esservi collegati, se necessario.</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I registranti dei prodotti oggetto della presente dichiarazione ambientale collettiva devono soddisfare le seguenti condizioni: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sono responsabili delle informazioni che trasmettono al suddetto registrante;</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devono rispettare il quadro di validità della dichiarazione ambientale collettiva;</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devono fornire un certificato che attesti la conformità al quadro di validità della dichiarazione ambientale collettiva;</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devono tenere a disposizione delle autorità di controllo le prove giustificative della conformità con il quadro di validità.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La verifica da parte di terzi indipendenti di cui all'articolo R. 412-55 del Codice dei Consumatori di cui all'articolo R. 111-20-27 del Codice dell’Edilizia e dell’Edilizia Abitativa per i prodotti allegati alla dichiarazione ambientale collettiva consiste in una verifica da parte di terzi indipendenti della dichiarazione ambientale collettiva.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Gli indicatori di controllo da prendere in considerazione devono essere almeno:</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lastRenderedPageBreak/>
        <w:t>riscaldamento globale totale;</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uso totale dell'energia primaria non rinnovabile;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rifiuti non pericolosi smaltiti.</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Le dichiarazioni ambientali collettive devono soddisfare i seguenti requisiti:</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t>se il valore massimo di ciascun indicatore di controllo, ottenuto per la somma delle fasi di cui all'articolo 3 e mediante il calcolo della variabilità descritta nell'allegato IV, è inferiore o uguale al valore medio dell'indicatore moltiplicato per un valore limite, allora i valori degli indicatori possono essere calcolati con i valori medi dei parametri sensibili. In caso contrario, la soglia superiore deve essere dichiarata (valore massimo che l'indicatore può raggiungere).</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Per le dichiarazioni ambientali collettive rilasciate a decorrere dal 1 ottobre 2022, il valore limite di cui sopra è "1.4" e il calcolo della variabilità di cui sopra copre almeno i parametri sensibili relativi a:</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la composizione del prodotto: quantità e tipo di materiali;</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i quantitativi di imballaggi;</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processi di fabbricazione diversi dall'estrazione e dalla trasformazione delle materie prime (stadi A2 e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per le dichiarazioni ambientali collettive effettuate a decorrere dal 1 ottobre 2022, il valore limite di cui sopra è "1,3" e il calcolo della variabilità di cui sopra deve coprire almeno i parametri sensibili relativi a:</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la composizione del prodotto: quantità e tipo di materiali;</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i quantitativi di imballaggi;</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processi di fabbricazione diversi dall'estrazione e dalla trasformazione delle materie prime (stadi A2 e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trasporto al sito (fase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Articolo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(Gamma di dati ambientali)</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La dichiarazione ambientale può essere basata su prodotti simili provenienti dallo stesso registrante. Tali dichiarazioni ambientali devono soddisfare i requisiti per le dichiarazioni ambientali collettive di cui all'articolo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Articolo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(Dati ambientali assegnabili)</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La dichiarazione ambientale può essere basata su una dichiarazione assegnabile.</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Questa dichiarazione assegnabile soddisfa le seguenti condizioni: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riguardare un "prodotto standard";</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 essere stabilito alle condizioni di cui agli articoli precedenti;</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 contenere una serie di regole di calcolo per adattare, sulla base di parametri variabili, le informazioni ivi menzionate per corrispondere a un prodotto simile al prodotto standard, ma le cui dimensioni, la composizione o alcuni processi del ciclo di vita sono diversi;</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il valore dei parametri modificabili di cui sopra deve poter essere verificabile al momento della consegna di un edificio;</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 contenere un quadro di validità che definisce i valori che possono essere assunti dai parametri modificabili di cui sopra e le caratteristiche che il prodotto analogo di cui sopra deve soddisfare.</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Ogni dichiarazione assegnabile verificata a decorrere dal 1 ottobre 2022 è accompagnata da uno strumento di calcolo informatico per l'applicazione delle summenzionate norme di calcolo e per l'esportazione delle informazioni di cui all'articolo 3, unitamente all'elenco dei suddetti parametri modificabili e dei loro valori. Tutte queste informazioni vengono esportate come file elettronici secondo il formato definito sul sito web del Ministero incaricato della costruzione.</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La verifica da parte di terzi indipendenti di cui all'articolo R. 412-55 del Codice dei Consumatori di cui all'articolo R. 111-20-27 del Codice dell’Edilizia e dell’Edilizia Abitativa copre anche, nel caso di una dichiarazione assegnabile, le regole di calcolo di cui al presente articolo e lo strumento di calcolo informatico di cui al paragrafo precedente.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Articolo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(Certificazione)</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La certificazione delle caratteristiche ambientali di cui all'articolo R. 412-53 del Codice dei Consumatori si presume conforme se tiene conto di tutti i requisiti della norma NF EN ISO 14024: 2018-03. La certificazione di prodotti o attrezzature per la costruzione o la decorazione è rilasciata da un organismo accreditato a tal fine dal Comitato di accreditamento francese (COFRAC) o da un altro organismo di accreditamento firmatario di accordi multilaterali di mutuo riconoscimento.</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La presente sezione non si applica alle dichiarazioni ambientali utilizzate nel calcolo delle prestazioni ambientali degli edifici.</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Articolo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L'Ordinanza del 23 dicembre 2013 relativa alla dichiarazione ambientale dei prodotti per la costruzione e la decorazione da utilizzare nei lavori di costruzione è abrogata.</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lastRenderedPageBreak/>
        <w:t>L'Ordinanza del 31 agosto 2015 sulla dichiarazione ambientale delle apparecchiature elettriche, elettroniche e di progettazione ambientale da utilizzare nelle opere edilizie è abrogata.</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Articolo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Il Direttore dell'edilizia abitativa, lo sviluppo urbano e i paesaggi è responsabile dell'esecuzione della presente Ordinanza che sarà pubblicata nella </w:t>
      </w:r>
      <w:r>
        <w:rPr>
          <w:rFonts w:ascii="Times New Roman" w:hAnsi="Times New Roman"/>
          <w:i/>
          <w:iCs/>
          <w:sz w:val="24"/>
        </w:rPr>
        <w:t>Gazzetta ufficiale</w:t>
      </w:r>
      <w:r>
        <w:rPr>
          <w:rFonts w:ascii="Times New Roman" w:hAnsi="Times New Roman"/>
          <w:sz w:val="24"/>
        </w:rPr>
        <w:t xml:space="preserve"> della Repubblica Francese.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 Ministro associato dell'edilizia abitativa, collegato al Ministro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per la Transizione Ecologica</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per e a nome del Ministro: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Direttore dell'edilizia abitativa, lo sviluppo urbano e i paesaggi,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Il Ministro della Transizione Ecologica,</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per e a nome del Ministro:</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Direttore dell'edilizia abitativa, lo sviluppo urbano e i paesaggi,</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7A4D5974" w14:textId="77777777" w:rsidR="004F6CE3" w:rsidRDefault="004F6CE3">
      <w:pPr>
        <w:rPr>
          <w:rFonts w:ascii="Times New Roman" w:hAnsi="Times New Roman"/>
          <w:b/>
          <w:sz w:val="24"/>
        </w:rPr>
      </w:pPr>
      <w:r>
        <w:rPr>
          <w:rFonts w:ascii="Times New Roman" w:hAnsi="Times New Roman"/>
          <w:b/>
          <w:sz w:val="24"/>
        </w:rPr>
        <w:br w:type="page"/>
      </w:r>
    </w:p>
    <w:p w14:paraId="4A1A9D13" w14:textId="2CC0C4DF"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Allegati</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Allegato I</w:t>
      </w:r>
    </w:p>
    <w:p w14:paraId="6761F1F1" w14:textId="57464D42" w:rsidR="001308A1" w:rsidRPr="005D260E" w:rsidRDefault="00C51AA3" w:rsidP="00F76954">
      <w:pPr>
        <w:pStyle w:val="Titre2FDES"/>
        <w:jc w:val="left"/>
      </w:pPr>
      <w:r>
        <w:t>Formati di unità funzionali per ogni categoria di prodotti da costruzione o decorazione.</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FUNZIONE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CATEGORIA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FORMATO UNITÀ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funzionale in unità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del sistema internazionale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Strade, reti varie (comprese le reti interne)</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Cisterne e serbatoi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Un’unità di un determinato volume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Reti fognarie e igienico-sanitarie (acqua piovana e acque reflue)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medio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Reti di approvvigionamento idrico (interni ed esterni)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medio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Reti di approvvigionamento di gas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medio</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Sistema di drenaggio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medio</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Strade e superfici esterne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superficie per un determinato uso (terrazzo esterno, strade a basso traffico, parcheggio, ecc.)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Recinzione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di recinzione</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Guaine/condotti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Struttura, muratura, opera principale, telaio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Blocchi di canna fumaria e canne fumarie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di sezione interna di un determinato condotto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Massetti/massetti galleggianti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per un dato spessore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Telai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superficie coperta o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Bretelle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controventatura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Lastre e lastre prefabbricate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Elementi portanti orizzontali (travi, travette, isolante, lastre alveolari, lastre cave, architravi)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di elemento portante (specificare la portata e la sezione) o m² (per l'elemento di rivestimento)</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Elementi portanti verticali (pali/colonne/pilastri)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dell'elemento (specificare la sezione)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Scale (interne ed esterne)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Un’unità per una data altezza di elevazione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Fondamenta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Piccoli componenti in muratura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(specificare la resistenza termica)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Pavimenti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di pavimentazione (specificare il carico supportato)</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Pareti (elementi architettonici)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(specificare lo spessore)</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Facciate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Rivestimenti (raddrizzatura, pannellatura, rivestitura)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facciata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Facciate continue e lucernari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facciata (specificare la percentuale di superficie opaca)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Superficie esterna di facciate </w:t>
            </w:r>
            <w:r>
              <w:rPr>
                <w:rFonts w:ascii="Times New Roman" w:hAnsi="Times New Roman"/>
                <w:sz w:val="24"/>
              </w:rPr>
              <w:lastRenderedPageBreak/>
              <w:t xml:space="preserve">(compresi i sistemi di isolamento termico esterno composito)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di facciata (specificare la resistenza </w:t>
            </w:r>
            <w:r>
              <w:rPr>
                <w:rFonts w:ascii="Times New Roman" w:hAnsi="Times New Roman"/>
                <w:sz w:val="24"/>
              </w:rPr>
              <w:lastRenderedPageBreak/>
              <w:t>termica se pertinente)</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Coperture/sigillatura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Grandi elementi per coperture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copertura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Piccoli elementi per coperture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copertura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Prodotti impermeabilizzanti e sigillanti per muri interrati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copertura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Prodotti per la sigillatura di coperture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copertura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Elementi per coperture verdi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copertura (specificare il tipo di vegetazione supportata e le caratteristiche termiche se rilevanti)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Carpenteria interna ed esterna, chiusure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Finestre, porte finestre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falegnameria (superficie aperta prima del montaggio) (specificare il valore U, il fattore solare, il coefficiente di vento aria acqua e la trasmissione della luce)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Parapetti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di parapetti</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Porte (interne, esterne, a portale, ecc.) </w:t>
            </w:r>
          </w:p>
          <w:p w14:paraId="49074EDD" w14:textId="1FC62C2F" w:rsidR="00F301F5" w:rsidRPr="00EC789A" w:rsidRDefault="00F301F5" w:rsidP="00F301F5">
            <w:pPr>
              <w:widowControl w:val="0"/>
              <w:autoSpaceDE w:val="0"/>
              <w:autoSpaceDN w:val="0"/>
              <w:adjustRightInd w:val="0"/>
              <w:spacing w:after="0" w:line="240" w:lineRule="auto"/>
              <w:rPr>
                <w:rFonts w:ascii="Times New Roman" w:hAnsi="Times New Roman" w:cs="Times New Roman"/>
                <w:sz w:val="24"/>
                <w:szCs w:val="24"/>
                <w:lang w:val="fr-FR"/>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(superficie aperta prima dell'installazione)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Persiane, tende imposte, tapparelle, frangisole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superficie opaca/protetta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Lucernari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di falegnameria (superficie aperta prima del montaggio) (specificare il valore U, il fattore solare, il coefficiente di vento aria acqua e la trasmissione della luce)</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Isolamento</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Rivestimenti gallonati, pannelli del tetto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isolamento (specificare la resistenza termica)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Sistemi di rivestimento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isolamento (specificare la resistenza termica)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Isolamento supplementare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di isolamento (specificare la resistenza termica)</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Lastre cave, pannelli isolanti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isolamento (specificare la resistenza termica)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Isolanti termici e acustici da parete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isolamento (specificare la resistenza al calore e al suono)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Isolanti termici e acustici per soffitte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isolamento (specificare la resistenza al calore e al suono)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Isolamento termico e acustico, alla rinfusa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isolamento (specificare la resistenza al calore e al suono)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Isolanti termici e acustici per la copertura di terrazze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isolamento (specificare la resistenza al calore e al suono)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Isolamento termico e acustico del sottopavimento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di isolamento (specificare la resistenza al calore e al suono)</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Isolamento distribuito non </w:t>
            </w:r>
            <w:r>
              <w:rPr>
                <w:rFonts w:ascii="Times New Roman" w:hAnsi="Times New Roman"/>
                <w:sz w:val="24"/>
              </w:rPr>
              <w:lastRenderedPageBreak/>
              <w:t>portante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di isolamento (specificare, se del </w:t>
            </w:r>
            <w:r>
              <w:rPr>
                <w:rFonts w:ascii="Times New Roman" w:hAnsi="Times New Roman"/>
                <w:sz w:val="24"/>
              </w:rPr>
              <w:lastRenderedPageBreak/>
              <w:t>caso, la resistenza al calore e al suono)</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Isolanti termici e acustici per pareti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di isolamento (specificare la resistenza al calore e al suono)</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Isolanti acustici per pareti divisorie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di isolamento (specificare la resistenza al calore e al suono)</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Isolamento termico e acustico sotto lastre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di isolamento (specificare la resistenza al calore e al suono)</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Isolamento sotto pavimentazione e solette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di isolamento (specificare la resistenza al calore e al suono)</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Tramezzi, controsoffitti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Partizionamento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partizionamento (specificare una prestazione acustica se pertinente)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Controsoffitti, soffitti tesi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controsoffitto sospeso (specificare le prestazioni acustiche)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Pavimenti e rivestimenti murali, vernici, prodotti per la decorazione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Pitture, mordenti e vernici, intonaci per pittura (senza saturanti)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superficie coperta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Battiscopa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di battiscopa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Rivestimenti per pareti e soffitti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rivestimento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Rivestimenti per pavimenti duri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rivestimento (specificare la classe di uso UPEC o la classificazione di resistenza all'usura e alla perforazione, il comportamento dell'acqua e la resistenza agli agenti chimici, o equivalente)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Rivestimenti morbidi per pavimenti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rivestimento (specificare la classe di uso UPEC o la classificazione di resistenza all'usura e alla perforazione, il comportamento dell'acqua e la resistenza agli agenti chimici, o equivalente)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Prodotti acustici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rivestimento (specificare la classe di uso UPEC o la classificazione di resistenza all'usura e alla perforazione, il comportamento dell'acqua e la resistenza agli agenti chimici, o equivalente)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Saturatori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superficie coperta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Prodotti di preparazione e implementazione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Adesivi per falegnameria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(specificare la densità)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Riparazioni e montaggio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(specificare la densità)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Suolo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 adesivo al suolo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Malta per muratura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(specificare la densità)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Piastrellatura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piastrellato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Decorazione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(specificare la densità)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Mastici e schiume di poliuretano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(specificare la massa lineare)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Chimica delle costruzioni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(specificare la densità)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Prodotti per calcestruzzo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(specificare la densità)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Resine sintetiche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(specificare la densità)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Varie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Attrezzature sanitarie e da bagno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Rubinetti e colonne doccia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Unità (specificare il tipo)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Vasca da bagno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Unità (specificare il volume di capacità in litri e forma)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Piatto doccia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Unità (specificare le dimensioni: larghezza e lunghezza)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Lavandino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Unità (specificare le dimensioni: larghezza, lunghezza e numero di vasche)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Lavello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(specificare le dimensioni: larghezza, lunghezza e numero di vasche)</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Toilette – Tazza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Unità (specificare le dimensioni: larghezza e lunghezza)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Varie</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Altro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Varie</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Allegato II</w:t>
      </w:r>
    </w:p>
    <w:p w14:paraId="1E7210AD" w14:textId="4609938E" w:rsidR="001308A1" w:rsidRPr="005D260E" w:rsidRDefault="00C51AA3" w:rsidP="007F6637">
      <w:pPr>
        <w:pStyle w:val="Titre2FDES"/>
      </w:pPr>
      <w:r>
        <w:t>Formati di unità funzionali o unità dichiarate per gli impianti.</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Funzione</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Categoria</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 funzionale</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 dichiarata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Gruppo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Soluzione</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Impianto di installazione delle reti elettriche e di comunicazione</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Raccordi a parete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Sistemi automatizzati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Sensori di movimento</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Termostati</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Dimmer</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Scatole per attrezzature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Per cartongesso</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Per la muratura</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Controlli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Interruttori</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Pulsanti</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Altri: ventilazione canalizzata, avvolgibile, ecc.</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Piastre e supporti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Sottogruppo dell’attrezzatura da parete</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Prese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Prese a bassa tensione</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Prese ad alta tensione</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Prese diverse (TV, altoparlanti, IT, ecc.)</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di segnalazione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Uscita audio: altoparlanti</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Uscita audio: campanelli e suonerie</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Spie luminose</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Accessori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Telecomandi, persiane, morsetti</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Equipaggiamento modulare per recinzioni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Equipaggiamento di protezione generale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Connessioni</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Salvavita</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Interruttori automatici di collegamento di rete</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Interruttori/isolatori</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Inverter sorgente</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Relè differenziali</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Protezione contro i fulmini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Parafulmini</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Parafulmini per telecomunicazioni</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Protezione della linea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Salvavita</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Interruttori divisionali</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Interruttori del motore</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Fusibili</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Protezione dalla dispersione a terra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Blocchi differenziali</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Interruttori automatici RCD</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Interruttori RCD</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Gestione dell'illuminazione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Interruttori fotocellule</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Gestione solare</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Dimmer</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Gestione dell'energia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Distributori di carico</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Gestione dell'energia</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Gestione di persiane e tapparelle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Gestione di persiane e tapparelle</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Gestione del tempo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Intersecazione dei programmi</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Timer</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Relè timer</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Gestione termica (riscaldamento, ventilazione)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Termostati</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Misurazione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Contatori di energia</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Sensori pioggia, solari, ecc.</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Voltmetri, amperometri</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Dispositivi di controllo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Pulsanti</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Contattori</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Interruttori, inverter, commutatori, ecc.</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Interruttori a impulsi remoti</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Dispositivi di segnalazione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Campanelli e suonerie</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Spie luminose</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Sistemi domotici e di comunicazione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Reti multimediali e VDI (Voice Data Image)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Apparecchiature modulari per domotica</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Apparecchiature per terminali domotici</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Distributori di segnalazione/rilevamento</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Punti di accesso Wi-Fi</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Recinzioni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Armadi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Armadi in poliestere</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Armadi in metallo</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Connessioni</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Attrezzatura per armadi</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Scatole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Coperture terminali</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Scatole di montaggio a filo</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Scatole a tenuta stagna</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Scatole sporgenti</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Scatole VDI</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Cassette di derivazione</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Altro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Banconi, gestione del calore degli armadi</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Soluzioni di instradamento dei cavi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Metro</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Sistemi di instradamento dei cavi e dei portacavi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Percorsi dei cavi</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Passacavi piastrellati</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Portacavi</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Sistemi di canalizzazione e condotti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Condotti</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Condotti profilati</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Tubi e condotti rigidi</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Condotti di alimentazione</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Condotti per pavimenti</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Condotti di installazione</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Modanature e battiscopa</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Altri prodotti di punta per la gestione dei cavi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Alloggiamento per installazione tecnica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Condotti per pavimenti</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Scatole divisorie e colonne di installazione verticali</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Canalina portacavi per armadi</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Altro e accessori</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Altro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Collegamento/giunzione (esterno armadio)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Blocchi di giunzione</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Connettori</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Prese industriali</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Alimentatori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Trasformatori</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Fonti centrali</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Attrezzature elettriche mobili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Luce di ispezione</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Blocchi adattatori multipresa, prese di telefoniche multiple, altro</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Motore di apertura flap</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Motorizzazione di porte, cancelli, ecc.</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Motorizzazione di tapparelle</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Fili e cavi</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Reti elettriche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Cavi di media tensione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Cavi a bassa tensione &lt;1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Accessori rete elettrica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Energia elettrica e trasferimento dati all'interno dell'edificio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Fili e cavi energia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Cavi di comunicazione in rame e fibra ottica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Accessori all'interno dell'edificio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Altri fili e cavi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Non isolati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Cavi riscaldamento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Sicurezza delle persone e controllo degli accessi</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Rilevamento e controllo dell'accesso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di rilevamento degli intrusi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Apparecchiature per il rilevamento degli intrusi</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Apparecchiature di controllo (tastiera, telecomando, ecc.)</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Console di allarme</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Apparecchiature di </w:t>
            </w:r>
            <w:r>
              <w:rPr>
                <w:rFonts w:ascii="Times New Roman" w:hAnsi="Times New Roman"/>
                <w:sz w:val="24"/>
              </w:rPr>
              <w:lastRenderedPageBreak/>
              <w:t>segnalazione (sirena, trasmettitore, ecc.)</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di controllo accessi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Ingresso audio per videocitofonia</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Ingresso video per videocitofonia</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Videosorveglianza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di videosorveglianza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Apparecchiature per l'acquisizione di immagini (telecamere)</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Apparecchiature per la gestione delle immagini</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Interconnessioni</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Sicurezza dell'edificio</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di illuminazione di sicurezza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Circondario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autonome per illuminazione di emergenza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Corpo illuminante per sorgente centrale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fari</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Evacuazione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autonome per illuminazione di emergenza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indipendenti di illuminazione residenziale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a doppia funzione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Corpo illuminante per sorgente centrale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(dispositivo di illuminazione)</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(dispositivo di identificazione avanzata)</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Illuminazione di emergenza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indipendenti di illuminazione residenziale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a doppia funzione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d'intervento autonome portatili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Alimentazione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Sorgente centrale per il montaggio della luce di emergenza</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Sicurezza antincendio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Sicurezza antincendio e allarme tecnico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Rilevatori/allarmi di fumo indipendenti</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Allarmi tecnici e rilevatori </w:t>
            </w:r>
            <w:r>
              <w:rPr>
                <w:rFonts w:ascii="Times New Roman" w:hAnsi="Times New Roman"/>
                <w:sz w:val="24"/>
              </w:rPr>
              <w:lastRenderedPageBreak/>
              <w:t>(allagamento, gas, ecc.)</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Rilevatori autonomi di monossido di carbonio</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Allarmi tecnici e rilevatori</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Apparecchiature HVAC</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Riscaldamento e/o raffreddamento e/o produzione di acqua calda per uso domestico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Caldaia (solo riscaldamento)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Caldaia a gas</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Caldaia a olio combustibile</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Caldaia ibrida</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Caldaia a biomassa</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Caldaia mista (riscaldamento e acqua calda per uso domestico)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Caldaia a gas</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Caldaia a olio combustibile</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 a biomassa indipendenti</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Pompe di calore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Pompa di calore a compressione elettrica</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Pompa di calore ibrida</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Pompa di circolazione dell'acqua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Radiatore</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Scalda asciugamani</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Riscaldamento elettrico diretto tramite unità fissa a vista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Convettore</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Radiante</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Radiatore</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Apparecchiature con funzione secondaria come scalda asciugamani</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Produzione di acqua calda per uso domestico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Litro</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Scaldabagno individuale ad accumulo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Scaldabagno elettrico</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Scaldabagno termodinamico</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Scaldabagno a gas</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Scaldacqua solare individuale</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 di comfort finali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Termoventilatori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Termoventilatori</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Travi di climatizzazione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Travi di climatizzazione passive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Travi di climatizzazione attive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Radiatori dinamici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Radiatori dinamici</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Condotti e accessori di rete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di condotto</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Condotti flessibili</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Condotti rigidi</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Curve e accessori</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Diffusione dell'aria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Terminali passivi</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Diffusori</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Prese d'aria</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Aperture per estrattori e soffiatori</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Trattamento </w:t>
            </w:r>
            <w:r>
              <w:rPr>
                <w:rFonts w:ascii="Times New Roman" w:hAnsi="Times New Roman"/>
                <w:sz w:val="24"/>
              </w:rPr>
              <w:lastRenderedPageBreak/>
              <w:t>dell'aria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m³/h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Impianto di trattamento </w:t>
            </w:r>
            <w:r>
              <w:rPr>
                <w:rFonts w:ascii="Times New Roman" w:hAnsi="Times New Roman"/>
                <w:sz w:val="24"/>
              </w:rPr>
              <w:lastRenderedPageBreak/>
              <w:t>dell'aria</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a doppio flusso</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Filtri aria</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Scatola di ventilazione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Ventilazione a flusso singolo flusso a controllo meccanico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Ventilazione a doppio flusso controllata meccanicamente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Scatola di ventilazione</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Refrigerazione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Unità di produzione di acqua ghiacciata</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Torre di raffreddamento</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Refrigeratori d’aria</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Produzione locale di elettricità</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Generatore di energia elettrica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Moduli fotovoltaici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Silicio cristallino (monocristallino o policristallino)</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Strati sottili</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Turbine eoliche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Orizzontali</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Verticali</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Conversione e regolamentazione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Inverter sincroni</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Inverter autonomi</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Convertitore CC/CC</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Convertitore AC/DC</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Regolamentazione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Regolatore di carico</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Conservazione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Batteria elettrochimica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Piombo - acido</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Ioni di litio</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Altro</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Monitoraggio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Monitoraggio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Apparecchiature di monitoraggio</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Attrezzatura per l'illuminazione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Apparecchiatura per l'illuminazione interna e alimentatori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Illuminazione da incasso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Illuminazione lineare da incasso per interni per l'illuminazione di uffici</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Illuminazione da incasso non lineare per interni per l'illuminazione di uffici</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Illuminazione d'accento da incasso per interni (faretti)</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Illuminazione con montaggio a superficie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Plafoniere, apparecchi lineari interni a sospensione per ufficio o illuminazione industriale</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Illuminazione funzionale interna lineare a parete</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Plafoniere, illuminazione a parete con montaggio a superficie, apparecchi decorativi interni a sospensione</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Oblò interni</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Nastri per illuminazione per interni (senza dispositivi ottici, a differenza dei prodotti lineari)</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Faretti da interni, a parete, su binario o sospesi, per illuminazione d'accento</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Elementi per illuminazione interna resistenti all'acqua</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Barre e nastri flessibili a LED (alimentazione inclusa)</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Elementi a sospensione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Accessori per l’industria</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Strutture in linea continua per illuminazione industriale o commerciale</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Montaggi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Rotaie di alimentazione per faretti</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Apparecchiature per illuminazione esterna e alimentatori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Faretti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Faretti per sport e grandi aree</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Faretti da esterno per illuminazione decorativa</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Apparecchi di illuminazione per esterni, diversi dai proiettori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 per illuminazione decorativa</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Apparecchi per illuminazione funzionale</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Illuminazione d'epoca</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Faretti da incasso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Faretti da esterno da incasso per pavimenti o pareti</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Illuminazione da incasso per orientamento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Illuminazione per orientamento esterno da incasso per pavimenti o pareti</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Pali e colonne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Terminali esterni decorativi</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Colonne luminose esterne decorative</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Apparecchi per illuminazione resistenti all'acqua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Luci da parete montate in superficie e oblò impermeabili</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Illuminazione ad incasso </w:t>
            </w:r>
            <w:r>
              <w:rPr>
                <w:rFonts w:ascii="Times New Roman" w:hAnsi="Times New Roman"/>
                <w:sz w:val="24"/>
              </w:rPr>
              <w:lastRenderedPageBreak/>
              <w:t>immergibile per piscine o fontane</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Faretti immergibili per piscine o fontane</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unità</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Montanti e montaggi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Montanti</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Cerniere</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 supporti per apparecchi per illuminazione esterna</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Altro</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Allegato III</w:t>
      </w:r>
    </w:p>
    <w:p w14:paraId="67517A54" w14:textId="77777777" w:rsidR="00C51AA3" w:rsidRPr="005D260E" w:rsidRDefault="003C68D4" w:rsidP="008837F2">
      <w:pPr>
        <w:pStyle w:val="Titre2FDES"/>
        <w:jc w:val="left"/>
      </w:pPr>
      <w:r>
        <w:t xml:space="preserve">Calcolo dei ricavi e delle spese relative alla valutazione di fine vita.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La visualizzazione di un valore positivo comporta un onere netto e un valore negativo si traduce in un utile netto.</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In caso di riciclaggio, per un dato flusso di rifiuti riciclati (e quindi di un dato materiale lambda), si applica la seguente formula: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ChargeNetRecycl = MSval (Isval – IVval) – SM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dove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massa (kg) di materiale secondario effettivamente recuperato dalla massa dello stock raccolto (componente lambda del materiale nel flusso "materiali destinati al riciclaggio");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inventario di produzione (per kg) del materiale (o miscela) per il quale il materiale secondario riciclato lambda viene sostituito nel sistema a valle che lo utilizza (ossia non l'inventario di produzione del prodotto a valle, ma l’inventario di produzione del materiale che compone questo prodotto a valle);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inventario (per kg) della produzione di materiale secondario pronto all'uso nel sistema a valle a partire dallo stock;</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massa (kg) di materiale secondario incorporato nel prodotto al quale si applica la dichiarazione al momento della fabbricazione (componente lambda del materiale nel flusso "uso di materiali secondari");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inventario di produzione (per kg) di materiale vergine utilizzato per produrre il prodotto a cui si applica la dichiarazione, in assenza di riciclaggio del materiale;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 = inventario (per kg) della produzione della materia prima secondaria pronta all'uso utilizzata per produrre il prodotto a cui si applica la dichiarazione.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Nel caso del recupero energetico, per un dato flusso di rifiuti riciclati, si applica la seguente formula: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ChargeNetValoNRJ = MSval (Isval – PCISval x Reval x IVval),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dove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massa (in kg) di materiale secondario effettivamente recuperato dalla massa raccolta dello stock (componente(i) lambda del flusso di materiale "materiali di recupero energetico");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inventario di produzione (per kg) dell'energia per la quale l'energia recuperata dal riciclaggio energetico dei materiali secondari è sostituita nel sistema a valle (ossia non l'inventario di produzione del sistema a valle al quale il materiale secondario contribuirà, ma l'inventario di produzione di energia consumata dal sistema a valle, espresso in MJ erogati);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ISval = inventario (per kg) del riciclaggio energetico del materiale secondario da stock, per il quale il flusso di riferimento è la quantità di materiale secondario riciclato;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PCISval = IBD (MJ/kg) di materiale secondario recuperato;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produzione energetica dell'impianto di riciclaggio dell'energia del materiale secondario recuperato.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 beneficio complessivo per il prodotto dichiarato viene quindi ottenuto come somma di tutti i benefici collettivi calcolati per ciascuno dei materiali/flussi.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Allegato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Quadro per la validità delle dichiarazioni ambientali collettive per i prodotti</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Omogeneità</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Un'analisi del ciclo di vita (LCA) comporta una grande quantità di dati per numerosi scenari. Alcuni dati sono raccolti in loco, alcuni sono calcolati e alcuni sono stimati. I dati che forniscono una LCA sono quindi dati con un certo livello di incertezza. Pertanto il risultato di una LCA è abbastanza sensibile alle variazioni dei dati di input.</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L'articolo 9 dell'Ordinanza richiede che gli impatti ambientali dei registranti che utilizzano la stessa dichiarazione ambientale collettiva siano omogenei. Pertanto, una dichiarazione ambientale collettiva coprirà prodotti omogenei dal punto di vista ambientale se è possibile garantire che tutti i prodotti contemplati dichiarino impatti ambientali al di sotto di un valore limite se sono conformi al quadro di validità associato alla presente dichiarazione ambientale collettiva.</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Si ammette che tale omogeneità debba essere dimostrata solo per certi indicatori di controllo.</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Per gli indicatori LCA, la dimostrazione di omogeneità viene effettuata attraverso un'analisi di sensibilità dei parametri incerti e dei parametri che variano da un registrante all'altro. Si raccomanda vivamente che tale analisi sia effettuata all'inizio del processo LCA e che la dichiarazione ambientale collettiva sia elaborata sulla base di tale analisi.</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Analisi di sensibilità</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Un'analisi di sensibilità LCA deve comprendere le seguenti fasi:</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Selezione degli indicatori di controllo.</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Identificazione dei parametri sensibili: studio dei contributori per identificare i parametri di input che contribuiscono maggiormente a spiegare il valore degli indicatori di controllo (risultati della LCA).</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Determinazione dei campi di variazione dei parametri sensibili (parametri limite ed eventuale distribuzione statistica).</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Simulazioni programmate basate sulle fasi b e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L'analisi di sensibilità può essere iterativa. Il risultato dell'analisi di sensibilità deve essere:</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un elenco di fattori che influenzano i risultati della LCA (parametri sensibili) e i loro campi di variazione autorizzati (questa lista è il campo di validità).</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per ciascun indicatore di controllo, un probabile intervallo di variazione (intervallo di confidenza del 95%) dei valori dell'indicatore ottenuti dalle simulazioni dei parametri.</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Fase 1: selezione degli indicatori di controllo</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La selezione degli indicatori di controllo deve essere ragionevole. Essi possono essere scelti di volta in volta tra quelli di cui all'articolo 3 dell'Ordinanza. La loro selezione deve essere giustificata. Dovrebbero essere studiati almeno i seguenti indicatori:</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riscaldamento globale;</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uso di energia primaria non rinnovabile, escluse le risorse energetiche primarie non rinnovabili utilizzate come materie prime;</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rifiuti non pericolosi smaltiti.</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2: identificazione dei parametri sensibili</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Per ciascun indicatore di controllo occorre effettuare un'analisi dei parametri sensibili. A tal fine, si propone che, come approccio iniziale, gli impatti siano divisi secondo i processi inclusi nel ciclo di vita. Tale analisi dovrebbe basarsi sullo scenario di riferimento descritto nell'analisi di sensibilità.</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Si raccomanda di prendere in considerazione tutti i processi con un contributo alla comparsa di oltre il 5% nello scenario di riferimento. I parametri del modello LCA (entrare o uscire dal processo, parametro interno di modellazione dei processi, ecc.) che modificano questo contributo dovrebbero essere identificati. Questi sono i parametri considerati sensibili.</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Al termine di questa analisi, il registrante avrà un elenco dei processi che contribuiscono maggiormente agli indicatori di controllo durante l'intero ciclo di vita e un elenco di parametri sensibili.</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3: definizione degli intervalli di variazione dei parametri sensibili</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Questa fase consiste nel definire l'intervallo di variazione di ogni parametro sensibile. Tale intervallo dovrebbe quindi essere proposto come minimo sotto forma di intervalli. Se nota, può essere prevista una legge per la distribuzione del parametro nell'intervallo sopra definito.</w:t>
      </w:r>
      <w:r>
        <w:rPr>
          <w:rFonts w:ascii="Times New Roman" w:hAnsi="Times New Roman"/>
          <w:sz w:val="24"/>
        </w:rPr>
        <w:br/>
        <w:t>Dopo questa fase, ogni parametro sensibile è associato a una serie di variazioni.</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4: Calcolo della variabilità degli indicatori</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Sulla base delle fasi 2 e 3, questa fase comporta l'utilizzo di un metodo matematico appropriato per determinare gli intervalli di variazione degli indicatori (valori massimi, valori medi e valori minimi) quando si sottopone il modello LCA a variazioni dei parametri sensibili.</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Il risultato della fase 4 è una serie di gamme di valori prese da ciascuno degli indicatori contemplati dall'analisi di sensibilità.</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Il calcolo della variabilità degli indicatori riguarda almeno i parametri sensibili relativi agli elementi di cui all'articolo 9 della presente Ordinanza.</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Le fasi 3 e 4 possono essere eseguite mediante iterazione per adattare la gamma di parametri sensibili alle condizioni di omogeneità richieste.</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Rapporto di analisi di sensibilità</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La relazione contiene gli elementi corrispondenti alle quattro fasi dell'analisi di sensibilità e l'esito finale dell'analisi di sensibilità, compresi l'ambito di validità della dichiarazione ambientale collettiva e i campi di variazione degli indicatori di controllo.</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Analisi di sensibilità e valori ambientali dichiarati</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I risultati dell'analisi di sensibilità condizionano i valori ambientali riportati nella dichiarazione ambientale collettiva come specificato nella sezione 9 della presente Ordinanza.</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Quando il valore massimo (o massimo al 95% di fiducia, se si utilizza un approccio statistico) della gamma di variazione di ciascun indicatore di controllo dell'impatto ambientale è</w:t>
      </w:r>
      <w:r>
        <w:rPr>
          <w:rFonts w:ascii="Times New Roman" w:hAnsi="Times New Roman"/>
          <w:sz w:val="24"/>
        </w:rPr>
        <w:t xml:space="preserve"> inferiore o uguale al valore medio dell'indicatore moltiplicato per un valore limite (specificato all'articolo 9 della presente Ordinanza)</w:t>
      </w:r>
      <w:r>
        <w:rPr>
          <w:rFonts w:ascii="Times New Roman" w:hAnsi="Times New Roman"/>
          <w:sz w:val="24"/>
          <w:shd w:val="clear" w:color="auto" w:fill="FFFFFF"/>
        </w:rPr>
        <w:t>, allora i valori degli indicatori di impatto ambientale dichiarati sono calcolati con i valori medi dei parametri sensibili.</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In caso contrario, cioè se almeno uno degli indicatori di controllo dell'impatto ambientale ha un valore massimo superiore al </w:t>
      </w:r>
      <w:r>
        <w:rPr>
          <w:rFonts w:ascii="Times New Roman" w:hAnsi="Times New Roman"/>
          <w:sz w:val="24"/>
        </w:rPr>
        <w:t>valore medio dell'indicatore moltiplicato per un valore limite (specificato all'articolo 9 della presente Ordinanza)</w:t>
      </w:r>
      <w:r>
        <w:rPr>
          <w:rFonts w:ascii="Times New Roman" w:hAnsi="Times New Roman"/>
          <w:sz w:val="24"/>
          <w:shd w:val="clear" w:color="auto" w:fill="FFFFFF"/>
        </w:rPr>
        <w:t>, allora il limite superiore deve essere dichiarato. Questo limite superiore corrisponde al valore degli indicatori ottenuti quando si utilizzano i valori massimi (o massimi con una probabilità del 95%, se si utilizza un approccio statistico) dei parametri sensibili.</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Identificazione precisa dei prodotti oggetto di una dichiarazione</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Per determinare se un prodotto può essere coperto da una dichiarazione ambientale collettiva, occorre stabilire se il prodotto è simile al prodotto coperto standard e se il registrante di tale prodotto è autorizzato ad utilizzare la presente dichiarazione ambientale collettiva.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Identificazione del prodotto standard</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Il prodotto standard deve essere correttamente definito e descritto correttamente in modo da facilitare la riconciliazione tra la descrizione di un prodotto e quella del prodotto standard. La descrizione del prodotto standard deve contenere almeno quanto segue:</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un elenco dei principali componenti o materiali predominanti.</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Informazioni sulla funzionalità o sul livello di prestazioni.</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Tale identificazione deve essere sufficiente per accertare in modo rapido e inequivocabile se un determinato prodotto può essere coperto dalla dichiarazione collettiva.</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Identificazione dei registranti che possono utilizzare la dichiarazione ambientale collettiva</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Poiché la dichiarazione ambientale collettiva è proprietà e responsabilità di una comunità, tale comunità può decidere che solo alcuni registranti possono utilizzare questa dichiarazione ambientale collettiva.</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Un elenco dei registranti autorizzati ad utilizzare una dichiarazione ambientale collettiva deve essere fornito:</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sotto forma di un elenco esaustivo di nomi;</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sotto forma di condizione di appartenenza a un ente collettivo (associazione, sindacati, firmatari di una carta di buona prassi, ecc.). In questo caso, l'elenco dei membri di tale comunità deve essere accessibile al pubblico.</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Contenuto del quadro di validità</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Il quadro di validità contiene almeno:</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identificazione del prodotto standard (obbligatorio);</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 prodotti oggetto della dichiarazione ambientale collettiva;</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identificazione dei registranti che possono utilizzare la dichiarazione ambientale collettiva;</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la relazione sullo studio di sensibilità comprendente l'intervallo di validità e dimostrando che i valori dichiarati degli indicatori sono omogenei.</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Uso del quadro di validità</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Affinché un registrante utilizzi una dichiarazione ambientale collettiva per il suo prodotto, deve fornire prove:</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che il loro prodotto sia conforme al "prodotto standard" di cui alla dichiarazione ambientale collettiva;</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della presenza nell'elenco dei registranti autorizzati per la presente dichiarazione ambientale collettiva;</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di essere conforme alla portata della dichiarazione ambientale collettiva in questione.</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ECC4" w14:textId="77777777" w:rsidR="00F2010E" w:rsidRDefault="00F2010E" w:rsidP="00F76954">
      <w:pPr>
        <w:spacing w:after="0" w:line="240" w:lineRule="auto"/>
      </w:pPr>
      <w:r>
        <w:separator/>
      </w:r>
    </w:p>
  </w:endnote>
  <w:endnote w:type="continuationSeparator" w:id="0">
    <w:p w14:paraId="7AC8D5F3" w14:textId="77777777" w:rsidR="00F2010E" w:rsidRDefault="00F2010E"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Pagina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di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39E6" w14:textId="77777777" w:rsidR="00F2010E" w:rsidRDefault="00F2010E" w:rsidP="00F76954">
      <w:pPr>
        <w:spacing w:after="0" w:line="240" w:lineRule="auto"/>
      </w:pPr>
      <w:r>
        <w:separator/>
      </w:r>
    </w:p>
  </w:footnote>
  <w:footnote w:type="continuationSeparator" w:id="0">
    <w:p w14:paraId="5DF4C40D" w14:textId="77777777" w:rsidR="00F2010E" w:rsidRDefault="00F2010E"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9"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0"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3"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6"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0"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1"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4"/>
  </w:num>
  <w:num w:numId="6">
    <w:abstractNumId w:val="56"/>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6"/>
  </w:num>
  <w:num w:numId="14">
    <w:abstractNumId w:val="17"/>
  </w:num>
  <w:num w:numId="15">
    <w:abstractNumId w:val="66"/>
  </w:num>
  <w:num w:numId="16">
    <w:abstractNumId w:val="26"/>
  </w:num>
  <w:num w:numId="17">
    <w:abstractNumId w:val="47"/>
  </w:num>
  <w:num w:numId="18">
    <w:abstractNumId w:val="29"/>
  </w:num>
  <w:num w:numId="19">
    <w:abstractNumId w:val="30"/>
  </w:num>
  <w:num w:numId="20">
    <w:abstractNumId w:val="37"/>
  </w:num>
  <w:num w:numId="21">
    <w:abstractNumId w:val="12"/>
  </w:num>
  <w:num w:numId="22">
    <w:abstractNumId w:val="43"/>
  </w:num>
  <w:num w:numId="23">
    <w:abstractNumId w:val="23"/>
  </w:num>
  <w:num w:numId="24">
    <w:abstractNumId w:val="39"/>
  </w:num>
  <w:num w:numId="25">
    <w:abstractNumId w:val="63"/>
  </w:num>
  <w:num w:numId="26">
    <w:abstractNumId w:val="65"/>
  </w:num>
  <w:num w:numId="27">
    <w:abstractNumId w:val="50"/>
  </w:num>
  <w:num w:numId="28">
    <w:abstractNumId w:val="57"/>
  </w:num>
  <w:num w:numId="29">
    <w:abstractNumId w:val="9"/>
  </w:num>
  <w:num w:numId="30">
    <w:abstractNumId w:val="45"/>
  </w:num>
  <w:num w:numId="31">
    <w:abstractNumId w:val="42"/>
  </w:num>
  <w:num w:numId="32">
    <w:abstractNumId w:val="59"/>
  </w:num>
  <w:num w:numId="33">
    <w:abstractNumId w:val="52"/>
  </w:num>
  <w:num w:numId="34">
    <w:abstractNumId w:val="55"/>
  </w:num>
  <w:num w:numId="35">
    <w:abstractNumId w:val="31"/>
  </w:num>
  <w:num w:numId="36">
    <w:abstractNumId w:val="13"/>
  </w:num>
  <w:num w:numId="37">
    <w:abstractNumId w:val="48"/>
  </w:num>
  <w:num w:numId="38">
    <w:abstractNumId w:val="11"/>
  </w:num>
  <w:num w:numId="39">
    <w:abstractNumId w:val="60"/>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0"/>
  </w:num>
  <w:num w:numId="51">
    <w:abstractNumId w:val="62"/>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8"/>
  </w:num>
  <w:num w:numId="58">
    <w:abstractNumId w:val="49"/>
  </w:num>
  <w:num w:numId="59">
    <w:abstractNumId w:val="20"/>
  </w:num>
  <w:num w:numId="60">
    <w:abstractNumId w:val="10"/>
  </w:num>
  <w:num w:numId="61">
    <w:abstractNumId w:val="41"/>
  </w:num>
  <w:num w:numId="62">
    <w:abstractNumId w:val="16"/>
  </w:num>
  <w:num w:numId="63">
    <w:abstractNumId w:val="24"/>
  </w:num>
  <w:num w:numId="64">
    <w:abstractNumId w:val="16"/>
  </w:num>
  <w:num w:numId="65">
    <w:abstractNumId w:val="61"/>
  </w:num>
  <w:num w:numId="66">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8"/>
  </w:num>
  <w:num w:numId="69">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1"/>
  </w:num>
  <w:num w:numId="72">
    <w:abstractNumId w:val="64"/>
  </w:num>
  <w:num w:numId="73">
    <w:abstractNumId w:val="53"/>
  </w:num>
  <w:num w:numId="74">
    <w:abstractNumId w:val="21"/>
  </w:num>
  <w:num w:numId="75">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4F6CE3"/>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55C1F"/>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2916"/>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01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it-IT"/>
    </w:rPr>
  </w:style>
  <w:style w:type="character" w:styleId="FootnoteReference">
    <w:name w:val="footnote reference"/>
    <w:uiPriority w:val="99"/>
    <w:semiHidden/>
    <w:rsid w:val="003D011E"/>
    <w:rPr>
      <w:noProof/>
      <w:position w:val="6"/>
      <w:sz w:val="18"/>
      <w:vertAlign w:val="baseline"/>
      <w:lang w:val="it-IT"/>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it-IT"/>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it-IT"/>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it-IT"/>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it-IT"/>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it-IT"/>
    </w:rPr>
  </w:style>
  <w:style w:type="character" w:styleId="PageNumber">
    <w:name w:val="page number"/>
    <w:uiPriority w:val="99"/>
    <w:rsid w:val="003D011E"/>
    <w:rPr>
      <w:noProof/>
      <w:lang w:val="it-IT"/>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it-IT"/>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7795</Words>
  <Characters>44434</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16</cp:revision>
  <dcterms:created xsi:type="dcterms:W3CDTF">2021-04-28T07:24:00Z</dcterms:created>
  <dcterms:modified xsi:type="dcterms:W3CDTF">2021-05-12T14:39:00Z</dcterms:modified>
</cp:coreProperties>
</file>